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6C818A" w14:textId="2C196F0B" w:rsidR="0078757E" w:rsidRPr="0078757E" w:rsidRDefault="0078757E" w:rsidP="0078757E">
      <w:pPr>
        <w:jc w:val="center"/>
        <w:rPr>
          <w:rFonts w:ascii="Times New Roman" w:hAnsi="Times New Roman" w:cs="Times New Roman"/>
          <w:b/>
          <w:bCs/>
          <w:sz w:val="56"/>
          <w:szCs w:val="56"/>
        </w:rPr>
      </w:pPr>
      <w:r w:rsidRPr="0078757E">
        <w:rPr>
          <w:rFonts w:ascii="Times New Roman" w:hAnsi="Times New Roman" w:cs="Times New Roman"/>
          <w:b/>
          <w:bCs/>
          <w:sz w:val="56"/>
          <w:szCs w:val="56"/>
        </w:rPr>
        <w:t>Community Engagement</w:t>
      </w:r>
    </w:p>
    <w:p w14:paraId="6C004DCC" w14:textId="5BD1286F" w:rsidR="0078757E" w:rsidRDefault="0078757E" w:rsidP="0078757E">
      <w:pPr>
        <w:jc w:val="center"/>
        <w:rPr>
          <w:rFonts w:ascii="Times New Roman" w:hAnsi="Times New Roman" w:cs="Times New Roman"/>
          <w:b/>
          <w:bCs/>
          <w:sz w:val="56"/>
          <w:szCs w:val="56"/>
        </w:rPr>
      </w:pPr>
      <w:r w:rsidRPr="0078757E">
        <w:rPr>
          <w:rFonts w:ascii="Times New Roman" w:hAnsi="Times New Roman" w:cs="Times New Roman"/>
          <w:b/>
          <w:bCs/>
          <w:sz w:val="56"/>
          <w:szCs w:val="56"/>
        </w:rPr>
        <w:t>LCBB4011_LON</w:t>
      </w:r>
    </w:p>
    <w:p w14:paraId="36760483" w14:textId="1395F503" w:rsidR="00AB6E6B" w:rsidRPr="0078757E" w:rsidRDefault="00AB6E6B" w:rsidP="0078757E">
      <w:pPr>
        <w:jc w:val="center"/>
        <w:rPr>
          <w:rFonts w:ascii="Times New Roman" w:hAnsi="Times New Roman" w:cs="Times New Roman"/>
          <w:b/>
          <w:bCs/>
          <w:sz w:val="56"/>
          <w:szCs w:val="56"/>
        </w:rPr>
      </w:pPr>
      <w:r>
        <w:rPr>
          <w:rFonts w:ascii="Times New Roman" w:hAnsi="Times New Roman" w:cs="Times New Roman"/>
          <w:b/>
          <w:bCs/>
          <w:sz w:val="56"/>
          <w:szCs w:val="56"/>
        </w:rPr>
        <w:t>Lecturer:</w:t>
      </w:r>
    </w:p>
    <w:p w14:paraId="73345973" w14:textId="66FF619C" w:rsidR="0078757E" w:rsidRPr="00AB6E6B" w:rsidRDefault="00AB6E6B" w:rsidP="00AB6E6B">
      <w:pPr>
        <w:jc w:val="center"/>
        <w:rPr>
          <w:rFonts w:ascii="Times New Roman" w:hAnsi="Times New Roman" w:cs="Times New Roman"/>
          <w:b/>
          <w:bCs/>
          <w:sz w:val="44"/>
          <w:szCs w:val="44"/>
        </w:rPr>
      </w:pPr>
      <w:r w:rsidRPr="00AB6E6B">
        <w:rPr>
          <w:rFonts w:ascii="Times New Roman" w:hAnsi="Times New Roman" w:cs="Times New Roman"/>
          <w:b/>
          <w:bCs/>
          <w:sz w:val="44"/>
          <w:szCs w:val="44"/>
        </w:rPr>
        <w:t>Dr Molly Jack</w:t>
      </w:r>
      <w:r w:rsidRPr="00AB6E6B">
        <w:rPr>
          <w:rFonts w:ascii="Times New Roman" w:hAnsi="Times New Roman" w:cs="Times New Roman"/>
          <w:b/>
          <w:bCs/>
          <w:sz w:val="44"/>
          <w:szCs w:val="44"/>
        </w:rPr>
        <w:t xml:space="preserve"> </w:t>
      </w:r>
      <w:r w:rsidRPr="00AB6E6B">
        <w:rPr>
          <w:rFonts w:ascii="Times New Roman" w:hAnsi="Times New Roman" w:cs="Times New Roman"/>
          <w:b/>
          <w:bCs/>
          <w:sz w:val="44"/>
          <w:szCs w:val="44"/>
        </w:rPr>
        <w:t xml:space="preserve">Charles </w:t>
      </w:r>
      <w:proofErr w:type="spellStart"/>
      <w:r w:rsidRPr="00AB6E6B">
        <w:rPr>
          <w:rFonts w:ascii="Times New Roman" w:hAnsi="Times New Roman" w:cs="Times New Roman"/>
          <w:b/>
          <w:bCs/>
          <w:sz w:val="44"/>
          <w:szCs w:val="44"/>
        </w:rPr>
        <w:t>Oham</w:t>
      </w:r>
      <w:proofErr w:type="spellEnd"/>
      <w:r w:rsidRPr="00AB6E6B">
        <w:rPr>
          <w:rFonts w:ascii="Times New Roman" w:hAnsi="Times New Roman" w:cs="Times New Roman"/>
          <w:b/>
          <w:bCs/>
          <w:sz w:val="44"/>
          <w:szCs w:val="44"/>
        </w:rPr>
        <w:cr/>
      </w:r>
    </w:p>
    <w:p w14:paraId="3C2FE61D" w14:textId="77777777" w:rsidR="0078757E" w:rsidRDefault="0078757E"/>
    <w:p w14:paraId="36D0ED4E" w14:textId="77777777" w:rsidR="0078757E" w:rsidRDefault="0078757E"/>
    <w:p w14:paraId="4595E3C8" w14:textId="77777777" w:rsidR="0078757E" w:rsidRDefault="0078757E"/>
    <w:p w14:paraId="7FC3E06A" w14:textId="77777777" w:rsidR="0078757E" w:rsidRDefault="0078757E"/>
    <w:p w14:paraId="49E482BB" w14:textId="77777777" w:rsidR="0078757E" w:rsidRDefault="0078757E"/>
    <w:p w14:paraId="335488D5" w14:textId="77777777" w:rsidR="0078757E" w:rsidRDefault="0078757E"/>
    <w:p w14:paraId="4A7230A4" w14:textId="3F670DA1" w:rsidR="0078757E" w:rsidRPr="0078757E" w:rsidRDefault="0078757E" w:rsidP="0078757E">
      <w:pPr>
        <w:jc w:val="center"/>
        <w:rPr>
          <w:rFonts w:ascii="Times New Roman" w:hAnsi="Times New Roman" w:cs="Times New Roman"/>
          <w:b/>
          <w:bCs/>
          <w:sz w:val="56"/>
          <w:szCs w:val="56"/>
        </w:rPr>
      </w:pPr>
      <w:r w:rsidRPr="0078757E">
        <w:rPr>
          <w:rFonts w:ascii="Times New Roman" w:hAnsi="Times New Roman" w:cs="Times New Roman"/>
          <w:b/>
          <w:bCs/>
          <w:sz w:val="56"/>
          <w:szCs w:val="56"/>
        </w:rPr>
        <w:t>PORTFOLIO</w:t>
      </w:r>
    </w:p>
    <w:p w14:paraId="6C7236C0" w14:textId="77777777" w:rsidR="0078757E" w:rsidRDefault="0078757E" w:rsidP="0078757E">
      <w:pPr>
        <w:jc w:val="center"/>
        <w:rPr>
          <w:rFonts w:ascii="Times New Roman" w:hAnsi="Times New Roman" w:cs="Times New Roman"/>
          <w:sz w:val="56"/>
          <w:szCs w:val="56"/>
        </w:rPr>
      </w:pPr>
    </w:p>
    <w:p w14:paraId="6B8B7763" w14:textId="77777777" w:rsidR="0078757E" w:rsidRDefault="0078757E" w:rsidP="0078757E">
      <w:pPr>
        <w:jc w:val="center"/>
        <w:rPr>
          <w:rFonts w:ascii="Times New Roman" w:hAnsi="Times New Roman" w:cs="Times New Roman"/>
          <w:sz w:val="56"/>
          <w:szCs w:val="56"/>
        </w:rPr>
      </w:pPr>
    </w:p>
    <w:p w14:paraId="46D96A29" w14:textId="77777777" w:rsidR="0078757E" w:rsidRDefault="0078757E" w:rsidP="0078757E">
      <w:pPr>
        <w:jc w:val="center"/>
        <w:rPr>
          <w:rFonts w:ascii="Times New Roman" w:hAnsi="Times New Roman" w:cs="Times New Roman"/>
          <w:sz w:val="56"/>
          <w:szCs w:val="56"/>
        </w:rPr>
      </w:pPr>
    </w:p>
    <w:p w14:paraId="21BED0B2" w14:textId="77777777" w:rsidR="0078757E" w:rsidRDefault="0078757E" w:rsidP="00AB6E6B">
      <w:pPr>
        <w:rPr>
          <w:rFonts w:ascii="Times New Roman" w:hAnsi="Times New Roman" w:cs="Times New Roman"/>
          <w:sz w:val="56"/>
          <w:szCs w:val="56"/>
        </w:rPr>
      </w:pPr>
    </w:p>
    <w:p w14:paraId="47E60C69" w14:textId="77777777" w:rsidR="00AB6E6B" w:rsidRDefault="00AB6E6B" w:rsidP="00AB6E6B">
      <w:pPr>
        <w:rPr>
          <w:rFonts w:ascii="Times New Roman" w:hAnsi="Times New Roman" w:cs="Times New Roman"/>
          <w:sz w:val="56"/>
          <w:szCs w:val="56"/>
        </w:rPr>
      </w:pPr>
    </w:p>
    <w:p w14:paraId="5EF5E744" w14:textId="5E96B1CE" w:rsidR="0078757E" w:rsidRPr="0078757E" w:rsidRDefault="0078757E" w:rsidP="0078757E">
      <w:pPr>
        <w:jc w:val="right"/>
        <w:rPr>
          <w:rFonts w:ascii="Times New Roman" w:hAnsi="Times New Roman" w:cs="Times New Roman"/>
          <w:b/>
          <w:bCs/>
          <w:sz w:val="40"/>
          <w:szCs w:val="40"/>
        </w:rPr>
      </w:pPr>
      <w:r w:rsidRPr="0078757E">
        <w:rPr>
          <w:rFonts w:ascii="Times New Roman" w:hAnsi="Times New Roman" w:cs="Times New Roman"/>
          <w:b/>
          <w:bCs/>
          <w:sz w:val="40"/>
          <w:szCs w:val="40"/>
        </w:rPr>
        <w:t>Gabriela Budan</w:t>
      </w:r>
    </w:p>
    <w:p w14:paraId="0C1A06BB" w14:textId="0BDD385A" w:rsidR="0078757E" w:rsidRDefault="0078757E" w:rsidP="0078757E">
      <w:pPr>
        <w:jc w:val="right"/>
        <w:rPr>
          <w:rFonts w:ascii="Times New Roman" w:hAnsi="Times New Roman" w:cs="Times New Roman"/>
          <w:b/>
          <w:bCs/>
          <w:sz w:val="40"/>
          <w:szCs w:val="40"/>
        </w:rPr>
      </w:pPr>
      <w:r w:rsidRPr="0078757E">
        <w:rPr>
          <w:rFonts w:ascii="Times New Roman" w:hAnsi="Times New Roman" w:cs="Times New Roman"/>
          <w:b/>
          <w:bCs/>
          <w:sz w:val="40"/>
          <w:szCs w:val="40"/>
        </w:rPr>
        <w:t>2316848</w:t>
      </w:r>
    </w:p>
    <w:p w14:paraId="427EDB13" w14:textId="018371A0" w:rsidR="0078757E" w:rsidRDefault="0078757E" w:rsidP="0078757E">
      <w:pPr>
        <w:jc w:val="right"/>
        <w:rPr>
          <w:rFonts w:ascii="Times New Roman" w:hAnsi="Times New Roman" w:cs="Times New Roman"/>
          <w:b/>
          <w:bCs/>
          <w:sz w:val="40"/>
          <w:szCs w:val="40"/>
        </w:rPr>
      </w:pPr>
      <w:r>
        <w:rPr>
          <w:rFonts w:ascii="Times New Roman" w:hAnsi="Times New Roman" w:cs="Times New Roman"/>
          <w:b/>
          <w:bCs/>
          <w:sz w:val="40"/>
          <w:szCs w:val="40"/>
        </w:rPr>
        <w:t>BM, L4</w:t>
      </w:r>
    </w:p>
    <w:p w14:paraId="74303459" w14:textId="77777777" w:rsidR="00495CB8" w:rsidRDefault="00495CB8" w:rsidP="0078757E">
      <w:pPr>
        <w:jc w:val="right"/>
        <w:rPr>
          <w:rFonts w:ascii="Times New Roman" w:hAnsi="Times New Roman" w:cs="Times New Roman"/>
          <w:b/>
          <w:bCs/>
          <w:sz w:val="40"/>
          <w:szCs w:val="40"/>
        </w:rPr>
      </w:pPr>
    </w:p>
    <w:p w14:paraId="75E7ABCA" w14:textId="64CC7684" w:rsidR="00495CB8" w:rsidRDefault="00495CB8" w:rsidP="00495CB8">
      <w:pPr>
        <w:pStyle w:val="ListParagraph"/>
        <w:numPr>
          <w:ilvl w:val="0"/>
          <w:numId w:val="1"/>
        </w:numPr>
        <w:spacing w:line="360" w:lineRule="auto"/>
        <w:rPr>
          <w:rFonts w:ascii="Times New Roman" w:hAnsi="Times New Roman" w:cs="Times New Roman"/>
          <w:b/>
          <w:bCs/>
          <w:sz w:val="40"/>
          <w:szCs w:val="40"/>
        </w:rPr>
      </w:pPr>
      <w:r>
        <w:rPr>
          <w:rFonts w:ascii="Times New Roman" w:hAnsi="Times New Roman" w:cs="Times New Roman"/>
          <w:b/>
          <w:bCs/>
          <w:sz w:val="40"/>
          <w:szCs w:val="40"/>
        </w:rPr>
        <w:t>INTRODUCTION</w:t>
      </w:r>
    </w:p>
    <w:p w14:paraId="1E4DB898" w14:textId="3581FC68" w:rsidR="00971032" w:rsidRDefault="00516B42" w:rsidP="00DA60ED">
      <w:pPr>
        <w:spacing w:line="360" w:lineRule="auto"/>
        <w:ind w:left="397" w:firstLine="720"/>
        <w:rPr>
          <w:rFonts w:ascii="Times New Roman" w:hAnsi="Times New Roman" w:cs="Times New Roman"/>
          <w:sz w:val="24"/>
          <w:szCs w:val="24"/>
        </w:rPr>
      </w:pPr>
      <w:r w:rsidRPr="00516B42">
        <w:rPr>
          <w:rFonts w:ascii="Times New Roman" w:hAnsi="Times New Roman" w:cs="Times New Roman"/>
          <w:sz w:val="24"/>
          <w:szCs w:val="24"/>
        </w:rPr>
        <w:t xml:space="preserve">The COVID-19 pandemic has profoundly impacted our world, revealing stark disparities among marginalized populations and emphasizing the need for community engagement. Organizations, leaders, and health agencies </w:t>
      </w:r>
      <w:r w:rsidR="00C83E17">
        <w:rPr>
          <w:rFonts w:ascii="Times New Roman" w:hAnsi="Times New Roman" w:cs="Times New Roman"/>
          <w:sz w:val="24"/>
          <w:szCs w:val="24"/>
        </w:rPr>
        <w:t>increasingly recognize</w:t>
      </w:r>
      <w:r w:rsidRPr="00516B42">
        <w:rPr>
          <w:rFonts w:ascii="Times New Roman" w:hAnsi="Times New Roman" w:cs="Times New Roman"/>
          <w:sz w:val="24"/>
          <w:szCs w:val="24"/>
        </w:rPr>
        <w:t xml:space="preserve"> the importance of involving communities in addressing local health and social issues. However, amidst the buzz surrounding “community engagement,” there can be confusion about its true meaning. As we move forward, a shared understanding of community engagement is crucial for shaping the future of healthcare and global health initiatives.</w:t>
      </w:r>
      <w:r w:rsidR="00971032">
        <w:rPr>
          <w:rFonts w:ascii="Times New Roman" w:hAnsi="Times New Roman" w:cs="Times New Roman"/>
          <w:sz w:val="24"/>
          <w:szCs w:val="24"/>
        </w:rPr>
        <w:t xml:space="preserve"> </w:t>
      </w:r>
      <w:r w:rsidR="00971032" w:rsidRPr="00971032">
        <w:rPr>
          <w:rFonts w:ascii="Times New Roman" w:hAnsi="Times New Roman" w:cs="Times New Roman"/>
          <w:sz w:val="24"/>
          <w:szCs w:val="24"/>
        </w:rPr>
        <w:t>A shared understanding of community engagement is essential.</w:t>
      </w:r>
      <w:r w:rsidR="00DA60ED">
        <w:rPr>
          <w:rFonts w:ascii="Times New Roman" w:hAnsi="Times New Roman" w:cs="Times New Roman"/>
          <w:sz w:val="24"/>
          <w:szCs w:val="24"/>
        </w:rPr>
        <w:t xml:space="preserve"> </w:t>
      </w:r>
      <w:r w:rsidR="00971032" w:rsidRPr="00971032">
        <w:rPr>
          <w:rFonts w:ascii="Times New Roman" w:hAnsi="Times New Roman" w:cs="Times New Roman"/>
          <w:sz w:val="24"/>
          <w:szCs w:val="24"/>
        </w:rPr>
        <w:t xml:space="preserve">True community engagement goes beyond mere information-sharing or surveys. It involves collaborating with and empowering communities, recognizing the expertise </w:t>
      </w:r>
      <w:r w:rsidR="00DA60ED">
        <w:rPr>
          <w:rFonts w:ascii="Times New Roman" w:hAnsi="Times New Roman" w:cs="Times New Roman"/>
          <w:sz w:val="24"/>
          <w:szCs w:val="24"/>
        </w:rPr>
        <w:t>of</w:t>
      </w:r>
      <w:r w:rsidR="00971032" w:rsidRPr="00971032">
        <w:rPr>
          <w:rFonts w:ascii="Times New Roman" w:hAnsi="Times New Roman" w:cs="Times New Roman"/>
          <w:sz w:val="24"/>
          <w:szCs w:val="24"/>
        </w:rPr>
        <w:t xml:space="preserve"> each community member, and celebrating community ownership of interventions</w:t>
      </w:r>
      <w:r w:rsidR="00DA60ED">
        <w:rPr>
          <w:rFonts w:ascii="Times New Roman" w:hAnsi="Times New Roman" w:cs="Times New Roman"/>
          <w:sz w:val="24"/>
          <w:szCs w:val="24"/>
        </w:rPr>
        <w:t xml:space="preserve"> (Schiavo, 2021).</w:t>
      </w:r>
    </w:p>
    <w:p w14:paraId="736D8E50" w14:textId="79A25201" w:rsidR="00C83E17" w:rsidRDefault="00C83E17" w:rsidP="00DA60ED">
      <w:pPr>
        <w:spacing w:line="360" w:lineRule="auto"/>
        <w:ind w:left="397" w:firstLine="720"/>
        <w:rPr>
          <w:rFonts w:ascii="Times New Roman" w:hAnsi="Times New Roman" w:cs="Times New Roman"/>
          <w:sz w:val="24"/>
          <w:szCs w:val="24"/>
        </w:rPr>
      </w:pPr>
      <w:r w:rsidRPr="00C83E17">
        <w:rPr>
          <w:rFonts w:ascii="Times New Roman" w:hAnsi="Times New Roman" w:cs="Times New Roman"/>
          <w:sz w:val="24"/>
          <w:szCs w:val="24"/>
        </w:rPr>
        <w:t>Community engagement involves identifying and addressing community needs, taking meaningful actions, building relationships with other groups, sharing control and benefits, and participating in broader community activities</w:t>
      </w:r>
      <w:r>
        <w:rPr>
          <w:rFonts w:ascii="Times New Roman" w:hAnsi="Times New Roman" w:cs="Times New Roman"/>
          <w:sz w:val="24"/>
          <w:szCs w:val="24"/>
        </w:rPr>
        <w:t xml:space="preserve"> (Jonson, 2019).</w:t>
      </w:r>
    </w:p>
    <w:p w14:paraId="068236F5" w14:textId="77777777" w:rsidR="000A1111" w:rsidRDefault="000A1111" w:rsidP="00DA60ED">
      <w:pPr>
        <w:spacing w:line="360" w:lineRule="auto"/>
        <w:ind w:left="397" w:firstLine="720"/>
        <w:rPr>
          <w:rFonts w:ascii="Times New Roman" w:hAnsi="Times New Roman" w:cs="Times New Roman"/>
          <w:sz w:val="24"/>
          <w:szCs w:val="24"/>
        </w:rPr>
      </w:pPr>
    </w:p>
    <w:p w14:paraId="5C22BEA9" w14:textId="54037354" w:rsidR="00D631FB" w:rsidRPr="00D631FB" w:rsidRDefault="00D631FB" w:rsidP="00DA60ED">
      <w:pPr>
        <w:spacing w:line="360" w:lineRule="auto"/>
        <w:ind w:left="397" w:firstLine="720"/>
        <w:rPr>
          <w:rFonts w:ascii="Times New Roman" w:hAnsi="Times New Roman" w:cs="Times New Roman"/>
          <w:b/>
          <w:bCs/>
          <w:sz w:val="24"/>
          <w:szCs w:val="24"/>
        </w:rPr>
      </w:pPr>
      <w:r w:rsidRPr="00D631FB">
        <w:rPr>
          <w:rFonts w:ascii="Times New Roman" w:hAnsi="Times New Roman" w:cs="Times New Roman"/>
          <w:b/>
          <w:bCs/>
          <w:sz w:val="24"/>
          <w:szCs w:val="24"/>
        </w:rPr>
        <w:t>Element 1: Community outreach</w:t>
      </w:r>
    </w:p>
    <w:p w14:paraId="472B864C" w14:textId="5A9467A3" w:rsidR="003B2A78" w:rsidRDefault="00D631FB" w:rsidP="007C3546">
      <w:pPr>
        <w:spacing w:line="360" w:lineRule="auto"/>
        <w:ind w:left="397" w:firstLine="720"/>
        <w:rPr>
          <w:rFonts w:ascii="Times New Roman" w:hAnsi="Times New Roman" w:cs="Times New Roman"/>
          <w:sz w:val="24"/>
          <w:szCs w:val="24"/>
        </w:rPr>
      </w:pPr>
      <w:r w:rsidRPr="00D631FB">
        <w:rPr>
          <w:rFonts w:ascii="Times New Roman" w:hAnsi="Times New Roman" w:cs="Times New Roman"/>
          <w:sz w:val="24"/>
          <w:szCs w:val="24"/>
        </w:rPr>
        <w:t>Community outreach involves delivering professional or specialized services to underserved groups who lack access to those services. Typically, this work occurs in regions where specific assistance is needed.</w:t>
      </w:r>
      <w:r w:rsidR="003B2A78">
        <w:rPr>
          <w:rFonts w:ascii="Times New Roman" w:hAnsi="Times New Roman" w:cs="Times New Roman"/>
          <w:sz w:val="24"/>
          <w:szCs w:val="24"/>
        </w:rPr>
        <w:t xml:space="preserve"> C</w:t>
      </w:r>
      <w:r w:rsidR="003B2A78" w:rsidRPr="003B2A78">
        <w:rPr>
          <w:rFonts w:ascii="Times New Roman" w:hAnsi="Times New Roman" w:cs="Times New Roman"/>
          <w:sz w:val="24"/>
          <w:szCs w:val="24"/>
        </w:rPr>
        <w:t>ommunity outreach</w:t>
      </w:r>
      <w:r w:rsidR="003B2A78">
        <w:rPr>
          <w:rFonts w:ascii="Times New Roman" w:hAnsi="Times New Roman" w:cs="Times New Roman"/>
          <w:sz w:val="24"/>
          <w:szCs w:val="24"/>
        </w:rPr>
        <w:t xml:space="preserve"> is</w:t>
      </w:r>
      <w:r w:rsidR="003B2A78" w:rsidRPr="003B2A78">
        <w:rPr>
          <w:rFonts w:ascii="Times New Roman" w:hAnsi="Times New Roman" w:cs="Times New Roman"/>
          <w:sz w:val="24"/>
          <w:szCs w:val="24"/>
        </w:rPr>
        <w:t xml:space="preserve"> building a network where everyone has an important role. It’s like a potluck where everyone brings something unique</w:t>
      </w:r>
      <w:r w:rsidR="00656074">
        <w:rPr>
          <w:rFonts w:ascii="Times New Roman" w:hAnsi="Times New Roman" w:cs="Times New Roman"/>
          <w:sz w:val="24"/>
          <w:szCs w:val="24"/>
        </w:rPr>
        <w:t xml:space="preserve">, </w:t>
      </w:r>
      <w:r w:rsidR="003B2A78" w:rsidRPr="003B2A78">
        <w:rPr>
          <w:rFonts w:ascii="Times New Roman" w:hAnsi="Times New Roman" w:cs="Times New Roman"/>
          <w:sz w:val="24"/>
          <w:szCs w:val="24"/>
        </w:rPr>
        <w:t xml:space="preserve">getting </w:t>
      </w:r>
      <w:r w:rsidR="00656074">
        <w:rPr>
          <w:rFonts w:ascii="Times New Roman" w:hAnsi="Times New Roman" w:cs="Times New Roman"/>
          <w:sz w:val="24"/>
          <w:szCs w:val="24"/>
        </w:rPr>
        <w:t>neighbo</w:t>
      </w:r>
      <w:r w:rsidR="003F161F">
        <w:rPr>
          <w:rFonts w:ascii="Times New Roman" w:hAnsi="Times New Roman" w:cs="Times New Roman"/>
          <w:sz w:val="24"/>
          <w:szCs w:val="24"/>
        </w:rPr>
        <w:t>u</w:t>
      </w:r>
      <w:r w:rsidR="00656074">
        <w:rPr>
          <w:rFonts w:ascii="Times New Roman" w:hAnsi="Times New Roman" w:cs="Times New Roman"/>
          <w:sz w:val="24"/>
          <w:szCs w:val="24"/>
        </w:rPr>
        <w:t>rs</w:t>
      </w:r>
      <w:r w:rsidR="003B2A78" w:rsidRPr="003B2A78">
        <w:rPr>
          <w:rFonts w:ascii="Times New Roman" w:hAnsi="Times New Roman" w:cs="Times New Roman"/>
          <w:sz w:val="24"/>
          <w:szCs w:val="24"/>
        </w:rPr>
        <w:t xml:space="preserve"> involved or forming local partnerships. </w:t>
      </w:r>
      <w:r w:rsidR="00656074">
        <w:rPr>
          <w:rFonts w:ascii="Times New Roman" w:hAnsi="Times New Roman" w:cs="Times New Roman"/>
          <w:sz w:val="24"/>
          <w:szCs w:val="24"/>
        </w:rPr>
        <w:t>C</w:t>
      </w:r>
      <w:r w:rsidR="003B2A78" w:rsidRPr="003B2A78">
        <w:rPr>
          <w:rFonts w:ascii="Times New Roman" w:hAnsi="Times New Roman" w:cs="Times New Roman"/>
          <w:sz w:val="24"/>
          <w:szCs w:val="24"/>
        </w:rPr>
        <w:t>ommunity outreach takes time to grow, like a garden that needs care to flourish.</w:t>
      </w:r>
      <w:r w:rsidR="00656074">
        <w:rPr>
          <w:rFonts w:ascii="Times New Roman" w:hAnsi="Times New Roman" w:cs="Times New Roman"/>
          <w:sz w:val="24"/>
          <w:szCs w:val="24"/>
        </w:rPr>
        <w:t xml:space="preserve"> </w:t>
      </w:r>
      <w:r w:rsidR="00656074" w:rsidRPr="00656074">
        <w:rPr>
          <w:rFonts w:ascii="Times New Roman" w:hAnsi="Times New Roman" w:cs="Times New Roman"/>
          <w:sz w:val="24"/>
          <w:szCs w:val="24"/>
        </w:rPr>
        <w:t>Outreach efforts are often undertaken by individuals, businesses, and NGOs. Typically, the aim is to advance a cause that significantly benefits the community. Many organi</w:t>
      </w:r>
      <w:r w:rsidR="000E15C8">
        <w:rPr>
          <w:rFonts w:ascii="Times New Roman" w:hAnsi="Times New Roman" w:cs="Times New Roman"/>
          <w:sz w:val="24"/>
          <w:szCs w:val="24"/>
        </w:rPr>
        <w:t>s</w:t>
      </w:r>
      <w:r w:rsidR="00656074" w:rsidRPr="00656074">
        <w:rPr>
          <w:rFonts w:ascii="Times New Roman" w:hAnsi="Times New Roman" w:cs="Times New Roman"/>
          <w:sz w:val="24"/>
          <w:szCs w:val="24"/>
        </w:rPr>
        <w:t>ations provide community support through outreach programs, primarily to achieve their corporate social responsibility objectives</w:t>
      </w:r>
      <w:r w:rsidR="007C3546">
        <w:rPr>
          <w:rFonts w:ascii="Times New Roman" w:hAnsi="Times New Roman" w:cs="Times New Roman"/>
          <w:sz w:val="24"/>
          <w:szCs w:val="24"/>
        </w:rPr>
        <w:t xml:space="preserve"> (</w:t>
      </w:r>
      <w:r w:rsidR="000C1303">
        <w:rPr>
          <w:rFonts w:ascii="Times New Roman" w:hAnsi="Times New Roman" w:cs="Times New Roman"/>
          <w:sz w:val="24"/>
          <w:szCs w:val="24"/>
        </w:rPr>
        <w:t>Grow</w:t>
      </w:r>
      <w:r w:rsidR="00DB4878">
        <w:rPr>
          <w:rFonts w:ascii="Times New Roman" w:hAnsi="Times New Roman" w:cs="Times New Roman"/>
          <w:sz w:val="24"/>
          <w:szCs w:val="24"/>
        </w:rPr>
        <w:t xml:space="preserve"> </w:t>
      </w:r>
      <w:r w:rsidR="000C1303">
        <w:rPr>
          <w:rFonts w:ascii="Times New Roman" w:hAnsi="Times New Roman" w:cs="Times New Roman"/>
          <w:sz w:val="24"/>
          <w:szCs w:val="24"/>
        </w:rPr>
        <w:t>Leady, 2024</w:t>
      </w:r>
      <w:r w:rsidR="007C3546">
        <w:rPr>
          <w:rFonts w:ascii="Times New Roman" w:hAnsi="Times New Roman" w:cs="Times New Roman"/>
          <w:sz w:val="24"/>
          <w:szCs w:val="24"/>
        </w:rPr>
        <w:t>).</w:t>
      </w:r>
      <w:r w:rsidR="0044485F">
        <w:rPr>
          <w:rFonts w:ascii="Times New Roman" w:hAnsi="Times New Roman" w:cs="Times New Roman"/>
          <w:sz w:val="24"/>
          <w:szCs w:val="24"/>
        </w:rPr>
        <w:t xml:space="preserve"> </w:t>
      </w:r>
    </w:p>
    <w:p w14:paraId="6B706FE0" w14:textId="2E2DD404" w:rsidR="00415311" w:rsidRDefault="00415311" w:rsidP="007C3546">
      <w:pPr>
        <w:spacing w:line="360" w:lineRule="auto"/>
        <w:ind w:left="397" w:firstLine="720"/>
        <w:rPr>
          <w:rFonts w:ascii="Times New Roman" w:hAnsi="Times New Roman" w:cs="Times New Roman"/>
          <w:sz w:val="24"/>
          <w:szCs w:val="24"/>
        </w:rPr>
      </w:pPr>
      <w:r>
        <w:rPr>
          <w:rFonts w:ascii="Times New Roman" w:hAnsi="Times New Roman" w:cs="Times New Roman"/>
          <w:sz w:val="24"/>
          <w:szCs w:val="24"/>
        </w:rPr>
        <w:t>A</w:t>
      </w:r>
      <w:r w:rsidRPr="00415311">
        <w:rPr>
          <w:rFonts w:ascii="Times New Roman" w:hAnsi="Times New Roman" w:cs="Times New Roman"/>
          <w:sz w:val="24"/>
          <w:szCs w:val="24"/>
        </w:rPr>
        <w:t xml:space="preserve"> community outreach plan, start</w:t>
      </w:r>
      <w:r>
        <w:rPr>
          <w:rFonts w:ascii="Times New Roman" w:hAnsi="Times New Roman" w:cs="Times New Roman"/>
          <w:sz w:val="24"/>
          <w:szCs w:val="24"/>
        </w:rPr>
        <w:t>s</w:t>
      </w:r>
      <w:r w:rsidRPr="00415311">
        <w:rPr>
          <w:rFonts w:ascii="Times New Roman" w:hAnsi="Times New Roman" w:cs="Times New Roman"/>
          <w:sz w:val="24"/>
          <w:szCs w:val="24"/>
        </w:rPr>
        <w:t xml:space="preserve"> by defining </w:t>
      </w:r>
      <w:r>
        <w:rPr>
          <w:rFonts w:ascii="Times New Roman" w:hAnsi="Times New Roman" w:cs="Times New Roman"/>
          <w:sz w:val="24"/>
          <w:szCs w:val="24"/>
        </w:rPr>
        <w:t xml:space="preserve">the </w:t>
      </w:r>
      <w:r w:rsidRPr="00415311">
        <w:rPr>
          <w:rFonts w:ascii="Times New Roman" w:hAnsi="Times New Roman" w:cs="Times New Roman"/>
          <w:sz w:val="24"/>
          <w:szCs w:val="24"/>
        </w:rPr>
        <w:t>goals, such as raising awareness, driving participation, or addressing specific community needs</w:t>
      </w:r>
      <w:r>
        <w:rPr>
          <w:rFonts w:ascii="Times New Roman" w:hAnsi="Times New Roman" w:cs="Times New Roman"/>
          <w:sz w:val="24"/>
          <w:szCs w:val="24"/>
        </w:rPr>
        <w:t>, identifying</w:t>
      </w:r>
      <w:r w:rsidRPr="00415311">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415311">
        <w:rPr>
          <w:rFonts w:ascii="Times New Roman" w:hAnsi="Times New Roman" w:cs="Times New Roman"/>
          <w:sz w:val="24"/>
          <w:szCs w:val="24"/>
        </w:rPr>
        <w:lastRenderedPageBreak/>
        <w:t>target audience, which could include specific community groups, local businesses, or broader demographics. Research and understand community needs through surveys, focus groups, or interviews. Develop</w:t>
      </w:r>
      <w:r>
        <w:rPr>
          <w:rFonts w:ascii="Times New Roman" w:hAnsi="Times New Roman" w:cs="Times New Roman"/>
          <w:sz w:val="24"/>
          <w:szCs w:val="24"/>
        </w:rPr>
        <w:t>ing</w:t>
      </w:r>
      <w:r w:rsidRPr="00415311">
        <w:rPr>
          <w:rFonts w:ascii="Times New Roman" w:hAnsi="Times New Roman" w:cs="Times New Roman"/>
          <w:sz w:val="24"/>
          <w:szCs w:val="24"/>
        </w:rPr>
        <w:t xml:space="preserve"> a strategic plan that outlines </w:t>
      </w:r>
      <w:r>
        <w:rPr>
          <w:rFonts w:ascii="Times New Roman" w:hAnsi="Times New Roman" w:cs="Times New Roman"/>
          <w:sz w:val="24"/>
          <w:szCs w:val="24"/>
        </w:rPr>
        <w:t>the</w:t>
      </w:r>
      <w:r w:rsidRPr="00415311">
        <w:rPr>
          <w:rFonts w:ascii="Times New Roman" w:hAnsi="Times New Roman" w:cs="Times New Roman"/>
          <w:sz w:val="24"/>
          <w:szCs w:val="24"/>
        </w:rPr>
        <w:t xml:space="preserve"> goals, target audience, key messages, and methods for reaching them. Engag</w:t>
      </w:r>
      <w:r>
        <w:rPr>
          <w:rFonts w:ascii="Times New Roman" w:hAnsi="Times New Roman" w:cs="Times New Roman"/>
          <w:sz w:val="24"/>
          <w:szCs w:val="24"/>
        </w:rPr>
        <w:t>ing</w:t>
      </w:r>
      <w:r w:rsidRPr="00415311">
        <w:rPr>
          <w:rFonts w:ascii="Times New Roman" w:hAnsi="Times New Roman" w:cs="Times New Roman"/>
          <w:sz w:val="24"/>
          <w:szCs w:val="24"/>
        </w:rPr>
        <w:t xml:space="preserve"> with local organizations and partners, such as businesses, nonprofits, and community leaders, to amplify </w:t>
      </w:r>
      <w:r>
        <w:rPr>
          <w:rFonts w:ascii="Times New Roman" w:hAnsi="Times New Roman" w:cs="Times New Roman"/>
          <w:sz w:val="24"/>
          <w:szCs w:val="24"/>
        </w:rPr>
        <w:t>the</w:t>
      </w:r>
      <w:r w:rsidRPr="00415311">
        <w:rPr>
          <w:rFonts w:ascii="Times New Roman" w:hAnsi="Times New Roman" w:cs="Times New Roman"/>
          <w:sz w:val="24"/>
          <w:szCs w:val="24"/>
        </w:rPr>
        <w:t xml:space="preserve"> efforts and reach a wider audience. Implement outreach activities like events, workshops, or campaigns that align with </w:t>
      </w:r>
      <w:r>
        <w:rPr>
          <w:rFonts w:ascii="Times New Roman" w:hAnsi="Times New Roman" w:cs="Times New Roman"/>
          <w:sz w:val="24"/>
          <w:szCs w:val="24"/>
        </w:rPr>
        <w:t>the</w:t>
      </w:r>
      <w:r w:rsidRPr="00415311">
        <w:rPr>
          <w:rFonts w:ascii="Times New Roman" w:hAnsi="Times New Roman" w:cs="Times New Roman"/>
          <w:sz w:val="24"/>
          <w:szCs w:val="24"/>
        </w:rPr>
        <w:t xml:space="preserve"> goals and engage </w:t>
      </w:r>
      <w:r>
        <w:rPr>
          <w:rFonts w:ascii="Times New Roman" w:hAnsi="Times New Roman" w:cs="Times New Roman"/>
          <w:sz w:val="24"/>
          <w:szCs w:val="24"/>
        </w:rPr>
        <w:t>the</w:t>
      </w:r>
      <w:r w:rsidRPr="00415311">
        <w:rPr>
          <w:rFonts w:ascii="Times New Roman" w:hAnsi="Times New Roman" w:cs="Times New Roman"/>
          <w:sz w:val="24"/>
          <w:szCs w:val="24"/>
        </w:rPr>
        <w:t xml:space="preserve"> target audience. Finally, </w:t>
      </w:r>
      <w:proofErr w:type="gramStart"/>
      <w:r w:rsidR="00BA0D2F">
        <w:rPr>
          <w:rFonts w:ascii="Times New Roman" w:hAnsi="Times New Roman" w:cs="Times New Roman"/>
          <w:sz w:val="24"/>
          <w:szCs w:val="24"/>
        </w:rPr>
        <w:t>There</w:t>
      </w:r>
      <w:proofErr w:type="gramEnd"/>
      <w:r w:rsidR="00BA0D2F">
        <w:rPr>
          <w:rFonts w:ascii="Times New Roman" w:hAnsi="Times New Roman" w:cs="Times New Roman"/>
          <w:sz w:val="24"/>
          <w:szCs w:val="24"/>
        </w:rPr>
        <w:t xml:space="preserve"> should </w:t>
      </w:r>
      <w:r w:rsidRPr="00415311">
        <w:rPr>
          <w:rFonts w:ascii="Times New Roman" w:hAnsi="Times New Roman" w:cs="Times New Roman"/>
          <w:sz w:val="24"/>
          <w:szCs w:val="24"/>
        </w:rPr>
        <w:t xml:space="preserve">regularly evaluate the effectiveness of </w:t>
      </w:r>
      <w:r>
        <w:rPr>
          <w:rFonts w:ascii="Times New Roman" w:hAnsi="Times New Roman" w:cs="Times New Roman"/>
          <w:sz w:val="24"/>
          <w:szCs w:val="24"/>
        </w:rPr>
        <w:t>the</w:t>
      </w:r>
      <w:r w:rsidRPr="00415311">
        <w:rPr>
          <w:rFonts w:ascii="Times New Roman" w:hAnsi="Times New Roman" w:cs="Times New Roman"/>
          <w:sz w:val="24"/>
          <w:szCs w:val="24"/>
        </w:rPr>
        <w:t xml:space="preserve"> outreach activities and make necessary adjustments to improve </w:t>
      </w:r>
      <w:r w:rsidR="000E15C8">
        <w:rPr>
          <w:rFonts w:ascii="Times New Roman" w:hAnsi="Times New Roman" w:cs="Times New Roman"/>
          <w:sz w:val="24"/>
          <w:szCs w:val="24"/>
        </w:rPr>
        <w:t>the strategy</w:t>
      </w:r>
      <w:r w:rsidR="00D927F5">
        <w:rPr>
          <w:rFonts w:ascii="Times New Roman" w:hAnsi="Times New Roman" w:cs="Times New Roman"/>
          <w:sz w:val="24"/>
          <w:szCs w:val="24"/>
        </w:rPr>
        <w:t xml:space="preserve"> (Grow Leady, 2024).</w:t>
      </w:r>
    </w:p>
    <w:p w14:paraId="60A604EE" w14:textId="1F0C6652" w:rsidR="00C346B4" w:rsidRPr="00C346B4" w:rsidRDefault="00C346B4" w:rsidP="007C3546">
      <w:pPr>
        <w:spacing w:line="360" w:lineRule="auto"/>
        <w:ind w:left="397" w:firstLine="720"/>
        <w:rPr>
          <w:rFonts w:ascii="Times New Roman" w:hAnsi="Times New Roman" w:cs="Times New Roman"/>
          <w:b/>
          <w:bCs/>
          <w:sz w:val="24"/>
          <w:szCs w:val="24"/>
        </w:rPr>
      </w:pPr>
      <w:r w:rsidRPr="00C346B4">
        <w:rPr>
          <w:rFonts w:ascii="Times New Roman" w:hAnsi="Times New Roman" w:cs="Times New Roman"/>
          <w:b/>
          <w:bCs/>
          <w:sz w:val="24"/>
          <w:szCs w:val="24"/>
        </w:rPr>
        <w:t>Community Outreach steps</w:t>
      </w:r>
    </w:p>
    <w:p w14:paraId="0BCFDA9D" w14:textId="09358288" w:rsidR="00406326" w:rsidRPr="00406326" w:rsidRDefault="00406326" w:rsidP="00406326">
      <w:pPr>
        <w:spacing w:line="360" w:lineRule="auto"/>
        <w:ind w:left="397" w:firstLine="720"/>
        <w:rPr>
          <w:rFonts w:ascii="Times New Roman" w:hAnsi="Times New Roman" w:cs="Times New Roman"/>
          <w:sz w:val="24"/>
          <w:szCs w:val="24"/>
        </w:rPr>
      </w:pPr>
      <w:r w:rsidRPr="00406326">
        <w:rPr>
          <w:rFonts w:ascii="Times New Roman" w:hAnsi="Times New Roman" w:cs="Times New Roman"/>
          <w:sz w:val="24"/>
          <w:szCs w:val="24"/>
        </w:rPr>
        <w:drawing>
          <wp:inline distT="0" distB="0" distL="0" distR="0" wp14:anchorId="39018ECB" wp14:editId="3F63DD86">
            <wp:extent cx="5731510" cy="4363720"/>
            <wp:effectExtent l="0" t="0" r="2540" b="0"/>
            <wp:docPr id="11596001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363720"/>
                    </a:xfrm>
                    <a:prstGeom prst="rect">
                      <a:avLst/>
                    </a:prstGeom>
                    <a:noFill/>
                    <a:ln>
                      <a:noFill/>
                    </a:ln>
                  </pic:spPr>
                </pic:pic>
              </a:graphicData>
            </a:graphic>
          </wp:inline>
        </w:drawing>
      </w:r>
    </w:p>
    <w:p w14:paraId="39FD9237" w14:textId="1E773717" w:rsidR="00406326" w:rsidRPr="00406326" w:rsidRDefault="00406326" w:rsidP="00406326">
      <w:pPr>
        <w:spacing w:line="360" w:lineRule="auto"/>
        <w:ind w:left="397" w:firstLine="720"/>
        <w:rPr>
          <w:rFonts w:ascii="Times New Roman" w:hAnsi="Times New Roman" w:cs="Times New Roman"/>
          <w:sz w:val="24"/>
          <w:szCs w:val="24"/>
        </w:rPr>
      </w:pPr>
      <w:r w:rsidRPr="00406326">
        <w:rPr>
          <w:rFonts w:ascii="Times New Roman" w:hAnsi="Times New Roman" w:cs="Times New Roman"/>
          <w:sz w:val="24"/>
          <w:szCs w:val="24"/>
        </w:rPr>
        <w:lastRenderedPageBreak/>
        <w:drawing>
          <wp:inline distT="0" distB="0" distL="0" distR="0" wp14:anchorId="151DF99C" wp14:editId="2CA48A8C">
            <wp:extent cx="5731510" cy="4060190"/>
            <wp:effectExtent l="0" t="0" r="2540" b="0"/>
            <wp:docPr id="15170273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060190"/>
                    </a:xfrm>
                    <a:prstGeom prst="rect">
                      <a:avLst/>
                    </a:prstGeom>
                    <a:noFill/>
                    <a:ln>
                      <a:noFill/>
                    </a:ln>
                  </pic:spPr>
                </pic:pic>
              </a:graphicData>
            </a:graphic>
          </wp:inline>
        </w:drawing>
      </w:r>
    </w:p>
    <w:p w14:paraId="1E18974F" w14:textId="3E76D232" w:rsidR="00B85F9F" w:rsidRPr="00B85F9F" w:rsidRDefault="00B85F9F" w:rsidP="00B85F9F">
      <w:pPr>
        <w:spacing w:line="360" w:lineRule="auto"/>
        <w:ind w:left="397" w:firstLine="720"/>
        <w:rPr>
          <w:rFonts w:ascii="Times New Roman" w:hAnsi="Times New Roman" w:cs="Times New Roman"/>
          <w:sz w:val="24"/>
          <w:szCs w:val="24"/>
        </w:rPr>
      </w:pPr>
      <w:r w:rsidRPr="00B85F9F">
        <w:rPr>
          <w:rFonts w:ascii="Times New Roman" w:hAnsi="Times New Roman" w:cs="Times New Roman"/>
          <w:sz w:val="24"/>
          <w:szCs w:val="24"/>
        </w:rPr>
        <w:drawing>
          <wp:inline distT="0" distB="0" distL="0" distR="0" wp14:anchorId="3BFE192D" wp14:editId="6E58C7BC">
            <wp:extent cx="5731510" cy="3830320"/>
            <wp:effectExtent l="0" t="0" r="2540" b="0"/>
            <wp:docPr id="9598058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30320"/>
                    </a:xfrm>
                    <a:prstGeom prst="rect">
                      <a:avLst/>
                    </a:prstGeom>
                    <a:noFill/>
                    <a:ln>
                      <a:noFill/>
                    </a:ln>
                  </pic:spPr>
                </pic:pic>
              </a:graphicData>
            </a:graphic>
          </wp:inline>
        </w:drawing>
      </w:r>
    </w:p>
    <w:p w14:paraId="762268B4" w14:textId="42EA2BF6" w:rsidR="00B85F9F" w:rsidRPr="00B85F9F" w:rsidRDefault="00B85F9F" w:rsidP="00B85F9F">
      <w:pPr>
        <w:spacing w:line="360" w:lineRule="auto"/>
        <w:ind w:left="397" w:firstLine="720"/>
        <w:rPr>
          <w:rFonts w:ascii="Times New Roman" w:hAnsi="Times New Roman" w:cs="Times New Roman"/>
          <w:sz w:val="24"/>
          <w:szCs w:val="24"/>
        </w:rPr>
      </w:pPr>
      <w:r w:rsidRPr="00B85F9F">
        <w:rPr>
          <w:rFonts w:ascii="Times New Roman" w:hAnsi="Times New Roman" w:cs="Times New Roman"/>
          <w:sz w:val="24"/>
          <w:szCs w:val="24"/>
        </w:rPr>
        <w:lastRenderedPageBreak/>
        <w:drawing>
          <wp:inline distT="0" distB="0" distL="0" distR="0" wp14:anchorId="3CAA8E50" wp14:editId="416F8547">
            <wp:extent cx="5731510" cy="4489450"/>
            <wp:effectExtent l="0" t="0" r="2540" b="6350"/>
            <wp:docPr id="8695288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489450"/>
                    </a:xfrm>
                    <a:prstGeom prst="rect">
                      <a:avLst/>
                    </a:prstGeom>
                    <a:noFill/>
                    <a:ln>
                      <a:noFill/>
                    </a:ln>
                  </pic:spPr>
                </pic:pic>
              </a:graphicData>
            </a:graphic>
          </wp:inline>
        </w:drawing>
      </w:r>
    </w:p>
    <w:p w14:paraId="7F9C4F11" w14:textId="1D2D2864" w:rsidR="00B85F9F" w:rsidRPr="00B85F9F" w:rsidRDefault="00B85F9F" w:rsidP="00B85F9F">
      <w:pPr>
        <w:spacing w:line="360" w:lineRule="auto"/>
        <w:ind w:left="397" w:firstLine="720"/>
        <w:rPr>
          <w:rFonts w:ascii="Times New Roman" w:hAnsi="Times New Roman" w:cs="Times New Roman"/>
          <w:sz w:val="24"/>
          <w:szCs w:val="24"/>
        </w:rPr>
      </w:pPr>
      <w:r w:rsidRPr="00B85F9F">
        <w:rPr>
          <w:rFonts w:ascii="Times New Roman" w:hAnsi="Times New Roman" w:cs="Times New Roman"/>
          <w:sz w:val="24"/>
          <w:szCs w:val="24"/>
        </w:rPr>
        <w:lastRenderedPageBreak/>
        <w:drawing>
          <wp:inline distT="0" distB="0" distL="0" distR="0" wp14:anchorId="650B5A83" wp14:editId="2758C760">
            <wp:extent cx="5804452" cy="4902852"/>
            <wp:effectExtent l="0" t="0" r="6350" b="0"/>
            <wp:docPr id="14185630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17410" cy="4913797"/>
                    </a:xfrm>
                    <a:prstGeom prst="rect">
                      <a:avLst/>
                    </a:prstGeom>
                    <a:noFill/>
                    <a:ln>
                      <a:noFill/>
                    </a:ln>
                  </pic:spPr>
                </pic:pic>
              </a:graphicData>
            </a:graphic>
          </wp:inline>
        </w:drawing>
      </w:r>
    </w:p>
    <w:p w14:paraId="1549A6FA" w14:textId="3D0761FC" w:rsidR="00B85F9F" w:rsidRPr="00B85F9F" w:rsidRDefault="00B85F9F" w:rsidP="00B85F9F">
      <w:pPr>
        <w:spacing w:line="360" w:lineRule="auto"/>
        <w:ind w:left="397" w:firstLine="720"/>
        <w:rPr>
          <w:rFonts w:ascii="Times New Roman" w:hAnsi="Times New Roman" w:cs="Times New Roman"/>
          <w:sz w:val="24"/>
          <w:szCs w:val="24"/>
        </w:rPr>
      </w:pPr>
      <w:r w:rsidRPr="00B85F9F">
        <w:rPr>
          <w:rFonts w:ascii="Times New Roman" w:hAnsi="Times New Roman" w:cs="Times New Roman"/>
          <w:sz w:val="24"/>
          <w:szCs w:val="24"/>
        </w:rPr>
        <w:lastRenderedPageBreak/>
        <w:drawing>
          <wp:inline distT="0" distB="0" distL="0" distR="0" wp14:anchorId="0A6D119F" wp14:editId="546D11DB">
            <wp:extent cx="5731510" cy="4347210"/>
            <wp:effectExtent l="0" t="0" r="2540" b="0"/>
            <wp:docPr id="2382359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4347210"/>
                    </a:xfrm>
                    <a:prstGeom prst="rect">
                      <a:avLst/>
                    </a:prstGeom>
                    <a:noFill/>
                    <a:ln>
                      <a:noFill/>
                    </a:ln>
                  </pic:spPr>
                </pic:pic>
              </a:graphicData>
            </a:graphic>
          </wp:inline>
        </w:drawing>
      </w:r>
    </w:p>
    <w:p w14:paraId="3E0C5C6B" w14:textId="577B6981" w:rsidR="00C346B4" w:rsidRPr="00C346B4" w:rsidRDefault="00C346B4" w:rsidP="00C346B4">
      <w:pPr>
        <w:spacing w:line="360" w:lineRule="auto"/>
        <w:ind w:left="397" w:firstLine="720"/>
        <w:rPr>
          <w:rFonts w:ascii="Times New Roman" w:hAnsi="Times New Roman" w:cs="Times New Roman"/>
          <w:sz w:val="24"/>
          <w:szCs w:val="24"/>
        </w:rPr>
      </w:pPr>
      <w:r w:rsidRPr="00C346B4">
        <w:rPr>
          <w:rFonts w:ascii="Times New Roman" w:hAnsi="Times New Roman" w:cs="Times New Roman"/>
          <w:sz w:val="24"/>
          <w:szCs w:val="24"/>
        </w:rPr>
        <w:drawing>
          <wp:inline distT="0" distB="0" distL="0" distR="0" wp14:anchorId="11853343" wp14:editId="5B13F2DC">
            <wp:extent cx="5731510" cy="3150870"/>
            <wp:effectExtent l="0" t="0" r="2540" b="0"/>
            <wp:docPr id="1737677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50870"/>
                    </a:xfrm>
                    <a:prstGeom prst="rect">
                      <a:avLst/>
                    </a:prstGeom>
                    <a:noFill/>
                    <a:ln>
                      <a:noFill/>
                    </a:ln>
                  </pic:spPr>
                </pic:pic>
              </a:graphicData>
            </a:graphic>
          </wp:inline>
        </w:drawing>
      </w:r>
    </w:p>
    <w:p w14:paraId="467897ED" w14:textId="77777777" w:rsidR="00406326" w:rsidRDefault="00406326" w:rsidP="007C3546">
      <w:pPr>
        <w:spacing w:line="360" w:lineRule="auto"/>
        <w:ind w:left="397" w:firstLine="720"/>
        <w:rPr>
          <w:rFonts w:ascii="Times New Roman" w:hAnsi="Times New Roman" w:cs="Times New Roman"/>
          <w:sz w:val="24"/>
          <w:szCs w:val="24"/>
        </w:rPr>
      </w:pPr>
    </w:p>
    <w:p w14:paraId="1B699F40" w14:textId="77777777" w:rsidR="00930A82" w:rsidRDefault="00931CAF" w:rsidP="00931CAF">
      <w:pPr>
        <w:spacing w:line="360" w:lineRule="auto"/>
        <w:ind w:left="397" w:firstLine="720"/>
        <w:rPr>
          <w:rFonts w:ascii="Times New Roman" w:hAnsi="Times New Roman" w:cs="Times New Roman"/>
          <w:sz w:val="24"/>
          <w:szCs w:val="24"/>
        </w:rPr>
      </w:pPr>
      <w:r w:rsidRPr="00931CAF">
        <w:rPr>
          <w:rFonts w:ascii="Times New Roman" w:hAnsi="Times New Roman" w:cs="Times New Roman"/>
          <w:sz w:val="24"/>
          <w:szCs w:val="24"/>
        </w:rPr>
        <w:t xml:space="preserve">This portfolio will outline and develop a comprehensive project </w:t>
      </w:r>
      <w:r>
        <w:rPr>
          <w:rFonts w:ascii="Times New Roman" w:hAnsi="Times New Roman" w:cs="Times New Roman"/>
          <w:sz w:val="24"/>
          <w:szCs w:val="24"/>
        </w:rPr>
        <w:t>to enhance</w:t>
      </w:r>
      <w:r w:rsidRPr="00931CAF">
        <w:rPr>
          <w:rFonts w:ascii="Times New Roman" w:hAnsi="Times New Roman" w:cs="Times New Roman"/>
          <w:sz w:val="24"/>
          <w:szCs w:val="24"/>
        </w:rPr>
        <w:t xml:space="preserve"> the quality of life for the elderly community in Watford. </w:t>
      </w:r>
      <w:r>
        <w:rPr>
          <w:rFonts w:ascii="Times New Roman" w:hAnsi="Times New Roman" w:cs="Times New Roman"/>
          <w:sz w:val="24"/>
          <w:szCs w:val="24"/>
        </w:rPr>
        <w:t xml:space="preserve">The project will focus on providing </w:t>
      </w:r>
      <w:r>
        <w:rPr>
          <w:rFonts w:ascii="Times New Roman" w:hAnsi="Times New Roman" w:cs="Times New Roman"/>
          <w:sz w:val="24"/>
          <w:szCs w:val="24"/>
        </w:rPr>
        <w:lastRenderedPageBreak/>
        <w:t>tailored support services, promoting social engagement, and ensuring access to essential healthcare and well-being resources by addressing their unique needs and challenges</w:t>
      </w:r>
      <w:r w:rsidRPr="00931CAF">
        <w:rPr>
          <w:rFonts w:ascii="Times New Roman" w:hAnsi="Times New Roman" w:cs="Times New Roman"/>
          <w:sz w:val="24"/>
          <w:szCs w:val="24"/>
        </w:rPr>
        <w:t>. Through a combination of innovative solutions and community collaboration, this initiative seeks to create a more inclusive and supportive environment for Watford’s older residents</w:t>
      </w:r>
      <w:r>
        <w:rPr>
          <w:rFonts w:ascii="Times New Roman" w:hAnsi="Times New Roman" w:cs="Times New Roman"/>
          <w:sz w:val="24"/>
          <w:szCs w:val="24"/>
        </w:rPr>
        <w:t>.</w:t>
      </w:r>
      <w:r w:rsidR="00930A82">
        <w:rPr>
          <w:rFonts w:ascii="Times New Roman" w:hAnsi="Times New Roman" w:cs="Times New Roman"/>
          <w:sz w:val="24"/>
          <w:szCs w:val="24"/>
        </w:rPr>
        <w:t xml:space="preserve"> </w:t>
      </w:r>
    </w:p>
    <w:p w14:paraId="3F5E2FDC" w14:textId="7B4F9F9B" w:rsidR="00931CAF" w:rsidRPr="00931CAF" w:rsidRDefault="00931CAF" w:rsidP="00931CAF">
      <w:pPr>
        <w:spacing w:line="360" w:lineRule="auto"/>
        <w:ind w:left="397" w:firstLine="720"/>
        <w:rPr>
          <w:rFonts w:ascii="Times New Roman" w:hAnsi="Times New Roman" w:cs="Times New Roman"/>
          <w:sz w:val="24"/>
          <w:szCs w:val="24"/>
        </w:rPr>
      </w:pPr>
      <w:r w:rsidRPr="00931CAF">
        <w:rPr>
          <w:rFonts w:ascii="Times New Roman" w:hAnsi="Times New Roman" w:cs="Times New Roman"/>
          <w:sz w:val="24"/>
          <w:szCs w:val="24"/>
        </w:rPr>
        <w:t>The elderly community in Watford, UK, represents a significant and growing segment of the local population. As of the 2021 Census, individuals aged 65 and over constitute approximately 12.8% of Watford’s residents, reflecting a notable increase of 15.7% over the past decade. This demographic shift underscores the importance of understanding and addressing the unique needs and challenges faced by this age group</w:t>
      </w:r>
      <w:r w:rsidR="00930A82">
        <w:rPr>
          <w:rFonts w:ascii="Times New Roman" w:hAnsi="Times New Roman" w:cs="Times New Roman"/>
          <w:sz w:val="24"/>
          <w:szCs w:val="24"/>
        </w:rPr>
        <w:t xml:space="preserve"> </w:t>
      </w:r>
      <w:proofErr w:type="gramStart"/>
      <w:r w:rsidR="00930A82">
        <w:rPr>
          <w:rFonts w:ascii="Times New Roman" w:hAnsi="Times New Roman" w:cs="Times New Roman"/>
          <w:sz w:val="24"/>
          <w:szCs w:val="24"/>
        </w:rPr>
        <w:t>( ONS</w:t>
      </w:r>
      <w:proofErr w:type="gramEnd"/>
      <w:r w:rsidR="00930A82">
        <w:rPr>
          <w:rFonts w:ascii="Times New Roman" w:hAnsi="Times New Roman" w:cs="Times New Roman"/>
          <w:sz w:val="24"/>
          <w:szCs w:val="24"/>
        </w:rPr>
        <w:t>, 2021).</w:t>
      </w:r>
    </w:p>
    <w:p w14:paraId="203BF861" w14:textId="267920F0" w:rsidR="00931CAF" w:rsidRPr="00931CAF" w:rsidRDefault="00931CAF" w:rsidP="00930A82">
      <w:pPr>
        <w:spacing w:line="360" w:lineRule="auto"/>
        <w:ind w:left="397" w:firstLine="720"/>
        <w:rPr>
          <w:rFonts w:ascii="Times New Roman" w:hAnsi="Times New Roman" w:cs="Times New Roman"/>
          <w:sz w:val="24"/>
          <w:szCs w:val="24"/>
        </w:rPr>
      </w:pPr>
      <w:r w:rsidRPr="00931CAF">
        <w:rPr>
          <w:rFonts w:ascii="Times New Roman" w:hAnsi="Times New Roman" w:cs="Times New Roman"/>
          <w:sz w:val="24"/>
          <w:szCs w:val="24"/>
        </w:rPr>
        <w:t>Watford’s elderly population is diverse, encompassing a range of cultural backgrounds and living arrangements. Many older adults live independently, while others reside in care homes or assisted living facilities. The community is supported by various local initiatives aimed at promoting health, wellbeing, and social engagement. These include community centr</w:t>
      </w:r>
      <w:r w:rsidR="00BA0D2F">
        <w:rPr>
          <w:rFonts w:ascii="Times New Roman" w:hAnsi="Times New Roman" w:cs="Times New Roman"/>
          <w:sz w:val="24"/>
          <w:szCs w:val="24"/>
        </w:rPr>
        <w:t>e</w:t>
      </w:r>
      <w:r w:rsidRPr="00931CAF">
        <w:rPr>
          <w:rFonts w:ascii="Times New Roman" w:hAnsi="Times New Roman" w:cs="Times New Roman"/>
          <w:sz w:val="24"/>
          <w:szCs w:val="24"/>
        </w:rPr>
        <w:t>s offering tailored activities and fitness programs, as well as essential support services such as home care, meal delivery, and transportation assistance</w:t>
      </w:r>
      <w:r w:rsidR="00930A82">
        <w:rPr>
          <w:rFonts w:ascii="Times New Roman" w:hAnsi="Times New Roman" w:cs="Times New Roman"/>
          <w:sz w:val="24"/>
          <w:szCs w:val="24"/>
        </w:rPr>
        <w:t xml:space="preserve"> (</w:t>
      </w:r>
      <w:proofErr w:type="spellStart"/>
      <w:r w:rsidR="00930A82">
        <w:rPr>
          <w:rFonts w:ascii="Times New Roman" w:hAnsi="Times New Roman" w:cs="Times New Roman"/>
          <w:sz w:val="24"/>
          <w:szCs w:val="24"/>
        </w:rPr>
        <w:t>Varbes</w:t>
      </w:r>
      <w:proofErr w:type="spellEnd"/>
      <w:r w:rsidR="00930A82">
        <w:rPr>
          <w:rFonts w:ascii="Times New Roman" w:hAnsi="Times New Roman" w:cs="Times New Roman"/>
          <w:sz w:val="24"/>
          <w:szCs w:val="24"/>
        </w:rPr>
        <w:t>, 2021).</w:t>
      </w:r>
    </w:p>
    <w:p w14:paraId="3DC80638" w14:textId="34703AAE" w:rsidR="0044485F" w:rsidRDefault="00931CAF" w:rsidP="00930A82">
      <w:pPr>
        <w:spacing w:line="360" w:lineRule="auto"/>
        <w:ind w:left="397" w:firstLine="720"/>
        <w:rPr>
          <w:rFonts w:ascii="Times New Roman" w:hAnsi="Times New Roman" w:cs="Times New Roman"/>
          <w:sz w:val="24"/>
          <w:szCs w:val="24"/>
        </w:rPr>
      </w:pPr>
      <w:r w:rsidRPr="00931CAF">
        <w:rPr>
          <w:rFonts w:ascii="Times New Roman" w:hAnsi="Times New Roman" w:cs="Times New Roman"/>
          <w:sz w:val="24"/>
          <w:szCs w:val="24"/>
        </w:rPr>
        <w:t>Economic stability among the elderly varies, with some individuals relying on pensions and savings, while others may face financial difficulties. Ensuring access to healthcare, mental health resources, and social services is crucial for maintaining their quality of life. Additionally, ethical considerations, such as respecting the dignity and rights of older adults and addressing issues like elder abuse, are paramount</w:t>
      </w:r>
      <w:r w:rsidR="00295931">
        <w:rPr>
          <w:rFonts w:ascii="Times New Roman" w:hAnsi="Times New Roman" w:cs="Times New Roman"/>
          <w:sz w:val="24"/>
          <w:szCs w:val="24"/>
        </w:rPr>
        <w:t xml:space="preserve"> (Primus and Paris, 2013).</w:t>
      </w:r>
    </w:p>
    <w:p w14:paraId="712A5C13" w14:textId="77777777" w:rsidR="00BA0D2F" w:rsidRDefault="00BA0D2F" w:rsidP="00930A82">
      <w:pPr>
        <w:spacing w:line="360" w:lineRule="auto"/>
        <w:ind w:left="397" w:firstLine="720"/>
        <w:rPr>
          <w:rFonts w:ascii="Times New Roman" w:hAnsi="Times New Roman" w:cs="Times New Roman"/>
          <w:sz w:val="24"/>
          <w:szCs w:val="24"/>
        </w:rPr>
      </w:pPr>
    </w:p>
    <w:p w14:paraId="5C613368" w14:textId="77777777" w:rsidR="00E004A4" w:rsidRDefault="00E004A4" w:rsidP="00930A82">
      <w:pPr>
        <w:spacing w:line="360" w:lineRule="auto"/>
        <w:ind w:left="397" w:firstLine="720"/>
        <w:rPr>
          <w:rFonts w:ascii="Times New Roman" w:hAnsi="Times New Roman" w:cs="Times New Roman"/>
          <w:sz w:val="24"/>
          <w:szCs w:val="24"/>
        </w:rPr>
      </w:pPr>
    </w:p>
    <w:p w14:paraId="07B3E35D" w14:textId="77777777" w:rsidR="00E004A4" w:rsidRDefault="00E004A4" w:rsidP="00930A82">
      <w:pPr>
        <w:spacing w:line="360" w:lineRule="auto"/>
        <w:ind w:left="397" w:firstLine="720"/>
        <w:rPr>
          <w:rFonts w:ascii="Times New Roman" w:hAnsi="Times New Roman" w:cs="Times New Roman"/>
          <w:sz w:val="24"/>
          <w:szCs w:val="24"/>
        </w:rPr>
      </w:pPr>
    </w:p>
    <w:p w14:paraId="21C9F6FE" w14:textId="77777777" w:rsidR="00E004A4" w:rsidRDefault="00E004A4" w:rsidP="00930A82">
      <w:pPr>
        <w:spacing w:line="360" w:lineRule="auto"/>
        <w:ind w:left="397" w:firstLine="720"/>
        <w:rPr>
          <w:rFonts w:ascii="Times New Roman" w:hAnsi="Times New Roman" w:cs="Times New Roman"/>
          <w:sz w:val="24"/>
          <w:szCs w:val="24"/>
        </w:rPr>
      </w:pPr>
    </w:p>
    <w:p w14:paraId="36B8DB01" w14:textId="77777777" w:rsidR="00E004A4" w:rsidRDefault="00E004A4" w:rsidP="00930A82">
      <w:pPr>
        <w:spacing w:line="360" w:lineRule="auto"/>
        <w:ind w:left="397" w:firstLine="720"/>
        <w:rPr>
          <w:rFonts w:ascii="Times New Roman" w:hAnsi="Times New Roman" w:cs="Times New Roman"/>
          <w:sz w:val="24"/>
          <w:szCs w:val="24"/>
        </w:rPr>
      </w:pPr>
    </w:p>
    <w:p w14:paraId="2E8FFE61" w14:textId="77777777" w:rsidR="00E004A4" w:rsidRDefault="00E004A4" w:rsidP="00930A82">
      <w:pPr>
        <w:spacing w:line="360" w:lineRule="auto"/>
        <w:ind w:left="397" w:firstLine="720"/>
        <w:rPr>
          <w:rFonts w:ascii="Times New Roman" w:hAnsi="Times New Roman" w:cs="Times New Roman"/>
          <w:sz w:val="24"/>
          <w:szCs w:val="24"/>
        </w:rPr>
      </w:pPr>
    </w:p>
    <w:p w14:paraId="0C6E5483" w14:textId="5DF2659D" w:rsidR="00415311" w:rsidRDefault="00415311" w:rsidP="007C3546">
      <w:pPr>
        <w:spacing w:line="360" w:lineRule="auto"/>
        <w:ind w:left="397" w:firstLine="720"/>
        <w:rPr>
          <w:rFonts w:ascii="Times New Roman" w:hAnsi="Times New Roman" w:cs="Times New Roman"/>
          <w:b/>
          <w:bCs/>
          <w:sz w:val="24"/>
          <w:szCs w:val="24"/>
        </w:rPr>
      </w:pPr>
      <w:r w:rsidRPr="00415311">
        <w:rPr>
          <w:rFonts w:ascii="Times New Roman" w:hAnsi="Times New Roman" w:cs="Times New Roman"/>
          <w:b/>
          <w:bCs/>
          <w:sz w:val="24"/>
          <w:szCs w:val="24"/>
        </w:rPr>
        <w:lastRenderedPageBreak/>
        <w:t>ELEMENT 2 Stakeholder Mapping Exercise</w:t>
      </w:r>
    </w:p>
    <w:p w14:paraId="6F4DFB2A" w14:textId="2C920906" w:rsidR="00E004A4" w:rsidRPr="00E004A4" w:rsidRDefault="00E004A4" w:rsidP="007C3546">
      <w:pPr>
        <w:spacing w:line="360" w:lineRule="auto"/>
        <w:ind w:left="397" w:firstLine="720"/>
        <w:rPr>
          <w:rFonts w:ascii="Times New Roman" w:hAnsi="Times New Roman" w:cs="Times New Roman"/>
          <w:sz w:val="24"/>
          <w:szCs w:val="24"/>
        </w:rPr>
      </w:pPr>
      <w:r w:rsidRPr="00E004A4">
        <w:rPr>
          <w:rFonts w:ascii="Times New Roman" w:hAnsi="Times New Roman" w:cs="Times New Roman"/>
          <w:sz w:val="24"/>
          <w:szCs w:val="24"/>
        </w:rPr>
        <w:t>Stakeholder mapping, a crucial aspect of stakeholder management, involves creating a visual representation of all stakeholders involved in a product, project, or idea. This process includes identifying cross-functional stakeholders and documenting their roles and your relationship with them, all within a single map.</w:t>
      </w:r>
      <w:r>
        <w:rPr>
          <w:rFonts w:ascii="Times New Roman" w:hAnsi="Times New Roman" w:cs="Times New Roman"/>
          <w:sz w:val="24"/>
          <w:szCs w:val="24"/>
        </w:rPr>
        <w:t xml:space="preserve"> </w:t>
      </w:r>
      <w:r w:rsidRPr="00E004A4">
        <w:rPr>
          <w:rFonts w:ascii="Times New Roman" w:hAnsi="Times New Roman" w:cs="Times New Roman"/>
          <w:sz w:val="24"/>
          <w:szCs w:val="24"/>
        </w:rPr>
        <w:t>Stakeholder mapping, an integral component of stakeholder management, is a strategic method for leveraging relationships to achieve objectives. This process helps identify key individuals who can impact your project’s success, enabling you to develop an effective communications and outreach plan</w:t>
      </w:r>
      <w:r>
        <w:rPr>
          <w:rFonts w:ascii="Times New Roman" w:hAnsi="Times New Roman" w:cs="Times New Roman"/>
          <w:sz w:val="24"/>
          <w:szCs w:val="24"/>
        </w:rPr>
        <w:t xml:space="preserve"> (Bray, 2023).</w:t>
      </w:r>
    </w:p>
    <w:p w14:paraId="26858EE7" w14:textId="533A573C" w:rsidR="00C346B4" w:rsidRPr="00C346B4" w:rsidRDefault="00C346B4" w:rsidP="00C346B4">
      <w:pPr>
        <w:spacing w:line="360" w:lineRule="auto"/>
        <w:ind w:left="397" w:firstLine="720"/>
        <w:rPr>
          <w:rFonts w:ascii="Times New Roman" w:hAnsi="Times New Roman" w:cs="Times New Roman"/>
          <w:b/>
          <w:bCs/>
          <w:sz w:val="24"/>
          <w:szCs w:val="24"/>
        </w:rPr>
      </w:pPr>
      <w:r w:rsidRPr="00C346B4">
        <w:rPr>
          <w:rFonts w:ascii="Times New Roman" w:hAnsi="Times New Roman" w:cs="Times New Roman"/>
          <w:b/>
          <w:bCs/>
          <w:sz w:val="24"/>
          <w:szCs w:val="24"/>
        </w:rPr>
        <w:drawing>
          <wp:inline distT="0" distB="0" distL="0" distR="0" wp14:anchorId="0071BDA8" wp14:editId="788831A6">
            <wp:extent cx="5731510" cy="3848431"/>
            <wp:effectExtent l="0" t="0" r="2540" b="0"/>
            <wp:docPr id="4966608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42188" cy="3855601"/>
                    </a:xfrm>
                    <a:prstGeom prst="rect">
                      <a:avLst/>
                    </a:prstGeom>
                    <a:noFill/>
                    <a:ln>
                      <a:noFill/>
                    </a:ln>
                  </pic:spPr>
                </pic:pic>
              </a:graphicData>
            </a:graphic>
          </wp:inline>
        </w:drawing>
      </w:r>
    </w:p>
    <w:p w14:paraId="71CF3884" w14:textId="38D57E55" w:rsidR="00C346B4" w:rsidRPr="00C346B4" w:rsidRDefault="00C346B4" w:rsidP="00C346B4">
      <w:pPr>
        <w:spacing w:line="360" w:lineRule="auto"/>
        <w:ind w:left="397" w:firstLine="720"/>
        <w:rPr>
          <w:rFonts w:ascii="Times New Roman" w:hAnsi="Times New Roman" w:cs="Times New Roman"/>
          <w:b/>
          <w:bCs/>
          <w:sz w:val="24"/>
          <w:szCs w:val="24"/>
        </w:rPr>
      </w:pPr>
      <w:r w:rsidRPr="00C346B4">
        <w:rPr>
          <w:rFonts w:ascii="Times New Roman" w:hAnsi="Times New Roman" w:cs="Times New Roman"/>
          <w:b/>
          <w:bCs/>
          <w:sz w:val="24"/>
          <w:szCs w:val="24"/>
        </w:rPr>
        <w:lastRenderedPageBreak/>
        <w:drawing>
          <wp:inline distT="0" distB="0" distL="0" distR="0" wp14:anchorId="58633AAF" wp14:editId="6ECCEF6A">
            <wp:extent cx="5731510" cy="3968115"/>
            <wp:effectExtent l="0" t="0" r="2540" b="0"/>
            <wp:docPr id="17934189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968115"/>
                    </a:xfrm>
                    <a:prstGeom prst="rect">
                      <a:avLst/>
                    </a:prstGeom>
                    <a:noFill/>
                    <a:ln>
                      <a:noFill/>
                    </a:ln>
                  </pic:spPr>
                </pic:pic>
              </a:graphicData>
            </a:graphic>
          </wp:inline>
        </w:drawing>
      </w:r>
    </w:p>
    <w:p w14:paraId="6765F87F" w14:textId="73750745" w:rsidR="00E004A4" w:rsidRPr="00E004A4" w:rsidRDefault="00E004A4" w:rsidP="00E004A4">
      <w:pPr>
        <w:spacing w:line="360" w:lineRule="auto"/>
        <w:ind w:left="397" w:firstLine="720"/>
        <w:rPr>
          <w:rFonts w:ascii="Times New Roman" w:hAnsi="Times New Roman" w:cs="Times New Roman"/>
          <w:b/>
          <w:bCs/>
          <w:sz w:val="24"/>
          <w:szCs w:val="24"/>
        </w:rPr>
      </w:pPr>
      <w:r w:rsidRPr="00E004A4">
        <w:rPr>
          <w:rFonts w:ascii="Times New Roman" w:hAnsi="Times New Roman" w:cs="Times New Roman"/>
          <w:b/>
          <w:bCs/>
          <w:sz w:val="24"/>
          <w:szCs w:val="24"/>
        </w:rPr>
        <w:drawing>
          <wp:inline distT="0" distB="0" distL="0" distR="0" wp14:anchorId="0C099A02" wp14:editId="7FEE6AE8">
            <wp:extent cx="4301656" cy="3271520"/>
            <wp:effectExtent l="0" t="0" r="3810" b="5080"/>
            <wp:docPr id="16668720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15409" cy="3281979"/>
                    </a:xfrm>
                    <a:prstGeom prst="rect">
                      <a:avLst/>
                    </a:prstGeom>
                    <a:noFill/>
                    <a:ln>
                      <a:noFill/>
                    </a:ln>
                  </pic:spPr>
                </pic:pic>
              </a:graphicData>
            </a:graphic>
          </wp:inline>
        </w:drawing>
      </w:r>
    </w:p>
    <w:p w14:paraId="218E1392" w14:textId="77777777" w:rsidR="00C346B4" w:rsidRDefault="00C346B4" w:rsidP="007C3546">
      <w:pPr>
        <w:spacing w:line="360" w:lineRule="auto"/>
        <w:ind w:left="397" w:firstLine="720"/>
        <w:rPr>
          <w:rFonts w:ascii="Times New Roman" w:hAnsi="Times New Roman" w:cs="Times New Roman"/>
          <w:b/>
          <w:bCs/>
          <w:sz w:val="24"/>
          <w:szCs w:val="24"/>
        </w:rPr>
      </w:pPr>
    </w:p>
    <w:p w14:paraId="3EB56779" w14:textId="6278BEEA" w:rsidR="00900D4B" w:rsidRDefault="00900D4B" w:rsidP="00900D4B">
      <w:pPr>
        <w:spacing w:line="360" w:lineRule="auto"/>
        <w:ind w:left="397" w:firstLine="720"/>
        <w:jc w:val="center"/>
        <w:rPr>
          <w:rFonts w:ascii="Times New Roman" w:hAnsi="Times New Roman" w:cs="Times New Roman"/>
          <w:b/>
          <w:bCs/>
          <w:sz w:val="24"/>
          <w:szCs w:val="24"/>
        </w:rPr>
      </w:pPr>
      <w:r w:rsidRPr="00900D4B">
        <w:rPr>
          <w:rFonts w:ascii="Times New Roman" w:hAnsi="Times New Roman" w:cs="Times New Roman"/>
          <w:b/>
          <w:bCs/>
          <w:sz w:val="24"/>
          <w:szCs w:val="24"/>
        </w:rPr>
        <w:lastRenderedPageBreak/>
        <w:drawing>
          <wp:inline distT="0" distB="0" distL="0" distR="0" wp14:anchorId="50CC0A56" wp14:editId="3B21FBC6">
            <wp:extent cx="5499686" cy="6718797"/>
            <wp:effectExtent l="0" t="0" r="6350" b="6350"/>
            <wp:docPr id="763845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05548" cy="6725958"/>
                    </a:xfrm>
                    <a:prstGeom prst="rect">
                      <a:avLst/>
                    </a:prstGeom>
                    <a:noFill/>
                    <a:ln>
                      <a:noFill/>
                    </a:ln>
                  </pic:spPr>
                </pic:pic>
              </a:graphicData>
            </a:graphic>
          </wp:inline>
        </w:drawing>
      </w:r>
    </w:p>
    <w:p w14:paraId="7D2CC3C4" w14:textId="77777777" w:rsidR="00900D4B" w:rsidRDefault="00900D4B" w:rsidP="00900D4B">
      <w:pPr>
        <w:spacing w:line="360" w:lineRule="auto"/>
        <w:ind w:left="397" w:firstLine="720"/>
        <w:jc w:val="center"/>
        <w:rPr>
          <w:rFonts w:ascii="Times New Roman" w:hAnsi="Times New Roman" w:cs="Times New Roman"/>
          <w:b/>
          <w:bCs/>
          <w:sz w:val="24"/>
          <w:szCs w:val="24"/>
        </w:rPr>
      </w:pPr>
    </w:p>
    <w:p w14:paraId="13BFD0A7" w14:textId="1C85267B" w:rsidR="00900D4B" w:rsidRDefault="00900D4B" w:rsidP="00900D4B">
      <w:pPr>
        <w:spacing w:line="360" w:lineRule="auto"/>
        <w:ind w:left="397" w:firstLine="720"/>
        <w:rPr>
          <w:rFonts w:ascii="Times New Roman" w:hAnsi="Times New Roman" w:cs="Times New Roman"/>
          <w:sz w:val="24"/>
          <w:szCs w:val="24"/>
        </w:rPr>
      </w:pPr>
      <w:r w:rsidRPr="00900D4B">
        <w:rPr>
          <w:rFonts w:ascii="Times New Roman" w:hAnsi="Times New Roman" w:cs="Times New Roman"/>
          <w:sz w:val="24"/>
          <w:szCs w:val="24"/>
        </w:rPr>
        <w:t xml:space="preserve">This map identifies key stakeholders and their relationships with the Three Rivers Trust, including local government entities such as Watford Borough Council and Three Rivers District Council. Community groups encompass local charities and voluntary organizations, faith groups, youth groups, and the parish council. Businesses include local businesses and corporate partners. Educational institutions are represented by </w:t>
      </w:r>
      <w:r w:rsidRPr="00900D4B">
        <w:rPr>
          <w:rFonts w:ascii="Times New Roman" w:hAnsi="Times New Roman" w:cs="Times New Roman"/>
          <w:sz w:val="24"/>
          <w:szCs w:val="24"/>
        </w:rPr>
        <w:lastRenderedPageBreak/>
        <w:t>schools and colleges. Environmental groups consist of campaign and conservation groups. Finally, residents include council tenants and the general public.</w:t>
      </w:r>
    </w:p>
    <w:p w14:paraId="4D13B91D" w14:textId="3998E220" w:rsidR="00406326" w:rsidRDefault="00406326" w:rsidP="00900D4B">
      <w:pPr>
        <w:spacing w:line="360" w:lineRule="auto"/>
        <w:ind w:left="397" w:firstLine="720"/>
        <w:rPr>
          <w:rFonts w:ascii="Times New Roman" w:hAnsi="Times New Roman" w:cs="Times New Roman"/>
          <w:b/>
          <w:bCs/>
          <w:sz w:val="24"/>
          <w:szCs w:val="24"/>
        </w:rPr>
      </w:pPr>
      <w:r w:rsidRPr="00406326">
        <w:rPr>
          <w:rFonts w:ascii="Times New Roman" w:hAnsi="Times New Roman" w:cs="Times New Roman"/>
          <w:b/>
          <w:bCs/>
          <w:sz w:val="24"/>
          <w:szCs w:val="24"/>
        </w:rPr>
        <w:t>Stakeholder Matrix</w:t>
      </w:r>
    </w:p>
    <w:p w14:paraId="4C3C2AFC" w14:textId="23DCD361" w:rsidR="00211E67" w:rsidRPr="00211E67" w:rsidRDefault="00211E67" w:rsidP="00900D4B">
      <w:pPr>
        <w:spacing w:line="360" w:lineRule="auto"/>
        <w:ind w:left="397" w:firstLine="720"/>
        <w:rPr>
          <w:rFonts w:ascii="Times New Roman" w:hAnsi="Times New Roman" w:cs="Times New Roman"/>
          <w:sz w:val="24"/>
          <w:szCs w:val="24"/>
        </w:rPr>
      </w:pPr>
      <w:r w:rsidRPr="00211E67">
        <w:rPr>
          <w:rFonts w:ascii="Times New Roman" w:hAnsi="Times New Roman" w:cs="Times New Roman"/>
          <w:sz w:val="24"/>
          <w:szCs w:val="24"/>
        </w:rPr>
        <w:t xml:space="preserve">The stakeholder matrix is a key tool in project management. It helps </w:t>
      </w:r>
      <w:r>
        <w:rPr>
          <w:rFonts w:ascii="Times New Roman" w:hAnsi="Times New Roman" w:cs="Times New Roman"/>
          <w:sz w:val="24"/>
          <w:szCs w:val="24"/>
        </w:rPr>
        <w:t>us to</w:t>
      </w:r>
      <w:r w:rsidRPr="00211E67">
        <w:rPr>
          <w:rFonts w:ascii="Times New Roman" w:hAnsi="Times New Roman" w:cs="Times New Roman"/>
          <w:sz w:val="24"/>
          <w:szCs w:val="24"/>
        </w:rPr>
        <w:t xml:space="preserve"> see and prioritize stakeholders based on their interest, influence, and impact. This tool is part of broader stakeholder analysis and helps you understand how the project affects different people. It identifies four types of stakeholders and their roles, providing a clear overview of strategies. This makes communication easier and improves project execution by aligning stakeholder expectations with project goals.</w:t>
      </w:r>
    </w:p>
    <w:p w14:paraId="5079C05D" w14:textId="79162657" w:rsidR="00406326" w:rsidRPr="00406326" w:rsidRDefault="00406326" w:rsidP="00406326">
      <w:pPr>
        <w:spacing w:line="360" w:lineRule="auto"/>
        <w:ind w:left="397" w:firstLine="720"/>
        <w:rPr>
          <w:rFonts w:ascii="Times New Roman" w:hAnsi="Times New Roman" w:cs="Times New Roman"/>
          <w:sz w:val="24"/>
          <w:szCs w:val="24"/>
        </w:rPr>
      </w:pPr>
      <w:r w:rsidRPr="00406326">
        <w:rPr>
          <w:rFonts w:ascii="Times New Roman" w:hAnsi="Times New Roman" w:cs="Times New Roman"/>
          <w:sz w:val="24"/>
          <w:szCs w:val="24"/>
        </w:rPr>
        <w:drawing>
          <wp:inline distT="0" distB="0" distL="0" distR="0" wp14:anchorId="6441EEF9" wp14:editId="7672C961">
            <wp:extent cx="5731510" cy="4515485"/>
            <wp:effectExtent l="0" t="0" r="2540" b="0"/>
            <wp:docPr id="17556520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515485"/>
                    </a:xfrm>
                    <a:prstGeom prst="rect">
                      <a:avLst/>
                    </a:prstGeom>
                    <a:noFill/>
                    <a:ln>
                      <a:noFill/>
                    </a:ln>
                  </pic:spPr>
                </pic:pic>
              </a:graphicData>
            </a:graphic>
          </wp:inline>
        </w:drawing>
      </w:r>
    </w:p>
    <w:p w14:paraId="56B78988" w14:textId="77CE8B97" w:rsidR="00406326" w:rsidRDefault="00976C57" w:rsidP="00900D4B">
      <w:pPr>
        <w:spacing w:line="360" w:lineRule="auto"/>
        <w:ind w:left="397" w:firstLine="720"/>
        <w:rPr>
          <w:rFonts w:ascii="Times New Roman" w:hAnsi="Times New Roman" w:cs="Times New Roman"/>
          <w:sz w:val="24"/>
          <w:szCs w:val="24"/>
        </w:rPr>
      </w:pPr>
      <w:r w:rsidRPr="00976C57">
        <w:rPr>
          <w:rFonts w:ascii="Times New Roman" w:hAnsi="Times New Roman" w:cs="Times New Roman"/>
          <w:sz w:val="24"/>
          <w:szCs w:val="24"/>
        </w:rPr>
        <w:t>A stakeholder matrix, often visualized as a chart, is instrumental in categorizing stakeholders by their level of interest and influence over a project. This tool is pivotal in identifying who needs to be engaged and in what capacity, ensuring that communication and project strategies are effectively aligned. Here’s a closer look at how this matrix is structured and utilized:</w:t>
      </w:r>
    </w:p>
    <w:p w14:paraId="07BD22E7" w14:textId="04F61200" w:rsidR="00976C57" w:rsidRPr="00976C57" w:rsidRDefault="00976C57" w:rsidP="00976C57">
      <w:pPr>
        <w:spacing w:line="360" w:lineRule="auto"/>
        <w:ind w:left="397" w:firstLine="720"/>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Important </w:t>
      </w:r>
      <w:r w:rsidRPr="00976C57">
        <w:rPr>
          <w:rFonts w:ascii="Times New Roman" w:hAnsi="Times New Roman" w:cs="Times New Roman"/>
          <w:b/>
          <w:bCs/>
          <w:sz w:val="24"/>
          <w:szCs w:val="24"/>
        </w:rPr>
        <w:t>Steps</w:t>
      </w:r>
      <w:r w:rsidRPr="00976C57">
        <w:rPr>
          <w:rFonts w:ascii="Times New Roman" w:hAnsi="Times New Roman" w:cs="Times New Roman"/>
          <w:b/>
          <w:bCs/>
          <w:sz w:val="24"/>
          <w:szCs w:val="24"/>
        </w:rPr>
        <w:t xml:space="preserve"> to Understa</w:t>
      </w:r>
      <w:r>
        <w:rPr>
          <w:rFonts w:ascii="Times New Roman" w:hAnsi="Times New Roman" w:cs="Times New Roman"/>
          <w:b/>
          <w:bCs/>
          <w:sz w:val="24"/>
          <w:szCs w:val="24"/>
        </w:rPr>
        <w:t>nd</w:t>
      </w:r>
      <w:r w:rsidRPr="00976C57">
        <w:rPr>
          <w:rFonts w:ascii="Times New Roman" w:hAnsi="Times New Roman" w:cs="Times New Roman"/>
          <w:b/>
          <w:bCs/>
          <w:sz w:val="24"/>
          <w:szCs w:val="24"/>
        </w:rPr>
        <w:t xml:space="preserve"> the Stakeholder Matrix</w:t>
      </w:r>
    </w:p>
    <w:p w14:paraId="365282B2" w14:textId="0A616897" w:rsidR="00976C57" w:rsidRPr="00976C57" w:rsidRDefault="00976C57" w:rsidP="00976C57">
      <w:pPr>
        <w:spacing w:line="360" w:lineRule="auto"/>
        <w:ind w:left="397" w:firstLine="720"/>
        <w:rPr>
          <w:rFonts w:ascii="Times New Roman" w:hAnsi="Times New Roman" w:cs="Times New Roman"/>
          <w:sz w:val="24"/>
          <w:szCs w:val="24"/>
        </w:rPr>
      </w:pPr>
      <w:r w:rsidRPr="00976C57">
        <w:rPr>
          <w:rFonts w:ascii="Times New Roman" w:hAnsi="Times New Roman" w:cs="Times New Roman"/>
          <w:sz w:val="24"/>
          <w:szCs w:val="24"/>
        </w:rPr>
        <w:t>Identify and Categorize Stakeholders: List all potential stakeholders. Use stakeholder mapping to place each stakeholder into a category based on their influence and interest. Plot them on a chart where the axes represent interest and powe</w:t>
      </w:r>
      <w:r>
        <w:rPr>
          <w:rFonts w:ascii="Times New Roman" w:hAnsi="Times New Roman" w:cs="Times New Roman"/>
          <w:sz w:val="24"/>
          <w:szCs w:val="24"/>
        </w:rPr>
        <w:t>r (Ochoa, 2024).</w:t>
      </w:r>
    </w:p>
    <w:p w14:paraId="6316BE12" w14:textId="2C1F6519" w:rsidR="00976C57" w:rsidRPr="00976C57" w:rsidRDefault="00976C57" w:rsidP="00976C57">
      <w:pPr>
        <w:spacing w:line="360" w:lineRule="auto"/>
        <w:ind w:left="397" w:firstLine="720"/>
        <w:rPr>
          <w:rFonts w:ascii="Times New Roman" w:hAnsi="Times New Roman" w:cs="Times New Roman"/>
          <w:sz w:val="24"/>
          <w:szCs w:val="24"/>
        </w:rPr>
      </w:pPr>
      <w:proofErr w:type="spellStart"/>
      <w:r w:rsidRPr="00976C57">
        <w:rPr>
          <w:rFonts w:ascii="Times New Roman" w:hAnsi="Times New Roman" w:cs="Times New Roman"/>
          <w:sz w:val="24"/>
          <w:szCs w:val="24"/>
        </w:rPr>
        <w:t>Analyze</w:t>
      </w:r>
      <w:proofErr w:type="spellEnd"/>
      <w:r w:rsidRPr="00976C57">
        <w:rPr>
          <w:rFonts w:ascii="Times New Roman" w:hAnsi="Times New Roman" w:cs="Times New Roman"/>
          <w:sz w:val="24"/>
          <w:szCs w:val="24"/>
        </w:rPr>
        <w:t xml:space="preserve"> Stakeholder Positions: Each part of the matrix has specific strategies. For example, stakeholders with high power but low interest should be kept satisfied, while those with high power and high interest need close management. Understanding these dynamics helps tailor communication and engagement efforts</w:t>
      </w:r>
      <w:r>
        <w:rPr>
          <w:rFonts w:ascii="Times New Roman" w:hAnsi="Times New Roman" w:cs="Times New Roman"/>
          <w:sz w:val="24"/>
          <w:szCs w:val="24"/>
        </w:rPr>
        <w:t xml:space="preserve"> (Ochoa, 2024).</w:t>
      </w:r>
    </w:p>
    <w:p w14:paraId="7DF0AB77" w14:textId="123AAF97" w:rsidR="00976C57" w:rsidRDefault="00976C57" w:rsidP="00976C57">
      <w:pPr>
        <w:spacing w:line="360" w:lineRule="auto"/>
        <w:ind w:left="397" w:firstLine="720"/>
        <w:rPr>
          <w:rFonts w:ascii="Times New Roman" w:hAnsi="Times New Roman" w:cs="Times New Roman"/>
          <w:sz w:val="24"/>
          <w:szCs w:val="24"/>
        </w:rPr>
      </w:pPr>
      <w:r w:rsidRPr="00976C57">
        <w:rPr>
          <w:rFonts w:ascii="Times New Roman" w:hAnsi="Times New Roman" w:cs="Times New Roman"/>
          <w:sz w:val="24"/>
          <w:szCs w:val="24"/>
        </w:rPr>
        <w:t>Develop Engagement Strategies: Based on your analysis, create specific strategies for each group of stakeholders. This might include regular updates, involvement in decision-making, or occasional briefings, depending on their position in the matrix</w:t>
      </w:r>
      <w:r>
        <w:rPr>
          <w:rFonts w:ascii="Times New Roman" w:hAnsi="Times New Roman" w:cs="Times New Roman"/>
          <w:sz w:val="24"/>
          <w:szCs w:val="24"/>
        </w:rPr>
        <w:t xml:space="preserve"> (Ochoa, 2024).</w:t>
      </w:r>
    </w:p>
    <w:p w14:paraId="35023CE0" w14:textId="15D1BE19" w:rsidR="00B405F9" w:rsidRDefault="00B405F9" w:rsidP="00976C57">
      <w:pPr>
        <w:spacing w:line="360" w:lineRule="auto"/>
        <w:ind w:left="397" w:firstLine="720"/>
        <w:rPr>
          <w:rFonts w:ascii="Times New Roman" w:hAnsi="Times New Roman" w:cs="Times New Roman"/>
          <w:sz w:val="24"/>
          <w:szCs w:val="24"/>
        </w:rPr>
      </w:pPr>
      <w:r w:rsidRPr="00B405F9">
        <w:rPr>
          <w:rFonts w:ascii="Times New Roman" w:hAnsi="Times New Roman" w:cs="Times New Roman"/>
          <w:sz w:val="24"/>
          <w:szCs w:val="24"/>
        </w:rPr>
        <w:t xml:space="preserve"> </w:t>
      </w:r>
      <w:r>
        <w:rPr>
          <w:rFonts w:ascii="Times New Roman" w:hAnsi="Times New Roman" w:cs="Times New Roman"/>
          <w:sz w:val="24"/>
          <w:szCs w:val="24"/>
        </w:rPr>
        <w:t>I</w:t>
      </w:r>
      <w:r w:rsidRPr="00B405F9">
        <w:rPr>
          <w:rFonts w:ascii="Times New Roman" w:hAnsi="Times New Roman" w:cs="Times New Roman"/>
          <w:sz w:val="24"/>
          <w:szCs w:val="24"/>
        </w:rPr>
        <w:t>dentifying stakeholders with the most influence and interest, project managers can efficiently allocate resources, focus efforts, and customize communication to keep everyone informed and engaged. This proactive strategy allows for early detection of potential risks and opportunities, improving overall stakeholder management</w:t>
      </w:r>
      <w:r>
        <w:rPr>
          <w:rFonts w:ascii="Times New Roman" w:hAnsi="Times New Roman" w:cs="Times New Roman"/>
          <w:sz w:val="24"/>
          <w:szCs w:val="24"/>
        </w:rPr>
        <w:t xml:space="preserve"> (Ochoa, 2024)</w:t>
      </w:r>
      <w:r w:rsidRPr="00B405F9">
        <w:rPr>
          <w:rFonts w:ascii="Times New Roman" w:hAnsi="Times New Roman" w:cs="Times New Roman"/>
          <w:sz w:val="24"/>
          <w:szCs w:val="24"/>
        </w:rPr>
        <w:t>.</w:t>
      </w:r>
    </w:p>
    <w:p w14:paraId="3972AF66" w14:textId="749C2D24" w:rsidR="00B405F9" w:rsidRDefault="00B405F9" w:rsidP="00976C57">
      <w:pPr>
        <w:spacing w:line="360" w:lineRule="auto"/>
        <w:ind w:left="397" w:firstLine="720"/>
        <w:rPr>
          <w:rFonts w:ascii="Times New Roman" w:hAnsi="Times New Roman" w:cs="Times New Roman"/>
          <w:sz w:val="24"/>
          <w:szCs w:val="24"/>
        </w:rPr>
      </w:pPr>
      <w:r w:rsidRPr="00B405F9">
        <w:rPr>
          <w:rFonts w:ascii="Times New Roman" w:hAnsi="Times New Roman" w:cs="Times New Roman"/>
          <w:b/>
          <w:bCs/>
          <w:sz w:val="24"/>
          <w:szCs w:val="24"/>
        </w:rPr>
        <w:t>Element 3. Community Engagement Plan</w:t>
      </w:r>
      <w:r w:rsidRPr="00B405F9">
        <w:rPr>
          <w:rFonts w:ascii="Times New Roman" w:hAnsi="Times New Roman" w:cs="Times New Roman"/>
          <w:sz w:val="24"/>
          <w:szCs w:val="24"/>
        </w:rPr>
        <w:t xml:space="preserve"> </w:t>
      </w:r>
    </w:p>
    <w:p w14:paraId="55E657E8" w14:textId="3586F3E0" w:rsidR="00856110" w:rsidRDefault="00A156BE" w:rsidP="00D927F5">
      <w:pPr>
        <w:spacing w:line="360" w:lineRule="auto"/>
        <w:ind w:left="397" w:firstLine="720"/>
        <w:rPr>
          <w:rFonts w:ascii="Times New Roman" w:hAnsi="Times New Roman" w:cs="Times New Roman"/>
          <w:sz w:val="24"/>
          <w:szCs w:val="24"/>
        </w:rPr>
      </w:pPr>
      <w:r>
        <w:rPr>
          <w:rFonts w:ascii="Times New Roman" w:hAnsi="Times New Roman" w:cs="Times New Roman"/>
          <w:sz w:val="24"/>
          <w:szCs w:val="24"/>
        </w:rPr>
        <w:t xml:space="preserve">According to Centre for Aging Better website, </w:t>
      </w:r>
      <w:r w:rsidR="00856110" w:rsidRPr="00856110">
        <w:rPr>
          <w:rFonts w:ascii="Times New Roman" w:hAnsi="Times New Roman" w:cs="Times New Roman"/>
          <w:sz w:val="24"/>
          <w:szCs w:val="24"/>
        </w:rPr>
        <w:t>Age-friendly Communities adhere to the World Health Organisation’s framework, which helps them become more accommodating for older adults. This framework consists of two main components: the Eight Domains and the Four-Step Programme Cycle. These elements guide communities in enhancing their environments and services to better support aging populations</w:t>
      </w:r>
      <w:r w:rsidR="00D927F5">
        <w:rPr>
          <w:rFonts w:ascii="Times New Roman" w:hAnsi="Times New Roman" w:cs="Times New Roman"/>
          <w:sz w:val="24"/>
          <w:szCs w:val="24"/>
        </w:rPr>
        <w:t xml:space="preserve">. </w:t>
      </w:r>
      <w:r w:rsidR="00856110" w:rsidRPr="00856110">
        <w:rPr>
          <w:rFonts w:ascii="Times New Roman" w:hAnsi="Times New Roman" w:cs="Times New Roman"/>
          <w:sz w:val="24"/>
          <w:szCs w:val="24"/>
        </w:rPr>
        <w:t>The Eight Domains encompass aspects of the built and social environment that, when improved, can help overcome obstacles to aging well. Age-friendly Communities utilize this framework to assess their surroundings. They gather data, form partnerships, and commit to taking actions within these domain areas.</w:t>
      </w:r>
      <w:r w:rsidR="00D927F5">
        <w:rPr>
          <w:rFonts w:ascii="Times New Roman" w:hAnsi="Times New Roman" w:cs="Times New Roman"/>
          <w:sz w:val="24"/>
          <w:szCs w:val="24"/>
        </w:rPr>
        <w:t xml:space="preserve"> </w:t>
      </w:r>
      <w:r w:rsidR="00856110" w:rsidRPr="00856110">
        <w:rPr>
          <w:rFonts w:ascii="Times New Roman" w:hAnsi="Times New Roman" w:cs="Times New Roman"/>
          <w:sz w:val="24"/>
          <w:szCs w:val="24"/>
        </w:rPr>
        <w:t xml:space="preserve">The Four-Step Programme Cycle is a developmental process that communities follow to establish age-friendly practices. This cycle includes securing political support, assessing the current situation, engaging with </w:t>
      </w:r>
      <w:r w:rsidR="00856110" w:rsidRPr="00856110">
        <w:rPr>
          <w:rFonts w:ascii="Times New Roman" w:hAnsi="Times New Roman" w:cs="Times New Roman"/>
          <w:sz w:val="24"/>
          <w:szCs w:val="24"/>
        </w:rPr>
        <w:lastRenderedPageBreak/>
        <w:t>older adults, setting strategic priorities, implementing actions, and evaluating the outcomes</w:t>
      </w:r>
      <w:r>
        <w:rPr>
          <w:rFonts w:ascii="Times New Roman" w:hAnsi="Times New Roman" w:cs="Times New Roman"/>
          <w:sz w:val="24"/>
          <w:szCs w:val="24"/>
        </w:rPr>
        <w:t xml:space="preserve"> </w:t>
      </w:r>
      <w:r w:rsidR="00D927F5" w:rsidRPr="00D927F5">
        <w:rPr>
          <w:rFonts w:ascii="Times New Roman" w:hAnsi="Times New Roman" w:cs="Times New Roman"/>
          <w:sz w:val="24"/>
          <w:szCs w:val="24"/>
        </w:rPr>
        <w:t>(Centre for Aging Better, 2024).</w:t>
      </w:r>
    </w:p>
    <w:p w14:paraId="10129D20" w14:textId="700C8301"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drawing>
          <wp:inline distT="0" distB="0" distL="0" distR="0" wp14:anchorId="66CE36A1" wp14:editId="583C3C21">
            <wp:extent cx="5731510" cy="3405505"/>
            <wp:effectExtent l="0" t="0" r="2540" b="4445"/>
            <wp:docPr id="17925934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405505"/>
                    </a:xfrm>
                    <a:prstGeom prst="rect">
                      <a:avLst/>
                    </a:prstGeom>
                    <a:noFill/>
                    <a:ln>
                      <a:noFill/>
                    </a:ln>
                  </pic:spPr>
                </pic:pic>
              </a:graphicData>
            </a:graphic>
          </wp:inline>
        </w:drawing>
      </w:r>
    </w:p>
    <w:p w14:paraId="5F27BED0" w14:textId="0ADA051F"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drawing>
          <wp:inline distT="0" distB="0" distL="0" distR="0" wp14:anchorId="0083E653" wp14:editId="4BF02EB2">
            <wp:extent cx="5731510" cy="3284855"/>
            <wp:effectExtent l="0" t="0" r="2540" b="0"/>
            <wp:docPr id="757512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84855"/>
                    </a:xfrm>
                    <a:prstGeom prst="rect">
                      <a:avLst/>
                    </a:prstGeom>
                    <a:noFill/>
                    <a:ln>
                      <a:noFill/>
                    </a:ln>
                  </pic:spPr>
                </pic:pic>
              </a:graphicData>
            </a:graphic>
          </wp:inline>
        </w:drawing>
      </w:r>
    </w:p>
    <w:p w14:paraId="52A5ED82" w14:textId="4126E604"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lastRenderedPageBreak/>
        <w:drawing>
          <wp:inline distT="0" distB="0" distL="0" distR="0" wp14:anchorId="15680574" wp14:editId="685625AC">
            <wp:extent cx="5731510" cy="3309620"/>
            <wp:effectExtent l="0" t="0" r="2540" b="5080"/>
            <wp:docPr id="8693982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309620"/>
                    </a:xfrm>
                    <a:prstGeom prst="rect">
                      <a:avLst/>
                    </a:prstGeom>
                    <a:noFill/>
                    <a:ln>
                      <a:noFill/>
                    </a:ln>
                  </pic:spPr>
                </pic:pic>
              </a:graphicData>
            </a:graphic>
          </wp:inline>
        </w:drawing>
      </w:r>
    </w:p>
    <w:p w14:paraId="71A35B2B" w14:textId="2F39BB1C"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drawing>
          <wp:inline distT="0" distB="0" distL="0" distR="0" wp14:anchorId="0665275A" wp14:editId="7D9215AA">
            <wp:extent cx="5731510" cy="3293110"/>
            <wp:effectExtent l="0" t="0" r="2540" b="2540"/>
            <wp:docPr id="17782169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93110"/>
                    </a:xfrm>
                    <a:prstGeom prst="rect">
                      <a:avLst/>
                    </a:prstGeom>
                    <a:noFill/>
                    <a:ln>
                      <a:noFill/>
                    </a:ln>
                  </pic:spPr>
                </pic:pic>
              </a:graphicData>
            </a:graphic>
          </wp:inline>
        </w:drawing>
      </w:r>
    </w:p>
    <w:p w14:paraId="59EB12F6" w14:textId="1B4E4A62"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lastRenderedPageBreak/>
        <w:drawing>
          <wp:inline distT="0" distB="0" distL="0" distR="0" wp14:anchorId="367C4EE2" wp14:editId="3CC57123">
            <wp:extent cx="5731510" cy="3302000"/>
            <wp:effectExtent l="0" t="0" r="2540" b="0"/>
            <wp:docPr id="149117437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302000"/>
                    </a:xfrm>
                    <a:prstGeom prst="rect">
                      <a:avLst/>
                    </a:prstGeom>
                    <a:noFill/>
                    <a:ln>
                      <a:noFill/>
                    </a:ln>
                  </pic:spPr>
                </pic:pic>
              </a:graphicData>
            </a:graphic>
          </wp:inline>
        </w:drawing>
      </w:r>
    </w:p>
    <w:p w14:paraId="0933DA0E" w14:textId="527B18BA"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drawing>
          <wp:inline distT="0" distB="0" distL="0" distR="0" wp14:anchorId="2628E05B" wp14:editId="750786A5">
            <wp:extent cx="5731510" cy="3333115"/>
            <wp:effectExtent l="0" t="0" r="2540" b="635"/>
            <wp:docPr id="192603937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333115"/>
                    </a:xfrm>
                    <a:prstGeom prst="rect">
                      <a:avLst/>
                    </a:prstGeom>
                    <a:noFill/>
                    <a:ln>
                      <a:noFill/>
                    </a:ln>
                  </pic:spPr>
                </pic:pic>
              </a:graphicData>
            </a:graphic>
          </wp:inline>
        </w:drawing>
      </w:r>
    </w:p>
    <w:p w14:paraId="5AF15123" w14:textId="3D138AD5" w:rsidR="00A156BE" w:rsidRPr="00A156BE" w:rsidRDefault="00A156BE" w:rsidP="00A156BE">
      <w:pPr>
        <w:spacing w:line="360" w:lineRule="auto"/>
        <w:ind w:left="397" w:firstLine="720"/>
        <w:rPr>
          <w:rFonts w:ascii="Times New Roman" w:hAnsi="Times New Roman" w:cs="Times New Roman"/>
          <w:sz w:val="24"/>
          <w:szCs w:val="24"/>
        </w:rPr>
      </w:pPr>
      <w:r w:rsidRPr="00A156BE">
        <w:rPr>
          <w:rFonts w:ascii="Times New Roman" w:hAnsi="Times New Roman" w:cs="Times New Roman"/>
          <w:sz w:val="24"/>
          <w:szCs w:val="24"/>
        </w:rPr>
        <w:lastRenderedPageBreak/>
        <w:drawing>
          <wp:inline distT="0" distB="0" distL="0" distR="0" wp14:anchorId="5025F33D" wp14:editId="77899AE0">
            <wp:extent cx="5731510" cy="3346450"/>
            <wp:effectExtent l="0" t="0" r="2540" b="6350"/>
            <wp:docPr id="52147057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46450"/>
                    </a:xfrm>
                    <a:prstGeom prst="rect">
                      <a:avLst/>
                    </a:prstGeom>
                    <a:noFill/>
                    <a:ln>
                      <a:noFill/>
                    </a:ln>
                  </pic:spPr>
                </pic:pic>
              </a:graphicData>
            </a:graphic>
          </wp:inline>
        </w:drawing>
      </w:r>
    </w:p>
    <w:p w14:paraId="4F07FC20" w14:textId="60C494C9" w:rsidR="00856110" w:rsidRDefault="00856110" w:rsidP="00976C57">
      <w:pPr>
        <w:spacing w:line="360" w:lineRule="auto"/>
        <w:ind w:left="397" w:firstLine="720"/>
        <w:rPr>
          <w:rFonts w:ascii="Times New Roman" w:hAnsi="Times New Roman" w:cs="Times New Roman"/>
          <w:sz w:val="24"/>
          <w:szCs w:val="24"/>
        </w:rPr>
      </w:pPr>
    </w:p>
    <w:p w14:paraId="4AECCA3D" w14:textId="391AC9C7" w:rsidR="00A156BE" w:rsidRDefault="0010256C" w:rsidP="00976C57">
      <w:pPr>
        <w:spacing w:line="360" w:lineRule="auto"/>
        <w:ind w:left="397" w:firstLine="720"/>
        <w:rPr>
          <w:rFonts w:ascii="Times New Roman" w:hAnsi="Times New Roman" w:cs="Times New Roman"/>
          <w:sz w:val="24"/>
          <w:szCs w:val="24"/>
        </w:rPr>
      </w:pPr>
      <w:r w:rsidRPr="0010256C">
        <w:rPr>
          <w:rFonts w:ascii="Times New Roman" w:hAnsi="Times New Roman" w:cs="Times New Roman"/>
          <w:b/>
          <w:bCs/>
          <w:sz w:val="24"/>
          <w:szCs w:val="24"/>
        </w:rPr>
        <w:t>Element 4. Practical Discussion</w:t>
      </w:r>
      <w:r w:rsidRPr="0010256C">
        <w:rPr>
          <w:rFonts w:ascii="Times New Roman" w:hAnsi="Times New Roman" w:cs="Times New Roman"/>
          <w:sz w:val="24"/>
          <w:szCs w:val="24"/>
        </w:rPr>
        <w:t xml:space="preserve"> (Individual discussion - 40%) 750 WORDS</w:t>
      </w:r>
    </w:p>
    <w:p w14:paraId="7DDC9064" w14:textId="6959B937" w:rsidR="0010256C" w:rsidRPr="00D927F5" w:rsidRDefault="0010256C" w:rsidP="0010256C">
      <w:pPr>
        <w:spacing w:line="360" w:lineRule="auto"/>
        <w:ind w:left="397" w:firstLine="720"/>
        <w:rPr>
          <w:rFonts w:ascii="Times New Roman" w:hAnsi="Times New Roman" w:cs="Times New Roman"/>
          <w:b/>
          <w:bCs/>
          <w:sz w:val="24"/>
          <w:szCs w:val="24"/>
        </w:rPr>
      </w:pPr>
      <w:r w:rsidRPr="00D927F5">
        <w:rPr>
          <w:rFonts w:ascii="Times New Roman" w:hAnsi="Times New Roman" w:cs="Times New Roman"/>
          <w:b/>
          <w:bCs/>
          <w:sz w:val="24"/>
          <w:szCs w:val="24"/>
        </w:rPr>
        <w:t>Key Findings on Community Engagement</w:t>
      </w:r>
    </w:p>
    <w:p w14:paraId="03550D8C" w14:textId="5259FBBA" w:rsidR="0010256C" w:rsidRPr="0010256C" w:rsidRDefault="0027466A" w:rsidP="0010256C">
      <w:pPr>
        <w:spacing w:line="360" w:lineRule="auto"/>
        <w:ind w:left="397" w:firstLine="720"/>
        <w:rPr>
          <w:rFonts w:ascii="Times New Roman" w:hAnsi="Times New Roman" w:cs="Times New Roman"/>
          <w:sz w:val="24"/>
          <w:szCs w:val="24"/>
        </w:rPr>
      </w:pPr>
      <w:r w:rsidRPr="0027466A">
        <w:rPr>
          <w:rFonts w:ascii="Times New Roman" w:hAnsi="Times New Roman" w:cs="Times New Roman"/>
          <w:sz w:val="24"/>
          <w:szCs w:val="24"/>
        </w:rPr>
        <w:t>Engaging elderly people in community activities in Watford has numerous benefits. It helps improve their mental health by reducing loneliness and providing opportunities for social interaction. Physical health is also enhanced through activities like group exercises, which keep them active and reduce the risk of illnesses. Being part of a community gives them a sense of belonging and security, making them feel valued and content. Additionally, community engagement helps combat social isolation by offering various programs such as social gatherings, health and wellness activities, educational workshops, and volunteer opportunities. These initiatives have significantly improved the quality of life for many seniors in Watford, making them feel more connected, healthier, and happier.</w:t>
      </w:r>
    </w:p>
    <w:p w14:paraId="70F565AF" w14:textId="77777777" w:rsidR="0010256C" w:rsidRPr="00D927F5" w:rsidRDefault="0010256C" w:rsidP="0010256C">
      <w:pPr>
        <w:spacing w:line="360" w:lineRule="auto"/>
        <w:ind w:left="397" w:firstLine="720"/>
        <w:rPr>
          <w:rFonts w:ascii="Times New Roman" w:hAnsi="Times New Roman" w:cs="Times New Roman"/>
          <w:b/>
          <w:bCs/>
          <w:sz w:val="24"/>
          <w:szCs w:val="24"/>
        </w:rPr>
      </w:pPr>
      <w:r w:rsidRPr="00D927F5">
        <w:rPr>
          <w:rFonts w:ascii="Times New Roman" w:hAnsi="Times New Roman" w:cs="Times New Roman"/>
          <w:b/>
          <w:bCs/>
          <w:sz w:val="24"/>
          <w:szCs w:val="24"/>
        </w:rPr>
        <w:t>Conclusion</w:t>
      </w:r>
    </w:p>
    <w:p w14:paraId="67DFABB2" w14:textId="114AE2C4" w:rsidR="0010256C" w:rsidRDefault="0010256C" w:rsidP="0010256C">
      <w:pPr>
        <w:spacing w:line="360" w:lineRule="auto"/>
        <w:ind w:left="397" w:firstLine="720"/>
        <w:rPr>
          <w:rFonts w:ascii="Times New Roman" w:hAnsi="Times New Roman" w:cs="Times New Roman"/>
          <w:sz w:val="24"/>
          <w:szCs w:val="24"/>
        </w:rPr>
      </w:pPr>
      <w:r w:rsidRPr="0010256C">
        <w:rPr>
          <w:rFonts w:ascii="Times New Roman" w:hAnsi="Times New Roman" w:cs="Times New Roman"/>
          <w:sz w:val="24"/>
          <w:szCs w:val="24"/>
        </w:rPr>
        <w:t xml:space="preserve">Actively engaging with stakeholders in community initiatives for the elderly brings about numerous benefits, from improved mental and physical health to a stronger sense of belonging and reduced social isolation. The experiences in Watford highlight the </w:t>
      </w:r>
      <w:r w:rsidRPr="0010256C">
        <w:rPr>
          <w:rFonts w:ascii="Times New Roman" w:hAnsi="Times New Roman" w:cs="Times New Roman"/>
          <w:sz w:val="24"/>
          <w:szCs w:val="24"/>
        </w:rPr>
        <w:lastRenderedPageBreak/>
        <w:t>positive impact of such engagement, demonstrating how tailored community programs can significantly enhance the quality of life for seniors.</w:t>
      </w:r>
    </w:p>
    <w:p w14:paraId="6AB57E64" w14:textId="5EAB29FB" w:rsidR="0027466A" w:rsidRPr="0027466A" w:rsidRDefault="0027466A" w:rsidP="0027466A">
      <w:pPr>
        <w:spacing w:line="360" w:lineRule="auto"/>
        <w:ind w:left="397" w:firstLine="720"/>
        <w:rPr>
          <w:rFonts w:ascii="Times New Roman" w:hAnsi="Times New Roman" w:cs="Times New Roman"/>
          <w:sz w:val="24"/>
          <w:szCs w:val="24"/>
        </w:rPr>
      </w:pPr>
      <w:r w:rsidRPr="0027466A">
        <w:rPr>
          <w:rFonts w:ascii="Times New Roman" w:hAnsi="Times New Roman" w:cs="Times New Roman"/>
          <w:sz w:val="24"/>
          <w:szCs w:val="24"/>
        </w:rPr>
        <w:t>Community engagement plays a crucial role in enhancing the well-being of elderly individuals. By actively participating in community initiatives, we can provide much-needed support and companionship to our senior citizens. One such initiative in Watford, organized by Three Rivers Trust, involves delivering parcels to elderly residents. These parcels, containing essentials, offer comfort and show that the community cares</w:t>
      </w:r>
      <w:r>
        <w:rPr>
          <w:rFonts w:ascii="Times New Roman" w:hAnsi="Times New Roman" w:cs="Times New Roman"/>
          <w:sz w:val="24"/>
          <w:szCs w:val="24"/>
        </w:rPr>
        <w:t>.</w:t>
      </w:r>
    </w:p>
    <w:p w14:paraId="629A5B90" w14:textId="4FBEAE99" w:rsidR="0027466A" w:rsidRDefault="0027466A" w:rsidP="0027466A">
      <w:pPr>
        <w:spacing w:line="360" w:lineRule="auto"/>
        <w:ind w:left="397" w:firstLine="720"/>
        <w:rPr>
          <w:rFonts w:ascii="Times New Roman" w:hAnsi="Times New Roman" w:cs="Times New Roman"/>
          <w:sz w:val="24"/>
          <w:szCs w:val="24"/>
        </w:rPr>
      </w:pPr>
      <w:r w:rsidRPr="0027466A">
        <w:rPr>
          <w:rFonts w:ascii="Times New Roman" w:hAnsi="Times New Roman" w:cs="Times New Roman"/>
          <w:sz w:val="24"/>
          <w:szCs w:val="24"/>
        </w:rPr>
        <w:t xml:space="preserve">Delivering parcels to elderly people around Watford with Three Rivers Trust has been a deeply rewarding experience. Each delivery, which included blankets, snacks, and food, was more than just a drop-off; it was a chance to connect with the community’s seniors and bring a bit of comfort and joy to their day. Seeing their smiles and hearing their stories made it clear how much these small gestures meant to them. It also highlighted the importance of community support and the positive impact that simple acts of kindness can have on the well-being of our elderly </w:t>
      </w:r>
      <w:proofErr w:type="spellStart"/>
      <w:r w:rsidRPr="0027466A">
        <w:rPr>
          <w:rFonts w:ascii="Times New Roman" w:hAnsi="Times New Roman" w:cs="Times New Roman"/>
          <w:sz w:val="24"/>
          <w:szCs w:val="24"/>
        </w:rPr>
        <w:t>neighbors</w:t>
      </w:r>
      <w:proofErr w:type="spellEnd"/>
      <w:r w:rsidRPr="0027466A">
        <w:rPr>
          <w:rFonts w:ascii="Times New Roman" w:hAnsi="Times New Roman" w:cs="Times New Roman"/>
          <w:sz w:val="24"/>
          <w:szCs w:val="24"/>
        </w:rPr>
        <w:t>. This experience has reinforced the value of compassion and the difference we can make when we come together to support those in need.</w:t>
      </w:r>
    </w:p>
    <w:p w14:paraId="19570E57" w14:textId="22C5FC5A" w:rsidR="00ED6D81" w:rsidRPr="00ED6D81" w:rsidRDefault="00ED6D81" w:rsidP="00ED6D81">
      <w:pPr>
        <w:spacing w:line="360" w:lineRule="auto"/>
        <w:ind w:left="397" w:firstLine="720"/>
        <w:rPr>
          <w:rFonts w:ascii="Times New Roman" w:hAnsi="Times New Roman" w:cs="Times New Roman"/>
          <w:sz w:val="24"/>
          <w:szCs w:val="24"/>
        </w:rPr>
      </w:pPr>
      <w:r>
        <w:rPr>
          <w:rFonts w:ascii="Times New Roman" w:hAnsi="Times New Roman" w:cs="Times New Roman"/>
          <w:sz w:val="24"/>
          <w:szCs w:val="24"/>
        </w:rPr>
        <w:t>T</w:t>
      </w:r>
      <w:r w:rsidRPr="00ED6D81">
        <w:rPr>
          <w:rFonts w:ascii="Times New Roman" w:hAnsi="Times New Roman" w:cs="Times New Roman"/>
          <w:sz w:val="24"/>
          <w:szCs w:val="24"/>
        </w:rPr>
        <w:t>he journey of engaging with the elderly community has underscored the profound impact of social connectedness on their overall well-being. Drawing from the principles outlined in “Enhancing Community Engagement in Senior Living: Benefits and Strategies,” it is evident that fostering a sense of belonging and purpose is crucial for the mental, emotional, and physical health of seniors</w:t>
      </w:r>
      <w:r>
        <w:rPr>
          <w:rFonts w:ascii="Times New Roman" w:hAnsi="Times New Roman" w:cs="Times New Roman"/>
          <w:sz w:val="24"/>
          <w:szCs w:val="24"/>
        </w:rPr>
        <w:t xml:space="preserve">. </w:t>
      </w:r>
      <w:r w:rsidRPr="00ED6D81">
        <w:rPr>
          <w:rFonts w:ascii="Times New Roman" w:hAnsi="Times New Roman" w:cs="Times New Roman"/>
          <w:sz w:val="24"/>
          <w:szCs w:val="24"/>
        </w:rPr>
        <w:t>Through various community activities and initiatives, we have witnessed firsthand the transformation in the lives of elderly individuals. Enhanced mental health, improved physical fitness, and a stronger sense of community have been the hallmarks of our engagement efforts. By prioritizing social interaction and creating inclusive environments, we can combat feelings of isolation and loneliness, thereby enriching the lives of our senior citizens.</w:t>
      </w:r>
    </w:p>
    <w:p w14:paraId="7D496B88" w14:textId="206ED8CC" w:rsidR="00BA0D2F" w:rsidRPr="00ED6D81" w:rsidRDefault="00ED6D81" w:rsidP="00ED6D81">
      <w:pPr>
        <w:spacing w:line="360" w:lineRule="auto"/>
        <w:ind w:left="397" w:firstLine="720"/>
        <w:rPr>
          <w:rFonts w:ascii="Times New Roman" w:hAnsi="Times New Roman" w:cs="Times New Roman"/>
          <w:sz w:val="24"/>
          <w:szCs w:val="24"/>
        </w:rPr>
      </w:pPr>
      <w:r w:rsidRPr="00ED6D81">
        <w:rPr>
          <w:rFonts w:ascii="Times New Roman" w:hAnsi="Times New Roman" w:cs="Times New Roman"/>
          <w:sz w:val="24"/>
          <w:szCs w:val="24"/>
        </w:rPr>
        <w:t xml:space="preserve">As we move forward, it is imperative to continue building on these foundations, ensuring that our elderly community remains vibrant, active, and connected. The lessons learned and the relationships formed during this engagement will serve as a guiding light for future </w:t>
      </w:r>
      <w:proofErr w:type="spellStart"/>
      <w:r w:rsidRPr="00ED6D81">
        <w:rPr>
          <w:rFonts w:ascii="Times New Roman" w:hAnsi="Times New Roman" w:cs="Times New Roman"/>
          <w:sz w:val="24"/>
          <w:szCs w:val="24"/>
        </w:rPr>
        <w:t>endeavors</w:t>
      </w:r>
      <w:proofErr w:type="spellEnd"/>
      <w:r w:rsidRPr="00ED6D81">
        <w:rPr>
          <w:rFonts w:ascii="Times New Roman" w:hAnsi="Times New Roman" w:cs="Times New Roman"/>
          <w:sz w:val="24"/>
          <w:szCs w:val="24"/>
        </w:rPr>
        <w:t>, reaffirming our commitment to enhancing the quality of life for our seniors.</w:t>
      </w:r>
    </w:p>
    <w:p w14:paraId="049A0887" w14:textId="41C9B6E8" w:rsidR="00DA60ED" w:rsidRPr="00ED6D81" w:rsidRDefault="00DA60ED" w:rsidP="00ED6D81">
      <w:pPr>
        <w:spacing w:line="360" w:lineRule="auto"/>
        <w:rPr>
          <w:rFonts w:ascii="Times New Roman" w:hAnsi="Times New Roman" w:cs="Times New Roman"/>
          <w:sz w:val="24"/>
          <w:szCs w:val="24"/>
        </w:rPr>
      </w:pPr>
    </w:p>
    <w:p w14:paraId="12C91D46" w14:textId="7A680BCF" w:rsidR="008D2805" w:rsidRPr="00C83E17" w:rsidRDefault="00DA60ED" w:rsidP="008D2805">
      <w:pPr>
        <w:spacing w:line="360" w:lineRule="auto"/>
        <w:rPr>
          <w:rFonts w:ascii="Times New Roman" w:hAnsi="Times New Roman" w:cs="Times New Roman"/>
          <w:b/>
          <w:bCs/>
          <w:sz w:val="40"/>
          <w:szCs w:val="40"/>
        </w:rPr>
      </w:pPr>
      <w:r w:rsidRPr="00C83E17">
        <w:rPr>
          <w:rFonts w:ascii="Times New Roman" w:hAnsi="Times New Roman" w:cs="Times New Roman"/>
          <w:b/>
          <w:bCs/>
          <w:sz w:val="40"/>
          <w:szCs w:val="40"/>
        </w:rPr>
        <w:t>References</w:t>
      </w:r>
    </w:p>
    <w:p w14:paraId="25018C7A" w14:textId="5FC3977C" w:rsidR="00DA60ED" w:rsidRDefault="00F83C69" w:rsidP="00F83C69">
      <w:pPr>
        <w:pStyle w:val="ListParagraph"/>
        <w:numPr>
          <w:ilvl w:val="0"/>
          <w:numId w:val="2"/>
        </w:numPr>
        <w:spacing w:line="360" w:lineRule="auto"/>
        <w:rPr>
          <w:rFonts w:ascii="Times New Roman" w:hAnsi="Times New Roman" w:cs="Times New Roman"/>
          <w:sz w:val="24"/>
          <w:szCs w:val="24"/>
        </w:rPr>
      </w:pPr>
      <w:bookmarkStart w:id="0" w:name="_Hlk175774588"/>
      <w:r w:rsidRPr="00F83C69">
        <w:rPr>
          <w:rFonts w:ascii="Times New Roman" w:hAnsi="Times New Roman" w:cs="Times New Roman"/>
          <w:sz w:val="24"/>
          <w:szCs w:val="24"/>
        </w:rPr>
        <w:t xml:space="preserve">Abdi, S., Spann, A., </w:t>
      </w:r>
      <w:proofErr w:type="spellStart"/>
      <w:r w:rsidRPr="00F83C69">
        <w:rPr>
          <w:rFonts w:ascii="Times New Roman" w:hAnsi="Times New Roman" w:cs="Times New Roman"/>
          <w:sz w:val="24"/>
          <w:szCs w:val="24"/>
        </w:rPr>
        <w:t>Borilovic</w:t>
      </w:r>
      <w:proofErr w:type="spellEnd"/>
      <w:r w:rsidRPr="00F83C69">
        <w:rPr>
          <w:rFonts w:ascii="Times New Roman" w:hAnsi="Times New Roman" w:cs="Times New Roman"/>
          <w:sz w:val="24"/>
          <w:szCs w:val="24"/>
        </w:rPr>
        <w:t xml:space="preserve">, J., de Witte, L., &amp; Hawley, M. (2019). </w:t>
      </w:r>
      <w:r w:rsidRPr="00F83C69">
        <w:rPr>
          <w:rFonts w:ascii="Times New Roman" w:hAnsi="Times New Roman" w:cs="Times New Roman"/>
          <w:i/>
          <w:iCs/>
          <w:sz w:val="24"/>
          <w:szCs w:val="24"/>
        </w:rPr>
        <w:t xml:space="preserve">Understanding the care and support needs of older people: a scoping review and categorisation using the WHO international classification of functioning, disability and health framework </w:t>
      </w:r>
      <w:r w:rsidRPr="00F83C69">
        <w:rPr>
          <w:rFonts w:ascii="Times New Roman" w:hAnsi="Times New Roman" w:cs="Times New Roman"/>
          <w:sz w:val="24"/>
          <w:szCs w:val="24"/>
        </w:rPr>
        <w:t>(ICF)BMC Geriatrics, 19, Article number: 195</w:t>
      </w:r>
      <w:r>
        <w:rPr>
          <w:rFonts w:ascii="Times New Roman" w:hAnsi="Times New Roman" w:cs="Times New Roman"/>
          <w:sz w:val="24"/>
          <w:szCs w:val="24"/>
        </w:rPr>
        <w:t xml:space="preserve"> Available at: </w:t>
      </w:r>
      <w:hyperlink r:id="rId27" w:history="1">
        <w:r w:rsidRPr="004F2BDB">
          <w:rPr>
            <w:rStyle w:val="Hyperlink"/>
            <w:rFonts w:ascii="Times New Roman" w:hAnsi="Times New Roman" w:cs="Times New Roman"/>
            <w:sz w:val="24"/>
            <w:szCs w:val="24"/>
          </w:rPr>
          <w:t>https://bmcgeriatr.biomedcentral.com/articles/10.1186/s12877-019-1189-9</w:t>
        </w:r>
      </w:hyperlink>
      <w:r>
        <w:rPr>
          <w:rFonts w:ascii="Times New Roman" w:hAnsi="Times New Roman" w:cs="Times New Roman"/>
          <w:sz w:val="24"/>
          <w:szCs w:val="24"/>
        </w:rPr>
        <w:t xml:space="preserve">  (Accessed: 19 August 2024).</w:t>
      </w:r>
    </w:p>
    <w:p w14:paraId="7DA13C17" w14:textId="78E998FB" w:rsidR="00E004A4" w:rsidRDefault="00E004A4" w:rsidP="00F83C69">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Bray, M. (2023) </w:t>
      </w:r>
      <w:r w:rsidRPr="00211E67">
        <w:rPr>
          <w:rFonts w:ascii="Times New Roman" w:hAnsi="Times New Roman" w:cs="Times New Roman"/>
          <w:i/>
          <w:iCs/>
          <w:sz w:val="24"/>
          <w:szCs w:val="24"/>
        </w:rPr>
        <w:t>The complete stakeholder mapping guide.</w:t>
      </w:r>
      <w:r>
        <w:rPr>
          <w:rFonts w:ascii="Times New Roman" w:hAnsi="Times New Roman" w:cs="Times New Roman"/>
          <w:sz w:val="24"/>
          <w:szCs w:val="24"/>
        </w:rPr>
        <w:t xml:space="preserve"> Available at:</w:t>
      </w:r>
      <w:r w:rsidR="00211E67">
        <w:rPr>
          <w:rFonts w:ascii="Times New Roman" w:hAnsi="Times New Roman" w:cs="Times New Roman"/>
          <w:sz w:val="24"/>
          <w:szCs w:val="24"/>
        </w:rPr>
        <w:t xml:space="preserve"> </w:t>
      </w:r>
      <w:hyperlink r:id="rId28" w:history="1">
        <w:r w:rsidR="00211E67" w:rsidRPr="00205B09">
          <w:rPr>
            <w:rStyle w:val="Hyperlink"/>
            <w:rFonts w:ascii="Times New Roman" w:hAnsi="Times New Roman" w:cs="Times New Roman"/>
            <w:sz w:val="24"/>
            <w:szCs w:val="24"/>
          </w:rPr>
          <w:t>https://miro.com/blog/stakeholder-mapping/</w:t>
        </w:r>
      </w:hyperlink>
      <w:r w:rsidR="00211E67">
        <w:rPr>
          <w:rFonts w:ascii="Times New Roman" w:hAnsi="Times New Roman" w:cs="Times New Roman"/>
          <w:sz w:val="24"/>
          <w:szCs w:val="24"/>
        </w:rPr>
        <w:t xml:space="preserve"> Accessed 20 August 2024.</w:t>
      </w:r>
    </w:p>
    <w:p w14:paraId="2F431798" w14:textId="7C9C513B" w:rsidR="00A156BE" w:rsidRPr="00F83C69" w:rsidRDefault="00A156BE" w:rsidP="00F83C69">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Centre for Aging Better, (2024) </w:t>
      </w:r>
      <w:r w:rsidRPr="0010256C">
        <w:rPr>
          <w:rFonts w:ascii="Times New Roman" w:hAnsi="Times New Roman" w:cs="Times New Roman"/>
          <w:i/>
          <w:iCs/>
          <w:sz w:val="24"/>
          <w:szCs w:val="24"/>
        </w:rPr>
        <w:t>What`s an Age- Friendly Community</w:t>
      </w:r>
      <w:r w:rsidR="0010256C" w:rsidRPr="0010256C">
        <w:rPr>
          <w:rFonts w:ascii="Times New Roman" w:hAnsi="Times New Roman" w:cs="Times New Roman"/>
          <w:i/>
          <w:iCs/>
          <w:sz w:val="24"/>
          <w:szCs w:val="24"/>
        </w:rPr>
        <w:t>?</w:t>
      </w:r>
      <w:r w:rsidR="0010256C">
        <w:rPr>
          <w:rFonts w:ascii="Times New Roman" w:hAnsi="Times New Roman" w:cs="Times New Roman"/>
          <w:sz w:val="24"/>
          <w:szCs w:val="24"/>
        </w:rPr>
        <w:t xml:space="preserve"> </w:t>
      </w:r>
      <w:r>
        <w:rPr>
          <w:rFonts w:ascii="Times New Roman" w:hAnsi="Times New Roman" w:cs="Times New Roman"/>
          <w:sz w:val="24"/>
          <w:szCs w:val="24"/>
        </w:rPr>
        <w:t xml:space="preserve"> Available at: </w:t>
      </w:r>
      <w:hyperlink r:id="rId29" w:history="1">
        <w:r w:rsidR="0010256C" w:rsidRPr="00205B09">
          <w:rPr>
            <w:rStyle w:val="Hyperlink"/>
            <w:rFonts w:ascii="Times New Roman" w:hAnsi="Times New Roman" w:cs="Times New Roman"/>
            <w:sz w:val="24"/>
            <w:szCs w:val="24"/>
          </w:rPr>
          <w:t>https://ageing-better.org.uk/age-friendly-communities/eight-domains</w:t>
        </w:r>
      </w:hyperlink>
      <w:r w:rsidR="0010256C">
        <w:rPr>
          <w:rFonts w:ascii="Times New Roman" w:hAnsi="Times New Roman" w:cs="Times New Roman"/>
          <w:sz w:val="24"/>
          <w:szCs w:val="24"/>
        </w:rPr>
        <w:t xml:space="preserve"> (Accessed 24 August 2024).</w:t>
      </w:r>
    </w:p>
    <w:bookmarkEnd w:id="0"/>
    <w:p w14:paraId="26F9404E" w14:textId="77777777" w:rsidR="00295931" w:rsidRDefault="000C1303" w:rsidP="0029593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Grow Leady, (2024) </w:t>
      </w:r>
      <w:r w:rsidRPr="00295931">
        <w:rPr>
          <w:rFonts w:ascii="Times New Roman" w:hAnsi="Times New Roman" w:cs="Times New Roman"/>
          <w:i/>
          <w:iCs/>
          <w:sz w:val="24"/>
          <w:szCs w:val="24"/>
        </w:rPr>
        <w:t>7 Steps to Successful Community Outreach: A How-To Guide</w:t>
      </w:r>
      <w:r>
        <w:rPr>
          <w:rFonts w:ascii="Times New Roman" w:hAnsi="Times New Roman" w:cs="Times New Roman"/>
          <w:sz w:val="24"/>
          <w:szCs w:val="24"/>
        </w:rPr>
        <w:t>. Available at:</w:t>
      </w:r>
      <w:r w:rsidRPr="000C1303">
        <w:t xml:space="preserve"> </w:t>
      </w:r>
      <w:hyperlink r:id="rId30" w:history="1">
        <w:r w:rsidRPr="004F2BDB">
          <w:rPr>
            <w:rStyle w:val="Hyperlink"/>
            <w:rFonts w:ascii="Times New Roman" w:hAnsi="Times New Roman" w:cs="Times New Roman"/>
            <w:sz w:val="24"/>
            <w:szCs w:val="24"/>
          </w:rPr>
          <w:t>https://www.growleady.io/blog/how-do-you-build-community-outreach</w:t>
        </w:r>
      </w:hyperlink>
      <w:r>
        <w:rPr>
          <w:rFonts w:ascii="Times New Roman" w:hAnsi="Times New Roman" w:cs="Times New Roman"/>
          <w:sz w:val="24"/>
          <w:szCs w:val="24"/>
        </w:rPr>
        <w:t xml:space="preserve"> </w:t>
      </w:r>
      <w:r w:rsidR="00DE6B58">
        <w:rPr>
          <w:rFonts w:ascii="Times New Roman" w:hAnsi="Times New Roman" w:cs="Times New Roman"/>
          <w:sz w:val="24"/>
          <w:szCs w:val="24"/>
        </w:rPr>
        <w:t>(Accessed 24 August 2024).</w:t>
      </w:r>
      <w:r w:rsidR="00295931" w:rsidRPr="00295931">
        <w:rPr>
          <w:rFonts w:ascii="Times New Roman" w:hAnsi="Times New Roman" w:cs="Times New Roman"/>
          <w:sz w:val="24"/>
          <w:szCs w:val="24"/>
        </w:rPr>
        <w:t xml:space="preserve"> </w:t>
      </w:r>
    </w:p>
    <w:p w14:paraId="260FA566" w14:textId="24BED997" w:rsidR="007C3546" w:rsidRPr="00295931" w:rsidRDefault="00295931" w:rsidP="0029593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Jonson, C. (2019) `Audience Engagement is NOT Community Engagement` </w:t>
      </w:r>
      <w:r w:rsidRPr="00F14FF9">
        <w:rPr>
          <w:rFonts w:ascii="Times New Roman" w:hAnsi="Times New Roman" w:cs="Times New Roman"/>
          <w:i/>
          <w:iCs/>
          <w:sz w:val="24"/>
          <w:szCs w:val="24"/>
        </w:rPr>
        <w:t>Americans for the arts</w:t>
      </w:r>
      <w:r>
        <w:rPr>
          <w:rFonts w:ascii="Times New Roman" w:hAnsi="Times New Roman" w:cs="Times New Roman"/>
          <w:sz w:val="24"/>
          <w:szCs w:val="24"/>
        </w:rPr>
        <w:t xml:space="preserve">, 29 March. Available at: </w:t>
      </w:r>
      <w:hyperlink r:id="rId31" w:history="1">
        <w:r w:rsidRPr="004F2BDB">
          <w:rPr>
            <w:rStyle w:val="Hyperlink"/>
            <w:rFonts w:ascii="Times New Roman" w:hAnsi="Times New Roman" w:cs="Times New Roman"/>
            <w:sz w:val="24"/>
            <w:szCs w:val="24"/>
          </w:rPr>
          <w:t>https://blog.americansforthearts.org/2019/03/29/audience-engagement-is-not-community-engagement</w:t>
        </w:r>
      </w:hyperlink>
      <w:r>
        <w:rPr>
          <w:rFonts w:ascii="Times New Roman" w:hAnsi="Times New Roman" w:cs="Times New Roman"/>
          <w:sz w:val="24"/>
          <w:szCs w:val="24"/>
        </w:rPr>
        <w:t xml:space="preserve"> (Accessed 11 August 2024).</w:t>
      </w:r>
    </w:p>
    <w:p w14:paraId="1C928804" w14:textId="5823F7FA" w:rsidR="00A24967" w:rsidRDefault="00A24967" w:rsidP="00DA60ED">
      <w:pPr>
        <w:pStyle w:val="ListParagraph"/>
        <w:numPr>
          <w:ilvl w:val="0"/>
          <w:numId w:val="2"/>
        </w:numPr>
        <w:spacing w:line="360" w:lineRule="auto"/>
        <w:rPr>
          <w:rFonts w:ascii="Times New Roman" w:hAnsi="Times New Roman" w:cs="Times New Roman"/>
          <w:sz w:val="24"/>
          <w:szCs w:val="24"/>
        </w:rPr>
      </w:pPr>
      <w:bookmarkStart w:id="1" w:name="_Hlk175774657"/>
      <w:r w:rsidRPr="00A24967">
        <w:rPr>
          <w:rFonts w:ascii="Times New Roman" w:hAnsi="Times New Roman" w:cs="Times New Roman"/>
          <w:sz w:val="24"/>
          <w:szCs w:val="24"/>
        </w:rPr>
        <w:t xml:space="preserve">National Institute on Aging (NIA), 2024. </w:t>
      </w:r>
      <w:r w:rsidRPr="00A24967">
        <w:rPr>
          <w:rFonts w:ascii="Times New Roman" w:hAnsi="Times New Roman" w:cs="Times New Roman"/>
          <w:i/>
          <w:iCs/>
          <w:sz w:val="24"/>
          <w:szCs w:val="24"/>
        </w:rPr>
        <w:t>Services for Older Adults Living at Home</w:t>
      </w:r>
      <w:r w:rsidRPr="00A24967">
        <w:rPr>
          <w:rFonts w:ascii="Times New Roman" w:hAnsi="Times New Roman" w:cs="Times New Roman"/>
          <w:sz w:val="24"/>
          <w:szCs w:val="24"/>
        </w:rPr>
        <w:t xml:space="preserve">. Available at: </w:t>
      </w:r>
      <w:hyperlink r:id="rId32" w:history="1">
        <w:r w:rsidRPr="004F2BDB">
          <w:rPr>
            <w:rStyle w:val="Hyperlink"/>
            <w:rFonts w:ascii="Times New Roman" w:hAnsi="Times New Roman" w:cs="Times New Roman"/>
            <w:sz w:val="24"/>
            <w:szCs w:val="24"/>
          </w:rPr>
          <w:t>https://www.nia.nih.gov/health/caregiving/services-older-adults-living-home</w:t>
        </w:r>
      </w:hyperlink>
      <w:r>
        <w:rPr>
          <w:rFonts w:ascii="Times New Roman" w:hAnsi="Times New Roman" w:cs="Times New Roman"/>
          <w:sz w:val="24"/>
          <w:szCs w:val="24"/>
        </w:rPr>
        <w:t xml:space="preserve"> (</w:t>
      </w:r>
      <w:r w:rsidRPr="00A24967">
        <w:rPr>
          <w:rFonts w:ascii="Times New Roman" w:hAnsi="Times New Roman" w:cs="Times New Roman"/>
          <w:sz w:val="24"/>
          <w:szCs w:val="24"/>
        </w:rPr>
        <w:t>Accessed 28 August 2024</w:t>
      </w:r>
      <w:r>
        <w:rPr>
          <w:rFonts w:ascii="Times New Roman" w:hAnsi="Times New Roman" w:cs="Times New Roman"/>
          <w:sz w:val="24"/>
          <w:szCs w:val="24"/>
        </w:rPr>
        <w:t>)</w:t>
      </w:r>
      <w:r w:rsidRPr="00A24967">
        <w:rPr>
          <w:rFonts w:ascii="Times New Roman" w:hAnsi="Times New Roman" w:cs="Times New Roman"/>
          <w:sz w:val="24"/>
          <w:szCs w:val="24"/>
        </w:rPr>
        <w:t>.</w:t>
      </w:r>
    </w:p>
    <w:p w14:paraId="54DD1E8B" w14:textId="7F8E27B0" w:rsidR="0010256C" w:rsidRDefault="0010256C" w:rsidP="0027466A">
      <w:pPr>
        <w:pStyle w:val="ListParagraph"/>
        <w:spacing w:line="360" w:lineRule="auto"/>
        <w:rPr>
          <w:rFonts w:ascii="Times New Roman" w:hAnsi="Times New Roman" w:cs="Times New Roman"/>
          <w:sz w:val="24"/>
          <w:szCs w:val="24"/>
        </w:rPr>
      </w:pPr>
    </w:p>
    <w:p w14:paraId="5D00222E" w14:textId="521E9227" w:rsidR="00976C57" w:rsidRPr="00976C57" w:rsidRDefault="00976C57" w:rsidP="00DA60E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Ochoa, D. (2024) </w:t>
      </w:r>
      <w:r w:rsidRPr="00976C57">
        <w:rPr>
          <w:rFonts w:ascii="Times New Roman" w:hAnsi="Times New Roman" w:cs="Times New Roman"/>
          <w:i/>
          <w:iCs/>
          <w:sz w:val="24"/>
          <w:szCs w:val="24"/>
        </w:rPr>
        <w:t>Stakeholder Matrix: A Guide to Effective Management and Engagement</w:t>
      </w:r>
      <w:r>
        <w:rPr>
          <w:rFonts w:ascii="Times New Roman" w:hAnsi="Times New Roman" w:cs="Times New Roman"/>
          <w:i/>
          <w:iCs/>
          <w:sz w:val="24"/>
          <w:szCs w:val="24"/>
        </w:rPr>
        <w:t xml:space="preserve">. </w:t>
      </w:r>
      <w:r w:rsidRPr="00976C57">
        <w:rPr>
          <w:rFonts w:ascii="Times New Roman" w:hAnsi="Times New Roman" w:cs="Times New Roman"/>
          <w:sz w:val="24"/>
          <w:szCs w:val="24"/>
        </w:rPr>
        <w:t>Available at:</w:t>
      </w:r>
      <w:r w:rsidRPr="00976C57">
        <w:t xml:space="preserve"> </w:t>
      </w:r>
      <w:hyperlink r:id="rId33" w:history="1">
        <w:r w:rsidRPr="00205B09">
          <w:rPr>
            <w:rStyle w:val="Hyperlink"/>
            <w:rFonts w:ascii="Times New Roman" w:hAnsi="Times New Roman" w:cs="Times New Roman"/>
            <w:sz w:val="24"/>
            <w:szCs w:val="24"/>
          </w:rPr>
          <w:t>https://www.halfnine.com/blog/post/stakeholder-matrix</w:t>
        </w:r>
      </w:hyperlink>
      <w:r>
        <w:rPr>
          <w:rFonts w:ascii="Times New Roman" w:hAnsi="Times New Roman" w:cs="Times New Roman"/>
          <w:sz w:val="24"/>
          <w:szCs w:val="24"/>
        </w:rPr>
        <w:t xml:space="preserve"> Accessed 27 August 2024</w:t>
      </w:r>
      <w:r w:rsidR="00B405F9">
        <w:rPr>
          <w:rFonts w:ascii="Times New Roman" w:hAnsi="Times New Roman" w:cs="Times New Roman"/>
          <w:sz w:val="24"/>
          <w:szCs w:val="24"/>
        </w:rPr>
        <w:t>.</w:t>
      </w:r>
    </w:p>
    <w:p w14:paraId="0C75C5B7" w14:textId="366F087C" w:rsidR="00295931" w:rsidRDefault="00295931" w:rsidP="00DA60E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Primus, W., Paris, J. (2023) Seven facts about the economic security of older adults. Available at: </w:t>
      </w:r>
      <w:hyperlink r:id="rId34" w:history="1">
        <w:r w:rsidRPr="00194A44">
          <w:rPr>
            <w:rStyle w:val="Hyperlink"/>
            <w:rFonts w:ascii="Times New Roman" w:hAnsi="Times New Roman" w:cs="Times New Roman"/>
            <w:sz w:val="24"/>
            <w:szCs w:val="24"/>
          </w:rPr>
          <w:t>https://www.brookings.edu/articles/seven-facts-about-the-economic-security-of-older-adults/</w:t>
        </w:r>
      </w:hyperlink>
      <w:r>
        <w:rPr>
          <w:rFonts w:ascii="Times New Roman" w:hAnsi="Times New Roman" w:cs="Times New Roman"/>
          <w:sz w:val="24"/>
          <w:szCs w:val="24"/>
        </w:rPr>
        <w:t xml:space="preserve"> (Accessed 28 August 2024).</w:t>
      </w:r>
    </w:p>
    <w:bookmarkEnd w:id="1"/>
    <w:p w14:paraId="6B940E62" w14:textId="77C402AB" w:rsidR="00D128EE" w:rsidRDefault="00D128EE" w:rsidP="00D128EE">
      <w:pPr>
        <w:pStyle w:val="ListParagraph"/>
        <w:numPr>
          <w:ilvl w:val="0"/>
          <w:numId w:val="2"/>
        </w:numPr>
        <w:spacing w:line="360" w:lineRule="auto"/>
        <w:rPr>
          <w:rFonts w:ascii="Times New Roman" w:hAnsi="Times New Roman" w:cs="Times New Roman"/>
          <w:sz w:val="24"/>
          <w:szCs w:val="24"/>
        </w:rPr>
      </w:pPr>
      <w:r w:rsidRPr="00C83E17">
        <w:rPr>
          <w:rFonts w:ascii="Times New Roman" w:hAnsi="Times New Roman" w:cs="Times New Roman"/>
          <w:sz w:val="24"/>
          <w:szCs w:val="24"/>
        </w:rPr>
        <w:lastRenderedPageBreak/>
        <w:t xml:space="preserve">Schiavo, R. (2021). </w:t>
      </w:r>
      <w:r>
        <w:rPr>
          <w:rFonts w:ascii="Times New Roman" w:hAnsi="Times New Roman" w:cs="Times New Roman"/>
          <w:sz w:val="24"/>
          <w:szCs w:val="24"/>
        </w:rPr>
        <w:t>`</w:t>
      </w:r>
      <w:r w:rsidRPr="00C83E17">
        <w:rPr>
          <w:rFonts w:ascii="Times New Roman" w:hAnsi="Times New Roman" w:cs="Times New Roman"/>
          <w:sz w:val="24"/>
          <w:szCs w:val="24"/>
        </w:rPr>
        <w:t xml:space="preserve">What is true community engagement and why it matters (now more than </w:t>
      </w:r>
      <w:proofErr w:type="gramStart"/>
      <w:r w:rsidRPr="00C83E17">
        <w:rPr>
          <w:rFonts w:ascii="Times New Roman" w:hAnsi="Times New Roman" w:cs="Times New Roman"/>
          <w:sz w:val="24"/>
          <w:szCs w:val="24"/>
        </w:rPr>
        <w:t>ever)</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C83E17">
        <w:rPr>
          <w:rFonts w:ascii="Times New Roman" w:hAnsi="Times New Roman" w:cs="Times New Roman"/>
          <w:i/>
          <w:iCs/>
          <w:sz w:val="24"/>
          <w:szCs w:val="24"/>
        </w:rPr>
        <w:t>Journal of Communication in Healthcare</w:t>
      </w:r>
      <w:r w:rsidRPr="00C83E17">
        <w:rPr>
          <w:rFonts w:ascii="Times New Roman" w:hAnsi="Times New Roman" w:cs="Times New Roman"/>
          <w:sz w:val="24"/>
          <w:szCs w:val="24"/>
        </w:rPr>
        <w:t xml:space="preserve">, 14(2), 91–92. </w:t>
      </w:r>
      <w:hyperlink r:id="rId35" w:history="1">
        <w:r w:rsidRPr="004F2BDB">
          <w:rPr>
            <w:rStyle w:val="Hyperlink"/>
            <w:rFonts w:ascii="Times New Roman" w:hAnsi="Times New Roman" w:cs="Times New Roman"/>
            <w:sz w:val="24"/>
            <w:szCs w:val="24"/>
          </w:rPr>
          <w:t>https://doi.org/10.1080/17538068.2021.1935569</w:t>
        </w:r>
      </w:hyperlink>
      <w:r>
        <w:rPr>
          <w:rFonts w:ascii="Times New Roman" w:hAnsi="Times New Roman" w:cs="Times New Roman"/>
          <w:sz w:val="24"/>
          <w:szCs w:val="24"/>
        </w:rPr>
        <w:t xml:space="preserve"> </w:t>
      </w:r>
    </w:p>
    <w:p w14:paraId="38EB0F88" w14:textId="62AD5D04" w:rsidR="00D128EE" w:rsidRDefault="00A24967" w:rsidP="00DA60ED">
      <w:pPr>
        <w:pStyle w:val="ListParagraph"/>
        <w:numPr>
          <w:ilvl w:val="0"/>
          <w:numId w:val="2"/>
        </w:numPr>
        <w:spacing w:line="360" w:lineRule="auto"/>
        <w:rPr>
          <w:rFonts w:ascii="Times New Roman" w:hAnsi="Times New Roman" w:cs="Times New Roman"/>
          <w:sz w:val="24"/>
          <w:szCs w:val="24"/>
        </w:rPr>
      </w:pPr>
      <w:bookmarkStart w:id="2" w:name="_Hlk175774699"/>
      <w:r w:rsidRPr="00A24967">
        <w:rPr>
          <w:rFonts w:ascii="Times New Roman" w:hAnsi="Times New Roman" w:cs="Times New Roman"/>
          <w:sz w:val="24"/>
          <w:szCs w:val="24"/>
        </w:rPr>
        <w:t xml:space="preserve">World Health Organization (WHO), 2024. </w:t>
      </w:r>
      <w:r w:rsidRPr="00A24967">
        <w:rPr>
          <w:rFonts w:ascii="Times New Roman" w:hAnsi="Times New Roman" w:cs="Times New Roman"/>
          <w:i/>
          <w:iCs/>
          <w:sz w:val="24"/>
          <w:szCs w:val="24"/>
        </w:rPr>
        <w:t>Healthy Ageing</w:t>
      </w:r>
      <w:r w:rsidRPr="00A24967">
        <w:rPr>
          <w:rFonts w:ascii="Times New Roman" w:hAnsi="Times New Roman" w:cs="Times New Roman"/>
          <w:sz w:val="24"/>
          <w:szCs w:val="24"/>
        </w:rPr>
        <w:t xml:space="preserve">. Available at: </w:t>
      </w:r>
      <w:hyperlink r:id="rId36" w:anchor="tab=tab_1" w:history="1">
        <w:r w:rsidRPr="004F2BDB">
          <w:rPr>
            <w:rStyle w:val="Hyperlink"/>
            <w:rFonts w:ascii="Times New Roman" w:hAnsi="Times New Roman" w:cs="Times New Roman"/>
            <w:sz w:val="24"/>
            <w:szCs w:val="24"/>
          </w:rPr>
          <w:t>https://www.who.int/health-topics/ageing#tab=tab_1</w:t>
        </w:r>
      </w:hyperlink>
      <w:r>
        <w:rPr>
          <w:rFonts w:ascii="Times New Roman" w:hAnsi="Times New Roman" w:cs="Times New Roman"/>
          <w:sz w:val="24"/>
          <w:szCs w:val="24"/>
        </w:rPr>
        <w:t xml:space="preserve"> </w:t>
      </w:r>
      <w:r w:rsidRPr="00A24967">
        <w:rPr>
          <w:rFonts w:ascii="Times New Roman" w:hAnsi="Times New Roman" w:cs="Times New Roman"/>
          <w:sz w:val="24"/>
          <w:szCs w:val="24"/>
        </w:rPr>
        <w:t xml:space="preserve"> </w:t>
      </w:r>
      <w:r>
        <w:rPr>
          <w:rFonts w:ascii="Times New Roman" w:hAnsi="Times New Roman" w:cs="Times New Roman"/>
          <w:sz w:val="24"/>
          <w:szCs w:val="24"/>
        </w:rPr>
        <w:t>(</w:t>
      </w:r>
      <w:r w:rsidRPr="00A24967">
        <w:rPr>
          <w:rFonts w:ascii="Times New Roman" w:hAnsi="Times New Roman" w:cs="Times New Roman"/>
          <w:sz w:val="24"/>
          <w:szCs w:val="24"/>
        </w:rPr>
        <w:t>Accessed 28 August 2024</w:t>
      </w:r>
      <w:r>
        <w:rPr>
          <w:rFonts w:ascii="Times New Roman" w:hAnsi="Times New Roman" w:cs="Times New Roman"/>
          <w:sz w:val="24"/>
          <w:szCs w:val="24"/>
        </w:rPr>
        <w:t>)</w:t>
      </w:r>
      <w:r w:rsidRPr="00A24967">
        <w:rPr>
          <w:rFonts w:ascii="Times New Roman" w:hAnsi="Times New Roman" w:cs="Times New Roman"/>
          <w:sz w:val="24"/>
          <w:szCs w:val="24"/>
        </w:rPr>
        <w:t>.</w:t>
      </w:r>
    </w:p>
    <w:p w14:paraId="1049AEAC" w14:textId="0AF57D2A" w:rsidR="00930A82" w:rsidRDefault="00930A82" w:rsidP="00930A82">
      <w:pPr>
        <w:pStyle w:val="ListParagraph"/>
        <w:numPr>
          <w:ilvl w:val="0"/>
          <w:numId w:val="2"/>
        </w:numPr>
        <w:spacing w:line="360" w:lineRule="auto"/>
        <w:rPr>
          <w:rFonts w:ascii="Times New Roman" w:hAnsi="Times New Roman" w:cs="Times New Roman"/>
          <w:sz w:val="24"/>
          <w:szCs w:val="24"/>
        </w:rPr>
      </w:pPr>
      <w:r w:rsidRPr="00930A82">
        <w:rPr>
          <w:rFonts w:ascii="Times New Roman" w:hAnsi="Times New Roman" w:cs="Times New Roman"/>
          <w:sz w:val="24"/>
          <w:szCs w:val="24"/>
        </w:rPr>
        <w:t xml:space="preserve">Office for National Statistics (ONS) (2021) </w:t>
      </w:r>
      <w:r w:rsidRPr="00930A82">
        <w:rPr>
          <w:rFonts w:ascii="Times New Roman" w:hAnsi="Times New Roman" w:cs="Times New Roman"/>
          <w:i/>
          <w:iCs/>
          <w:sz w:val="24"/>
          <w:szCs w:val="24"/>
        </w:rPr>
        <w:t>Census 2021 Population Change</w:t>
      </w:r>
      <w:r w:rsidRPr="00930A82">
        <w:rPr>
          <w:rFonts w:ascii="Times New Roman" w:hAnsi="Times New Roman" w:cs="Times New Roman"/>
          <w:sz w:val="24"/>
          <w:szCs w:val="24"/>
        </w:rPr>
        <w:t xml:space="preserve">. Available at: </w:t>
      </w:r>
      <w:hyperlink r:id="rId37" w:history="1">
        <w:r w:rsidRPr="00194A44">
          <w:rPr>
            <w:rStyle w:val="Hyperlink"/>
            <w:rFonts w:ascii="Times New Roman" w:hAnsi="Times New Roman" w:cs="Times New Roman"/>
            <w:sz w:val="24"/>
            <w:szCs w:val="24"/>
          </w:rPr>
          <w:t>https://www.ons.gov.uk/visualisations/censuspopulationchange/E07000103/</w:t>
        </w:r>
      </w:hyperlink>
      <w:r>
        <w:rPr>
          <w:rFonts w:ascii="Times New Roman" w:hAnsi="Times New Roman" w:cs="Times New Roman"/>
          <w:sz w:val="24"/>
          <w:szCs w:val="24"/>
        </w:rPr>
        <w:t xml:space="preserve"> </w:t>
      </w:r>
      <w:r w:rsidRPr="00930A82">
        <w:rPr>
          <w:rFonts w:ascii="Times New Roman" w:hAnsi="Times New Roman" w:cs="Times New Roman"/>
          <w:sz w:val="24"/>
          <w:szCs w:val="24"/>
        </w:rPr>
        <w:t>(Accessed: 29 August 2024).</w:t>
      </w:r>
    </w:p>
    <w:p w14:paraId="6975E418" w14:textId="0809EF29" w:rsidR="00ED6D81" w:rsidRPr="00930A82" w:rsidRDefault="00ED6D81" w:rsidP="00930A82">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The Green of Cannondale, (2024). </w:t>
      </w:r>
      <w:proofErr w:type="gramStart"/>
      <w:r>
        <w:rPr>
          <w:rFonts w:ascii="Times New Roman" w:hAnsi="Times New Roman" w:cs="Times New Roman"/>
          <w:sz w:val="24"/>
          <w:szCs w:val="24"/>
        </w:rPr>
        <w:t>.</w:t>
      </w:r>
      <w:r w:rsidRPr="00ED6D81">
        <w:rPr>
          <w:rFonts w:ascii="Times New Roman" w:hAnsi="Times New Roman" w:cs="Times New Roman"/>
          <w:i/>
          <w:iCs/>
          <w:sz w:val="24"/>
          <w:szCs w:val="24"/>
        </w:rPr>
        <w:t>Enhancing</w:t>
      </w:r>
      <w:proofErr w:type="gramEnd"/>
      <w:r w:rsidRPr="00ED6D81">
        <w:rPr>
          <w:rFonts w:ascii="Times New Roman" w:hAnsi="Times New Roman" w:cs="Times New Roman"/>
          <w:i/>
          <w:iCs/>
          <w:sz w:val="24"/>
          <w:szCs w:val="24"/>
        </w:rPr>
        <w:t xml:space="preserve"> Community Engagement in Senior Living </w:t>
      </w:r>
      <w:proofErr w:type="spellStart"/>
      <w:r w:rsidRPr="00ED6D81">
        <w:rPr>
          <w:rFonts w:ascii="Times New Roman" w:hAnsi="Times New Roman" w:cs="Times New Roman"/>
          <w:i/>
          <w:iCs/>
          <w:sz w:val="24"/>
          <w:szCs w:val="24"/>
        </w:rPr>
        <w:t>Beneffits</w:t>
      </w:r>
      <w:proofErr w:type="spellEnd"/>
      <w:r w:rsidRPr="00ED6D81">
        <w:rPr>
          <w:rFonts w:ascii="Times New Roman" w:hAnsi="Times New Roman" w:cs="Times New Roman"/>
          <w:i/>
          <w:iCs/>
          <w:sz w:val="24"/>
          <w:szCs w:val="24"/>
        </w:rPr>
        <w:t xml:space="preserve"> and Strategies</w:t>
      </w:r>
      <w:r>
        <w:rPr>
          <w:rFonts w:ascii="Times New Roman" w:hAnsi="Times New Roman" w:cs="Times New Roman"/>
          <w:sz w:val="24"/>
          <w:szCs w:val="24"/>
        </w:rPr>
        <w:t xml:space="preserve">. Available at: </w:t>
      </w:r>
      <w:hyperlink r:id="rId38" w:history="1">
        <w:r w:rsidRPr="00205B09">
          <w:rPr>
            <w:rStyle w:val="Hyperlink"/>
            <w:rFonts w:ascii="Times New Roman" w:hAnsi="Times New Roman" w:cs="Times New Roman"/>
            <w:sz w:val="24"/>
            <w:szCs w:val="24"/>
          </w:rPr>
          <w:t>https://thegreensatcannondale.com/enhancing-community-engagement-in-senior-living-benefits-and-strategies/</w:t>
        </w:r>
      </w:hyperlink>
      <w:r>
        <w:rPr>
          <w:rFonts w:ascii="Times New Roman" w:hAnsi="Times New Roman" w:cs="Times New Roman"/>
          <w:sz w:val="24"/>
          <w:szCs w:val="24"/>
        </w:rPr>
        <w:t xml:space="preserve"> (Accessed 31 August 2024).</w:t>
      </w:r>
    </w:p>
    <w:p w14:paraId="727B86AF" w14:textId="02F2CF8F" w:rsidR="00930A82" w:rsidRPr="00930A82" w:rsidRDefault="00930A82" w:rsidP="00930A82">
      <w:pPr>
        <w:pStyle w:val="ListParagraph"/>
        <w:numPr>
          <w:ilvl w:val="0"/>
          <w:numId w:val="2"/>
        </w:numPr>
        <w:spacing w:line="360" w:lineRule="auto"/>
        <w:rPr>
          <w:rFonts w:ascii="Times New Roman" w:hAnsi="Times New Roman" w:cs="Times New Roman"/>
          <w:sz w:val="24"/>
          <w:szCs w:val="24"/>
        </w:rPr>
      </w:pPr>
      <w:proofErr w:type="spellStart"/>
      <w:r w:rsidRPr="00930A82">
        <w:rPr>
          <w:rFonts w:ascii="Times New Roman" w:hAnsi="Times New Roman" w:cs="Times New Roman"/>
          <w:sz w:val="24"/>
          <w:szCs w:val="24"/>
        </w:rPr>
        <w:t>Varbes</w:t>
      </w:r>
      <w:proofErr w:type="spellEnd"/>
      <w:r w:rsidRPr="00930A82">
        <w:rPr>
          <w:rFonts w:ascii="Times New Roman" w:hAnsi="Times New Roman" w:cs="Times New Roman"/>
          <w:sz w:val="24"/>
          <w:szCs w:val="24"/>
        </w:rPr>
        <w:t xml:space="preserve"> (2021) </w:t>
      </w:r>
      <w:r w:rsidRPr="00930A82">
        <w:rPr>
          <w:rFonts w:ascii="Times New Roman" w:hAnsi="Times New Roman" w:cs="Times New Roman"/>
          <w:i/>
          <w:iCs/>
          <w:sz w:val="24"/>
          <w:szCs w:val="24"/>
        </w:rPr>
        <w:t>Watford Demographics</w:t>
      </w:r>
      <w:r w:rsidRPr="00930A82">
        <w:rPr>
          <w:rFonts w:ascii="Times New Roman" w:hAnsi="Times New Roman" w:cs="Times New Roman"/>
          <w:sz w:val="24"/>
          <w:szCs w:val="24"/>
        </w:rPr>
        <w:t xml:space="preserve">. Available at: </w:t>
      </w:r>
      <w:hyperlink r:id="rId39" w:history="1">
        <w:r w:rsidRPr="00194A44">
          <w:rPr>
            <w:rStyle w:val="Hyperlink"/>
            <w:rFonts w:ascii="Times New Roman" w:hAnsi="Times New Roman" w:cs="Times New Roman"/>
            <w:sz w:val="24"/>
            <w:szCs w:val="24"/>
          </w:rPr>
          <w:t>https://www.varbes.com/demographics/watford-demographics</w:t>
        </w:r>
      </w:hyperlink>
      <w:r>
        <w:rPr>
          <w:rFonts w:ascii="Times New Roman" w:hAnsi="Times New Roman" w:cs="Times New Roman"/>
          <w:sz w:val="24"/>
          <w:szCs w:val="24"/>
        </w:rPr>
        <w:t xml:space="preserve"> </w:t>
      </w:r>
      <w:r w:rsidRPr="00930A82">
        <w:rPr>
          <w:rFonts w:ascii="Times New Roman" w:hAnsi="Times New Roman" w:cs="Times New Roman"/>
          <w:sz w:val="24"/>
          <w:szCs w:val="24"/>
        </w:rPr>
        <w:t>(Accessed: 29 August 2024)</w:t>
      </w:r>
    </w:p>
    <w:p w14:paraId="6AAC7FCA" w14:textId="0EA1B50C" w:rsidR="00930A82" w:rsidRDefault="00930A82" w:rsidP="00930A82">
      <w:pPr>
        <w:pStyle w:val="ListParagraph"/>
        <w:numPr>
          <w:ilvl w:val="0"/>
          <w:numId w:val="2"/>
        </w:numPr>
        <w:spacing w:line="360" w:lineRule="auto"/>
        <w:rPr>
          <w:rFonts w:ascii="Times New Roman" w:hAnsi="Times New Roman" w:cs="Times New Roman"/>
          <w:sz w:val="24"/>
          <w:szCs w:val="24"/>
        </w:rPr>
      </w:pPr>
      <w:r w:rsidRPr="00930A82">
        <w:rPr>
          <w:rFonts w:ascii="Times New Roman" w:hAnsi="Times New Roman" w:cs="Times New Roman"/>
          <w:sz w:val="24"/>
          <w:szCs w:val="24"/>
        </w:rPr>
        <w:t xml:space="preserve">Watford Observer (2021) Census 2021: </w:t>
      </w:r>
      <w:r w:rsidRPr="00930A82">
        <w:rPr>
          <w:rFonts w:ascii="Times New Roman" w:hAnsi="Times New Roman" w:cs="Times New Roman"/>
          <w:i/>
          <w:iCs/>
          <w:sz w:val="24"/>
          <w:szCs w:val="24"/>
        </w:rPr>
        <w:t>Watford Second Densely Populated Area in East.</w:t>
      </w:r>
      <w:r w:rsidRPr="00930A82">
        <w:rPr>
          <w:rFonts w:ascii="Times New Roman" w:hAnsi="Times New Roman" w:cs="Times New Roman"/>
          <w:sz w:val="24"/>
          <w:szCs w:val="24"/>
        </w:rPr>
        <w:t xml:space="preserve"> Available at: </w:t>
      </w:r>
      <w:hyperlink r:id="rId40" w:history="1">
        <w:r w:rsidRPr="00194A44">
          <w:rPr>
            <w:rStyle w:val="Hyperlink"/>
            <w:rFonts w:ascii="Times New Roman" w:hAnsi="Times New Roman" w:cs="Times New Roman"/>
            <w:sz w:val="24"/>
            <w:szCs w:val="24"/>
          </w:rPr>
          <w:t>https://www.watfordobserver.co.uk/news/20241003.census-2021-watford-second-densely-populated-area-east/</w:t>
        </w:r>
      </w:hyperlink>
      <w:r>
        <w:rPr>
          <w:rFonts w:ascii="Times New Roman" w:hAnsi="Times New Roman" w:cs="Times New Roman"/>
          <w:sz w:val="24"/>
          <w:szCs w:val="24"/>
        </w:rPr>
        <w:t xml:space="preserve"> </w:t>
      </w:r>
      <w:r w:rsidRPr="00930A82">
        <w:rPr>
          <w:rFonts w:ascii="Times New Roman" w:hAnsi="Times New Roman" w:cs="Times New Roman"/>
          <w:sz w:val="24"/>
          <w:szCs w:val="24"/>
        </w:rPr>
        <w:t>(Accessed: 29 August 2024).</w:t>
      </w:r>
    </w:p>
    <w:p w14:paraId="7FDE42B0" w14:textId="50CC036C" w:rsidR="00FD0BEC" w:rsidRPr="00DA60ED" w:rsidRDefault="00FD0BEC" w:rsidP="00930A82">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Watford</w:t>
      </w:r>
      <w:r w:rsidR="00490017">
        <w:rPr>
          <w:rFonts w:ascii="Times New Roman" w:hAnsi="Times New Roman" w:cs="Times New Roman"/>
          <w:sz w:val="24"/>
          <w:szCs w:val="24"/>
        </w:rPr>
        <w:t xml:space="preserve"> &amp;</w:t>
      </w:r>
      <w:r>
        <w:rPr>
          <w:rFonts w:ascii="Times New Roman" w:hAnsi="Times New Roman" w:cs="Times New Roman"/>
          <w:sz w:val="24"/>
          <w:szCs w:val="24"/>
        </w:rPr>
        <w:t xml:space="preserve"> Three Rivers Trust, </w:t>
      </w:r>
      <w:r w:rsidR="00490017">
        <w:rPr>
          <w:rFonts w:ascii="Times New Roman" w:hAnsi="Times New Roman" w:cs="Times New Roman"/>
          <w:sz w:val="24"/>
          <w:szCs w:val="24"/>
        </w:rPr>
        <w:t xml:space="preserve">(2024). Supporting the Elderly Community. Available at: </w:t>
      </w:r>
      <w:hyperlink r:id="rId41" w:history="1">
        <w:r w:rsidR="00490017" w:rsidRPr="00205B09">
          <w:rPr>
            <w:rStyle w:val="Hyperlink"/>
            <w:rFonts w:ascii="Times New Roman" w:hAnsi="Times New Roman" w:cs="Times New Roman"/>
            <w:sz w:val="24"/>
            <w:szCs w:val="24"/>
          </w:rPr>
          <w:t>https://www.w3rt.org/about</w:t>
        </w:r>
      </w:hyperlink>
      <w:r w:rsidR="00490017">
        <w:rPr>
          <w:rFonts w:ascii="Times New Roman" w:hAnsi="Times New Roman" w:cs="Times New Roman"/>
          <w:sz w:val="24"/>
          <w:szCs w:val="24"/>
        </w:rPr>
        <w:t xml:space="preserve"> (Accessed 31 August 2024).</w:t>
      </w:r>
    </w:p>
    <w:bookmarkEnd w:id="2"/>
    <w:p w14:paraId="2A222166" w14:textId="0EECEF5D" w:rsidR="00DA60ED" w:rsidRPr="008D2805" w:rsidRDefault="00490017" w:rsidP="008D2805">
      <w:pPr>
        <w:spacing w:line="360" w:lineRule="auto"/>
        <w:rPr>
          <w:rFonts w:ascii="Times New Roman" w:hAnsi="Times New Roman" w:cs="Times New Roman"/>
          <w:sz w:val="24"/>
          <w:szCs w:val="24"/>
        </w:rPr>
      </w:pPr>
      <w:r>
        <w:rPr>
          <w:rFonts w:ascii="Times New Roman" w:hAnsi="Times New Roman" w:cs="Times New Roman"/>
          <w:sz w:val="24"/>
          <w:szCs w:val="24"/>
        </w:rPr>
        <w:t>.</w:t>
      </w:r>
    </w:p>
    <w:sectPr w:rsidR="00DA60ED" w:rsidRPr="008D2805">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FC6FC5" w14:textId="77777777" w:rsidR="00734364" w:rsidRDefault="00734364" w:rsidP="0078757E">
      <w:pPr>
        <w:spacing w:after="0" w:line="240" w:lineRule="auto"/>
      </w:pPr>
      <w:r>
        <w:separator/>
      </w:r>
    </w:p>
  </w:endnote>
  <w:endnote w:type="continuationSeparator" w:id="0">
    <w:p w14:paraId="31731DED" w14:textId="77777777" w:rsidR="00734364" w:rsidRDefault="00734364" w:rsidP="00787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8533BB" w14:textId="77777777" w:rsidR="00734364" w:rsidRDefault="00734364" w:rsidP="0078757E">
      <w:pPr>
        <w:spacing w:after="0" w:line="240" w:lineRule="auto"/>
      </w:pPr>
      <w:r>
        <w:separator/>
      </w:r>
    </w:p>
  </w:footnote>
  <w:footnote w:type="continuationSeparator" w:id="0">
    <w:p w14:paraId="27467192" w14:textId="77777777" w:rsidR="00734364" w:rsidRDefault="00734364" w:rsidP="007875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1061F8" w14:textId="3688C1A4" w:rsidR="0078757E" w:rsidRPr="0078757E" w:rsidRDefault="0078757E" w:rsidP="0078757E">
    <w:pPr>
      <w:pStyle w:val="Header"/>
      <w:jc w:val="center"/>
      <w:rPr>
        <w:rFonts w:ascii="Times New Roman" w:hAnsi="Times New Roman" w:cs="Times New Roman"/>
        <w:sz w:val="24"/>
        <w:szCs w:val="24"/>
      </w:rPr>
    </w:pPr>
    <w:r w:rsidRPr="0078757E">
      <w:rPr>
        <w:rFonts w:ascii="Times New Roman" w:hAnsi="Times New Roman" w:cs="Times New Roman"/>
        <w:sz w:val="24"/>
        <w:szCs w:val="24"/>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C6A7C"/>
    <w:multiLevelType w:val="hybridMultilevel"/>
    <w:tmpl w:val="08FE5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5D6129"/>
    <w:multiLevelType w:val="hybridMultilevel"/>
    <w:tmpl w:val="BE3A3346"/>
    <w:lvl w:ilvl="0" w:tplc="AD285BF2">
      <w:start w:val="1"/>
      <w:numFmt w:val="decimal"/>
      <w:lvlText w:val="%1."/>
      <w:lvlJc w:val="left"/>
      <w:pPr>
        <w:ind w:left="2157" w:hanging="360"/>
      </w:pPr>
      <w:rPr>
        <w:rFonts w:hint="default"/>
      </w:rPr>
    </w:lvl>
    <w:lvl w:ilvl="1" w:tplc="08090019" w:tentative="1">
      <w:start w:val="1"/>
      <w:numFmt w:val="lowerLetter"/>
      <w:lvlText w:val="%2."/>
      <w:lvlJc w:val="left"/>
      <w:pPr>
        <w:ind w:left="2877" w:hanging="360"/>
      </w:pPr>
    </w:lvl>
    <w:lvl w:ilvl="2" w:tplc="0809001B" w:tentative="1">
      <w:start w:val="1"/>
      <w:numFmt w:val="lowerRoman"/>
      <w:lvlText w:val="%3."/>
      <w:lvlJc w:val="right"/>
      <w:pPr>
        <w:ind w:left="3597" w:hanging="180"/>
      </w:pPr>
    </w:lvl>
    <w:lvl w:ilvl="3" w:tplc="0809000F" w:tentative="1">
      <w:start w:val="1"/>
      <w:numFmt w:val="decimal"/>
      <w:lvlText w:val="%4."/>
      <w:lvlJc w:val="left"/>
      <w:pPr>
        <w:ind w:left="4317" w:hanging="360"/>
      </w:pPr>
    </w:lvl>
    <w:lvl w:ilvl="4" w:tplc="08090019" w:tentative="1">
      <w:start w:val="1"/>
      <w:numFmt w:val="lowerLetter"/>
      <w:lvlText w:val="%5."/>
      <w:lvlJc w:val="left"/>
      <w:pPr>
        <w:ind w:left="5037" w:hanging="360"/>
      </w:pPr>
    </w:lvl>
    <w:lvl w:ilvl="5" w:tplc="0809001B" w:tentative="1">
      <w:start w:val="1"/>
      <w:numFmt w:val="lowerRoman"/>
      <w:lvlText w:val="%6."/>
      <w:lvlJc w:val="right"/>
      <w:pPr>
        <w:ind w:left="5757" w:hanging="180"/>
      </w:pPr>
    </w:lvl>
    <w:lvl w:ilvl="6" w:tplc="0809000F" w:tentative="1">
      <w:start w:val="1"/>
      <w:numFmt w:val="decimal"/>
      <w:lvlText w:val="%7."/>
      <w:lvlJc w:val="left"/>
      <w:pPr>
        <w:ind w:left="6477" w:hanging="360"/>
      </w:pPr>
    </w:lvl>
    <w:lvl w:ilvl="7" w:tplc="08090019" w:tentative="1">
      <w:start w:val="1"/>
      <w:numFmt w:val="lowerLetter"/>
      <w:lvlText w:val="%8."/>
      <w:lvlJc w:val="left"/>
      <w:pPr>
        <w:ind w:left="7197" w:hanging="360"/>
      </w:pPr>
    </w:lvl>
    <w:lvl w:ilvl="8" w:tplc="0809001B" w:tentative="1">
      <w:start w:val="1"/>
      <w:numFmt w:val="lowerRoman"/>
      <w:lvlText w:val="%9."/>
      <w:lvlJc w:val="right"/>
      <w:pPr>
        <w:ind w:left="7917" w:hanging="180"/>
      </w:pPr>
    </w:lvl>
  </w:abstractNum>
  <w:abstractNum w:abstractNumId="2" w15:restartNumberingAfterBreak="0">
    <w:nsid w:val="2D4B4261"/>
    <w:multiLevelType w:val="hybridMultilevel"/>
    <w:tmpl w:val="248C8EF4"/>
    <w:lvl w:ilvl="0" w:tplc="08090001">
      <w:start w:val="1"/>
      <w:numFmt w:val="bullet"/>
      <w:lvlText w:val=""/>
      <w:lvlJc w:val="left"/>
      <w:pPr>
        <w:ind w:left="1837" w:hanging="360"/>
      </w:pPr>
      <w:rPr>
        <w:rFonts w:ascii="Symbol" w:hAnsi="Symbol" w:hint="default"/>
      </w:rPr>
    </w:lvl>
    <w:lvl w:ilvl="1" w:tplc="08090003" w:tentative="1">
      <w:start w:val="1"/>
      <w:numFmt w:val="bullet"/>
      <w:lvlText w:val="o"/>
      <w:lvlJc w:val="left"/>
      <w:pPr>
        <w:ind w:left="2557" w:hanging="360"/>
      </w:pPr>
      <w:rPr>
        <w:rFonts w:ascii="Courier New" w:hAnsi="Courier New" w:cs="Courier New" w:hint="default"/>
      </w:rPr>
    </w:lvl>
    <w:lvl w:ilvl="2" w:tplc="08090005" w:tentative="1">
      <w:start w:val="1"/>
      <w:numFmt w:val="bullet"/>
      <w:lvlText w:val=""/>
      <w:lvlJc w:val="left"/>
      <w:pPr>
        <w:ind w:left="3277" w:hanging="360"/>
      </w:pPr>
      <w:rPr>
        <w:rFonts w:ascii="Wingdings" w:hAnsi="Wingdings" w:hint="default"/>
      </w:rPr>
    </w:lvl>
    <w:lvl w:ilvl="3" w:tplc="08090001" w:tentative="1">
      <w:start w:val="1"/>
      <w:numFmt w:val="bullet"/>
      <w:lvlText w:val=""/>
      <w:lvlJc w:val="left"/>
      <w:pPr>
        <w:ind w:left="3997" w:hanging="360"/>
      </w:pPr>
      <w:rPr>
        <w:rFonts w:ascii="Symbol" w:hAnsi="Symbol" w:hint="default"/>
      </w:rPr>
    </w:lvl>
    <w:lvl w:ilvl="4" w:tplc="08090003" w:tentative="1">
      <w:start w:val="1"/>
      <w:numFmt w:val="bullet"/>
      <w:lvlText w:val="o"/>
      <w:lvlJc w:val="left"/>
      <w:pPr>
        <w:ind w:left="4717" w:hanging="360"/>
      </w:pPr>
      <w:rPr>
        <w:rFonts w:ascii="Courier New" w:hAnsi="Courier New" w:cs="Courier New" w:hint="default"/>
      </w:rPr>
    </w:lvl>
    <w:lvl w:ilvl="5" w:tplc="08090005" w:tentative="1">
      <w:start w:val="1"/>
      <w:numFmt w:val="bullet"/>
      <w:lvlText w:val=""/>
      <w:lvlJc w:val="left"/>
      <w:pPr>
        <w:ind w:left="5437" w:hanging="360"/>
      </w:pPr>
      <w:rPr>
        <w:rFonts w:ascii="Wingdings" w:hAnsi="Wingdings" w:hint="default"/>
      </w:rPr>
    </w:lvl>
    <w:lvl w:ilvl="6" w:tplc="08090001" w:tentative="1">
      <w:start w:val="1"/>
      <w:numFmt w:val="bullet"/>
      <w:lvlText w:val=""/>
      <w:lvlJc w:val="left"/>
      <w:pPr>
        <w:ind w:left="6157" w:hanging="360"/>
      </w:pPr>
      <w:rPr>
        <w:rFonts w:ascii="Symbol" w:hAnsi="Symbol" w:hint="default"/>
      </w:rPr>
    </w:lvl>
    <w:lvl w:ilvl="7" w:tplc="08090003" w:tentative="1">
      <w:start w:val="1"/>
      <w:numFmt w:val="bullet"/>
      <w:lvlText w:val="o"/>
      <w:lvlJc w:val="left"/>
      <w:pPr>
        <w:ind w:left="6877" w:hanging="360"/>
      </w:pPr>
      <w:rPr>
        <w:rFonts w:ascii="Courier New" w:hAnsi="Courier New" w:cs="Courier New" w:hint="default"/>
      </w:rPr>
    </w:lvl>
    <w:lvl w:ilvl="8" w:tplc="08090005" w:tentative="1">
      <w:start w:val="1"/>
      <w:numFmt w:val="bullet"/>
      <w:lvlText w:val=""/>
      <w:lvlJc w:val="left"/>
      <w:pPr>
        <w:ind w:left="7597" w:hanging="360"/>
      </w:pPr>
      <w:rPr>
        <w:rFonts w:ascii="Wingdings" w:hAnsi="Wingdings" w:hint="default"/>
      </w:rPr>
    </w:lvl>
  </w:abstractNum>
  <w:abstractNum w:abstractNumId="3" w15:restartNumberingAfterBreak="0">
    <w:nsid w:val="37BB302E"/>
    <w:multiLevelType w:val="hybridMultilevel"/>
    <w:tmpl w:val="2B4419FE"/>
    <w:lvl w:ilvl="0" w:tplc="0809000B">
      <w:start w:val="1"/>
      <w:numFmt w:val="bullet"/>
      <w:lvlText w:val=""/>
      <w:lvlJc w:val="left"/>
      <w:pPr>
        <w:ind w:left="1837" w:hanging="360"/>
      </w:pPr>
      <w:rPr>
        <w:rFonts w:ascii="Wingdings" w:hAnsi="Wingdings" w:hint="default"/>
      </w:rPr>
    </w:lvl>
    <w:lvl w:ilvl="1" w:tplc="08090003" w:tentative="1">
      <w:start w:val="1"/>
      <w:numFmt w:val="bullet"/>
      <w:lvlText w:val="o"/>
      <w:lvlJc w:val="left"/>
      <w:pPr>
        <w:ind w:left="2557" w:hanging="360"/>
      </w:pPr>
      <w:rPr>
        <w:rFonts w:ascii="Courier New" w:hAnsi="Courier New" w:cs="Courier New" w:hint="default"/>
      </w:rPr>
    </w:lvl>
    <w:lvl w:ilvl="2" w:tplc="08090005" w:tentative="1">
      <w:start w:val="1"/>
      <w:numFmt w:val="bullet"/>
      <w:lvlText w:val=""/>
      <w:lvlJc w:val="left"/>
      <w:pPr>
        <w:ind w:left="3277" w:hanging="360"/>
      </w:pPr>
      <w:rPr>
        <w:rFonts w:ascii="Wingdings" w:hAnsi="Wingdings" w:hint="default"/>
      </w:rPr>
    </w:lvl>
    <w:lvl w:ilvl="3" w:tplc="08090001" w:tentative="1">
      <w:start w:val="1"/>
      <w:numFmt w:val="bullet"/>
      <w:lvlText w:val=""/>
      <w:lvlJc w:val="left"/>
      <w:pPr>
        <w:ind w:left="3997" w:hanging="360"/>
      </w:pPr>
      <w:rPr>
        <w:rFonts w:ascii="Symbol" w:hAnsi="Symbol" w:hint="default"/>
      </w:rPr>
    </w:lvl>
    <w:lvl w:ilvl="4" w:tplc="08090003" w:tentative="1">
      <w:start w:val="1"/>
      <w:numFmt w:val="bullet"/>
      <w:lvlText w:val="o"/>
      <w:lvlJc w:val="left"/>
      <w:pPr>
        <w:ind w:left="4717" w:hanging="360"/>
      </w:pPr>
      <w:rPr>
        <w:rFonts w:ascii="Courier New" w:hAnsi="Courier New" w:cs="Courier New" w:hint="default"/>
      </w:rPr>
    </w:lvl>
    <w:lvl w:ilvl="5" w:tplc="08090005" w:tentative="1">
      <w:start w:val="1"/>
      <w:numFmt w:val="bullet"/>
      <w:lvlText w:val=""/>
      <w:lvlJc w:val="left"/>
      <w:pPr>
        <w:ind w:left="5437" w:hanging="360"/>
      </w:pPr>
      <w:rPr>
        <w:rFonts w:ascii="Wingdings" w:hAnsi="Wingdings" w:hint="default"/>
      </w:rPr>
    </w:lvl>
    <w:lvl w:ilvl="6" w:tplc="08090001" w:tentative="1">
      <w:start w:val="1"/>
      <w:numFmt w:val="bullet"/>
      <w:lvlText w:val=""/>
      <w:lvlJc w:val="left"/>
      <w:pPr>
        <w:ind w:left="6157" w:hanging="360"/>
      </w:pPr>
      <w:rPr>
        <w:rFonts w:ascii="Symbol" w:hAnsi="Symbol" w:hint="default"/>
      </w:rPr>
    </w:lvl>
    <w:lvl w:ilvl="7" w:tplc="08090003" w:tentative="1">
      <w:start w:val="1"/>
      <w:numFmt w:val="bullet"/>
      <w:lvlText w:val="o"/>
      <w:lvlJc w:val="left"/>
      <w:pPr>
        <w:ind w:left="6877" w:hanging="360"/>
      </w:pPr>
      <w:rPr>
        <w:rFonts w:ascii="Courier New" w:hAnsi="Courier New" w:cs="Courier New" w:hint="default"/>
      </w:rPr>
    </w:lvl>
    <w:lvl w:ilvl="8" w:tplc="08090005" w:tentative="1">
      <w:start w:val="1"/>
      <w:numFmt w:val="bullet"/>
      <w:lvlText w:val=""/>
      <w:lvlJc w:val="left"/>
      <w:pPr>
        <w:ind w:left="7597" w:hanging="360"/>
      </w:pPr>
      <w:rPr>
        <w:rFonts w:ascii="Wingdings" w:hAnsi="Wingdings" w:hint="default"/>
      </w:rPr>
    </w:lvl>
  </w:abstractNum>
  <w:num w:numId="1" w16cid:durableId="600844335">
    <w:abstractNumId w:val="1"/>
  </w:num>
  <w:num w:numId="2" w16cid:durableId="1854030541">
    <w:abstractNumId w:val="0"/>
  </w:num>
  <w:num w:numId="3" w16cid:durableId="1805153435">
    <w:abstractNumId w:val="3"/>
  </w:num>
  <w:num w:numId="4" w16cid:durableId="14136955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57E"/>
    <w:rsid w:val="000A1111"/>
    <w:rsid w:val="000A721E"/>
    <w:rsid w:val="000C1303"/>
    <w:rsid w:val="000D04CD"/>
    <w:rsid w:val="000E15C8"/>
    <w:rsid w:val="0010256C"/>
    <w:rsid w:val="001A3B67"/>
    <w:rsid w:val="00211E67"/>
    <w:rsid w:val="0027466A"/>
    <w:rsid w:val="00295931"/>
    <w:rsid w:val="002B5E07"/>
    <w:rsid w:val="003B2A78"/>
    <w:rsid w:val="003F161F"/>
    <w:rsid w:val="00406326"/>
    <w:rsid w:val="00415311"/>
    <w:rsid w:val="0044485F"/>
    <w:rsid w:val="00481616"/>
    <w:rsid w:val="00490017"/>
    <w:rsid w:val="00495CB8"/>
    <w:rsid w:val="004B35AF"/>
    <w:rsid w:val="0051586A"/>
    <w:rsid w:val="00516B42"/>
    <w:rsid w:val="00656074"/>
    <w:rsid w:val="006A0777"/>
    <w:rsid w:val="006A34A7"/>
    <w:rsid w:val="00734364"/>
    <w:rsid w:val="0078757E"/>
    <w:rsid w:val="007C3546"/>
    <w:rsid w:val="007D7283"/>
    <w:rsid w:val="0081018A"/>
    <w:rsid w:val="00856110"/>
    <w:rsid w:val="008D2805"/>
    <w:rsid w:val="00900D4B"/>
    <w:rsid w:val="00930A82"/>
    <w:rsid w:val="00931CAF"/>
    <w:rsid w:val="00971032"/>
    <w:rsid w:val="00976C57"/>
    <w:rsid w:val="00A156BE"/>
    <w:rsid w:val="00A24967"/>
    <w:rsid w:val="00A279B4"/>
    <w:rsid w:val="00AB6E6B"/>
    <w:rsid w:val="00B302BF"/>
    <w:rsid w:val="00B405F9"/>
    <w:rsid w:val="00B85F9F"/>
    <w:rsid w:val="00B97F17"/>
    <w:rsid w:val="00BA0D2F"/>
    <w:rsid w:val="00C346B4"/>
    <w:rsid w:val="00C5784A"/>
    <w:rsid w:val="00C83E17"/>
    <w:rsid w:val="00CC1829"/>
    <w:rsid w:val="00CD6B0A"/>
    <w:rsid w:val="00D128EE"/>
    <w:rsid w:val="00D631FB"/>
    <w:rsid w:val="00D67708"/>
    <w:rsid w:val="00D927F5"/>
    <w:rsid w:val="00DA60ED"/>
    <w:rsid w:val="00DB4878"/>
    <w:rsid w:val="00DE6B58"/>
    <w:rsid w:val="00E004A4"/>
    <w:rsid w:val="00ED1F94"/>
    <w:rsid w:val="00ED6D81"/>
    <w:rsid w:val="00EE6BE5"/>
    <w:rsid w:val="00F14FF9"/>
    <w:rsid w:val="00F83C69"/>
    <w:rsid w:val="00FD0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9F47C7"/>
  <w15:chartTrackingRefBased/>
  <w15:docId w15:val="{D3C8ACED-B0CE-4893-8F03-B6BDFFAAA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75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57E"/>
  </w:style>
  <w:style w:type="paragraph" w:styleId="Footer">
    <w:name w:val="footer"/>
    <w:basedOn w:val="Normal"/>
    <w:link w:val="FooterChar"/>
    <w:uiPriority w:val="99"/>
    <w:unhideWhenUsed/>
    <w:rsid w:val="007875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57E"/>
  </w:style>
  <w:style w:type="paragraph" w:styleId="ListParagraph">
    <w:name w:val="List Paragraph"/>
    <w:basedOn w:val="Normal"/>
    <w:uiPriority w:val="34"/>
    <w:qFormat/>
    <w:rsid w:val="00495CB8"/>
    <w:pPr>
      <w:ind w:left="720"/>
      <w:contextualSpacing/>
    </w:pPr>
  </w:style>
  <w:style w:type="character" w:styleId="Hyperlink">
    <w:name w:val="Hyperlink"/>
    <w:basedOn w:val="DefaultParagraphFont"/>
    <w:uiPriority w:val="99"/>
    <w:unhideWhenUsed/>
    <w:rsid w:val="00DA60ED"/>
    <w:rPr>
      <w:color w:val="0563C1" w:themeColor="hyperlink"/>
      <w:u w:val="single"/>
    </w:rPr>
  </w:style>
  <w:style w:type="character" w:styleId="UnresolvedMention">
    <w:name w:val="Unresolved Mention"/>
    <w:basedOn w:val="DefaultParagraphFont"/>
    <w:uiPriority w:val="99"/>
    <w:semiHidden/>
    <w:unhideWhenUsed/>
    <w:rsid w:val="00DA60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851899">
      <w:bodyDiv w:val="1"/>
      <w:marLeft w:val="0"/>
      <w:marRight w:val="0"/>
      <w:marTop w:val="0"/>
      <w:marBottom w:val="0"/>
      <w:divBdr>
        <w:top w:val="none" w:sz="0" w:space="0" w:color="auto"/>
        <w:left w:val="none" w:sz="0" w:space="0" w:color="auto"/>
        <w:bottom w:val="none" w:sz="0" w:space="0" w:color="auto"/>
        <w:right w:val="none" w:sz="0" w:space="0" w:color="auto"/>
      </w:divBdr>
    </w:div>
    <w:div w:id="100497591">
      <w:bodyDiv w:val="1"/>
      <w:marLeft w:val="0"/>
      <w:marRight w:val="0"/>
      <w:marTop w:val="0"/>
      <w:marBottom w:val="0"/>
      <w:divBdr>
        <w:top w:val="none" w:sz="0" w:space="0" w:color="auto"/>
        <w:left w:val="none" w:sz="0" w:space="0" w:color="auto"/>
        <w:bottom w:val="none" w:sz="0" w:space="0" w:color="auto"/>
        <w:right w:val="none" w:sz="0" w:space="0" w:color="auto"/>
      </w:divBdr>
    </w:div>
    <w:div w:id="353730494">
      <w:bodyDiv w:val="1"/>
      <w:marLeft w:val="0"/>
      <w:marRight w:val="0"/>
      <w:marTop w:val="0"/>
      <w:marBottom w:val="0"/>
      <w:divBdr>
        <w:top w:val="none" w:sz="0" w:space="0" w:color="auto"/>
        <w:left w:val="none" w:sz="0" w:space="0" w:color="auto"/>
        <w:bottom w:val="none" w:sz="0" w:space="0" w:color="auto"/>
        <w:right w:val="none" w:sz="0" w:space="0" w:color="auto"/>
      </w:divBdr>
    </w:div>
    <w:div w:id="496266185">
      <w:bodyDiv w:val="1"/>
      <w:marLeft w:val="0"/>
      <w:marRight w:val="0"/>
      <w:marTop w:val="0"/>
      <w:marBottom w:val="0"/>
      <w:divBdr>
        <w:top w:val="none" w:sz="0" w:space="0" w:color="auto"/>
        <w:left w:val="none" w:sz="0" w:space="0" w:color="auto"/>
        <w:bottom w:val="none" w:sz="0" w:space="0" w:color="auto"/>
        <w:right w:val="none" w:sz="0" w:space="0" w:color="auto"/>
      </w:divBdr>
    </w:div>
    <w:div w:id="649679878">
      <w:bodyDiv w:val="1"/>
      <w:marLeft w:val="0"/>
      <w:marRight w:val="0"/>
      <w:marTop w:val="0"/>
      <w:marBottom w:val="0"/>
      <w:divBdr>
        <w:top w:val="none" w:sz="0" w:space="0" w:color="auto"/>
        <w:left w:val="none" w:sz="0" w:space="0" w:color="auto"/>
        <w:bottom w:val="none" w:sz="0" w:space="0" w:color="auto"/>
        <w:right w:val="none" w:sz="0" w:space="0" w:color="auto"/>
      </w:divBdr>
    </w:div>
    <w:div w:id="811096049">
      <w:bodyDiv w:val="1"/>
      <w:marLeft w:val="0"/>
      <w:marRight w:val="0"/>
      <w:marTop w:val="0"/>
      <w:marBottom w:val="0"/>
      <w:divBdr>
        <w:top w:val="none" w:sz="0" w:space="0" w:color="auto"/>
        <w:left w:val="none" w:sz="0" w:space="0" w:color="auto"/>
        <w:bottom w:val="none" w:sz="0" w:space="0" w:color="auto"/>
        <w:right w:val="none" w:sz="0" w:space="0" w:color="auto"/>
      </w:divBdr>
    </w:div>
    <w:div w:id="1009674041">
      <w:bodyDiv w:val="1"/>
      <w:marLeft w:val="0"/>
      <w:marRight w:val="0"/>
      <w:marTop w:val="0"/>
      <w:marBottom w:val="0"/>
      <w:divBdr>
        <w:top w:val="none" w:sz="0" w:space="0" w:color="auto"/>
        <w:left w:val="none" w:sz="0" w:space="0" w:color="auto"/>
        <w:bottom w:val="none" w:sz="0" w:space="0" w:color="auto"/>
        <w:right w:val="none" w:sz="0" w:space="0" w:color="auto"/>
      </w:divBdr>
    </w:div>
    <w:div w:id="1048528970">
      <w:bodyDiv w:val="1"/>
      <w:marLeft w:val="0"/>
      <w:marRight w:val="0"/>
      <w:marTop w:val="0"/>
      <w:marBottom w:val="0"/>
      <w:divBdr>
        <w:top w:val="none" w:sz="0" w:space="0" w:color="auto"/>
        <w:left w:val="none" w:sz="0" w:space="0" w:color="auto"/>
        <w:bottom w:val="none" w:sz="0" w:space="0" w:color="auto"/>
        <w:right w:val="none" w:sz="0" w:space="0" w:color="auto"/>
      </w:divBdr>
    </w:div>
    <w:div w:id="1060789421">
      <w:bodyDiv w:val="1"/>
      <w:marLeft w:val="0"/>
      <w:marRight w:val="0"/>
      <w:marTop w:val="0"/>
      <w:marBottom w:val="0"/>
      <w:divBdr>
        <w:top w:val="none" w:sz="0" w:space="0" w:color="auto"/>
        <w:left w:val="none" w:sz="0" w:space="0" w:color="auto"/>
        <w:bottom w:val="none" w:sz="0" w:space="0" w:color="auto"/>
        <w:right w:val="none" w:sz="0" w:space="0" w:color="auto"/>
      </w:divBdr>
    </w:div>
    <w:div w:id="1225721074">
      <w:bodyDiv w:val="1"/>
      <w:marLeft w:val="0"/>
      <w:marRight w:val="0"/>
      <w:marTop w:val="0"/>
      <w:marBottom w:val="0"/>
      <w:divBdr>
        <w:top w:val="none" w:sz="0" w:space="0" w:color="auto"/>
        <w:left w:val="none" w:sz="0" w:space="0" w:color="auto"/>
        <w:bottom w:val="none" w:sz="0" w:space="0" w:color="auto"/>
        <w:right w:val="none" w:sz="0" w:space="0" w:color="auto"/>
      </w:divBdr>
    </w:div>
    <w:div w:id="1247154073">
      <w:bodyDiv w:val="1"/>
      <w:marLeft w:val="0"/>
      <w:marRight w:val="0"/>
      <w:marTop w:val="0"/>
      <w:marBottom w:val="0"/>
      <w:divBdr>
        <w:top w:val="none" w:sz="0" w:space="0" w:color="auto"/>
        <w:left w:val="none" w:sz="0" w:space="0" w:color="auto"/>
        <w:bottom w:val="none" w:sz="0" w:space="0" w:color="auto"/>
        <w:right w:val="none" w:sz="0" w:space="0" w:color="auto"/>
      </w:divBdr>
    </w:div>
    <w:div w:id="1484814848">
      <w:bodyDiv w:val="1"/>
      <w:marLeft w:val="0"/>
      <w:marRight w:val="0"/>
      <w:marTop w:val="0"/>
      <w:marBottom w:val="0"/>
      <w:divBdr>
        <w:top w:val="none" w:sz="0" w:space="0" w:color="auto"/>
        <w:left w:val="none" w:sz="0" w:space="0" w:color="auto"/>
        <w:bottom w:val="none" w:sz="0" w:space="0" w:color="auto"/>
        <w:right w:val="none" w:sz="0" w:space="0" w:color="auto"/>
      </w:divBdr>
    </w:div>
    <w:div w:id="1596475754">
      <w:bodyDiv w:val="1"/>
      <w:marLeft w:val="0"/>
      <w:marRight w:val="0"/>
      <w:marTop w:val="0"/>
      <w:marBottom w:val="0"/>
      <w:divBdr>
        <w:top w:val="none" w:sz="0" w:space="0" w:color="auto"/>
        <w:left w:val="none" w:sz="0" w:space="0" w:color="auto"/>
        <w:bottom w:val="none" w:sz="0" w:space="0" w:color="auto"/>
        <w:right w:val="none" w:sz="0" w:space="0" w:color="auto"/>
      </w:divBdr>
    </w:div>
    <w:div w:id="1615358014">
      <w:bodyDiv w:val="1"/>
      <w:marLeft w:val="0"/>
      <w:marRight w:val="0"/>
      <w:marTop w:val="0"/>
      <w:marBottom w:val="0"/>
      <w:divBdr>
        <w:top w:val="none" w:sz="0" w:space="0" w:color="auto"/>
        <w:left w:val="none" w:sz="0" w:space="0" w:color="auto"/>
        <w:bottom w:val="none" w:sz="0" w:space="0" w:color="auto"/>
        <w:right w:val="none" w:sz="0" w:space="0" w:color="auto"/>
      </w:divBdr>
    </w:div>
    <w:div w:id="1671062420">
      <w:bodyDiv w:val="1"/>
      <w:marLeft w:val="0"/>
      <w:marRight w:val="0"/>
      <w:marTop w:val="0"/>
      <w:marBottom w:val="0"/>
      <w:divBdr>
        <w:top w:val="none" w:sz="0" w:space="0" w:color="auto"/>
        <w:left w:val="none" w:sz="0" w:space="0" w:color="auto"/>
        <w:bottom w:val="none" w:sz="0" w:space="0" w:color="auto"/>
        <w:right w:val="none" w:sz="0" w:space="0" w:color="auto"/>
      </w:divBdr>
    </w:div>
    <w:div w:id="1743138505">
      <w:bodyDiv w:val="1"/>
      <w:marLeft w:val="0"/>
      <w:marRight w:val="0"/>
      <w:marTop w:val="0"/>
      <w:marBottom w:val="0"/>
      <w:divBdr>
        <w:top w:val="none" w:sz="0" w:space="0" w:color="auto"/>
        <w:left w:val="none" w:sz="0" w:space="0" w:color="auto"/>
        <w:bottom w:val="none" w:sz="0" w:space="0" w:color="auto"/>
        <w:right w:val="none" w:sz="0" w:space="0" w:color="auto"/>
      </w:divBdr>
    </w:div>
    <w:div w:id="1965188666">
      <w:bodyDiv w:val="1"/>
      <w:marLeft w:val="0"/>
      <w:marRight w:val="0"/>
      <w:marTop w:val="0"/>
      <w:marBottom w:val="0"/>
      <w:divBdr>
        <w:top w:val="none" w:sz="0" w:space="0" w:color="auto"/>
        <w:left w:val="none" w:sz="0" w:space="0" w:color="auto"/>
        <w:bottom w:val="none" w:sz="0" w:space="0" w:color="auto"/>
        <w:right w:val="none" w:sz="0" w:space="0" w:color="auto"/>
      </w:divBdr>
    </w:div>
    <w:div w:id="2061316929">
      <w:bodyDiv w:val="1"/>
      <w:marLeft w:val="0"/>
      <w:marRight w:val="0"/>
      <w:marTop w:val="0"/>
      <w:marBottom w:val="0"/>
      <w:divBdr>
        <w:top w:val="none" w:sz="0" w:space="0" w:color="auto"/>
        <w:left w:val="none" w:sz="0" w:space="0" w:color="auto"/>
        <w:bottom w:val="none" w:sz="0" w:space="0" w:color="auto"/>
        <w:right w:val="none" w:sz="0" w:space="0" w:color="auto"/>
      </w:divBdr>
    </w:div>
    <w:div w:id="2108379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varbes.com/demographics/watford-demographics" TargetMode="External"/><Relationship Id="rId21" Type="http://schemas.openxmlformats.org/officeDocument/2006/relationships/image" Target="media/image14.jpeg"/><Relationship Id="rId34" Type="http://schemas.openxmlformats.org/officeDocument/2006/relationships/hyperlink" Target="https://www.brookings.edu/articles/seven-facts-about-the-economic-security-of-older-adults/"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ageing-better.org.uk/age-friendly-communities/eight-domains" TargetMode="External"/><Relationship Id="rId41" Type="http://schemas.openxmlformats.org/officeDocument/2006/relationships/hyperlink" Target="https://www.w3rt.org/ab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hyperlink" Target="https://www.nia.nih.gov/health/caregiving/services-older-adults-living-home" TargetMode="External"/><Relationship Id="rId37" Type="http://schemas.openxmlformats.org/officeDocument/2006/relationships/hyperlink" Target="https://www.ons.gov.uk/visualisations/censuspopulationchange/E07000103/" TargetMode="External"/><Relationship Id="rId40" Type="http://schemas.openxmlformats.org/officeDocument/2006/relationships/hyperlink" Target="https://www.watfordobserver.co.uk/news/20241003.census-2021-watford-second-densely-populated-area-east/"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miro.com/blog/stakeholder-mapping/" TargetMode="External"/><Relationship Id="rId36" Type="http://schemas.openxmlformats.org/officeDocument/2006/relationships/hyperlink" Target="https://www.who.int/health-topics/ageing"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blog.americansforthearts.org/2019/03/29/audience-engagement-is-not-community-engagement"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bmcgeriatr.biomedcentral.com/articles/10.1186/s12877-019-1189-9" TargetMode="External"/><Relationship Id="rId30" Type="http://schemas.openxmlformats.org/officeDocument/2006/relationships/hyperlink" Target="https://www.growleady.io/blog/how-do-you-build-community-outreach" TargetMode="External"/><Relationship Id="rId35" Type="http://schemas.openxmlformats.org/officeDocument/2006/relationships/hyperlink" Target="https://doi.org/10.1080/17538068.2021.1935569"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hyperlink" Target="https://www.halfnine.com/blog/post/stakeholder-matrix" TargetMode="External"/><Relationship Id="rId38" Type="http://schemas.openxmlformats.org/officeDocument/2006/relationships/hyperlink" Target="https://thegreensatcannondale.com/enhancing-community-engagement-in-senior-living-benefits-and-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4A849-0686-4DAB-AF61-C5C914F91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4969</TotalTime>
  <Pages>20</Pages>
  <Words>2345</Words>
  <Characters>15104</Characters>
  <Application>Microsoft Office Word</Application>
  <DocSecurity>0</DocSecurity>
  <Lines>308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20</cp:revision>
  <dcterms:created xsi:type="dcterms:W3CDTF">2024-08-25T06:43:00Z</dcterms:created>
  <dcterms:modified xsi:type="dcterms:W3CDTF">2024-08-31T11:26:00Z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c7fd1264-460d-45bc-8f0f-431041e2da1b</vt:lpwstr>
  </property>
</Properties>
</file>