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EEECE1" w:themeColor="background2"/>
          <w:spacing w:val="0"/>
          <w:kern w:val="0"/>
          <w:sz w:val="96"/>
          <w:szCs w:val="56"/>
          <w:lang w:val="pl-PL" w:eastAsia="en-US"/>
        </w:rPr>
        <w:id w:val="1270586610"/>
        <w:docPartObj>
          <w:docPartGallery w:val="Cover Pages"/>
          <w:docPartUnique/>
        </w:docPartObj>
      </w:sdtPr>
      <w:sdtEndPr>
        <w:rPr>
          <w:color w:val="auto"/>
          <w:sz w:val="22"/>
          <w:szCs w:val="22"/>
        </w:rPr>
      </w:sdtEndPr>
      <w:sdtContent>
        <w:tbl>
          <w:tblPr>
            <w:tblpPr w:leftFromText="187" w:rightFromText="187" w:bottomFromText="720" w:horzAnchor="margin" w:tblpYSpec="bottom"/>
            <w:tblW w:w="5000" w:type="pct"/>
            <w:tblLook w:val="04A0" w:firstRow="1" w:lastRow="0" w:firstColumn="1" w:lastColumn="0" w:noHBand="0" w:noVBand="1"/>
          </w:tblPr>
          <w:tblGrid>
            <w:gridCol w:w="9288"/>
          </w:tblGrid>
          <w:tr w:rsidR="00C24A15" w14:paraId="1C5ECACD" w14:textId="77777777">
            <w:tc>
              <w:tcPr>
                <w:tcW w:w="9266" w:type="dxa"/>
              </w:tcPr>
              <w:p w14:paraId="7481386E" w14:textId="77777777" w:rsidR="00C24A15" w:rsidRDefault="00D70963" w:rsidP="00C24A15">
                <w:pPr>
                  <w:pStyle w:val="Title"/>
                  <w:rPr>
                    <w:color w:val="EEECE1" w:themeColor="background2"/>
                    <w:sz w:val="96"/>
                    <w:szCs w:val="56"/>
                  </w:rPr>
                </w:pPr>
                <w:sdt>
                  <w:sdtPr>
                    <w:rPr>
                      <w:color w:val="EEECE1" w:themeColor="background2"/>
                      <w:sz w:val="96"/>
                      <w:szCs w:val="56"/>
                    </w:rPr>
                    <w:alias w:val="Title"/>
                    <w:id w:val="1274589637"/>
                    <w:dataBinding w:prefixMappings="xmlns:ns0='http://schemas.openxmlformats.org/package/2006/metadata/core-properties' xmlns:ns1='http://purl.org/dc/elements/1.1/'" w:xpath="/ns0:coreProperties[1]/ns1:title[1]" w:storeItemID="{6C3C8BC8-F283-45AE-878A-BAB7291924A1}"/>
                    <w:text/>
                  </w:sdtPr>
                  <w:sdtEndPr/>
                  <w:sdtContent>
                    <w:r w:rsidR="00F17ED5">
                      <w:rPr>
                        <w:color w:val="EEECE1" w:themeColor="background2"/>
                        <w:sz w:val="96"/>
                        <w:szCs w:val="56"/>
                        <w:lang w:val="pl-PL"/>
                      </w:rPr>
                      <w:t>Contract Law Assignment 2</w:t>
                    </w:r>
                  </w:sdtContent>
                </w:sdt>
              </w:p>
            </w:tc>
          </w:tr>
          <w:tr w:rsidR="00C24A15" w:rsidRPr="00CE0C54" w14:paraId="63E62F42" w14:textId="77777777">
            <w:tc>
              <w:tcPr>
                <w:tcW w:w="0" w:type="auto"/>
                <w:vAlign w:val="bottom"/>
              </w:tcPr>
              <w:p w14:paraId="7B96D13E" w14:textId="77777777" w:rsidR="00C24A15" w:rsidRDefault="00D70963" w:rsidP="00C24A15">
                <w:pPr>
                  <w:pStyle w:val="Subtitle"/>
                </w:pPr>
                <w:sdt>
                  <w:sdtPr>
                    <w:rPr>
                      <w:color w:val="FFFFFF" w:themeColor="background1"/>
                    </w:rPr>
                    <w:alias w:val="Subtitle"/>
                    <w:id w:val="1194108113"/>
                    <w:dataBinding w:prefixMappings="xmlns:ns0='http://schemas.openxmlformats.org/package/2006/metadata/core-properties' xmlns:ns1='http://purl.org/dc/elements/1.1/'" w:xpath="/ns0:coreProperties[1]/ns1:subject[1]" w:storeItemID="{6C3C8BC8-F283-45AE-878A-BAB7291924A1}"/>
                    <w:text/>
                  </w:sdtPr>
                  <w:sdtEndPr/>
                  <w:sdtContent>
                    <w:r w:rsidR="00C24A15">
                      <w:rPr>
                        <w:color w:val="FFFFFF" w:themeColor="background1"/>
                      </w:rPr>
                      <w:t>Evaluate the extent to which the courts will uphold a contract entered into as a result of threats or pressure by one party to the contract upon the other.</w:t>
                    </w:r>
                  </w:sdtContent>
                </w:sdt>
              </w:p>
            </w:tc>
          </w:tr>
          <w:tr w:rsidR="00C24A15" w:rsidRPr="00C24A15" w14:paraId="4571A202" w14:textId="77777777">
            <w:trPr>
              <w:trHeight w:val="1152"/>
            </w:trPr>
            <w:tc>
              <w:tcPr>
                <w:tcW w:w="0" w:type="auto"/>
                <w:vAlign w:val="bottom"/>
              </w:tcPr>
              <w:p w14:paraId="10AFDB02" w14:textId="77777777" w:rsidR="00C24A15" w:rsidRPr="00C24A15" w:rsidRDefault="00C24A15" w:rsidP="00C24A15">
                <w:pPr>
                  <w:rPr>
                    <w:color w:val="FFFFFF" w:themeColor="background1"/>
                    <w:lang w:val="en-GB"/>
                  </w:rPr>
                </w:pPr>
                <w:r w:rsidRPr="00C24A15">
                  <w:rPr>
                    <w:noProof/>
                    <w:lang w:eastAsia="pl-PL"/>
                  </w:rPr>
                  <mc:AlternateContent>
                    <mc:Choice Requires="wps">
                      <w:drawing>
                        <wp:anchor distT="0" distB="0" distL="114300" distR="114300" simplePos="0" relativeHeight="251659264" behindDoc="0" locked="0" layoutInCell="1" allowOverlap="1" wp14:anchorId="4518333C" wp14:editId="580481D1">
                          <wp:simplePos x="0" y="0"/>
                          <wp:positionH relativeFrom="column">
                            <wp:posOffset>3331210</wp:posOffset>
                          </wp:positionH>
                          <wp:positionV relativeFrom="paragraph">
                            <wp:posOffset>263525</wp:posOffset>
                          </wp:positionV>
                          <wp:extent cx="2374265" cy="801370"/>
                          <wp:effectExtent l="0" t="0" r="26035" b="1778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801370"/>
                                  </a:xfrm>
                                  <a:prstGeom prst="rect">
                                    <a:avLst/>
                                  </a:prstGeom>
                                  <a:solidFill>
                                    <a:srgbClr val="FFFFFF"/>
                                  </a:solidFill>
                                  <a:ln w="9525">
                                    <a:solidFill>
                                      <a:srgbClr val="000000"/>
                                    </a:solidFill>
                                    <a:miter lim="800000"/>
                                    <a:headEnd/>
                                    <a:tailEnd/>
                                  </a:ln>
                                </wps:spPr>
                                <wps:txbx>
                                  <w:txbxContent>
                                    <w:p w14:paraId="21F5AE64" w14:textId="77777777" w:rsidR="00C24A15" w:rsidRPr="00C24A15" w:rsidRDefault="00C24A15">
                                      <w:pPr>
                                        <w:rPr>
                                          <w:lang w:val="en-GB"/>
                                        </w:rPr>
                                      </w:pPr>
                                      <w:r w:rsidRPr="00C24A15">
                                        <w:rPr>
                                          <w:lang w:val="en-GB"/>
                                        </w:rPr>
                                        <w:t>Lecturer: Louise Holmes</w:t>
                                      </w:r>
                                    </w:p>
                                    <w:p w14:paraId="692FE7E6" w14:textId="77777777" w:rsidR="00C24A15" w:rsidRPr="00C24A15" w:rsidRDefault="00C24A15">
                                      <w:pPr>
                                        <w:rPr>
                                          <w:lang w:val="en-GB"/>
                                        </w:rPr>
                                      </w:pPr>
                                      <w:r w:rsidRPr="00C24A15">
                                        <w:rPr>
                                          <w:lang w:val="en-GB"/>
                                        </w:rPr>
                                        <w:t xml:space="preserve">Module </w:t>
                                      </w:r>
                                      <w:proofErr w:type="gramStart"/>
                                      <w:r w:rsidRPr="00C24A15">
                                        <w:rPr>
                                          <w:lang w:val="en-GB"/>
                                        </w:rPr>
                                        <w:t>code :</w:t>
                                      </w:r>
                                      <w:proofErr w:type="gramEnd"/>
                                      <w:r w:rsidRPr="00C24A15">
                                        <w:rPr>
                                          <w:lang w:val="en-GB"/>
                                        </w:rPr>
                                        <w:t xml:space="preserve"> BMLW</w:t>
                                      </w:r>
                                      <w:r>
                                        <w:rPr>
                                          <w:lang w:val="en-GB"/>
                                        </w:rPr>
                                        <w:t>5006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518333C" id="_x0000_t202" coordsize="21600,21600" o:spt="202" path="m,l,21600r21600,l21600,xe">
                          <v:stroke joinstyle="miter"/>
                          <v:path gradientshapeok="t" o:connecttype="rect"/>
                        </v:shapetype>
                        <v:shape id="Text Box 2" o:spid="_x0000_s1026" type="#_x0000_t202" style="position:absolute;margin-left:262.3pt;margin-top:20.75pt;width:186.95pt;height:63.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">
                          <v:textbox>
                            <w:txbxContent>
                              <w:p w14:paraId="21F5AE64" w14:textId="77777777" w:rsidR="00C24A15" w:rsidRPr="00C24A15" w:rsidRDefault="00C24A15">
                                <w:pPr>
                                  <w:rPr>
                                    <w:lang w:val="en-GB"/>
                                  </w:rPr>
                                </w:pPr>
                                <w:r w:rsidRPr="00C24A15">
                                  <w:rPr>
                                    <w:lang w:val="en-GB"/>
                                  </w:rPr>
                                  <w:t>Lecturer: Louise Holmes</w:t>
                                </w:r>
                              </w:p>
                              <w:p w14:paraId="692FE7E6" w14:textId="77777777" w:rsidR="00C24A15" w:rsidRPr="00C24A15" w:rsidRDefault="00C24A15">
                                <w:pPr>
                                  <w:rPr>
                                    <w:lang w:val="en-GB"/>
                                  </w:rPr>
                                </w:pPr>
                                <w:r w:rsidRPr="00C24A15">
                                  <w:rPr>
                                    <w:lang w:val="en-GB"/>
                                  </w:rPr>
                                  <w:t xml:space="preserve">Module </w:t>
                                </w:r>
                                <w:proofErr w:type="gramStart"/>
                                <w:r w:rsidRPr="00C24A15">
                                  <w:rPr>
                                    <w:lang w:val="en-GB"/>
                                  </w:rPr>
                                  <w:t>code :</w:t>
                                </w:r>
                                <w:proofErr w:type="gramEnd"/>
                                <w:r w:rsidRPr="00C24A15">
                                  <w:rPr>
                                    <w:lang w:val="en-GB"/>
                                  </w:rPr>
                                  <w:t xml:space="preserve"> BMLW</w:t>
                                </w:r>
                                <w:r>
                                  <w:rPr>
                                    <w:lang w:val="en-GB"/>
                                  </w:rPr>
                                  <w:t>5006</w:t>
                                </w:r>
                              </w:p>
                            </w:txbxContent>
                          </v:textbox>
                        </v:shape>
                      </w:pict>
                    </mc:Fallback>
                  </mc:AlternateContent>
                </w:r>
                <w:sdt>
                  <w:sdtPr>
                    <w:rPr>
                      <w:color w:val="FFFFFF" w:themeColor="background1"/>
                      <w:lang w:val="en-GB"/>
                    </w:rPr>
                    <w:alias w:val="Abstract"/>
                    <w:id w:val="1304881009"/>
                    <w:dataBinding w:prefixMappings="xmlns:ns0='http://schemas.microsoft.com/office/2006/coverPageProps'" w:xpath="/ns0:CoverPageProperties[1]/ns0:Abstract[1]" w:storeItemID="{55AF091B-3C7A-41E3-B477-F2FDAA23CFDA}"/>
                    <w:text/>
                  </w:sdtPr>
                  <w:sdtEndPr/>
                  <w:sdtContent>
                    <w:r w:rsidRPr="00C24A15">
                      <w:rPr>
                        <w:color w:val="FFFFFF" w:themeColor="background1"/>
                        <w:lang w:val="en-GB"/>
                      </w:rPr>
                      <w:t xml:space="preserve"> </w:t>
                    </w:r>
                  </w:sdtContent>
                </w:sdt>
                <w:r w:rsidRPr="00C24A15">
                  <w:rPr>
                    <w:color w:val="FFFFFF" w:themeColor="background1"/>
                    <w:lang w:val="en-GB"/>
                  </w:rPr>
                  <w:t xml:space="preserve"> </w:t>
                </w:r>
              </w:p>
            </w:tc>
          </w:tr>
          <w:tr w:rsidR="00C24A15" w:rsidRPr="00C24A15" w14:paraId="2D8D3343" w14:textId="77777777">
            <w:trPr>
              <w:trHeight w:val="432"/>
            </w:trPr>
            <w:tc>
              <w:tcPr>
                <w:tcW w:w="0" w:type="auto"/>
                <w:vAlign w:val="bottom"/>
              </w:tcPr>
              <w:p w14:paraId="33610F1A" w14:textId="77777777" w:rsidR="00C24A15" w:rsidRPr="00C24A15" w:rsidRDefault="00C24A15">
                <w:pPr>
                  <w:rPr>
                    <w:color w:val="1F497D" w:themeColor="text2"/>
                    <w:lang w:val="en-GB"/>
                  </w:rPr>
                </w:pPr>
              </w:p>
            </w:tc>
          </w:tr>
        </w:tbl>
        <w:p w14:paraId="1CF44A83" w14:textId="222E2EC7" w:rsidR="00C24A15" w:rsidRPr="00C24A15" w:rsidRDefault="00C63424">
          <w:pPr>
            <w:rPr>
              <w:lang w:val="en-GB"/>
            </w:rPr>
          </w:pPr>
          <w:r>
            <w:rPr>
              <w:noProof/>
              <w:lang w:eastAsia="pl-PL"/>
            </w:rPr>
            <mc:AlternateContent>
              <mc:Choice Requires="wps">
                <w:drawing>
                  <wp:anchor distT="0" distB="0" distL="114300" distR="114300" simplePos="0" relativeHeight="251655168" behindDoc="1" locked="0" layoutInCell="1" allowOverlap="1" wp14:anchorId="7A0C36F7" wp14:editId="3FF5094A">
                    <wp:simplePos x="0" y="0"/>
                    <wp:positionH relativeFrom="page">
                      <wp:posOffset>57150</wp:posOffset>
                    </wp:positionH>
                    <wp:positionV relativeFrom="page">
                      <wp:posOffset>-2371725</wp:posOffset>
                    </wp:positionV>
                    <wp:extent cx="7772400" cy="10058400"/>
                    <wp:effectExtent l="0" t="0" r="0" b="0"/>
                    <wp:wrapNone/>
                    <wp:docPr id="245" name="Rectangle 245"/>
                    <wp:cNvGraphicFramePr/>
                    <a:graphic xmlns:a="http://schemas.openxmlformats.org/drawingml/2006/main">
                      <a:graphicData uri="http://schemas.microsoft.com/office/word/2010/wordprocessingShape">
                        <wps:wsp>
                          <wps:cNvSpPr/>
                          <wps:spPr>
                            <a:xfrm>
                              <a:off x="0" y="0"/>
                              <a:ext cx="7772400" cy="10058400"/>
                            </a:xfrm>
                            <a:prstGeom prst="rect">
                              <a:avLst/>
                            </a:prstGeom>
                            <a:ln>
                              <a:noFill/>
                            </a:ln>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4F7FF3FA" id="Rectangle 245" o:spid="_x0000_s1026" style="position:absolute;margin-left:4.5pt;margin-top:-186.75pt;width:612pt;height:11in;z-index:-251661312;visibility:visible;mso-wrap-style:square;mso-width-percent:1000;mso-height-percent:1000;mso-wrap-distance-left:9pt;mso-wrap-distance-top:0;mso-wrap-distance-right:9pt;mso-wrap-distance-bottom:0;mso-position-horizontal:absolute;mso-position-horizontal-relative:page;mso-position-vertical:absolute;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" fillcolor="#8db3e2 [1298]" stroked="f" strokeweight="2pt">
                    <v:fill color2="#060e18 [642]" rotate="t" focusposition=".5,-52429f" focussize="" colors="0 #bec9e5;26214f #b4c1e1;1 #001a5e" focus="100%" type="gradientRadial"/>
                    <w10:wrap anchorx="page" anchory="page"/>
                  </v:rect>
                </w:pict>
              </mc:Fallback>
            </mc:AlternateContent>
          </w:r>
          <w:r w:rsidR="00C24A15" w:rsidRPr="00C24A15">
            <w:rPr>
              <w:noProof/>
              <w:color w:val="1F497D" w:themeColor="text2"/>
              <w:lang w:eastAsia="pl-PL"/>
            </w:rPr>
            <mc:AlternateContent>
              <mc:Choice Requires="wps">
                <w:drawing>
                  <wp:anchor distT="0" distB="0" distL="114300" distR="114300" simplePos="0" relativeHeight="251660288" behindDoc="0" locked="0" layoutInCell="1" allowOverlap="1" wp14:anchorId="5C51B19E" wp14:editId="367237F8">
                    <wp:simplePos x="0" y="0"/>
                    <wp:positionH relativeFrom="column">
                      <wp:posOffset>-179705</wp:posOffset>
                    </wp:positionH>
                    <wp:positionV relativeFrom="paragraph">
                      <wp:posOffset>8086725</wp:posOffset>
                    </wp:positionV>
                    <wp:extent cx="2374265" cy="1403985"/>
                    <wp:effectExtent l="0" t="0" r="19685"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14:paraId="537EA68E" w14:textId="77777777" w:rsidR="00C24A15" w:rsidRDefault="00C24A15">
                                <w:r>
                                  <w:t>By Krzysztof Rutkowski</w:t>
                                </w:r>
                              </w:p>
                              <w:p w14:paraId="3CC86E60" w14:textId="77777777" w:rsidR="00C24A15" w:rsidRPr="00C24A15" w:rsidRDefault="00C24A15">
                                <w:r>
                                  <w:t>Student no: 1907930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C51B19E" id="_x0000_s1027" type="#_x0000_t202" style="position:absolute;margin-left:-14.15pt;margin-top:636.75pt;width:186.95pt;height:110.55pt;z-index:251660288;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">
                    <v:textbox style="mso-fit-shape-to-text:t">
                      <w:txbxContent>
                        <w:p w14:paraId="537EA68E" w14:textId="77777777" w:rsidR="00C24A15" w:rsidRDefault="00C24A15">
                          <w:r>
                            <w:t>By Krzysztof Rutkowski</w:t>
                          </w:r>
                        </w:p>
                        <w:p w14:paraId="3CC86E60" w14:textId="77777777" w:rsidR="00C24A15" w:rsidRPr="00C24A15" w:rsidRDefault="00C24A15">
                          <w:r>
                            <w:t>Student no: 1907930</w:t>
                          </w:r>
                        </w:p>
                      </w:txbxContent>
                    </v:textbox>
                  </v:shape>
                </w:pict>
              </mc:Fallback>
            </mc:AlternateContent>
          </w:r>
          <w:r w:rsidR="00C24A15">
            <w:rPr>
              <w:noProof/>
              <w:lang w:eastAsia="pl-PL"/>
            </w:rPr>
            <mc:AlternateContent>
              <mc:Choice Requires="wps">
                <w:drawing>
                  <wp:anchor distT="0" distB="0" distL="114300" distR="114300" simplePos="0" relativeHeight="251656192" behindDoc="1" locked="0" layoutInCell="1" allowOverlap="1" wp14:anchorId="3E1C1AFF" wp14:editId="56DA07FF">
                    <wp:simplePos x="0" y="0"/>
                    <wp:positionH relativeFrom="margin">
                      <wp:align>left</wp:align>
                    </wp:positionH>
                    <mc:AlternateContent>
                      <mc:Choice Requires="wp14">
                        <wp:positionV relativeFrom="margin">
                          <wp14:pctPosVOffset>5000</wp14:pctPosVOffset>
                        </wp:positionV>
                      </mc:Choice>
                      <mc:Fallback>
                        <wp:positionV relativeFrom="page">
                          <wp:posOffset>1344295</wp:posOffset>
                        </wp:positionV>
                      </mc:Fallback>
                    </mc:AlternateContent>
                    <wp:extent cx="3970020" cy="7645400"/>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3970020" cy="764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F0B7FD" w14:textId="77777777" w:rsidR="00C24A15" w:rsidRDefault="00C24A15">
                                <w:r>
                                  <w:rPr>
                                    <w:noProof/>
                                    <w:lang w:eastAsia="pl-PL"/>
                                  </w:rPr>
                                  <w:drawing>
                                    <wp:inline distT="0" distB="0" distL="0" distR="0" wp14:anchorId="3683EA1E" wp14:editId="7DB947ED">
                                      <wp:extent cx="3600450" cy="7486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74866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3E1C1AFF" id="Text Box 244" o:spid="_x0000_s1028" type="#_x0000_t202" style="position:absolute;margin-left:0;margin-top:0;width:312.6pt;height:602pt;z-index:-251660288;visibility:visible;mso-wrap-style:square;mso-width-percent:0;mso-height-percent:0;mso-top-percent:50;mso-wrap-distance-left:9pt;mso-wrap-distance-top:0;mso-wrap-distance-right:9pt;mso-wrap-distance-bottom:0;mso-position-horizontal:left;mso-position-horizontal-relative:margin;mso-position-vertical-relative:margin;mso-width-percent:0;mso-height-percent:0;mso-top-percent: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" filled="f" stroked="f" strokeweight=".5pt">
                    <v:textbox style="mso-fit-shape-to-text:t" inset="0,0,0,0">
                      <w:txbxContent>
                        <w:p w14:paraId="44F0B7FD" w14:textId="77777777" w:rsidR="00C24A15" w:rsidRDefault="00C24A15">
                          <w:r>
                            <w:rPr>
                              <w:noProof/>
                              <w:lang w:eastAsia="pl-PL"/>
                            </w:rPr>
                            <w:drawing>
                              <wp:inline distT="0" distB="0" distL="0" distR="0" wp14:anchorId="3683EA1E" wp14:editId="7DB947ED">
                                <wp:extent cx="3600450" cy="7486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74866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txbxContent>
                    </v:textbox>
                    <w10:wrap anchorx="margin" anchory="margin"/>
                  </v:shape>
                </w:pict>
              </mc:Fallback>
            </mc:AlternateContent>
          </w:r>
          <w:r w:rsidR="00C24A15">
            <w:rPr>
              <w:noProof/>
              <w:lang w:eastAsia="pl-PL"/>
            </w:rPr>
            <mc:AlternateContent>
              <mc:Choice Requires="wps">
                <w:drawing>
                  <wp:anchor distT="0" distB="0" distL="114300" distR="114300" simplePos="0" relativeHeight="251657216" behindDoc="0" locked="0" layoutInCell="1" allowOverlap="1" wp14:anchorId="0725E379" wp14:editId="0571B8DA">
                    <wp:simplePos x="0" y="0"/>
                    <mc:AlternateContent>
                      <mc:Choice Requires="wp14">
                        <wp:positionH relativeFrom="rightMargin">
                          <wp14:pctPosHOffset>15000</wp14:pctPosHOffset>
                        </wp:positionH>
                      </mc:Choice>
                      <mc:Fallback>
                        <wp:positionH relativeFrom="page">
                          <wp:posOffset>6795135</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105410" cy="840740"/>
                    <wp:effectExtent l="0" t="0" r="0" b="0"/>
                    <wp:wrapNone/>
                    <wp:docPr id="246" name="Rectangle 6"/>
                    <wp:cNvGraphicFramePr/>
                    <a:graphic xmlns:a="http://schemas.openxmlformats.org/drawingml/2006/main">
                      <a:graphicData uri="http://schemas.microsoft.com/office/word/2010/wordprocessingShape">
                        <wps:wsp>
                          <wps:cNvSpPr/>
                          <wps:spPr>
                            <a:xfrm>
                              <a:off x="0" y="0"/>
                              <a:ext cx="10541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11500</wp14:pctWidth>
                    </wp14:sizeRelH>
                    <wp14:sizeRelV relativeFrom="margin">
                      <wp14:pctHeight>0</wp14:pctHeight>
                    </wp14:sizeRelV>
                  </wp:anchor>
                </w:drawing>
              </mc:Choice>
              <mc:Fallback>
                <w:pict>
                  <v:rect w14:anchorId="2EA7D21A" id="Rectangle 6" o:spid="_x0000_s1026" style="position:absolute;margin-left:0;margin-top:0;width:8.3pt;height:66.2pt;z-index:251657216;visibility:visible;mso-wrap-style:square;mso-width-percent:115;mso-height-percent:0;mso-left-percent:150;mso-top-percent:70;mso-wrap-distance-left:9pt;mso-wrap-distance-top:0;mso-wrap-distance-right:9pt;mso-wrap-distance-bottom:0;mso-position-horizontal-relative:right-margin-area;mso-position-vertical-relative:page;mso-width-percent:115;mso-height-percent:0;mso-left-percent:15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" fillcolor="#eeece1 [3214]" stroked="f" strokeweight="2pt">
                    <w10:wrap anchorx="margin" anchory="page"/>
                  </v:rect>
                </w:pict>
              </mc:Fallback>
            </mc:AlternateContent>
          </w:r>
          <w:r w:rsidR="00C24A15">
            <w:rPr>
              <w:noProof/>
              <w:lang w:eastAsia="pl-PL"/>
            </w:rPr>
            <mc:AlternateContent>
              <mc:Choice Requires="wps">
                <w:drawing>
                  <wp:anchor distT="0" distB="0" distL="114300" distR="114300" simplePos="0" relativeHeight="251658240" behindDoc="0" locked="0" layoutInCell="1" allowOverlap="1" wp14:anchorId="7BE328E1" wp14:editId="76CD364B">
                    <wp:simplePos x="0" y="0"/>
                    <mc:AlternateContent>
                      <mc:Choice Requires="wp14">
                        <wp:positionH relativeFrom="rightMargin">
                          <wp14:pctPosHOffset>31000</wp14:pctPosHOffset>
                        </wp:positionH>
                      </mc:Choice>
                      <mc:Fallback>
                        <wp:positionH relativeFrom="page">
                          <wp:posOffset>6939280</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731520" cy="840740"/>
                    <wp:effectExtent l="0" t="0" r="0" b="0"/>
                    <wp:wrapNone/>
                    <wp:docPr id="247" name="Rectangle 7"/>
                    <wp:cNvGraphicFramePr/>
                    <a:graphic xmlns:a="http://schemas.openxmlformats.org/drawingml/2006/main">
                      <a:graphicData uri="http://schemas.microsoft.com/office/word/2010/wordprocessingShape">
                        <wps:wsp>
                          <wps:cNvSpPr/>
                          <wps:spPr>
                            <a:xfrm>
                              <a:off x="0" y="0"/>
                              <a:ext cx="73152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80000</wp14:pctWidth>
                    </wp14:sizeRelH>
                    <wp14:sizeRelV relativeFrom="margin">
                      <wp14:pctHeight>0</wp14:pctHeight>
                    </wp14:sizeRelV>
                  </wp:anchor>
                </w:drawing>
              </mc:Choice>
              <mc:Fallback>
                <w:pict>
                  <v:rect w14:anchorId="5BDEA570" id="Rectangle 7" o:spid="_x0000_s1026" style="position:absolute;margin-left:0;margin-top:0;width:57.6pt;height:66.2pt;z-index:251658240;visibility:visible;mso-wrap-style:square;mso-width-percent:800;mso-height-percent:0;mso-left-percent:310;mso-top-percent:70;mso-wrap-distance-left:9pt;mso-wrap-distance-top:0;mso-wrap-distance-right:9pt;mso-wrap-distance-bottom:0;mso-position-horizontal-relative:right-margin-area;mso-position-vertical-relative:page;mso-width-percent:800;mso-height-percent:0;mso-left-percent:31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" fillcolor="#eeece1 [3214]" stroked="f" strokeweight="2pt">
                    <w10:wrap anchorx="margin" anchory="page"/>
                  </v:rect>
                </w:pict>
              </mc:Fallback>
            </mc:AlternateContent>
          </w:r>
          <w:r w:rsidR="00C24A15" w:rsidRPr="00C24A15">
            <w:rPr>
              <w:lang w:val="en-GB"/>
            </w:rPr>
            <w:br w:type="page"/>
          </w:r>
        </w:p>
      </w:sdtContent>
    </w:sdt>
    <w:p w14:paraId="62DB4DC4" w14:textId="77777777" w:rsidR="00F154F4" w:rsidRDefault="00F154F4" w:rsidP="00AA7A6D">
      <w:pPr>
        <w:spacing w:after="300"/>
        <w:rPr>
          <w:sz w:val="24"/>
          <w:szCs w:val="24"/>
          <w:lang w:val="en-GB"/>
        </w:rPr>
      </w:pPr>
    </w:p>
    <w:p w14:paraId="124351AA" w14:textId="77777777" w:rsidR="00FB6295" w:rsidRDefault="00FE484D" w:rsidP="00AA7A6D">
      <w:pPr>
        <w:spacing w:after="300"/>
        <w:rPr>
          <w:sz w:val="24"/>
          <w:szCs w:val="24"/>
          <w:lang w:val="en-GB"/>
        </w:rPr>
      </w:pPr>
      <w:r>
        <w:rPr>
          <w:sz w:val="24"/>
          <w:szCs w:val="24"/>
          <w:lang w:val="en-GB"/>
        </w:rPr>
        <w:t xml:space="preserve">The British law gives the individual the freedom to enter into any kind of agreement they wish, and the courts will not interfere in it as long as the contract has been entered into freely by the </w:t>
      </w:r>
      <w:r w:rsidR="00795233">
        <w:rPr>
          <w:sz w:val="24"/>
          <w:szCs w:val="24"/>
          <w:lang w:val="en-GB"/>
        </w:rPr>
        <w:t>individual’s</w:t>
      </w:r>
      <w:r>
        <w:rPr>
          <w:sz w:val="24"/>
          <w:szCs w:val="24"/>
          <w:lang w:val="en-GB"/>
        </w:rPr>
        <w:t xml:space="preserve"> choice (</w:t>
      </w:r>
      <w:proofErr w:type="spellStart"/>
      <w:r>
        <w:rPr>
          <w:sz w:val="24"/>
          <w:szCs w:val="24"/>
          <w:lang w:val="en-GB"/>
        </w:rPr>
        <w:t>Atiyah</w:t>
      </w:r>
      <w:proofErr w:type="spellEnd"/>
      <w:r>
        <w:rPr>
          <w:sz w:val="24"/>
          <w:szCs w:val="24"/>
          <w:lang w:val="en-GB"/>
        </w:rPr>
        <w:t xml:space="preserve">, 1985). </w:t>
      </w:r>
      <w:r w:rsidR="003D6ED0">
        <w:rPr>
          <w:sz w:val="24"/>
          <w:szCs w:val="24"/>
          <w:lang w:val="en-GB"/>
        </w:rPr>
        <w:t xml:space="preserve">If the person enters into a contract by the virtue of improper pressure, the law will step in and intervene on their behalf to protect them. </w:t>
      </w:r>
      <w:r w:rsidR="00FB6295">
        <w:rPr>
          <w:sz w:val="24"/>
          <w:szCs w:val="24"/>
          <w:lang w:val="en-GB"/>
        </w:rPr>
        <w:t>People may be compelled to enter into an unfavourable agreement by a number of factors such as, the lack of alternative source, the bargaining power of the other party or their own</w:t>
      </w:r>
      <w:r w:rsidR="007E4211">
        <w:rPr>
          <w:sz w:val="24"/>
          <w:szCs w:val="24"/>
          <w:lang w:val="en-GB"/>
        </w:rPr>
        <w:t xml:space="preserve"> personal</w:t>
      </w:r>
      <w:r w:rsidR="00FB6295">
        <w:rPr>
          <w:sz w:val="24"/>
          <w:szCs w:val="24"/>
          <w:lang w:val="en-GB"/>
        </w:rPr>
        <w:t xml:space="preserve"> circumstances. It would be against the principles of contract law to allow one party to escape the consequences of contract, which has been freely entered into</w:t>
      </w:r>
      <w:r w:rsidR="0062147A">
        <w:rPr>
          <w:sz w:val="24"/>
          <w:szCs w:val="24"/>
          <w:lang w:val="en-GB"/>
        </w:rPr>
        <w:t>, just because of unfavourable terms (Hamilton, 2019).</w:t>
      </w:r>
    </w:p>
    <w:p w14:paraId="3BA0AB18" w14:textId="77777777" w:rsidR="00FE484D" w:rsidRDefault="003D6ED0" w:rsidP="00AA7A6D">
      <w:pPr>
        <w:spacing w:after="300"/>
        <w:rPr>
          <w:sz w:val="24"/>
          <w:szCs w:val="24"/>
          <w:lang w:val="en-GB"/>
        </w:rPr>
      </w:pPr>
      <w:r>
        <w:rPr>
          <w:sz w:val="24"/>
          <w:szCs w:val="24"/>
          <w:lang w:val="en-GB"/>
        </w:rPr>
        <w:t xml:space="preserve">The pressure on the individual must be improper and just a mere accusation of unfairness or unequal bargaining powers in regards to the terms of the </w:t>
      </w:r>
      <w:r w:rsidR="00E80735">
        <w:rPr>
          <w:sz w:val="24"/>
          <w:szCs w:val="24"/>
          <w:lang w:val="en-GB"/>
        </w:rPr>
        <w:t>contract will</w:t>
      </w:r>
      <w:r>
        <w:rPr>
          <w:sz w:val="24"/>
          <w:szCs w:val="24"/>
          <w:lang w:val="en-GB"/>
        </w:rPr>
        <w:t xml:space="preserve"> not usually justify </w:t>
      </w:r>
      <w:r w:rsidR="0062147A">
        <w:rPr>
          <w:sz w:val="24"/>
          <w:szCs w:val="24"/>
          <w:lang w:val="en-GB"/>
        </w:rPr>
        <w:t xml:space="preserve">the intervention of law. </w:t>
      </w:r>
      <w:r w:rsidR="00675E99">
        <w:rPr>
          <w:sz w:val="24"/>
          <w:szCs w:val="24"/>
          <w:lang w:val="en-GB"/>
        </w:rPr>
        <w:t xml:space="preserve"> The improper pressure within the UK law covers four categories:</w:t>
      </w:r>
    </w:p>
    <w:p w14:paraId="1DD0845F" w14:textId="77777777" w:rsidR="00675E99" w:rsidRDefault="00675E99" w:rsidP="00675E99">
      <w:pPr>
        <w:pStyle w:val="ListParagraph"/>
        <w:numPr>
          <w:ilvl w:val="0"/>
          <w:numId w:val="1"/>
        </w:numPr>
        <w:spacing w:after="300"/>
        <w:rPr>
          <w:sz w:val="24"/>
          <w:szCs w:val="24"/>
          <w:lang w:val="en-GB"/>
        </w:rPr>
      </w:pPr>
      <w:r>
        <w:rPr>
          <w:sz w:val="24"/>
          <w:szCs w:val="24"/>
          <w:lang w:val="en-GB"/>
        </w:rPr>
        <w:t>The common law doctrine of duress,</w:t>
      </w:r>
    </w:p>
    <w:p w14:paraId="63730361" w14:textId="77777777" w:rsidR="00675E99" w:rsidRDefault="00675E99" w:rsidP="00675E99">
      <w:pPr>
        <w:pStyle w:val="ListParagraph"/>
        <w:numPr>
          <w:ilvl w:val="0"/>
          <w:numId w:val="1"/>
        </w:numPr>
        <w:spacing w:after="300"/>
        <w:rPr>
          <w:sz w:val="24"/>
          <w:szCs w:val="24"/>
          <w:lang w:val="en-GB"/>
        </w:rPr>
      </w:pPr>
      <w:r>
        <w:rPr>
          <w:sz w:val="24"/>
          <w:szCs w:val="24"/>
          <w:lang w:val="en-GB"/>
        </w:rPr>
        <w:t>The rules of undue influence</w:t>
      </w:r>
    </w:p>
    <w:p w14:paraId="4E559C65" w14:textId="77777777" w:rsidR="00675E99" w:rsidRDefault="00675E99" w:rsidP="00675E99">
      <w:pPr>
        <w:pStyle w:val="ListParagraph"/>
        <w:numPr>
          <w:ilvl w:val="0"/>
          <w:numId w:val="1"/>
        </w:numPr>
        <w:spacing w:after="300"/>
        <w:rPr>
          <w:sz w:val="24"/>
          <w:szCs w:val="24"/>
          <w:lang w:val="en-GB"/>
        </w:rPr>
      </w:pPr>
      <w:r>
        <w:rPr>
          <w:sz w:val="24"/>
          <w:szCs w:val="24"/>
          <w:lang w:val="en-GB"/>
        </w:rPr>
        <w:t>The common law doctrine of unconsioncnability,</w:t>
      </w:r>
    </w:p>
    <w:p w14:paraId="455DA7B5" w14:textId="77777777" w:rsidR="00675E99" w:rsidRDefault="00675E99" w:rsidP="00675E99">
      <w:pPr>
        <w:pStyle w:val="ListParagraph"/>
        <w:numPr>
          <w:ilvl w:val="0"/>
          <w:numId w:val="1"/>
        </w:numPr>
        <w:spacing w:after="300"/>
        <w:rPr>
          <w:sz w:val="24"/>
          <w:szCs w:val="24"/>
          <w:lang w:val="en-GB"/>
        </w:rPr>
      </w:pPr>
      <w:r>
        <w:rPr>
          <w:sz w:val="24"/>
          <w:szCs w:val="24"/>
          <w:lang w:val="en-GB"/>
        </w:rPr>
        <w:t>Statutory protection</w:t>
      </w:r>
    </w:p>
    <w:p w14:paraId="34F79C80" w14:textId="77777777" w:rsidR="003B29D4" w:rsidRDefault="003B29D4" w:rsidP="003B29D4">
      <w:pPr>
        <w:spacing w:after="300"/>
        <w:ind w:left="360"/>
        <w:jc w:val="right"/>
        <w:rPr>
          <w:sz w:val="24"/>
          <w:szCs w:val="24"/>
          <w:lang w:val="en-GB"/>
        </w:rPr>
      </w:pPr>
      <w:r>
        <w:rPr>
          <w:sz w:val="24"/>
          <w:szCs w:val="24"/>
          <w:lang w:val="en-GB"/>
        </w:rPr>
        <w:t>(Charman, 2013)</w:t>
      </w:r>
    </w:p>
    <w:p w14:paraId="1A3BBADC" w14:textId="77777777" w:rsidR="008E2956" w:rsidRDefault="007E4211" w:rsidP="007E4211">
      <w:pPr>
        <w:spacing w:after="300"/>
        <w:ind w:left="360"/>
        <w:rPr>
          <w:sz w:val="24"/>
          <w:szCs w:val="24"/>
          <w:lang w:val="en-GB"/>
        </w:rPr>
      </w:pPr>
      <w:r>
        <w:rPr>
          <w:sz w:val="24"/>
          <w:szCs w:val="24"/>
          <w:lang w:val="en-GB"/>
        </w:rPr>
        <w:t>In relation to duress</w:t>
      </w:r>
      <w:r w:rsidR="00D55161">
        <w:rPr>
          <w:sz w:val="24"/>
          <w:szCs w:val="24"/>
          <w:lang w:val="en-GB"/>
        </w:rPr>
        <w:t>,</w:t>
      </w:r>
      <w:r>
        <w:rPr>
          <w:sz w:val="24"/>
          <w:szCs w:val="24"/>
          <w:lang w:val="en-GB"/>
        </w:rPr>
        <w:t xml:space="preserve"> the common law has always recognised that if the individual has been forced to enter into an agreement they would be entitled to relief in the court.  The original common law doctrine only </w:t>
      </w:r>
      <w:r w:rsidR="0072762E">
        <w:rPr>
          <w:sz w:val="24"/>
          <w:szCs w:val="24"/>
          <w:lang w:val="en-GB"/>
        </w:rPr>
        <w:t>recognised physical</w:t>
      </w:r>
      <w:r>
        <w:rPr>
          <w:sz w:val="24"/>
          <w:szCs w:val="24"/>
          <w:lang w:val="en-GB"/>
        </w:rPr>
        <w:t xml:space="preserve"> </w:t>
      </w:r>
      <w:r w:rsidR="0072762E">
        <w:rPr>
          <w:sz w:val="24"/>
          <w:szCs w:val="24"/>
          <w:lang w:val="en-GB"/>
        </w:rPr>
        <w:t>pressure as a form of duress, this required an actual or threatened physical violence against the victim in addition a threat of imprisonment could also constitute</w:t>
      </w:r>
      <w:r w:rsidR="00F97D63">
        <w:rPr>
          <w:sz w:val="24"/>
          <w:szCs w:val="24"/>
          <w:lang w:val="en-GB"/>
        </w:rPr>
        <w:t xml:space="preserve"> duress (Andrews, 2015). </w:t>
      </w:r>
    </w:p>
    <w:p w14:paraId="007C5408" w14:textId="173EB56C" w:rsidR="00D55161" w:rsidRDefault="00D55161" w:rsidP="00D55161">
      <w:pPr>
        <w:spacing w:after="300"/>
        <w:ind w:left="360"/>
        <w:rPr>
          <w:sz w:val="24"/>
          <w:szCs w:val="24"/>
          <w:lang w:val="en-GB"/>
        </w:rPr>
      </w:pPr>
      <w:r>
        <w:rPr>
          <w:sz w:val="24"/>
          <w:szCs w:val="24"/>
          <w:lang w:val="en-GB"/>
        </w:rPr>
        <w:t xml:space="preserve">The case of Barton v Armstrong [1973] relates to duress by threat of violence, or duress to the person, where if the person can prove that they had been forced into an agreement by threat of violence then the contract will be voidable. In this case the Judicial Committee of the Privy Council held that the physical duress does not need to be the main reason, it could be just </w:t>
      </w:r>
      <w:r w:rsidR="00DD2C88">
        <w:rPr>
          <w:sz w:val="24"/>
          <w:szCs w:val="24"/>
          <w:lang w:val="en-GB"/>
        </w:rPr>
        <w:t>a</w:t>
      </w:r>
      <w:r>
        <w:rPr>
          <w:sz w:val="24"/>
          <w:szCs w:val="24"/>
          <w:lang w:val="en-GB"/>
        </w:rPr>
        <w:t xml:space="preserve"> reason amongst others for entering into an agreement. Lord Cross then went on to say that </w:t>
      </w:r>
      <w:r w:rsidRPr="005968F3">
        <w:rPr>
          <w:sz w:val="24"/>
          <w:szCs w:val="24"/>
          <w:lang w:val="en-GB"/>
        </w:rPr>
        <w:t xml:space="preserve">‘if Armstrong's threats were </w:t>
      </w:r>
      <w:r w:rsidRPr="005968F3">
        <w:rPr>
          <w:i/>
          <w:iCs/>
          <w:sz w:val="24"/>
          <w:szCs w:val="24"/>
          <w:lang w:val="en-GB"/>
        </w:rPr>
        <w:t>a</w:t>
      </w:r>
      <w:r w:rsidRPr="005968F3">
        <w:rPr>
          <w:sz w:val="24"/>
          <w:szCs w:val="24"/>
          <w:lang w:val="en-GB"/>
        </w:rPr>
        <w:t xml:space="preserve"> reason for Barton's executing the deed he is entitled to relief even though he might well have entered into the contract if Armstrong had uttered no </w:t>
      </w:r>
      <w:r>
        <w:rPr>
          <w:sz w:val="24"/>
          <w:szCs w:val="24"/>
          <w:lang w:val="en-GB"/>
        </w:rPr>
        <w:t xml:space="preserve">threats to induce him to do so" (Poole, 2012, p 643). </w:t>
      </w:r>
    </w:p>
    <w:p w14:paraId="3CB05CAC" w14:textId="77777777" w:rsidR="00D55161" w:rsidRDefault="00C25270" w:rsidP="00491228">
      <w:pPr>
        <w:spacing w:after="300"/>
        <w:ind w:left="360"/>
        <w:rPr>
          <w:sz w:val="24"/>
          <w:szCs w:val="24"/>
          <w:lang w:val="en-GB"/>
        </w:rPr>
      </w:pPr>
      <w:r>
        <w:rPr>
          <w:sz w:val="24"/>
          <w:szCs w:val="24"/>
          <w:lang w:val="en-GB"/>
        </w:rPr>
        <w:t>There are three tests an individual has to prove to the court before the c</w:t>
      </w:r>
      <w:r w:rsidR="008B4E58">
        <w:rPr>
          <w:sz w:val="24"/>
          <w:szCs w:val="24"/>
          <w:lang w:val="en-GB"/>
        </w:rPr>
        <w:t>ontract can be deemed as void</w:t>
      </w:r>
      <w:r w:rsidR="000C7F29">
        <w:rPr>
          <w:sz w:val="24"/>
          <w:szCs w:val="24"/>
          <w:lang w:val="en-GB"/>
        </w:rPr>
        <w:t>able</w:t>
      </w:r>
      <w:r w:rsidR="008B4E58">
        <w:rPr>
          <w:sz w:val="24"/>
          <w:szCs w:val="24"/>
          <w:lang w:val="en-GB"/>
        </w:rPr>
        <w:t xml:space="preserve"> due to duress by threat of violence. </w:t>
      </w:r>
      <w:r>
        <w:rPr>
          <w:sz w:val="24"/>
          <w:szCs w:val="24"/>
          <w:lang w:val="en-GB"/>
        </w:rPr>
        <w:t xml:space="preserve">An individual should show that illegitimate means of persuasion were used, the illegitimate means used was a reason, </w:t>
      </w:r>
      <w:r>
        <w:rPr>
          <w:sz w:val="24"/>
          <w:szCs w:val="24"/>
          <w:lang w:val="en-GB"/>
        </w:rPr>
        <w:lastRenderedPageBreak/>
        <w:t>rather than the main reason for duress and that the evidence is honest and accepted (Arvind and Arvind, 2019).</w:t>
      </w:r>
    </w:p>
    <w:p w14:paraId="54DFFAF1" w14:textId="77777777" w:rsidR="007D5ABB" w:rsidRDefault="007D5ABB" w:rsidP="007D5ABB">
      <w:pPr>
        <w:spacing w:after="300"/>
        <w:ind w:left="360"/>
        <w:rPr>
          <w:sz w:val="24"/>
          <w:szCs w:val="24"/>
          <w:lang w:val="en-GB"/>
        </w:rPr>
      </w:pPr>
      <w:r>
        <w:rPr>
          <w:sz w:val="24"/>
          <w:szCs w:val="24"/>
          <w:lang w:val="en-GB"/>
        </w:rPr>
        <w:t xml:space="preserve">The claim of duress can now also be made if the threat has been made to the person’s goods rather than the individual themselves. In such cases courts have been less willing to intervene, but the constant changes and improvements to the law suggests that it </w:t>
      </w:r>
      <w:r w:rsidRPr="00491228">
        <w:rPr>
          <w:sz w:val="24"/>
          <w:szCs w:val="24"/>
          <w:lang w:val="en-GB"/>
        </w:rPr>
        <w:t xml:space="preserve">may change in the future (Collins, 2003). </w:t>
      </w:r>
    </w:p>
    <w:p w14:paraId="2FAAC74B" w14:textId="5BC2AB0D" w:rsidR="008771EC" w:rsidRDefault="00491228" w:rsidP="00491228">
      <w:pPr>
        <w:spacing w:after="300"/>
        <w:ind w:left="360"/>
        <w:rPr>
          <w:rStyle w:val="Strong"/>
          <w:b w:val="0"/>
          <w:sz w:val="24"/>
          <w:szCs w:val="24"/>
          <w:lang w:val="en-GB"/>
        </w:rPr>
      </w:pPr>
      <w:r>
        <w:rPr>
          <w:sz w:val="24"/>
          <w:szCs w:val="24"/>
          <w:lang w:val="en-GB"/>
        </w:rPr>
        <w:t>The 19th century limitation on duress meant that it could not be applied to ‘duress of goods’ if a person unlawfully detained or threatened to detain another person property it was not considered to be sufficient duress to enable the contract to be void</w:t>
      </w:r>
      <w:r w:rsidR="008771EC">
        <w:rPr>
          <w:sz w:val="24"/>
          <w:szCs w:val="24"/>
          <w:lang w:val="en-GB"/>
        </w:rPr>
        <w:t>able</w:t>
      </w:r>
      <w:r>
        <w:rPr>
          <w:sz w:val="24"/>
          <w:szCs w:val="24"/>
          <w:lang w:val="en-GB"/>
        </w:rPr>
        <w:t>.</w:t>
      </w:r>
      <w:r w:rsidRPr="00491228">
        <w:rPr>
          <w:sz w:val="24"/>
          <w:szCs w:val="24"/>
          <w:lang w:val="en-GB"/>
        </w:rPr>
        <w:t xml:space="preserve"> One of the first cases of duress to goods is the one of </w:t>
      </w:r>
      <w:proofErr w:type="spellStart"/>
      <w:r w:rsidRPr="00491228">
        <w:rPr>
          <w:sz w:val="24"/>
          <w:szCs w:val="24"/>
          <w:lang w:val="en-GB"/>
        </w:rPr>
        <w:t>Skeate</w:t>
      </w:r>
      <w:proofErr w:type="spellEnd"/>
      <w:r w:rsidRPr="00491228">
        <w:rPr>
          <w:sz w:val="24"/>
          <w:szCs w:val="24"/>
          <w:lang w:val="en-GB"/>
        </w:rPr>
        <w:t xml:space="preserve"> v Beale [1840] </w:t>
      </w:r>
      <w:r w:rsidRPr="00491228">
        <w:rPr>
          <w:rStyle w:val="Strong"/>
          <w:b w:val="0"/>
          <w:sz w:val="24"/>
          <w:szCs w:val="24"/>
          <w:lang w:val="en-GB"/>
        </w:rPr>
        <w:t xml:space="preserve">where the landlord had seized the tenant’s goods and threatened to sell them if he did not pay the money owed in full. </w:t>
      </w:r>
      <w:r w:rsidR="00687EEA">
        <w:rPr>
          <w:rStyle w:val="Strong"/>
          <w:b w:val="0"/>
          <w:sz w:val="24"/>
          <w:szCs w:val="24"/>
          <w:lang w:val="en-GB"/>
        </w:rPr>
        <w:t>The court ruled that duress to just the goods is not sufficient enough to render the contract void</w:t>
      </w:r>
      <w:r w:rsidR="008771EC">
        <w:rPr>
          <w:rStyle w:val="Strong"/>
          <w:b w:val="0"/>
          <w:sz w:val="24"/>
          <w:szCs w:val="24"/>
          <w:lang w:val="en-GB"/>
        </w:rPr>
        <w:t>able</w:t>
      </w:r>
      <w:r w:rsidR="00687EEA">
        <w:rPr>
          <w:rStyle w:val="Strong"/>
          <w:b w:val="0"/>
          <w:sz w:val="24"/>
          <w:szCs w:val="24"/>
          <w:lang w:val="en-GB"/>
        </w:rPr>
        <w:t>.</w:t>
      </w:r>
      <w:r w:rsidR="00ED482B">
        <w:rPr>
          <w:rStyle w:val="Strong"/>
          <w:b w:val="0"/>
          <w:sz w:val="24"/>
          <w:szCs w:val="24"/>
          <w:lang w:val="en-GB"/>
        </w:rPr>
        <w:t xml:space="preserve"> </w:t>
      </w:r>
    </w:p>
    <w:p w14:paraId="45AC569F" w14:textId="77777777" w:rsidR="00ED482B" w:rsidRDefault="00ED482B" w:rsidP="00491228">
      <w:pPr>
        <w:spacing w:after="300"/>
        <w:ind w:left="360"/>
        <w:rPr>
          <w:rStyle w:val="Strong"/>
          <w:b w:val="0"/>
          <w:sz w:val="24"/>
          <w:szCs w:val="24"/>
          <w:lang w:val="en-GB"/>
        </w:rPr>
      </w:pPr>
      <w:r>
        <w:rPr>
          <w:rStyle w:val="Strong"/>
          <w:b w:val="0"/>
          <w:sz w:val="24"/>
          <w:szCs w:val="24"/>
          <w:lang w:val="en-GB"/>
        </w:rPr>
        <w:t>The case of Maskell v Horner [1915] is similar in a way that the plaintiff threatened to take the goods and then re-sell them for profit if the defended did n</w:t>
      </w:r>
      <w:r w:rsidR="008771EC">
        <w:rPr>
          <w:rStyle w:val="Strong"/>
          <w:b w:val="0"/>
          <w:sz w:val="24"/>
          <w:szCs w:val="24"/>
          <w:lang w:val="en-GB"/>
        </w:rPr>
        <w:t>ot pay the ‘toll money’ . The C</w:t>
      </w:r>
      <w:r>
        <w:rPr>
          <w:rStyle w:val="Strong"/>
          <w:b w:val="0"/>
          <w:sz w:val="24"/>
          <w:szCs w:val="24"/>
          <w:lang w:val="en-GB"/>
        </w:rPr>
        <w:t>ourt of Appeal allowed for all the money paid to be recovered, even though the payments had been made over</w:t>
      </w:r>
      <w:r w:rsidR="00223F2D">
        <w:rPr>
          <w:rStyle w:val="Strong"/>
          <w:b w:val="0"/>
          <w:sz w:val="24"/>
          <w:szCs w:val="24"/>
          <w:lang w:val="en-GB"/>
        </w:rPr>
        <w:t xml:space="preserve"> a considerable amount of time under the law of restitution. The distinction between the two cases comes down to the fact that </w:t>
      </w:r>
      <w:proofErr w:type="spellStart"/>
      <w:r w:rsidR="00223F2D">
        <w:rPr>
          <w:rStyle w:val="Strong"/>
          <w:b w:val="0"/>
          <w:sz w:val="24"/>
          <w:szCs w:val="24"/>
          <w:lang w:val="en-GB"/>
        </w:rPr>
        <w:t>Skeate</w:t>
      </w:r>
      <w:proofErr w:type="spellEnd"/>
      <w:r w:rsidR="00223F2D">
        <w:rPr>
          <w:rStyle w:val="Strong"/>
          <w:b w:val="0"/>
          <w:sz w:val="24"/>
          <w:szCs w:val="24"/>
          <w:lang w:val="en-GB"/>
        </w:rPr>
        <w:t xml:space="preserve"> had entered into the agreement voluntarily whereas Maskell had be</w:t>
      </w:r>
      <w:r w:rsidR="008771EC">
        <w:rPr>
          <w:rStyle w:val="Strong"/>
          <w:b w:val="0"/>
          <w:sz w:val="24"/>
          <w:szCs w:val="24"/>
          <w:lang w:val="en-GB"/>
        </w:rPr>
        <w:t>e</w:t>
      </w:r>
      <w:r w:rsidR="00223F2D">
        <w:rPr>
          <w:rStyle w:val="Strong"/>
          <w:b w:val="0"/>
          <w:sz w:val="24"/>
          <w:szCs w:val="24"/>
          <w:lang w:val="en-GB"/>
        </w:rPr>
        <w:t>n forced into the contract, by being threatened to have his g</w:t>
      </w:r>
      <w:r w:rsidR="008771EC">
        <w:rPr>
          <w:rStyle w:val="Strong"/>
          <w:b w:val="0"/>
          <w:sz w:val="24"/>
          <w:szCs w:val="24"/>
          <w:lang w:val="en-GB"/>
        </w:rPr>
        <w:t>o</w:t>
      </w:r>
      <w:r w:rsidR="00223F2D">
        <w:rPr>
          <w:rStyle w:val="Strong"/>
          <w:b w:val="0"/>
          <w:sz w:val="24"/>
          <w:szCs w:val="24"/>
          <w:lang w:val="en-GB"/>
        </w:rPr>
        <w:t xml:space="preserve">ods taken away from him. </w:t>
      </w:r>
    </w:p>
    <w:p w14:paraId="7F83EB73" w14:textId="77777777" w:rsidR="00491228" w:rsidRDefault="006520EA" w:rsidP="00491228">
      <w:pPr>
        <w:spacing w:after="300"/>
        <w:ind w:left="360"/>
        <w:rPr>
          <w:rStyle w:val="Strong"/>
          <w:b w:val="0"/>
          <w:sz w:val="24"/>
          <w:szCs w:val="24"/>
          <w:lang w:val="en-GB"/>
        </w:rPr>
      </w:pPr>
      <w:r>
        <w:rPr>
          <w:rStyle w:val="Strong"/>
          <w:b w:val="0"/>
          <w:sz w:val="24"/>
          <w:szCs w:val="24"/>
          <w:lang w:val="en-GB"/>
        </w:rPr>
        <w:t>The doctrine of duress had started</w:t>
      </w:r>
      <w:r w:rsidR="00B859EE">
        <w:rPr>
          <w:rStyle w:val="Strong"/>
          <w:b w:val="0"/>
          <w:sz w:val="24"/>
          <w:szCs w:val="24"/>
          <w:lang w:val="en-GB"/>
        </w:rPr>
        <w:t xml:space="preserve"> to change in the case of Occidental Worldwide Investment Group v </w:t>
      </w:r>
      <w:proofErr w:type="spellStart"/>
      <w:r w:rsidR="00B859EE">
        <w:rPr>
          <w:rStyle w:val="Strong"/>
          <w:b w:val="0"/>
          <w:sz w:val="24"/>
          <w:szCs w:val="24"/>
          <w:lang w:val="en-GB"/>
        </w:rPr>
        <w:t>Skibs</w:t>
      </w:r>
      <w:proofErr w:type="spellEnd"/>
      <w:r w:rsidR="00B859EE">
        <w:rPr>
          <w:rStyle w:val="Strong"/>
          <w:b w:val="0"/>
          <w:sz w:val="24"/>
          <w:szCs w:val="24"/>
          <w:lang w:val="en-GB"/>
        </w:rPr>
        <w:t xml:space="preserve"> Avanti, also commonly known as The </w:t>
      </w:r>
      <w:proofErr w:type="spellStart"/>
      <w:r w:rsidR="00B859EE">
        <w:rPr>
          <w:rStyle w:val="Strong"/>
          <w:b w:val="0"/>
          <w:sz w:val="24"/>
          <w:szCs w:val="24"/>
          <w:lang w:val="en-GB"/>
        </w:rPr>
        <w:t>Sibeon</w:t>
      </w:r>
      <w:proofErr w:type="spellEnd"/>
      <w:r w:rsidR="00B859EE">
        <w:rPr>
          <w:rStyle w:val="Strong"/>
          <w:b w:val="0"/>
          <w:sz w:val="24"/>
          <w:szCs w:val="24"/>
          <w:lang w:val="en-GB"/>
        </w:rPr>
        <w:t xml:space="preserve"> v The </w:t>
      </w:r>
      <w:proofErr w:type="spellStart"/>
      <w:r w:rsidR="00B859EE">
        <w:rPr>
          <w:rStyle w:val="Strong"/>
          <w:b w:val="0"/>
          <w:sz w:val="24"/>
          <w:szCs w:val="24"/>
          <w:lang w:val="en-GB"/>
        </w:rPr>
        <w:t>Sibotre</w:t>
      </w:r>
      <w:proofErr w:type="spellEnd"/>
      <w:r w:rsidR="00B859EE">
        <w:rPr>
          <w:rStyle w:val="Strong"/>
          <w:b w:val="0"/>
          <w:sz w:val="24"/>
          <w:szCs w:val="24"/>
          <w:lang w:val="en-GB"/>
        </w:rPr>
        <w:t xml:space="preserve"> [ 1976] wh</w:t>
      </w:r>
      <w:r w:rsidR="008C31FC">
        <w:rPr>
          <w:rStyle w:val="Strong"/>
          <w:b w:val="0"/>
          <w:sz w:val="24"/>
          <w:szCs w:val="24"/>
          <w:lang w:val="en-GB"/>
        </w:rPr>
        <w:t>ere J</w:t>
      </w:r>
      <w:r w:rsidR="00B859EE">
        <w:rPr>
          <w:rStyle w:val="Strong"/>
          <w:b w:val="0"/>
          <w:sz w:val="24"/>
          <w:szCs w:val="24"/>
          <w:lang w:val="en-GB"/>
        </w:rPr>
        <w:t xml:space="preserve">udge Kerr express his opinion and widely criticised the decision in </w:t>
      </w:r>
      <w:proofErr w:type="spellStart"/>
      <w:r w:rsidR="00B859EE">
        <w:rPr>
          <w:rStyle w:val="Strong"/>
          <w:b w:val="0"/>
          <w:sz w:val="24"/>
          <w:szCs w:val="24"/>
          <w:lang w:val="en-GB"/>
        </w:rPr>
        <w:t>Skeate</w:t>
      </w:r>
      <w:proofErr w:type="spellEnd"/>
      <w:r w:rsidR="00B859EE">
        <w:rPr>
          <w:rStyle w:val="Strong"/>
          <w:b w:val="0"/>
          <w:sz w:val="24"/>
          <w:szCs w:val="24"/>
          <w:lang w:val="en-GB"/>
        </w:rPr>
        <w:t xml:space="preserve"> v Beale through obiter dictum, an expression of opinion by the judge</w:t>
      </w:r>
      <w:r w:rsidR="00590449">
        <w:rPr>
          <w:rStyle w:val="Strong"/>
          <w:b w:val="0"/>
          <w:sz w:val="24"/>
          <w:szCs w:val="24"/>
          <w:lang w:val="en-GB"/>
        </w:rPr>
        <w:t>,</w:t>
      </w:r>
      <w:r w:rsidR="00B859EE">
        <w:rPr>
          <w:rStyle w:val="Strong"/>
          <w:b w:val="0"/>
          <w:sz w:val="24"/>
          <w:szCs w:val="24"/>
          <w:lang w:val="en-GB"/>
        </w:rPr>
        <w:t xml:space="preserve"> uttered in court, but not essential to the case and therefore not legally binding</w:t>
      </w:r>
      <w:r w:rsidR="00865398">
        <w:rPr>
          <w:rStyle w:val="Strong"/>
          <w:b w:val="0"/>
          <w:sz w:val="24"/>
          <w:szCs w:val="24"/>
          <w:lang w:val="en-GB"/>
        </w:rPr>
        <w:t xml:space="preserve">, (McLeod, 1999) </w:t>
      </w:r>
      <w:r w:rsidR="00B859EE">
        <w:rPr>
          <w:rStyle w:val="Strong"/>
          <w:b w:val="0"/>
          <w:sz w:val="24"/>
          <w:szCs w:val="24"/>
          <w:lang w:val="en-GB"/>
        </w:rPr>
        <w:t xml:space="preserve"> </w:t>
      </w:r>
      <w:r w:rsidR="008C31FC">
        <w:rPr>
          <w:rStyle w:val="Strong"/>
          <w:b w:val="0"/>
          <w:sz w:val="24"/>
          <w:szCs w:val="24"/>
          <w:lang w:val="en-GB"/>
        </w:rPr>
        <w:t>which</w:t>
      </w:r>
      <w:r w:rsidR="00B859EE">
        <w:rPr>
          <w:rStyle w:val="Strong"/>
          <w:b w:val="0"/>
          <w:sz w:val="24"/>
          <w:szCs w:val="24"/>
          <w:lang w:val="en-GB"/>
        </w:rPr>
        <w:t xml:space="preserve"> did open up a debate about the economic duress, which had developed in modern times</w:t>
      </w:r>
      <w:r w:rsidR="00865398">
        <w:rPr>
          <w:rStyle w:val="Strong"/>
          <w:b w:val="0"/>
          <w:sz w:val="24"/>
          <w:szCs w:val="24"/>
          <w:lang w:val="en-GB"/>
        </w:rPr>
        <w:t xml:space="preserve">. </w:t>
      </w:r>
      <w:r w:rsidR="003465E9">
        <w:rPr>
          <w:rStyle w:val="Strong"/>
          <w:b w:val="0"/>
          <w:sz w:val="24"/>
          <w:szCs w:val="24"/>
          <w:lang w:val="en-GB"/>
        </w:rPr>
        <w:t xml:space="preserve">In his ruling Kerr rejected the confines of duress but added that in a contractual situation commercial pressure is not </w:t>
      </w:r>
      <w:r w:rsidR="00865398">
        <w:rPr>
          <w:rStyle w:val="Strong"/>
          <w:b w:val="0"/>
          <w:sz w:val="24"/>
          <w:szCs w:val="24"/>
          <w:lang w:val="en-GB"/>
        </w:rPr>
        <w:t>enough to prove economic duress, where there exists coercion of the will to vitiate consent, it should be possible for the contract to be declared void</w:t>
      </w:r>
      <w:r w:rsidR="00590449">
        <w:rPr>
          <w:rStyle w:val="Strong"/>
          <w:b w:val="0"/>
          <w:sz w:val="24"/>
          <w:szCs w:val="24"/>
          <w:lang w:val="en-GB"/>
        </w:rPr>
        <w:t>able</w:t>
      </w:r>
      <w:r w:rsidR="00865398">
        <w:rPr>
          <w:rStyle w:val="Strong"/>
          <w:b w:val="0"/>
          <w:sz w:val="24"/>
          <w:szCs w:val="24"/>
          <w:lang w:val="en-GB"/>
        </w:rPr>
        <w:t>.</w:t>
      </w:r>
      <w:r w:rsidR="003B6AF1">
        <w:rPr>
          <w:rStyle w:val="Strong"/>
          <w:b w:val="0"/>
          <w:sz w:val="24"/>
          <w:szCs w:val="24"/>
          <w:lang w:val="en-GB"/>
        </w:rPr>
        <w:t xml:space="preserve"> Judge Kerr then went on to say that in order to prove economic duress there would have to be a degree of coercion that the other party was deprived of the ability to freely consent to the agreement. </w:t>
      </w:r>
      <w:r w:rsidR="00705660">
        <w:rPr>
          <w:rStyle w:val="Strong"/>
          <w:b w:val="0"/>
          <w:sz w:val="24"/>
          <w:szCs w:val="24"/>
          <w:lang w:val="en-GB"/>
        </w:rPr>
        <w:t xml:space="preserve"> He identified two questions that essential to establishing the economic duress, did the victim protest at the time of making a demand and did the victim regard the transaction as closed or did they intent to change the new agreement (Stone, 2005). </w:t>
      </w:r>
    </w:p>
    <w:p w14:paraId="02EC84E1" w14:textId="532E36E5" w:rsidR="00A41A6A" w:rsidRDefault="00997D3C" w:rsidP="00491228">
      <w:pPr>
        <w:spacing w:after="300"/>
        <w:ind w:left="360"/>
        <w:rPr>
          <w:sz w:val="24"/>
          <w:szCs w:val="24"/>
          <w:lang w:val="en-GB"/>
        </w:rPr>
      </w:pPr>
      <w:r>
        <w:rPr>
          <w:sz w:val="24"/>
          <w:szCs w:val="24"/>
          <w:lang w:val="en-GB"/>
        </w:rPr>
        <w:t xml:space="preserve">Three years after the </w:t>
      </w:r>
      <w:proofErr w:type="spellStart"/>
      <w:r>
        <w:rPr>
          <w:sz w:val="24"/>
          <w:szCs w:val="24"/>
          <w:lang w:val="en-GB"/>
        </w:rPr>
        <w:t>Sibeon</w:t>
      </w:r>
      <w:proofErr w:type="spellEnd"/>
      <w:r>
        <w:rPr>
          <w:sz w:val="24"/>
          <w:szCs w:val="24"/>
          <w:lang w:val="en-GB"/>
        </w:rPr>
        <w:t xml:space="preserve"> v the </w:t>
      </w:r>
      <w:proofErr w:type="spellStart"/>
      <w:r>
        <w:rPr>
          <w:sz w:val="24"/>
          <w:szCs w:val="24"/>
          <w:lang w:val="en-GB"/>
        </w:rPr>
        <w:t>Sibotre</w:t>
      </w:r>
      <w:proofErr w:type="spellEnd"/>
      <w:r>
        <w:rPr>
          <w:sz w:val="24"/>
          <w:szCs w:val="24"/>
          <w:lang w:val="en-GB"/>
        </w:rPr>
        <w:t xml:space="preserve"> [1976] in the case </w:t>
      </w:r>
      <w:proofErr w:type="gramStart"/>
      <w:r>
        <w:rPr>
          <w:sz w:val="24"/>
          <w:szCs w:val="24"/>
          <w:lang w:val="en-GB"/>
        </w:rPr>
        <w:t>of  The</w:t>
      </w:r>
      <w:proofErr w:type="gramEnd"/>
      <w:r>
        <w:rPr>
          <w:sz w:val="24"/>
          <w:szCs w:val="24"/>
          <w:lang w:val="en-GB"/>
        </w:rPr>
        <w:t xml:space="preserve"> Atlantic Baron [1979] the views of Judge Kerr had been endorsed for the first time</w:t>
      </w:r>
      <w:r w:rsidR="00112ED7">
        <w:rPr>
          <w:sz w:val="24"/>
          <w:szCs w:val="24"/>
          <w:lang w:val="en-GB"/>
        </w:rPr>
        <w:t xml:space="preserve">. </w:t>
      </w:r>
      <w:r w:rsidR="009641CE">
        <w:rPr>
          <w:sz w:val="24"/>
          <w:szCs w:val="24"/>
          <w:lang w:val="en-GB"/>
        </w:rPr>
        <w:t xml:space="preserve">In his ruling Judge </w:t>
      </w:r>
      <w:proofErr w:type="spellStart"/>
      <w:r w:rsidR="009641CE">
        <w:rPr>
          <w:sz w:val="24"/>
          <w:szCs w:val="24"/>
          <w:lang w:val="en-GB"/>
        </w:rPr>
        <w:t>Moccata</w:t>
      </w:r>
      <w:proofErr w:type="spellEnd"/>
      <w:r w:rsidR="009641CE">
        <w:rPr>
          <w:sz w:val="24"/>
          <w:szCs w:val="24"/>
          <w:lang w:val="en-GB"/>
        </w:rPr>
        <w:t xml:space="preserve"> </w:t>
      </w:r>
      <w:r w:rsidR="009641CE">
        <w:rPr>
          <w:sz w:val="24"/>
          <w:szCs w:val="24"/>
          <w:lang w:val="en-GB"/>
        </w:rPr>
        <w:lastRenderedPageBreak/>
        <w:t xml:space="preserve">recognised that threat to the </w:t>
      </w:r>
      <w:proofErr w:type="gramStart"/>
      <w:r w:rsidR="009641CE">
        <w:rPr>
          <w:sz w:val="24"/>
          <w:szCs w:val="24"/>
          <w:lang w:val="en-GB"/>
        </w:rPr>
        <w:t>parties</w:t>
      </w:r>
      <w:proofErr w:type="gramEnd"/>
      <w:r w:rsidR="009641CE">
        <w:rPr>
          <w:sz w:val="24"/>
          <w:szCs w:val="24"/>
          <w:lang w:val="en-GB"/>
        </w:rPr>
        <w:t xml:space="preserve"> goods, does constitute an economic duress</w:t>
      </w:r>
      <w:r w:rsidR="00762697">
        <w:rPr>
          <w:sz w:val="24"/>
          <w:szCs w:val="24"/>
          <w:lang w:val="en-GB"/>
        </w:rPr>
        <w:t>. The illegitimate pressure exerted by the ships manufacturer</w:t>
      </w:r>
      <w:r w:rsidR="00734F16">
        <w:rPr>
          <w:sz w:val="24"/>
          <w:szCs w:val="24"/>
          <w:lang w:val="en-GB"/>
        </w:rPr>
        <w:t xml:space="preserve"> </w:t>
      </w:r>
      <w:r w:rsidR="00762697">
        <w:rPr>
          <w:sz w:val="24"/>
          <w:szCs w:val="24"/>
          <w:lang w:val="en-GB"/>
        </w:rPr>
        <w:t>was their threat to break the terms of contract. Accordingly this threat has resulted in another contract being made, even though it was made with good consideration in mind the contract is voidable by economic duress,</w:t>
      </w:r>
      <w:r w:rsidR="009641CE">
        <w:rPr>
          <w:sz w:val="24"/>
          <w:szCs w:val="24"/>
          <w:lang w:val="en-GB"/>
        </w:rPr>
        <w:t xml:space="preserve"> however because the defendant had waited</w:t>
      </w:r>
      <w:r w:rsidR="00E22170">
        <w:rPr>
          <w:sz w:val="24"/>
          <w:szCs w:val="24"/>
          <w:lang w:val="en-GB"/>
        </w:rPr>
        <w:t xml:space="preserve"> until the ship had been build, </w:t>
      </w:r>
      <w:r w:rsidR="009641CE">
        <w:rPr>
          <w:sz w:val="24"/>
          <w:szCs w:val="24"/>
          <w:lang w:val="en-GB"/>
        </w:rPr>
        <w:t>money paid without protest and because the</w:t>
      </w:r>
      <w:r w:rsidR="00762697">
        <w:rPr>
          <w:sz w:val="24"/>
          <w:szCs w:val="24"/>
          <w:lang w:val="en-GB"/>
        </w:rPr>
        <w:t>y had</w:t>
      </w:r>
      <w:r w:rsidR="009641CE">
        <w:rPr>
          <w:sz w:val="24"/>
          <w:szCs w:val="24"/>
          <w:lang w:val="en-GB"/>
        </w:rPr>
        <w:t xml:space="preserve"> delayed avoiding the contract for eight months, they have affirmed the contract and as a re</w:t>
      </w:r>
      <w:r w:rsidR="00734F16">
        <w:rPr>
          <w:sz w:val="24"/>
          <w:szCs w:val="24"/>
          <w:lang w:val="en-GB"/>
        </w:rPr>
        <w:t>sult lost the right to avoid it (Beatty and Samuelson, 2005).</w:t>
      </w:r>
    </w:p>
    <w:p w14:paraId="46B26702" w14:textId="77777777" w:rsidR="003D530A" w:rsidRDefault="003D530A" w:rsidP="003D530A">
      <w:pPr>
        <w:spacing w:after="300"/>
        <w:ind w:left="360"/>
        <w:rPr>
          <w:sz w:val="24"/>
          <w:szCs w:val="24"/>
          <w:lang w:val="en-GB"/>
        </w:rPr>
      </w:pPr>
      <w:r>
        <w:rPr>
          <w:sz w:val="24"/>
          <w:szCs w:val="24"/>
          <w:lang w:val="en-GB"/>
        </w:rPr>
        <w:t xml:space="preserve">The legitimate economic pressure can be recognised as a useful negotiation technique in some cases and only in the case of Pao </w:t>
      </w:r>
      <w:proofErr w:type="gramStart"/>
      <w:r>
        <w:rPr>
          <w:sz w:val="24"/>
          <w:szCs w:val="24"/>
          <w:lang w:val="en-GB"/>
        </w:rPr>
        <w:t>On</w:t>
      </w:r>
      <w:proofErr w:type="gramEnd"/>
      <w:r>
        <w:rPr>
          <w:sz w:val="24"/>
          <w:szCs w:val="24"/>
          <w:lang w:val="en-GB"/>
        </w:rPr>
        <w:t xml:space="preserve"> v Lau </w:t>
      </w:r>
      <w:proofErr w:type="spellStart"/>
      <w:r>
        <w:rPr>
          <w:sz w:val="24"/>
          <w:szCs w:val="24"/>
          <w:lang w:val="en-GB"/>
        </w:rPr>
        <w:t>Yiu</w:t>
      </w:r>
      <w:proofErr w:type="spellEnd"/>
      <w:r>
        <w:rPr>
          <w:sz w:val="24"/>
          <w:szCs w:val="24"/>
          <w:lang w:val="en-GB"/>
        </w:rPr>
        <w:t xml:space="preserve"> Long [ 1980] was the eco</w:t>
      </w:r>
      <w:r w:rsidR="00FE29F0">
        <w:rPr>
          <w:sz w:val="24"/>
          <w:szCs w:val="24"/>
          <w:lang w:val="en-GB"/>
        </w:rPr>
        <w:t>nomic duress truly established (Poole, 2012).</w:t>
      </w:r>
      <w:r w:rsidR="00E22170">
        <w:rPr>
          <w:sz w:val="24"/>
          <w:szCs w:val="24"/>
          <w:lang w:val="en-GB"/>
        </w:rPr>
        <w:t xml:space="preserve"> Lord Scarman, agreed with Justice Kerr in the ‘</w:t>
      </w:r>
      <w:proofErr w:type="spellStart"/>
      <w:r w:rsidR="00E22170">
        <w:rPr>
          <w:sz w:val="24"/>
          <w:szCs w:val="24"/>
          <w:lang w:val="en-GB"/>
        </w:rPr>
        <w:t>Sibeon</w:t>
      </w:r>
      <w:proofErr w:type="spellEnd"/>
      <w:r w:rsidR="00E22170">
        <w:rPr>
          <w:sz w:val="24"/>
          <w:szCs w:val="24"/>
          <w:lang w:val="en-GB"/>
        </w:rPr>
        <w:t xml:space="preserve"> v the </w:t>
      </w:r>
      <w:proofErr w:type="spellStart"/>
      <w:r w:rsidR="00E22170">
        <w:rPr>
          <w:sz w:val="24"/>
          <w:szCs w:val="24"/>
          <w:lang w:val="en-GB"/>
        </w:rPr>
        <w:t>Sibotre</w:t>
      </w:r>
      <w:proofErr w:type="spellEnd"/>
      <w:r w:rsidR="00E22170">
        <w:rPr>
          <w:sz w:val="24"/>
          <w:szCs w:val="24"/>
          <w:lang w:val="en-GB"/>
        </w:rPr>
        <w:t>’ case saying that the commercial pressure was not sufficient to render an economic duress. He stated that ‘</w:t>
      </w:r>
      <w:r w:rsidR="00E22170" w:rsidRPr="003C262B">
        <w:rPr>
          <w:i/>
          <w:sz w:val="24"/>
          <w:szCs w:val="24"/>
          <w:lang w:val="en-GB"/>
        </w:rPr>
        <w:t>there must be coercion of will such that there was no true consent</w:t>
      </w:r>
      <w:proofErr w:type="gramStart"/>
      <w:r w:rsidR="00E22170" w:rsidRPr="003C262B">
        <w:rPr>
          <w:i/>
          <w:sz w:val="24"/>
          <w:szCs w:val="24"/>
          <w:lang w:val="en-GB"/>
        </w:rPr>
        <w:t xml:space="preserve"> ..</w:t>
      </w:r>
      <w:proofErr w:type="gramEnd"/>
      <w:r w:rsidR="00E22170" w:rsidRPr="003C262B">
        <w:rPr>
          <w:i/>
          <w:sz w:val="24"/>
          <w:szCs w:val="24"/>
          <w:lang w:val="en-GB"/>
        </w:rPr>
        <w:t>it must be show that the contract entered into was not a voluntary act’</w:t>
      </w:r>
      <w:r w:rsidR="00E22170">
        <w:rPr>
          <w:sz w:val="24"/>
          <w:szCs w:val="24"/>
          <w:lang w:val="en-GB"/>
        </w:rPr>
        <w:t xml:space="preserve"> (</w:t>
      </w:r>
      <w:proofErr w:type="spellStart"/>
      <w:r w:rsidR="00E22170">
        <w:rPr>
          <w:sz w:val="24"/>
          <w:szCs w:val="24"/>
          <w:lang w:val="en-GB"/>
        </w:rPr>
        <w:t>Swarb</w:t>
      </w:r>
      <w:proofErr w:type="spellEnd"/>
      <w:r w:rsidR="00E22170">
        <w:rPr>
          <w:sz w:val="24"/>
          <w:szCs w:val="24"/>
          <w:lang w:val="en-GB"/>
        </w:rPr>
        <w:t xml:space="preserve">. 2020). </w:t>
      </w:r>
    </w:p>
    <w:p w14:paraId="45268534" w14:textId="77777777" w:rsidR="002C0F72" w:rsidRDefault="00D921CC" w:rsidP="00491228">
      <w:pPr>
        <w:spacing w:after="300"/>
        <w:ind w:left="360"/>
        <w:rPr>
          <w:sz w:val="24"/>
          <w:szCs w:val="24"/>
          <w:lang w:val="en-GB"/>
        </w:rPr>
      </w:pPr>
      <w:r>
        <w:rPr>
          <w:sz w:val="24"/>
          <w:szCs w:val="24"/>
          <w:lang w:val="en-GB"/>
        </w:rPr>
        <w:t>Lord Scarman had also identified four material factors that would be taken into account when distinguishing the difference between a commercial pressure and coercion</w:t>
      </w:r>
      <w:r w:rsidR="002C0F72">
        <w:rPr>
          <w:sz w:val="24"/>
          <w:szCs w:val="24"/>
          <w:lang w:val="en-GB"/>
        </w:rPr>
        <w:t xml:space="preserve"> of will, those are:</w:t>
      </w:r>
    </w:p>
    <w:p w14:paraId="71D105B0" w14:textId="77777777" w:rsidR="003D530A" w:rsidRDefault="002C0F72" w:rsidP="002C0F72">
      <w:pPr>
        <w:pStyle w:val="ListParagraph"/>
        <w:numPr>
          <w:ilvl w:val="0"/>
          <w:numId w:val="2"/>
        </w:numPr>
        <w:spacing w:after="300"/>
        <w:rPr>
          <w:sz w:val="24"/>
          <w:szCs w:val="24"/>
          <w:lang w:val="en-GB"/>
        </w:rPr>
      </w:pPr>
      <w:r>
        <w:rPr>
          <w:sz w:val="24"/>
          <w:szCs w:val="24"/>
          <w:lang w:val="en-GB"/>
        </w:rPr>
        <w:t>Did the victim protest?</w:t>
      </w:r>
    </w:p>
    <w:p w14:paraId="7AD41D0E" w14:textId="77777777" w:rsidR="002C0F72" w:rsidRDefault="002C0F72" w:rsidP="002C0F72">
      <w:pPr>
        <w:pStyle w:val="ListParagraph"/>
        <w:numPr>
          <w:ilvl w:val="0"/>
          <w:numId w:val="2"/>
        </w:numPr>
        <w:spacing w:after="300"/>
        <w:rPr>
          <w:sz w:val="24"/>
          <w:szCs w:val="24"/>
          <w:lang w:val="en-GB"/>
        </w:rPr>
      </w:pPr>
      <w:r>
        <w:rPr>
          <w:sz w:val="24"/>
          <w:szCs w:val="24"/>
          <w:lang w:val="en-GB"/>
        </w:rPr>
        <w:t>Was there an alternative course open to the victim?</w:t>
      </w:r>
    </w:p>
    <w:p w14:paraId="366BA67C" w14:textId="77777777" w:rsidR="002C0F72" w:rsidRDefault="002C0F72" w:rsidP="002C0F72">
      <w:pPr>
        <w:pStyle w:val="ListParagraph"/>
        <w:numPr>
          <w:ilvl w:val="0"/>
          <w:numId w:val="2"/>
        </w:numPr>
        <w:spacing w:after="300"/>
        <w:rPr>
          <w:sz w:val="24"/>
          <w:szCs w:val="24"/>
          <w:lang w:val="en-GB"/>
        </w:rPr>
      </w:pPr>
      <w:r>
        <w:rPr>
          <w:sz w:val="24"/>
          <w:szCs w:val="24"/>
          <w:lang w:val="en-GB"/>
        </w:rPr>
        <w:t>Was the victim independently advised?</w:t>
      </w:r>
    </w:p>
    <w:p w14:paraId="5ADEBB63" w14:textId="77777777" w:rsidR="002C0F72" w:rsidRDefault="002C0F72" w:rsidP="002C0F72">
      <w:pPr>
        <w:pStyle w:val="ListParagraph"/>
        <w:numPr>
          <w:ilvl w:val="0"/>
          <w:numId w:val="2"/>
        </w:numPr>
        <w:spacing w:after="300"/>
        <w:rPr>
          <w:sz w:val="24"/>
          <w:szCs w:val="24"/>
          <w:lang w:val="en-GB"/>
        </w:rPr>
      </w:pPr>
      <w:r>
        <w:rPr>
          <w:sz w:val="24"/>
          <w:szCs w:val="24"/>
          <w:lang w:val="en-GB"/>
        </w:rPr>
        <w:t>After having entered into the agreement did the victim try to take actions to avoid it?</w:t>
      </w:r>
    </w:p>
    <w:p w14:paraId="2DC7A4BA" w14:textId="77777777" w:rsidR="00066EA5" w:rsidRDefault="00A859A5" w:rsidP="00066EA5">
      <w:pPr>
        <w:spacing w:after="300"/>
        <w:ind w:left="360"/>
        <w:rPr>
          <w:rFonts w:cstheme="minorHAnsi"/>
          <w:sz w:val="24"/>
          <w:szCs w:val="24"/>
          <w:lang w:val="en-GB"/>
        </w:rPr>
      </w:pPr>
      <w:r>
        <w:rPr>
          <w:sz w:val="24"/>
          <w:szCs w:val="24"/>
          <w:lang w:val="en-GB"/>
        </w:rPr>
        <w:t>These four factors have then been further developed in the case of Universe Tankships v ITWF a</w:t>
      </w:r>
      <w:r w:rsidR="00066EA5">
        <w:rPr>
          <w:sz w:val="24"/>
          <w:szCs w:val="24"/>
          <w:lang w:val="en-GB"/>
        </w:rPr>
        <w:t>ka The Universe Sentinel [1983], the ITWF had blacked a ship in the context of a tra</w:t>
      </w:r>
      <w:r w:rsidR="00C602FF">
        <w:rPr>
          <w:sz w:val="24"/>
          <w:szCs w:val="24"/>
          <w:lang w:val="en-GB"/>
        </w:rPr>
        <w:t>de dispute. In order to release</w:t>
      </w:r>
      <w:r w:rsidR="00066EA5">
        <w:rPr>
          <w:sz w:val="24"/>
          <w:szCs w:val="24"/>
          <w:lang w:val="en-GB"/>
        </w:rPr>
        <w:t xml:space="preserve"> its ship Universe Tankships had paid </w:t>
      </w:r>
      <w:r w:rsidR="00C602FF">
        <w:rPr>
          <w:sz w:val="24"/>
          <w:szCs w:val="24"/>
          <w:lang w:val="en-GB"/>
        </w:rPr>
        <w:t>substantial</w:t>
      </w:r>
      <w:r w:rsidR="00066EA5">
        <w:rPr>
          <w:sz w:val="24"/>
          <w:szCs w:val="24"/>
          <w:lang w:val="en-GB"/>
        </w:rPr>
        <w:t xml:space="preserve"> amount of money into </w:t>
      </w:r>
      <w:r w:rsidR="00C602FF">
        <w:rPr>
          <w:sz w:val="24"/>
          <w:szCs w:val="24"/>
          <w:lang w:val="en-GB"/>
        </w:rPr>
        <w:t>I</w:t>
      </w:r>
      <w:r w:rsidR="00066EA5">
        <w:rPr>
          <w:sz w:val="24"/>
          <w:szCs w:val="24"/>
          <w:lang w:val="en-GB"/>
        </w:rPr>
        <w:t xml:space="preserve">TWF fund. </w:t>
      </w:r>
      <w:r w:rsidR="003C262B">
        <w:rPr>
          <w:sz w:val="24"/>
          <w:szCs w:val="24"/>
          <w:lang w:val="en-GB"/>
        </w:rPr>
        <w:t>The Universe Tankships had paid the money but then went on to sough to recover it by claiming an economic duress,  the House of Lords decided that the money can be recovered and Lord Diplock went to further state that the economic duress could be relied on the victim if ‘</w:t>
      </w:r>
      <w:r w:rsidR="003C262B" w:rsidRPr="003C262B">
        <w:rPr>
          <w:rFonts w:cstheme="minorHAnsi"/>
          <w:i/>
          <w:sz w:val="24"/>
          <w:szCs w:val="24"/>
          <w:lang w:val="en-GB"/>
        </w:rPr>
        <w:t>his apparent consent was induced by pressure exercised on him by that other party which the law does not regard as legitimate, with the consequence that the consent is treated in law as revocable unless approbated either expressly or by implication after the illegitimate pressure has ceased to operate on his mind’</w:t>
      </w:r>
      <w:r w:rsidR="003C262B">
        <w:rPr>
          <w:lang w:val="en-GB"/>
        </w:rPr>
        <w:t xml:space="preserve"> </w:t>
      </w:r>
      <w:r w:rsidR="0000048B">
        <w:rPr>
          <w:lang w:val="en-GB"/>
        </w:rPr>
        <w:t xml:space="preserve"> </w:t>
      </w:r>
      <w:r w:rsidR="0000048B" w:rsidRPr="0000048B">
        <w:rPr>
          <w:rFonts w:cstheme="minorHAnsi"/>
          <w:sz w:val="24"/>
          <w:szCs w:val="24"/>
          <w:lang w:val="en-GB"/>
        </w:rPr>
        <w:t>(</w:t>
      </w:r>
      <w:proofErr w:type="spellStart"/>
      <w:r w:rsidR="0000048B" w:rsidRPr="0000048B">
        <w:rPr>
          <w:rFonts w:cstheme="minorHAnsi"/>
          <w:sz w:val="24"/>
          <w:szCs w:val="24"/>
          <w:lang w:val="en-GB"/>
        </w:rPr>
        <w:t>Oughton</w:t>
      </w:r>
      <w:proofErr w:type="spellEnd"/>
      <w:r w:rsidR="0000048B" w:rsidRPr="0000048B">
        <w:rPr>
          <w:rFonts w:cstheme="minorHAnsi"/>
          <w:sz w:val="24"/>
          <w:szCs w:val="24"/>
          <w:lang w:val="en-GB"/>
        </w:rPr>
        <w:t xml:space="preserve"> and Davis, 2000, p 352)</w:t>
      </w:r>
      <w:r w:rsidR="0000048B">
        <w:rPr>
          <w:rFonts w:cstheme="minorHAnsi"/>
          <w:sz w:val="24"/>
          <w:szCs w:val="24"/>
          <w:lang w:val="en-GB"/>
        </w:rPr>
        <w:t xml:space="preserve">. </w:t>
      </w:r>
      <w:r w:rsidR="00BB500A">
        <w:rPr>
          <w:rFonts w:cstheme="minorHAnsi"/>
          <w:sz w:val="24"/>
          <w:szCs w:val="24"/>
          <w:lang w:val="en-GB"/>
        </w:rPr>
        <w:t xml:space="preserve">The House of Lords </w:t>
      </w:r>
      <w:proofErr w:type="spellStart"/>
      <w:r w:rsidR="00BB500A">
        <w:rPr>
          <w:rFonts w:cstheme="minorHAnsi"/>
          <w:sz w:val="24"/>
          <w:szCs w:val="24"/>
          <w:lang w:val="en-GB"/>
        </w:rPr>
        <w:t>alo</w:t>
      </w:r>
      <w:proofErr w:type="spellEnd"/>
      <w:r w:rsidR="00BB500A">
        <w:rPr>
          <w:rFonts w:cstheme="minorHAnsi"/>
          <w:sz w:val="24"/>
          <w:szCs w:val="24"/>
          <w:lang w:val="en-GB"/>
        </w:rPr>
        <w:t xml:space="preserve"> held that the earlier case law had been wrong to look at coercion of the will so as to vitiate consent, accordingly to this decision two elements of duress had been identified:</w:t>
      </w:r>
    </w:p>
    <w:p w14:paraId="5F072C4A" w14:textId="77777777" w:rsidR="00BB500A" w:rsidRDefault="00BB500A" w:rsidP="00BB500A">
      <w:pPr>
        <w:pStyle w:val="ListParagraph"/>
        <w:numPr>
          <w:ilvl w:val="0"/>
          <w:numId w:val="3"/>
        </w:numPr>
        <w:spacing w:after="300"/>
        <w:rPr>
          <w:sz w:val="24"/>
          <w:szCs w:val="24"/>
          <w:lang w:val="en-GB"/>
        </w:rPr>
      </w:pPr>
      <w:r>
        <w:rPr>
          <w:sz w:val="24"/>
          <w:szCs w:val="24"/>
          <w:lang w:val="en-GB"/>
        </w:rPr>
        <w:t>Compulsion of the will –</w:t>
      </w:r>
      <w:r w:rsidR="00512D6C">
        <w:rPr>
          <w:sz w:val="24"/>
          <w:szCs w:val="24"/>
          <w:lang w:val="en-GB"/>
        </w:rPr>
        <w:t xml:space="preserve"> absence</w:t>
      </w:r>
      <w:r>
        <w:rPr>
          <w:sz w:val="24"/>
          <w:szCs w:val="24"/>
          <w:lang w:val="en-GB"/>
        </w:rPr>
        <w:t xml:space="preserve"> of clear other choice of action</w:t>
      </w:r>
    </w:p>
    <w:p w14:paraId="313AFFFB" w14:textId="77777777" w:rsidR="00BB500A" w:rsidRPr="00BB500A" w:rsidRDefault="00BB500A" w:rsidP="00BB500A">
      <w:pPr>
        <w:pStyle w:val="ListParagraph"/>
        <w:numPr>
          <w:ilvl w:val="0"/>
          <w:numId w:val="3"/>
        </w:numPr>
        <w:spacing w:after="300"/>
        <w:rPr>
          <w:sz w:val="24"/>
          <w:szCs w:val="24"/>
          <w:lang w:val="en-GB"/>
        </w:rPr>
      </w:pPr>
      <w:r>
        <w:rPr>
          <w:sz w:val="24"/>
          <w:szCs w:val="24"/>
          <w:lang w:val="en-GB"/>
        </w:rPr>
        <w:lastRenderedPageBreak/>
        <w:t>Illegitimacy of pressure</w:t>
      </w:r>
    </w:p>
    <w:p w14:paraId="3F7B05A4" w14:textId="2EFCCF40" w:rsidR="006E35C6" w:rsidRDefault="005640E8" w:rsidP="007E4211">
      <w:pPr>
        <w:spacing w:after="300"/>
        <w:ind w:left="360"/>
        <w:rPr>
          <w:rFonts w:cstheme="minorHAnsi"/>
          <w:sz w:val="24"/>
          <w:szCs w:val="24"/>
          <w:lang w:val="en-GB"/>
        </w:rPr>
      </w:pPr>
      <w:r>
        <w:rPr>
          <w:sz w:val="24"/>
          <w:szCs w:val="24"/>
          <w:lang w:val="en-GB"/>
        </w:rPr>
        <w:t xml:space="preserve">The first use of compulsion of will in economic duress was used in the case of Atlas Express Ltd v </w:t>
      </w:r>
      <w:proofErr w:type="spellStart"/>
      <w:r>
        <w:rPr>
          <w:sz w:val="24"/>
          <w:szCs w:val="24"/>
          <w:lang w:val="en-GB"/>
        </w:rPr>
        <w:t>Kafco</w:t>
      </w:r>
      <w:proofErr w:type="spellEnd"/>
      <w:r>
        <w:rPr>
          <w:sz w:val="24"/>
          <w:szCs w:val="24"/>
          <w:lang w:val="en-GB"/>
        </w:rPr>
        <w:t xml:space="preserve"> Ltd [ 198</w:t>
      </w:r>
      <w:r w:rsidR="00D8134B">
        <w:rPr>
          <w:sz w:val="24"/>
          <w:szCs w:val="24"/>
          <w:lang w:val="en-GB"/>
        </w:rPr>
        <w:t>9</w:t>
      </w:r>
      <w:r w:rsidR="00D8134B" w:rsidRPr="00B20775">
        <w:rPr>
          <w:color w:val="1F497D" w:themeColor="text2"/>
          <w:sz w:val="24"/>
          <w:szCs w:val="24"/>
          <w:lang w:val="en-GB"/>
        </w:rPr>
        <w:t>.</w:t>
      </w:r>
      <w:r w:rsidR="00DE2EFE">
        <w:rPr>
          <w:sz w:val="24"/>
          <w:szCs w:val="24"/>
          <w:lang w:val="en-GB"/>
        </w:rPr>
        <w:t xml:space="preserve"> In this case judge held there was an economic duress in this situation as </w:t>
      </w:r>
      <w:proofErr w:type="spellStart"/>
      <w:r w:rsidR="00DE2EFE">
        <w:rPr>
          <w:sz w:val="24"/>
          <w:szCs w:val="24"/>
          <w:lang w:val="en-GB"/>
        </w:rPr>
        <w:t>Kafco</w:t>
      </w:r>
      <w:proofErr w:type="spellEnd"/>
      <w:r w:rsidR="00DE2EFE">
        <w:rPr>
          <w:sz w:val="24"/>
          <w:szCs w:val="24"/>
          <w:lang w:val="en-GB"/>
        </w:rPr>
        <w:t xml:space="preserve"> ‘s bosses signed the contract, they did so ‘</w:t>
      </w:r>
      <w:r w:rsidR="00DE2EFE" w:rsidRPr="00DE2EFE">
        <w:rPr>
          <w:rFonts w:cstheme="minorHAnsi"/>
          <w:i/>
          <w:sz w:val="24"/>
          <w:szCs w:val="24"/>
          <w:lang w:val="en-GB"/>
        </w:rPr>
        <w:t>unwillingly and under compulsion (...) He had no bargaining power. He did not regard it as a genuine arm’s length re-negotiation in which he had a free and equal say and, in my judgemen</w:t>
      </w:r>
      <w:r w:rsidR="00CD6CF7">
        <w:rPr>
          <w:rFonts w:cstheme="minorHAnsi"/>
          <w:i/>
          <w:sz w:val="24"/>
          <w:szCs w:val="24"/>
          <w:lang w:val="en-GB"/>
        </w:rPr>
        <w:t>t, that view was fully justified</w:t>
      </w:r>
      <w:r w:rsidR="00DE2EFE">
        <w:rPr>
          <w:rFonts w:cstheme="minorHAnsi"/>
          <w:i/>
          <w:sz w:val="24"/>
          <w:szCs w:val="24"/>
          <w:lang w:val="en-GB"/>
        </w:rPr>
        <w:t xml:space="preserve">’ </w:t>
      </w:r>
      <w:r w:rsidR="00DE2EFE">
        <w:rPr>
          <w:rFonts w:cstheme="minorHAnsi"/>
          <w:sz w:val="24"/>
          <w:szCs w:val="24"/>
          <w:lang w:val="en-GB"/>
        </w:rPr>
        <w:t>(Burrows, 2018, p.145)</w:t>
      </w:r>
      <w:r w:rsidR="00CD6CF7">
        <w:rPr>
          <w:rFonts w:cstheme="minorHAnsi"/>
          <w:sz w:val="24"/>
          <w:szCs w:val="24"/>
          <w:lang w:val="en-GB"/>
        </w:rPr>
        <w:t xml:space="preserve">. </w:t>
      </w:r>
    </w:p>
    <w:p w14:paraId="6D944D07" w14:textId="77777777" w:rsidR="006C77D7" w:rsidRDefault="00CD6CF7" w:rsidP="006C77D7">
      <w:pPr>
        <w:spacing w:after="300"/>
        <w:ind w:left="360"/>
        <w:rPr>
          <w:rFonts w:cstheme="minorHAnsi"/>
          <w:sz w:val="24"/>
          <w:szCs w:val="24"/>
          <w:lang w:val="en-GB"/>
        </w:rPr>
      </w:pPr>
      <w:r>
        <w:rPr>
          <w:rFonts w:cstheme="minorHAnsi"/>
          <w:sz w:val="24"/>
          <w:szCs w:val="24"/>
          <w:lang w:val="en-GB"/>
        </w:rPr>
        <w:t xml:space="preserve">An alternative basis for the decision was that there was no consideration for the agreement to pay extra money therefore, there was </w:t>
      </w:r>
      <w:r w:rsidR="006E35C6">
        <w:rPr>
          <w:rFonts w:cstheme="minorHAnsi"/>
          <w:sz w:val="24"/>
          <w:szCs w:val="24"/>
          <w:lang w:val="en-GB"/>
        </w:rPr>
        <w:t>no,</w:t>
      </w:r>
      <w:r>
        <w:rPr>
          <w:rFonts w:cstheme="minorHAnsi"/>
          <w:sz w:val="24"/>
          <w:szCs w:val="24"/>
          <w:lang w:val="en-GB"/>
        </w:rPr>
        <w:t xml:space="preserve"> new contact between the parties. </w:t>
      </w:r>
      <w:r w:rsidR="006E35C6">
        <w:rPr>
          <w:rFonts w:cstheme="minorHAnsi"/>
          <w:sz w:val="24"/>
          <w:szCs w:val="24"/>
          <w:lang w:val="en-GB"/>
        </w:rPr>
        <w:t>The case of Williams v Roffey Bros &amp; Nicholls Ltd [1990] had broadened the scope of what will be regarded as valid considerati</w:t>
      </w:r>
      <w:r w:rsidR="001E6F9D">
        <w:rPr>
          <w:rFonts w:cstheme="minorHAnsi"/>
          <w:sz w:val="24"/>
          <w:szCs w:val="24"/>
          <w:lang w:val="en-GB"/>
        </w:rPr>
        <w:t>on in cases of economic duress, which means that concept of economic duress will likely become of increased importance in controlling such situations. In this case the judge ruled that the bonus offered to Mr Williams, is</w:t>
      </w:r>
      <w:r w:rsidR="007574BD">
        <w:rPr>
          <w:rFonts w:cstheme="minorHAnsi"/>
          <w:sz w:val="24"/>
          <w:szCs w:val="24"/>
          <w:lang w:val="en-GB"/>
        </w:rPr>
        <w:t xml:space="preserve"> no-</w:t>
      </w:r>
      <w:r w:rsidR="001E6F9D">
        <w:rPr>
          <w:rFonts w:cstheme="minorHAnsi"/>
          <w:sz w:val="24"/>
          <w:szCs w:val="24"/>
          <w:lang w:val="en-GB"/>
        </w:rPr>
        <w:t xml:space="preserve"> enforceable</w:t>
      </w:r>
      <w:r w:rsidR="007574BD">
        <w:rPr>
          <w:rFonts w:cstheme="minorHAnsi"/>
          <w:sz w:val="24"/>
          <w:szCs w:val="24"/>
          <w:lang w:val="en-GB"/>
        </w:rPr>
        <w:t xml:space="preserve">, as Mr Williams had merely performed his contract. </w:t>
      </w:r>
      <w:r w:rsidR="006C77D7">
        <w:rPr>
          <w:rFonts w:cstheme="minorHAnsi"/>
          <w:sz w:val="24"/>
          <w:szCs w:val="24"/>
          <w:lang w:val="en-GB"/>
        </w:rPr>
        <w:t xml:space="preserve"> This is a concept that is still not fully </w:t>
      </w:r>
      <w:r w:rsidR="00BA5A94">
        <w:rPr>
          <w:rFonts w:cstheme="minorHAnsi"/>
          <w:sz w:val="24"/>
          <w:szCs w:val="24"/>
          <w:lang w:val="en-GB"/>
        </w:rPr>
        <w:t>developed and needs looking at. In the meantime the transactions at arms-length could be very hard to overturn on the grounds of economic duress. In the case of CTN Cash and Carry Ltd v Gallagher [1994] the decision was held that the threat to withdraw credit facility was lawful, since the terms of contract stated at the credit agreement could be withdraw at any time, in this case economic duress could not be establishe</w:t>
      </w:r>
      <w:r w:rsidR="00CB65F8">
        <w:rPr>
          <w:rFonts w:cstheme="minorHAnsi"/>
          <w:sz w:val="24"/>
          <w:szCs w:val="24"/>
          <w:lang w:val="en-GB"/>
        </w:rPr>
        <w:t>d as the threat was legitimate (Naidoo, 2021).</w:t>
      </w:r>
      <w:r w:rsidR="001119F4">
        <w:rPr>
          <w:rFonts w:cstheme="minorHAnsi"/>
          <w:sz w:val="24"/>
          <w:szCs w:val="24"/>
          <w:lang w:val="en-GB"/>
        </w:rPr>
        <w:t xml:space="preserve"> </w:t>
      </w:r>
    </w:p>
    <w:p w14:paraId="6D5BE752" w14:textId="77777777" w:rsidR="001119F4" w:rsidRDefault="001119F4" w:rsidP="006C77D7">
      <w:pPr>
        <w:spacing w:after="300"/>
        <w:ind w:left="360"/>
        <w:rPr>
          <w:rFonts w:cstheme="minorHAnsi"/>
          <w:sz w:val="24"/>
          <w:szCs w:val="24"/>
          <w:lang w:val="en-GB"/>
        </w:rPr>
      </w:pPr>
      <w:r>
        <w:rPr>
          <w:rFonts w:cstheme="minorHAnsi"/>
          <w:sz w:val="24"/>
          <w:szCs w:val="24"/>
          <w:lang w:val="en-GB"/>
        </w:rPr>
        <w:t xml:space="preserve">However, in the case of R v Attorney General for England and Wales [2003] Lord Hoffman suggests a different approach </w:t>
      </w:r>
      <w:r w:rsidRPr="001119F4">
        <w:rPr>
          <w:rFonts w:cstheme="minorHAnsi"/>
          <w:i/>
          <w:sz w:val="24"/>
          <w:szCs w:val="24"/>
          <w:lang w:val="en-GB"/>
        </w:rPr>
        <w:t>‘</w:t>
      </w:r>
      <w:bookmarkStart w:id="0" w:name="para16"/>
      <w:r w:rsidRPr="001119F4">
        <w:rPr>
          <w:rFonts w:cstheme="minorHAnsi"/>
          <w:i/>
          <w:sz w:val="24"/>
          <w:szCs w:val="24"/>
          <w:lang w:val="en-GB"/>
        </w:rPr>
        <w:t xml:space="preserve">The legitimacy of the pressure must be examined from two aspects: first, the nature of the pressure and secondly, the nature of the demand which the </w:t>
      </w:r>
      <w:r w:rsidR="0095752F">
        <w:rPr>
          <w:rFonts w:cstheme="minorHAnsi"/>
          <w:i/>
          <w:sz w:val="24"/>
          <w:szCs w:val="24"/>
          <w:lang w:val="en-GB"/>
        </w:rPr>
        <w:t xml:space="preserve">pressure is applied to support, </w:t>
      </w:r>
      <w:r w:rsidRPr="001119F4">
        <w:rPr>
          <w:rFonts w:cstheme="minorHAnsi"/>
          <w:i/>
          <w:sz w:val="24"/>
          <w:szCs w:val="24"/>
          <w:lang w:val="en-GB"/>
        </w:rPr>
        <w:t xml:space="preserve">Lord Scarman in the </w:t>
      </w:r>
      <w:r w:rsidRPr="001119F4">
        <w:rPr>
          <w:rStyle w:val="Emphasis"/>
          <w:rFonts w:cstheme="minorHAnsi"/>
          <w:i w:val="0"/>
          <w:sz w:val="24"/>
          <w:szCs w:val="24"/>
          <w:lang w:val="en-GB"/>
        </w:rPr>
        <w:t>Universe Tankships</w:t>
      </w:r>
      <w:r w:rsidRPr="001119F4">
        <w:rPr>
          <w:rFonts w:cstheme="minorHAnsi"/>
          <w:i/>
          <w:sz w:val="24"/>
          <w:szCs w:val="24"/>
          <w:lang w:val="en-GB"/>
        </w:rPr>
        <w:t xml:space="preserve"> case, </w:t>
      </w:r>
      <w:r w:rsidR="0095752F">
        <w:rPr>
          <w:rFonts w:cstheme="minorHAnsi"/>
          <w:i/>
          <w:sz w:val="24"/>
          <w:szCs w:val="24"/>
          <w:lang w:val="en-GB"/>
        </w:rPr>
        <w:t>g</w:t>
      </w:r>
      <w:r w:rsidRPr="001119F4">
        <w:rPr>
          <w:rFonts w:cstheme="minorHAnsi"/>
          <w:i/>
          <w:sz w:val="24"/>
          <w:szCs w:val="24"/>
          <w:lang w:val="en-GB"/>
        </w:rPr>
        <w:t>enerally speaking, the threat of any form of unlawful action will be regarded as illegitimate. On the other hand, that fact that the threat is lawful does not necessarily make the pressure legitimate</w:t>
      </w:r>
      <w:bookmarkEnd w:id="0"/>
      <w:r w:rsidR="0028013F">
        <w:rPr>
          <w:rFonts w:cstheme="minorHAnsi"/>
          <w:i/>
          <w:sz w:val="24"/>
          <w:szCs w:val="24"/>
          <w:lang w:val="en-GB"/>
        </w:rPr>
        <w:t>…</w:t>
      </w:r>
      <w:r w:rsidR="0028013F" w:rsidRPr="0028013F">
        <w:rPr>
          <w:rFonts w:cstheme="minorHAnsi"/>
          <w:i/>
          <w:sz w:val="24"/>
          <w:szCs w:val="24"/>
          <w:lang w:val="en-GB"/>
        </w:rPr>
        <w:t xml:space="preserve">The ordinary blackmailer normally threatens to do what he has a perfect right to do - namely, communicate some compromising conduct to a person whose knowledge is likely to affect the person threatened ... What he has to justify is not the </w:t>
      </w:r>
      <w:r w:rsidR="0028013F">
        <w:rPr>
          <w:rFonts w:cstheme="minorHAnsi"/>
          <w:i/>
          <w:sz w:val="24"/>
          <w:szCs w:val="24"/>
          <w:lang w:val="en-GB"/>
        </w:rPr>
        <w:t xml:space="preserve">threat, but the demand of money’ </w:t>
      </w:r>
      <w:r w:rsidR="00233606">
        <w:rPr>
          <w:rFonts w:cstheme="minorHAnsi"/>
          <w:sz w:val="24"/>
          <w:szCs w:val="24"/>
          <w:lang w:val="en-GB"/>
        </w:rPr>
        <w:t>(</w:t>
      </w:r>
      <w:r w:rsidR="007E6061">
        <w:rPr>
          <w:rFonts w:cstheme="minorHAnsi"/>
          <w:sz w:val="24"/>
          <w:szCs w:val="24"/>
          <w:lang w:val="en-GB"/>
        </w:rPr>
        <w:t xml:space="preserve">Stone, </w:t>
      </w:r>
      <w:proofErr w:type="spellStart"/>
      <w:r w:rsidR="007E6061">
        <w:rPr>
          <w:rFonts w:cstheme="minorHAnsi"/>
          <w:sz w:val="24"/>
          <w:szCs w:val="24"/>
          <w:lang w:val="en-GB"/>
        </w:rPr>
        <w:t>Dev</w:t>
      </w:r>
      <w:r w:rsidR="00233606">
        <w:rPr>
          <w:rFonts w:cstheme="minorHAnsi"/>
          <w:sz w:val="24"/>
          <w:szCs w:val="24"/>
          <w:lang w:val="en-GB"/>
        </w:rPr>
        <w:t>enny</w:t>
      </w:r>
      <w:proofErr w:type="spellEnd"/>
      <w:r w:rsidR="00233606">
        <w:rPr>
          <w:rFonts w:cstheme="minorHAnsi"/>
          <w:sz w:val="24"/>
          <w:szCs w:val="24"/>
          <w:lang w:val="en-GB"/>
        </w:rPr>
        <w:t xml:space="preserve"> and Cunnington, 2011</w:t>
      </w:r>
      <w:r w:rsidR="007E6061">
        <w:rPr>
          <w:rFonts w:cstheme="minorHAnsi"/>
          <w:sz w:val="24"/>
          <w:szCs w:val="24"/>
          <w:lang w:val="en-GB"/>
        </w:rPr>
        <w:t>, p. 434).</w:t>
      </w:r>
      <w:r w:rsidR="00061139">
        <w:rPr>
          <w:rFonts w:cstheme="minorHAnsi"/>
          <w:sz w:val="24"/>
          <w:szCs w:val="24"/>
          <w:lang w:val="en-GB"/>
        </w:rPr>
        <w:t xml:space="preserve"> Meaning that the lawful</w:t>
      </w:r>
      <w:r w:rsidR="0095752F">
        <w:rPr>
          <w:rFonts w:cstheme="minorHAnsi"/>
          <w:sz w:val="24"/>
          <w:szCs w:val="24"/>
          <w:lang w:val="en-GB"/>
        </w:rPr>
        <w:t xml:space="preserve"> demand may </w:t>
      </w:r>
      <w:r w:rsidR="00061139">
        <w:rPr>
          <w:rFonts w:cstheme="minorHAnsi"/>
          <w:sz w:val="24"/>
          <w:szCs w:val="24"/>
          <w:lang w:val="en-GB"/>
        </w:rPr>
        <w:t>constitute</w:t>
      </w:r>
      <w:r w:rsidR="0095752F">
        <w:rPr>
          <w:rFonts w:cstheme="minorHAnsi"/>
          <w:sz w:val="24"/>
          <w:szCs w:val="24"/>
          <w:lang w:val="en-GB"/>
        </w:rPr>
        <w:t xml:space="preserve"> illegitimate pressure, where the demand is not justified, but there still must be an absence of choice,</w:t>
      </w:r>
      <w:r w:rsidR="00061139">
        <w:rPr>
          <w:rFonts w:cstheme="minorHAnsi"/>
          <w:sz w:val="24"/>
          <w:szCs w:val="24"/>
          <w:lang w:val="en-GB"/>
        </w:rPr>
        <w:t xml:space="preserve"> </w:t>
      </w:r>
      <w:r w:rsidR="0095752F">
        <w:rPr>
          <w:rFonts w:cstheme="minorHAnsi"/>
          <w:sz w:val="24"/>
          <w:szCs w:val="24"/>
          <w:lang w:val="en-GB"/>
        </w:rPr>
        <w:t>in this case it was ruled that R had signed the agreement under immense pressure but still had the choice.</w:t>
      </w:r>
    </w:p>
    <w:p w14:paraId="79C636A3" w14:textId="77777777" w:rsidR="0095752F" w:rsidRDefault="00764790" w:rsidP="006C77D7">
      <w:pPr>
        <w:spacing w:after="300"/>
        <w:ind w:left="360"/>
        <w:rPr>
          <w:rStyle w:val="Emphasis"/>
          <w:rFonts w:cstheme="minorHAnsi"/>
          <w:i w:val="0"/>
          <w:sz w:val="24"/>
          <w:szCs w:val="24"/>
          <w:lang w:val="en-GB"/>
        </w:rPr>
      </w:pPr>
      <w:r w:rsidRPr="00764790">
        <w:rPr>
          <w:rFonts w:cstheme="minorHAnsi"/>
          <w:sz w:val="24"/>
          <w:szCs w:val="24"/>
          <w:lang w:val="en-GB"/>
        </w:rPr>
        <w:t xml:space="preserve">The modern view is that </w:t>
      </w:r>
      <w:r w:rsidRPr="00764790">
        <w:rPr>
          <w:rStyle w:val="Emphasis"/>
          <w:rFonts w:cstheme="minorHAnsi"/>
          <w:i w:val="0"/>
          <w:sz w:val="24"/>
          <w:szCs w:val="24"/>
          <w:lang w:val="en-GB"/>
        </w:rPr>
        <w:t>duress operates</w:t>
      </w:r>
      <w:r w:rsidRPr="00764790">
        <w:rPr>
          <w:rFonts w:cstheme="minorHAnsi"/>
          <w:i/>
          <w:sz w:val="24"/>
          <w:szCs w:val="24"/>
          <w:lang w:val="en-GB"/>
        </w:rPr>
        <w:t xml:space="preserve"> </w:t>
      </w:r>
      <w:r w:rsidRPr="000C2D18">
        <w:rPr>
          <w:rFonts w:cstheme="minorHAnsi"/>
          <w:sz w:val="24"/>
          <w:szCs w:val="24"/>
          <w:lang w:val="en-GB"/>
        </w:rPr>
        <w:t>to</w:t>
      </w:r>
      <w:r w:rsidRPr="00764790">
        <w:rPr>
          <w:rFonts w:cstheme="minorHAnsi"/>
          <w:i/>
          <w:sz w:val="24"/>
          <w:szCs w:val="24"/>
          <w:lang w:val="en-GB"/>
        </w:rPr>
        <w:t xml:space="preserve"> </w:t>
      </w:r>
      <w:r w:rsidRPr="00764790">
        <w:rPr>
          <w:rStyle w:val="Emphasis"/>
          <w:rFonts w:cstheme="minorHAnsi"/>
          <w:i w:val="0"/>
          <w:sz w:val="24"/>
          <w:szCs w:val="24"/>
          <w:lang w:val="en-GB"/>
        </w:rPr>
        <w:t>deflect</w:t>
      </w:r>
      <w:r w:rsidRPr="00764790">
        <w:rPr>
          <w:rFonts w:cstheme="minorHAnsi"/>
          <w:sz w:val="24"/>
          <w:szCs w:val="24"/>
          <w:lang w:val="en-GB"/>
        </w:rPr>
        <w:t xml:space="preserve"> the </w:t>
      </w:r>
      <w:r w:rsidRPr="00764790">
        <w:rPr>
          <w:rStyle w:val="Emphasis"/>
          <w:rFonts w:cstheme="minorHAnsi"/>
          <w:i w:val="0"/>
          <w:sz w:val="24"/>
          <w:szCs w:val="24"/>
          <w:lang w:val="en-GB"/>
        </w:rPr>
        <w:t>will</w:t>
      </w:r>
      <w:r w:rsidRPr="00764790">
        <w:rPr>
          <w:rFonts w:cstheme="minorHAnsi"/>
          <w:sz w:val="24"/>
          <w:szCs w:val="24"/>
          <w:lang w:val="en-GB"/>
        </w:rPr>
        <w:t xml:space="preserve"> of the </w:t>
      </w:r>
      <w:r w:rsidRPr="00764790">
        <w:rPr>
          <w:rStyle w:val="Emphasis"/>
          <w:rFonts w:cstheme="minorHAnsi"/>
          <w:i w:val="0"/>
          <w:sz w:val="24"/>
          <w:szCs w:val="24"/>
          <w:lang w:val="en-GB"/>
        </w:rPr>
        <w:t>party rather than</w:t>
      </w:r>
      <w:r w:rsidRPr="00764790">
        <w:rPr>
          <w:rFonts w:cstheme="minorHAnsi"/>
          <w:sz w:val="24"/>
          <w:szCs w:val="24"/>
          <w:lang w:val="en-GB"/>
        </w:rPr>
        <w:t xml:space="preserve"> to </w:t>
      </w:r>
      <w:r w:rsidRPr="00764790">
        <w:rPr>
          <w:rStyle w:val="Emphasis"/>
          <w:rFonts w:cstheme="minorHAnsi"/>
          <w:i w:val="0"/>
          <w:sz w:val="24"/>
          <w:szCs w:val="24"/>
          <w:lang w:val="en-GB"/>
        </w:rPr>
        <w:t>vitiate consent</w:t>
      </w:r>
      <w:r w:rsidRPr="00764790">
        <w:rPr>
          <w:rFonts w:cstheme="minorHAnsi"/>
          <w:sz w:val="24"/>
          <w:szCs w:val="24"/>
          <w:lang w:val="en-GB"/>
        </w:rPr>
        <w:t xml:space="preserve">. The </w:t>
      </w:r>
      <w:r w:rsidRPr="00764790">
        <w:rPr>
          <w:rStyle w:val="Emphasis"/>
          <w:rFonts w:cstheme="minorHAnsi"/>
          <w:i w:val="0"/>
          <w:sz w:val="24"/>
          <w:szCs w:val="24"/>
          <w:lang w:val="en-GB"/>
        </w:rPr>
        <w:t>effect</w:t>
      </w:r>
      <w:r w:rsidRPr="00764790">
        <w:rPr>
          <w:rFonts w:cstheme="minorHAnsi"/>
          <w:i/>
          <w:sz w:val="24"/>
          <w:szCs w:val="24"/>
          <w:lang w:val="en-GB"/>
        </w:rPr>
        <w:t xml:space="preserve"> </w:t>
      </w:r>
      <w:r w:rsidRPr="00764790">
        <w:rPr>
          <w:rFonts w:cstheme="minorHAnsi"/>
          <w:sz w:val="24"/>
          <w:szCs w:val="24"/>
          <w:lang w:val="en-GB"/>
        </w:rPr>
        <w:t>of a</w:t>
      </w:r>
      <w:r w:rsidRPr="00764790">
        <w:rPr>
          <w:rFonts w:cstheme="minorHAnsi"/>
          <w:i/>
          <w:sz w:val="24"/>
          <w:szCs w:val="24"/>
          <w:lang w:val="en-GB"/>
        </w:rPr>
        <w:t xml:space="preserve"> </w:t>
      </w:r>
      <w:r w:rsidRPr="00764790">
        <w:rPr>
          <w:rStyle w:val="Emphasis"/>
          <w:rFonts w:cstheme="minorHAnsi"/>
          <w:i w:val="0"/>
          <w:sz w:val="24"/>
          <w:szCs w:val="24"/>
          <w:lang w:val="en-GB"/>
        </w:rPr>
        <w:t>finding</w:t>
      </w:r>
      <w:r w:rsidRPr="00764790">
        <w:rPr>
          <w:rFonts w:cstheme="minorHAnsi"/>
          <w:i/>
          <w:sz w:val="24"/>
          <w:szCs w:val="24"/>
          <w:lang w:val="en-GB"/>
        </w:rPr>
        <w:t xml:space="preserve"> </w:t>
      </w:r>
      <w:r w:rsidRPr="00764790">
        <w:rPr>
          <w:rFonts w:cstheme="minorHAnsi"/>
          <w:sz w:val="24"/>
          <w:szCs w:val="24"/>
          <w:lang w:val="en-GB"/>
        </w:rPr>
        <w:t xml:space="preserve">of </w:t>
      </w:r>
      <w:r w:rsidRPr="00764790">
        <w:rPr>
          <w:rStyle w:val="Emphasis"/>
          <w:rFonts w:cstheme="minorHAnsi"/>
          <w:i w:val="0"/>
          <w:sz w:val="24"/>
          <w:szCs w:val="24"/>
          <w:lang w:val="en-GB"/>
        </w:rPr>
        <w:t>duress</w:t>
      </w:r>
      <w:r w:rsidRPr="00764790">
        <w:rPr>
          <w:rFonts w:cstheme="minorHAnsi"/>
          <w:sz w:val="24"/>
          <w:szCs w:val="24"/>
          <w:lang w:val="en-GB"/>
        </w:rPr>
        <w:t xml:space="preserve"> is therefore </w:t>
      </w:r>
      <w:r w:rsidRPr="00764790">
        <w:rPr>
          <w:rStyle w:val="Emphasis"/>
          <w:rFonts w:cstheme="minorHAnsi"/>
          <w:i w:val="0"/>
          <w:sz w:val="24"/>
          <w:szCs w:val="24"/>
          <w:lang w:val="en-GB"/>
        </w:rPr>
        <w:t>always</w:t>
      </w:r>
      <w:r w:rsidRPr="00764790">
        <w:rPr>
          <w:rFonts w:cstheme="minorHAnsi"/>
          <w:sz w:val="24"/>
          <w:szCs w:val="24"/>
          <w:lang w:val="en-GB"/>
        </w:rPr>
        <w:t xml:space="preserve"> to </w:t>
      </w:r>
      <w:r w:rsidRPr="00764790">
        <w:rPr>
          <w:rStyle w:val="Emphasis"/>
          <w:rFonts w:cstheme="minorHAnsi"/>
          <w:i w:val="0"/>
          <w:sz w:val="24"/>
          <w:szCs w:val="24"/>
          <w:lang w:val="en-GB"/>
        </w:rPr>
        <w:t>make</w:t>
      </w:r>
      <w:r w:rsidRPr="00764790">
        <w:rPr>
          <w:rFonts w:cstheme="minorHAnsi"/>
          <w:i/>
          <w:sz w:val="24"/>
          <w:szCs w:val="24"/>
          <w:lang w:val="en-GB"/>
        </w:rPr>
        <w:t xml:space="preserve"> </w:t>
      </w:r>
      <w:r w:rsidRPr="00764790">
        <w:rPr>
          <w:rFonts w:cstheme="minorHAnsi"/>
          <w:sz w:val="24"/>
          <w:szCs w:val="24"/>
          <w:lang w:val="en-GB"/>
        </w:rPr>
        <w:t xml:space="preserve">the </w:t>
      </w:r>
      <w:r w:rsidRPr="000C2D18">
        <w:rPr>
          <w:rStyle w:val="Emphasis"/>
          <w:rFonts w:cstheme="minorHAnsi"/>
          <w:i w:val="0"/>
          <w:sz w:val="24"/>
          <w:szCs w:val="24"/>
          <w:lang w:val="en-GB"/>
        </w:rPr>
        <w:t xml:space="preserve">contract </w:t>
      </w:r>
      <w:r w:rsidRPr="00764790">
        <w:rPr>
          <w:rStyle w:val="Emphasis"/>
          <w:rFonts w:cstheme="minorHAnsi"/>
          <w:i w:val="0"/>
          <w:sz w:val="24"/>
          <w:szCs w:val="24"/>
          <w:lang w:val="en-GB"/>
        </w:rPr>
        <w:t>voidable</w:t>
      </w:r>
      <w:r w:rsidRPr="00764790">
        <w:rPr>
          <w:rFonts w:cstheme="minorHAnsi"/>
          <w:i/>
          <w:sz w:val="24"/>
          <w:szCs w:val="24"/>
          <w:lang w:val="en-GB"/>
        </w:rPr>
        <w:t xml:space="preserve">, </w:t>
      </w:r>
      <w:r w:rsidRPr="00764790">
        <w:rPr>
          <w:rStyle w:val="Emphasis"/>
          <w:rFonts w:cstheme="minorHAnsi"/>
          <w:i w:val="0"/>
          <w:sz w:val="24"/>
          <w:szCs w:val="24"/>
          <w:lang w:val="en-GB"/>
        </w:rPr>
        <w:t>not void</w:t>
      </w:r>
      <w:r w:rsidR="004B40EA">
        <w:rPr>
          <w:rStyle w:val="Emphasis"/>
          <w:rFonts w:cstheme="minorHAnsi"/>
          <w:i w:val="0"/>
          <w:sz w:val="24"/>
          <w:szCs w:val="24"/>
          <w:lang w:val="en-GB"/>
        </w:rPr>
        <w:t xml:space="preserve"> (Loots and </w:t>
      </w:r>
      <w:proofErr w:type="spellStart"/>
      <w:r w:rsidR="004B40EA">
        <w:rPr>
          <w:rStyle w:val="Emphasis"/>
          <w:rFonts w:cstheme="minorHAnsi"/>
          <w:i w:val="0"/>
          <w:sz w:val="24"/>
          <w:szCs w:val="24"/>
          <w:lang w:val="en-GB"/>
        </w:rPr>
        <w:t>Charrett</w:t>
      </w:r>
      <w:proofErr w:type="spellEnd"/>
      <w:r w:rsidR="004B40EA">
        <w:rPr>
          <w:rStyle w:val="Emphasis"/>
          <w:rFonts w:cstheme="minorHAnsi"/>
          <w:i w:val="0"/>
          <w:sz w:val="24"/>
          <w:szCs w:val="24"/>
          <w:lang w:val="en-GB"/>
        </w:rPr>
        <w:t xml:space="preserve">, 2019). </w:t>
      </w:r>
    </w:p>
    <w:p w14:paraId="442B032D" w14:textId="5A04DDB2" w:rsidR="00CE0C54" w:rsidRDefault="001B0E2C" w:rsidP="006C77D7">
      <w:pPr>
        <w:spacing w:after="300"/>
        <w:ind w:left="360"/>
        <w:rPr>
          <w:rFonts w:cstheme="minorHAnsi"/>
          <w:sz w:val="24"/>
          <w:szCs w:val="24"/>
          <w:lang w:val="en-GB"/>
        </w:rPr>
      </w:pPr>
      <w:r>
        <w:rPr>
          <w:rFonts w:cstheme="minorHAnsi"/>
          <w:sz w:val="24"/>
          <w:szCs w:val="24"/>
          <w:lang w:val="en-GB"/>
        </w:rPr>
        <w:lastRenderedPageBreak/>
        <w:t xml:space="preserve">When a contract is entered into as a result of </w:t>
      </w:r>
      <w:r w:rsidR="00CE6E0F">
        <w:rPr>
          <w:rFonts w:cstheme="minorHAnsi"/>
          <w:sz w:val="24"/>
          <w:szCs w:val="24"/>
          <w:lang w:val="en-GB"/>
        </w:rPr>
        <w:t xml:space="preserve">subtle or sustained </w:t>
      </w:r>
      <w:r>
        <w:rPr>
          <w:rFonts w:cstheme="minorHAnsi"/>
          <w:sz w:val="24"/>
          <w:szCs w:val="24"/>
          <w:lang w:val="en-GB"/>
        </w:rPr>
        <w:t>pressure, but it falls short of duress then the party subject to the pressure may claim that they been forced into the agreement as an act of undue influence. Undue influence operates where there exists a relationship between the two parties, which had been taken advantage of by one party to gain an unfair advantage (</w:t>
      </w:r>
      <w:proofErr w:type="spellStart"/>
      <w:r>
        <w:rPr>
          <w:rFonts w:cstheme="minorHAnsi"/>
          <w:sz w:val="24"/>
          <w:szCs w:val="24"/>
          <w:lang w:val="en-GB"/>
        </w:rPr>
        <w:t>Brookner</w:t>
      </w:r>
      <w:proofErr w:type="spellEnd"/>
      <w:r>
        <w:rPr>
          <w:rFonts w:cstheme="minorHAnsi"/>
          <w:sz w:val="24"/>
          <w:szCs w:val="24"/>
          <w:lang w:val="en-GB"/>
        </w:rPr>
        <w:t xml:space="preserve">, 2000). </w:t>
      </w:r>
      <w:r w:rsidR="00055A5C">
        <w:rPr>
          <w:rFonts w:cstheme="minorHAnsi"/>
          <w:sz w:val="24"/>
          <w:szCs w:val="24"/>
          <w:lang w:val="en-GB"/>
        </w:rPr>
        <w:t xml:space="preserve">The most common occurrence of undue influence in </w:t>
      </w:r>
      <w:r w:rsidR="00C26CF0">
        <w:rPr>
          <w:rFonts w:cstheme="minorHAnsi"/>
          <w:sz w:val="24"/>
          <w:szCs w:val="24"/>
          <w:lang w:val="en-GB"/>
        </w:rPr>
        <w:t>today’s</w:t>
      </w:r>
      <w:r w:rsidR="00055A5C">
        <w:rPr>
          <w:rFonts w:cstheme="minorHAnsi"/>
          <w:sz w:val="24"/>
          <w:szCs w:val="24"/>
          <w:lang w:val="en-GB"/>
        </w:rPr>
        <w:t xml:space="preserve"> law is the abuse of trust and confidence, where people agree that their home may be used as a security for a loan. </w:t>
      </w:r>
      <w:r w:rsidR="00C26CF0">
        <w:rPr>
          <w:rFonts w:cstheme="minorHAnsi"/>
          <w:sz w:val="24"/>
          <w:szCs w:val="24"/>
          <w:lang w:val="en-GB"/>
        </w:rPr>
        <w:t>Where the debtor is the sole owner of the property the allegation will usually be against the creditor, however if the debtor is not the sole owner then the co-owner (surety) can provide a guarantee</w:t>
      </w:r>
      <w:r w:rsidR="00F20422">
        <w:rPr>
          <w:rFonts w:cstheme="minorHAnsi"/>
          <w:sz w:val="24"/>
          <w:szCs w:val="24"/>
          <w:lang w:val="en-GB"/>
        </w:rPr>
        <w:t xml:space="preserve"> to another co-owner (Andrews and Millett, 2011).</w:t>
      </w:r>
    </w:p>
    <w:p w14:paraId="4125A7D8" w14:textId="77777777" w:rsidR="00A0696C" w:rsidRDefault="00A0696C" w:rsidP="006C77D7">
      <w:pPr>
        <w:spacing w:after="300"/>
        <w:ind w:left="360"/>
        <w:rPr>
          <w:rFonts w:cstheme="minorHAnsi"/>
          <w:sz w:val="24"/>
          <w:szCs w:val="24"/>
          <w:lang w:val="en-GB"/>
        </w:rPr>
      </w:pPr>
      <w:r>
        <w:rPr>
          <w:rFonts w:cstheme="minorHAnsi"/>
          <w:sz w:val="24"/>
          <w:szCs w:val="24"/>
          <w:lang w:val="en-GB"/>
        </w:rPr>
        <w:t>The first case of undue influence had been used in the case of Williams v Bayley [1866] Mr Williams was pressured into giving a security for debt of his son, by the threats that he would be ‘transported’. Agreement had been held invalid due to the fact that Mr Williams had agreed to the agreement under undue pressure had been exerted</w:t>
      </w:r>
      <w:r w:rsidR="00C67670">
        <w:rPr>
          <w:rFonts w:cstheme="minorHAnsi"/>
          <w:sz w:val="24"/>
          <w:szCs w:val="24"/>
          <w:lang w:val="en-GB"/>
        </w:rPr>
        <w:t xml:space="preserve"> on him (McDonald- Eggers, 2016).</w:t>
      </w:r>
    </w:p>
    <w:p w14:paraId="5CA4E2C8" w14:textId="77777777" w:rsidR="0049028A" w:rsidRDefault="0049028A" w:rsidP="006C77D7">
      <w:pPr>
        <w:spacing w:after="300"/>
        <w:ind w:left="360"/>
        <w:rPr>
          <w:rFonts w:cstheme="minorHAnsi"/>
          <w:sz w:val="24"/>
          <w:szCs w:val="24"/>
          <w:lang w:val="en-GB"/>
        </w:rPr>
      </w:pPr>
      <w:r>
        <w:rPr>
          <w:rFonts w:cstheme="minorHAnsi"/>
          <w:sz w:val="24"/>
          <w:szCs w:val="24"/>
          <w:lang w:val="en-GB"/>
        </w:rPr>
        <w:t>In the case of Barclays Bank Ltd v O’Brien and Another [1993]</w:t>
      </w:r>
      <w:r w:rsidR="00781C6F">
        <w:rPr>
          <w:rFonts w:cstheme="minorHAnsi"/>
          <w:sz w:val="24"/>
          <w:szCs w:val="24"/>
          <w:lang w:val="en-GB"/>
        </w:rPr>
        <w:t xml:space="preserve"> had refined two earlier categories of </w:t>
      </w:r>
      <w:r w:rsidR="00AD27E3">
        <w:rPr>
          <w:rFonts w:cstheme="minorHAnsi"/>
          <w:sz w:val="24"/>
          <w:szCs w:val="24"/>
          <w:lang w:val="en-GB"/>
        </w:rPr>
        <w:t xml:space="preserve">undue </w:t>
      </w:r>
      <w:r w:rsidR="00781C6F">
        <w:rPr>
          <w:rFonts w:cstheme="minorHAnsi"/>
          <w:sz w:val="24"/>
          <w:szCs w:val="24"/>
          <w:lang w:val="en-GB"/>
        </w:rPr>
        <w:t>influence:</w:t>
      </w:r>
    </w:p>
    <w:p w14:paraId="3C9D0047" w14:textId="77777777" w:rsidR="003360A3" w:rsidRDefault="003360A3" w:rsidP="003360A3">
      <w:pPr>
        <w:pStyle w:val="ListParagraph"/>
        <w:numPr>
          <w:ilvl w:val="0"/>
          <w:numId w:val="4"/>
        </w:numPr>
        <w:spacing w:after="300"/>
        <w:rPr>
          <w:rFonts w:cstheme="minorHAnsi"/>
          <w:sz w:val="24"/>
          <w:szCs w:val="24"/>
          <w:lang w:val="en-GB"/>
        </w:rPr>
      </w:pPr>
      <w:r>
        <w:rPr>
          <w:rFonts w:cstheme="minorHAnsi"/>
          <w:sz w:val="24"/>
          <w:szCs w:val="24"/>
          <w:lang w:val="en-GB"/>
        </w:rPr>
        <w:t>Actual undue influence – requires a proof that the agreement had been entered into as a result of undue influence</w:t>
      </w:r>
    </w:p>
    <w:p w14:paraId="6E2073AA" w14:textId="77777777" w:rsidR="003360A3" w:rsidRDefault="003360A3" w:rsidP="003360A3">
      <w:pPr>
        <w:pStyle w:val="ListParagraph"/>
        <w:numPr>
          <w:ilvl w:val="0"/>
          <w:numId w:val="4"/>
        </w:numPr>
        <w:spacing w:after="300"/>
        <w:rPr>
          <w:rFonts w:cstheme="minorHAnsi"/>
          <w:sz w:val="24"/>
          <w:szCs w:val="24"/>
          <w:lang w:val="en-GB"/>
        </w:rPr>
      </w:pPr>
      <w:r>
        <w:rPr>
          <w:rFonts w:cstheme="minorHAnsi"/>
          <w:sz w:val="24"/>
          <w:szCs w:val="24"/>
          <w:lang w:val="en-GB"/>
        </w:rPr>
        <w:t>Presumed undue influence (a) – it is not necessary to prove that the improper influence had been exerted, however there must be show that there is a relationship between the two (father/son etc.)</w:t>
      </w:r>
    </w:p>
    <w:p w14:paraId="6E0232B9" w14:textId="77777777" w:rsidR="003360A3" w:rsidRDefault="003360A3" w:rsidP="003360A3">
      <w:pPr>
        <w:pStyle w:val="ListParagraph"/>
        <w:numPr>
          <w:ilvl w:val="0"/>
          <w:numId w:val="4"/>
        </w:numPr>
        <w:spacing w:after="300"/>
        <w:rPr>
          <w:rFonts w:cstheme="minorHAnsi"/>
          <w:sz w:val="24"/>
          <w:szCs w:val="24"/>
          <w:lang w:val="en-GB"/>
        </w:rPr>
      </w:pPr>
      <w:r>
        <w:rPr>
          <w:rFonts w:cstheme="minorHAnsi"/>
          <w:sz w:val="24"/>
          <w:szCs w:val="24"/>
          <w:lang w:val="en-GB"/>
        </w:rPr>
        <w:t xml:space="preserve">Presumed undue influence (b) </w:t>
      </w:r>
      <w:r w:rsidR="00B851C1">
        <w:rPr>
          <w:rFonts w:cstheme="minorHAnsi"/>
          <w:sz w:val="24"/>
          <w:szCs w:val="24"/>
          <w:lang w:val="en-GB"/>
        </w:rPr>
        <w:t>–</w:t>
      </w:r>
      <w:r>
        <w:rPr>
          <w:rFonts w:cstheme="minorHAnsi"/>
          <w:sz w:val="24"/>
          <w:szCs w:val="24"/>
          <w:lang w:val="en-GB"/>
        </w:rPr>
        <w:t xml:space="preserve"> </w:t>
      </w:r>
      <w:r w:rsidR="00B851C1">
        <w:rPr>
          <w:rFonts w:cstheme="minorHAnsi"/>
          <w:sz w:val="24"/>
          <w:szCs w:val="24"/>
          <w:lang w:val="en-GB"/>
        </w:rPr>
        <w:t>if the relationship exists but it’s not as clear as in class 2a, for example employee/employer etc.)</w:t>
      </w:r>
    </w:p>
    <w:p w14:paraId="6560C7AF" w14:textId="77777777" w:rsidR="00045C71" w:rsidRPr="00311152" w:rsidRDefault="00311152" w:rsidP="00045C71">
      <w:pPr>
        <w:spacing w:after="300"/>
        <w:ind w:left="360"/>
        <w:rPr>
          <w:rFonts w:cstheme="minorHAnsi"/>
          <w:sz w:val="24"/>
          <w:szCs w:val="24"/>
          <w:lang w:val="en-GB"/>
        </w:rPr>
      </w:pPr>
      <w:r>
        <w:rPr>
          <w:rFonts w:cstheme="minorHAnsi"/>
          <w:sz w:val="24"/>
          <w:szCs w:val="24"/>
          <w:lang w:val="en-GB"/>
        </w:rPr>
        <w:t xml:space="preserve">                                                                                                                  </w:t>
      </w:r>
      <w:r>
        <w:rPr>
          <w:sz w:val="20"/>
          <w:szCs w:val="20"/>
          <w:lang w:val="en-GB"/>
        </w:rPr>
        <w:t xml:space="preserve"> </w:t>
      </w:r>
      <w:r>
        <w:rPr>
          <w:rFonts w:cstheme="minorHAnsi"/>
          <w:sz w:val="24"/>
          <w:szCs w:val="24"/>
          <w:lang w:val="en-GB"/>
        </w:rPr>
        <w:t xml:space="preserve">(Finch and </w:t>
      </w:r>
      <w:proofErr w:type="spellStart"/>
      <w:r>
        <w:rPr>
          <w:rFonts w:cstheme="minorHAnsi"/>
          <w:sz w:val="24"/>
          <w:szCs w:val="24"/>
          <w:lang w:val="en-GB"/>
        </w:rPr>
        <w:t>Fafinski</w:t>
      </w:r>
      <w:proofErr w:type="spellEnd"/>
      <w:r>
        <w:rPr>
          <w:rFonts w:cstheme="minorHAnsi"/>
          <w:sz w:val="24"/>
          <w:szCs w:val="24"/>
          <w:lang w:val="en-GB"/>
        </w:rPr>
        <w:t>, 2018)</w:t>
      </w:r>
    </w:p>
    <w:p w14:paraId="4CD974BE" w14:textId="6A35FE69" w:rsidR="00045C71" w:rsidRDefault="00A05000" w:rsidP="00045C71">
      <w:pPr>
        <w:spacing w:after="300"/>
        <w:ind w:left="360"/>
        <w:rPr>
          <w:rFonts w:cstheme="minorHAnsi"/>
          <w:sz w:val="24"/>
          <w:szCs w:val="24"/>
          <w:lang w:val="en-GB"/>
        </w:rPr>
      </w:pPr>
      <w:r>
        <w:rPr>
          <w:rFonts w:cstheme="minorHAnsi"/>
          <w:sz w:val="24"/>
          <w:szCs w:val="24"/>
          <w:lang w:val="en-GB"/>
        </w:rPr>
        <w:t xml:space="preserve">Although this classification had been very helpful it had been criticised in the case of RBS v </w:t>
      </w:r>
      <w:proofErr w:type="spellStart"/>
      <w:r>
        <w:rPr>
          <w:rFonts w:cstheme="minorHAnsi"/>
          <w:sz w:val="24"/>
          <w:szCs w:val="24"/>
          <w:lang w:val="en-GB"/>
        </w:rPr>
        <w:t>Etridge</w:t>
      </w:r>
      <w:proofErr w:type="spellEnd"/>
      <w:r>
        <w:rPr>
          <w:rFonts w:cstheme="minorHAnsi"/>
          <w:sz w:val="24"/>
          <w:szCs w:val="24"/>
          <w:lang w:val="en-GB"/>
        </w:rPr>
        <w:t xml:space="preserve"> (2001)</w:t>
      </w:r>
      <w:r w:rsidR="00483A02">
        <w:rPr>
          <w:rFonts w:cstheme="minorHAnsi"/>
          <w:sz w:val="24"/>
          <w:szCs w:val="24"/>
          <w:lang w:val="en-GB"/>
        </w:rPr>
        <w:t xml:space="preserve"> and now in all cases the court must be satisfied that the undue influence in proven and presumption just helps with establishing it, however when dealing with the different levels of presumption, the court will still adopt the categories established in O’Brien’s case even if the language used is no longer appropriate. </w:t>
      </w:r>
    </w:p>
    <w:p w14:paraId="346DEF9E" w14:textId="413AA350" w:rsidR="000914FF" w:rsidRDefault="00D04A61" w:rsidP="00045C71">
      <w:pPr>
        <w:spacing w:after="300"/>
        <w:ind w:left="360"/>
        <w:rPr>
          <w:rFonts w:cstheme="minorHAnsi"/>
          <w:sz w:val="24"/>
          <w:szCs w:val="24"/>
          <w:lang w:val="en-GB"/>
        </w:rPr>
      </w:pPr>
      <w:r>
        <w:rPr>
          <w:rFonts w:cstheme="minorHAnsi"/>
          <w:sz w:val="24"/>
          <w:szCs w:val="24"/>
          <w:lang w:val="en-GB"/>
        </w:rPr>
        <w:t xml:space="preserve">Requirements of an actual undue influence had been stated clearly by Slade LJ in the case of Bank of Credit and Commerce International SA v Aboody [1992] </w:t>
      </w:r>
      <w:r w:rsidR="005D08BF">
        <w:rPr>
          <w:rFonts w:cstheme="minorHAnsi"/>
          <w:sz w:val="24"/>
          <w:szCs w:val="24"/>
          <w:lang w:val="en-GB"/>
        </w:rPr>
        <w:t>and he stated that:</w:t>
      </w:r>
    </w:p>
    <w:p w14:paraId="01981BD8" w14:textId="1664017C" w:rsidR="005D08BF" w:rsidRDefault="005D08BF" w:rsidP="005D08BF">
      <w:pPr>
        <w:pStyle w:val="ListParagraph"/>
        <w:numPr>
          <w:ilvl w:val="0"/>
          <w:numId w:val="5"/>
        </w:numPr>
        <w:spacing w:after="300"/>
        <w:rPr>
          <w:rFonts w:cstheme="minorHAnsi"/>
          <w:sz w:val="24"/>
          <w:szCs w:val="24"/>
          <w:lang w:val="en-GB"/>
        </w:rPr>
      </w:pPr>
      <w:r>
        <w:rPr>
          <w:rFonts w:cstheme="minorHAnsi"/>
          <w:sz w:val="24"/>
          <w:szCs w:val="24"/>
          <w:lang w:val="en-GB"/>
        </w:rPr>
        <w:t>The other party to the transaction (or anyone who could have benefited from it) had the capacity to influence the complainant,</w:t>
      </w:r>
    </w:p>
    <w:p w14:paraId="15999CD5" w14:textId="6BE966B6" w:rsidR="005D08BF" w:rsidRDefault="005D08BF" w:rsidP="005D08BF">
      <w:pPr>
        <w:pStyle w:val="ListParagraph"/>
        <w:numPr>
          <w:ilvl w:val="0"/>
          <w:numId w:val="5"/>
        </w:numPr>
        <w:spacing w:after="300"/>
        <w:rPr>
          <w:rFonts w:cstheme="minorHAnsi"/>
          <w:sz w:val="24"/>
          <w:szCs w:val="24"/>
          <w:lang w:val="en-GB"/>
        </w:rPr>
      </w:pPr>
      <w:r>
        <w:rPr>
          <w:rFonts w:cstheme="minorHAnsi"/>
          <w:sz w:val="24"/>
          <w:szCs w:val="24"/>
          <w:lang w:val="en-GB"/>
        </w:rPr>
        <w:lastRenderedPageBreak/>
        <w:t>The influence was exercised,</w:t>
      </w:r>
    </w:p>
    <w:p w14:paraId="74164AF3" w14:textId="39FE23E2" w:rsidR="005D08BF" w:rsidRDefault="005D08BF" w:rsidP="005D08BF">
      <w:pPr>
        <w:pStyle w:val="ListParagraph"/>
        <w:numPr>
          <w:ilvl w:val="0"/>
          <w:numId w:val="5"/>
        </w:numPr>
        <w:spacing w:after="300"/>
        <w:rPr>
          <w:rFonts w:cstheme="minorHAnsi"/>
          <w:sz w:val="24"/>
          <w:szCs w:val="24"/>
          <w:lang w:val="en-GB"/>
        </w:rPr>
      </w:pPr>
      <w:r>
        <w:rPr>
          <w:rFonts w:cstheme="minorHAnsi"/>
          <w:sz w:val="24"/>
          <w:szCs w:val="24"/>
          <w:lang w:val="en-GB"/>
        </w:rPr>
        <w:t>The exercise was undue,</w:t>
      </w:r>
    </w:p>
    <w:p w14:paraId="65B356F6" w14:textId="6307AD39" w:rsidR="005D08BF" w:rsidRDefault="005D08BF" w:rsidP="005D08BF">
      <w:pPr>
        <w:pStyle w:val="ListParagraph"/>
        <w:numPr>
          <w:ilvl w:val="0"/>
          <w:numId w:val="5"/>
        </w:numPr>
        <w:spacing w:after="300"/>
        <w:rPr>
          <w:rFonts w:cstheme="minorHAnsi"/>
          <w:sz w:val="24"/>
          <w:szCs w:val="24"/>
          <w:lang w:val="en-GB"/>
        </w:rPr>
      </w:pPr>
      <w:r>
        <w:rPr>
          <w:rFonts w:cstheme="minorHAnsi"/>
          <w:sz w:val="24"/>
          <w:szCs w:val="24"/>
          <w:lang w:val="en-GB"/>
        </w:rPr>
        <w:t>Its exercise brought about the transaction</w:t>
      </w:r>
    </w:p>
    <w:p w14:paraId="388D4950" w14:textId="4A15A38F" w:rsidR="005D08BF" w:rsidRDefault="00644BC2" w:rsidP="005D08BF">
      <w:pPr>
        <w:spacing w:after="300"/>
        <w:rPr>
          <w:rFonts w:cstheme="minorHAnsi"/>
          <w:sz w:val="24"/>
          <w:szCs w:val="24"/>
          <w:lang w:val="en-GB"/>
        </w:rPr>
      </w:pPr>
      <w:r>
        <w:rPr>
          <w:rFonts w:cstheme="minorHAnsi"/>
          <w:sz w:val="24"/>
          <w:szCs w:val="24"/>
          <w:lang w:val="en-GB"/>
        </w:rPr>
        <w:t xml:space="preserve">If Mrs Aboody went to the court today, she would have won the case, however in 1992 law was a bit different and her claim failed due to her ‘manifest disadvantage’ overall. Year later in the case of BC Mortgages Plc v Pitt and Other [1993] this requirement for actual undue influence no longer exists.  </w:t>
      </w:r>
    </w:p>
    <w:p w14:paraId="3B307A12" w14:textId="0C0E09A9" w:rsidR="00395DCD" w:rsidRPr="005D08BF" w:rsidRDefault="00784513" w:rsidP="005D08BF">
      <w:pPr>
        <w:spacing w:after="300"/>
        <w:rPr>
          <w:rFonts w:cstheme="minorHAnsi"/>
          <w:sz w:val="24"/>
          <w:szCs w:val="24"/>
          <w:lang w:val="en-GB"/>
        </w:rPr>
      </w:pPr>
      <w:r>
        <w:rPr>
          <w:rFonts w:cstheme="minorHAnsi"/>
          <w:sz w:val="24"/>
          <w:szCs w:val="24"/>
          <w:lang w:val="en-GB"/>
        </w:rPr>
        <w:t xml:space="preserve">Whatever way the presumption of influence arises (through recognised relationship or by evidence), this is no longer sufficient to establish undue influence. To prove that the influence was used in an improper way, the claimant would have to show that the transaction has some features which will raise a question about why an individual would have </w:t>
      </w:r>
      <w:r w:rsidR="00C63424">
        <w:rPr>
          <w:rFonts w:cstheme="minorHAnsi"/>
          <w:sz w:val="24"/>
          <w:szCs w:val="24"/>
          <w:lang w:val="en-GB"/>
        </w:rPr>
        <w:t>entered</w:t>
      </w:r>
      <w:r>
        <w:rPr>
          <w:rFonts w:cstheme="minorHAnsi"/>
          <w:sz w:val="24"/>
          <w:szCs w:val="24"/>
          <w:lang w:val="en-GB"/>
        </w:rPr>
        <w:t xml:space="preserve"> it</w:t>
      </w:r>
      <w:r w:rsidR="00766C28">
        <w:rPr>
          <w:rFonts w:cstheme="minorHAnsi"/>
          <w:sz w:val="24"/>
          <w:szCs w:val="24"/>
          <w:lang w:val="en-GB"/>
        </w:rPr>
        <w:t>, unless improper influence has been used.</w:t>
      </w:r>
    </w:p>
    <w:tbl>
      <w:tblPr>
        <w:tblW w:w="5000" w:type="pct"/>
        <w:tblCellSpacing w:w="0" w:type="dxa"/>
        <w:tblCellMar>
          <w:left w:w="0" w:type="dxa"/>
          <w:right w:w="0" w:type="dxa"/>
        </w:tblCellMar>
        <w:tblLook w:val="04A0" w:firstRow="1" w:lastRow="0" w:firstColumn="1" w:lastColumn="0" w:noHBand="0" w:noVBand="1"/>
      </w:tblPr>
      <w:tblGrid>
        <w:gridCol w:w="9022"/>
        <w:gridCol w:w="50"/>
      </w:tblGrid>
      <w:tr w:rsidR="0095752F" w:rsidRPr="00CE0C54" w14:paraId="2F662058" w14:textId="77777777" w:rsidTr="0095752F">
        <w:trPr>
          <w:tblCellSpacing w:w="0" w:type="dxa"/>
        </w:trPr>
        <w:tc>
          <w:tcPr>
            <w:tcW w:w="5000" w:type="pct"/>
            <w:hideMark/>
          </w:tcPr>
          <w:tbl>
            <w:tblPr>
              <w:tblW w:w="5000" w:type="pct"/>
              <w:tblCellSpacing w:w="0" w:type="dxa"/>
              <w:tblCellMar>
                <w:left w:w="0" w:type="dxa"/>
                <w:right w:w="0" w:type="dxa"/>
              </w:tblCellMar>
              <w:tblLook w:val="04A0" w:firstRow="1" w:lastRow="0" w:firstColumn="1" w:lastColumn="0" w:noHBand="0" w:noVBand="1"/>
            </w:tblPr>
            <w:tblGrid>
              <w:gridCol w:w="9022"/>
            </w:tblGrid>
            <w:tr w:rsidR="0095752F" w:rsidRPr="00CE0C54" w14:paraId="48624018" w14:textId="77777777" w:rsidTr="0095752F">
              <w:trPr>
                <w:tblCellSpacing w:w="0" w:type="dxa"/>
              </w:trPr>
              <w:tc>
                <w:tcPr>
                  <w:tcW w:w="5000" w:type="pct"/>
                  <w:hideMark/>
                </w:tcPr>
                <w:p w14:paraId="4D6073A4" w14:textId="77777777" w:rsidR="001B0E2C" w:rsidRPr="001B0E2C" w:rsidRDefault="001B0E2C" w:rsidP="001B0E2C">
                  <w:pPr>
                    <w:spacing w:after="0" w:line="240" w:lineRule="auto"/>
                    <w:rPr>
                      <w:rFonts w:ascii="Times New Roman" w:eastAsia="Times New Roman" w:hAnsi="Times New Roman" w:cs="Times New Roman"/>
                      <w:sz w:val="24"/>
                      <w:szCs w:val="24"/>
                      <w:lang w:val="en-GB" w:eastAsia="pl-PL"/>
                    </w:rPr>
                  </w:pPr>
                  <w:r w:rsidRPr="001B0E2C">
                    <w:rPr>
                      <w:rFonts w:ascii="Times New Roman" w:eastAsia="Times New Roman" w:hAnsi="Times New Roman" w:cs="Times New Roman"/>
                      <w:sz w:val="24"/>
                      <w:szCs w:val="24"/>
                      <w:lang w:val="en-GB" w:eastAsia="pl-PL"/>
                    </w:rPr>
                    <w:t> </w:t>
                  </w:r>
                </w:p>
                <w:p w14:paraId="08413386" w14:textId="77777777" w:rsidR="0095752F" w:rsidRPr="00764790" w:rsidRDefault="0095752F" w:rsidP="00296ABF">
                  <w:pPr>
                    <w:spacing w:after="300"/>
                    <w:ind w:left="360"/>
                    <w:rPr>
                      <w:sz w:val="24"/>
                      <w:szCs w:val="24"/>
                      <w:lang w:val="en-GB"/>
                    </w:rPr>
                  </w:pPr>
                </w:p>
              </w:tc>
            </w:tr>
            <w:tr w:rsidR="00CE0C54" w:rsidRPr="00CE0C54" w14:paraId="01041743" w14:textId="77777777" w:rsidTr="0095752F">
              <w:trPr>
                <w:tblCellSpacing w:w="0" w:type="dxa"/>
              </w:trPr>
              <w:tc>
                <w:tcPr>
                  <w:tcW w:w="5000" w:type="pct"/>
                </w:tcPr>
                <w:p w14:paraId="7C41BD32" w14:textId="77777777" w:rsidR="00CE0C54" w:rsidRPr="00764790" w:rsidRDefault="00CE0C54" w:rsidP="0095752F">
                  <w:pPr>
                    <w:rPr>
                      <w:lang w:val="en-GB"/>
                    </w:rPr>
                  </w:pPr>
                </w:p>
              </w:tc>
            </w:tr>
          </w:tbl>
          <w:p w14:paraId="14FD0EA1" w14:textId="77777777" w:rsidR="0095752F" w:rsidRPr="00764790" w:rsidRDefault="0095752F">
            <w:pPr>
              <w:rPr>
                <w:sz w:val="24"/>
                <w:szCs w:val="24"/>
                <w:lang w:val="en-GB"/>
              </w:rPr>
            </w:pPr>
          </w:p>
        </w:tc>
        <w:tc>
          <w:tcPr>
            <w:tcW w:w="2400" w:type="dxa"/>
            <w:hideMark/>
          </w:tcPr>
          <w:p w14:paraId="4B26ED30" w14:textId="77777777" w:rsidR="0095752F" w:rsidRPr="00764790" w:rsidRDefault="0095752F" w:rsidP="0095752F">
            <w:pPr>
              <w:jc w:val="center"/>
              <w:rPr>
                <w:sz w:val="24"/>
                <w:szCs w:val="24"/>
                <w:lang w:val="en-GB"/>
              </w:rPr>
            </w:pPr>
            <w:r w:rsidRPr="00764790">
              <w:rPr>
                <w:lang w:val="en-GB"/>
              </w:rPr>
              <w:t xml:space="preserve">  </w:t>
            </w:r>
          </w:p>
        </w:tc>
      </w:tr>
    </w:tbl>
    <w:p w14:paraId="6430634F" w14:textId="77777777" w:rsidR="00850B40" w:rsidRDefault="00850B40" w:rsidP="007E4211">
      <w:pPr>
        <w:spacing w:after="300"/>
        <w:ind w:left="360"/>
        <w:rPr>
          <w:sz w:val="27"/>
          <w:szCs w:val="27"/>
          <w:u w:val="single"/>
          <w:lang w:val="en-GB"/>
        </w:rPr>
      </w:pPr>
    </w:p>
    <w:p w14:paraId="5F3CA2F2" w14:textId="77777777" w:rsidR="00850B40" w:rsidRDefault="00850B40" w:rsidP="007E4211">
      <w:pPr>
        <w:spacing w:after="300"/>
        <w:ind w:left="360"/>
        <w:rPr>
          <w:sz w:val="27"/>
          <w:szCs w:val="27"/>
          <w:u w:val="single"/>
          <w:lang w:val="en-GB"/>
        </w:rPr>
      </w:pPr>
    </w:p>
    <w:p w14:paraId="30BD9F2E" w14:textId="77777777" w:rsidR="00850B40" w:rsidRDefault="00850B40" w:rsidP="007E4211">
      <w:pPr>
        <w:spacing w:after="300"/>
        <w:ind w:left="360"/>
        <w:rPr>
          <w:sz w:val="27"/>
          <w:szCs w:val="27"/>
          <w:u w:val="single"/>
          <w:lang w:val="en-GB"/>
        </w:rPr>
      </w:pPr>
    </w:p>
    <w:p w14:paraId="4228E285" w14:textId="77777777" w:rsidR="00850B40" w:rsidRDefault="00850B40" w:rsidP="007E4211">
      <w:pPr>
        <w:spacing w:after="300"/>
        <w:ind w:left="360"/>
        <w:rPr>
          <w:sz w:val="27"/>
          <w:szCs w:val="27"/>
          <w:u w:val="single"/>
          <w:lang w:val="en-GB"/>
        </w:rPr>
      </w:pPr>
    </w:p>
    <w:p w14:paraId="0F858DE6" w14:textId="77777777" w:rsidR="00850B40" w:rsidRDefault="00850B40" w:rsidP="007E4211">
      <w:pPr>
        <w:spacing w:after="300"/>
        <w:ind w:left="360"/>
        <w:rPr>
          <w:sz w:val="27"/>
          <w:szCs w:val="27"/>
          <w:u w:val="single"/>
          <w:lang w:val="en-GB"/>
        </w:rPr>
      </w:pPr>
    </w:p>
    <w:p w14:paraId="7B306E6A" w14:textId="77777777" w:rsidR="00850B40" w:rsidRDefault="00850B40" w:rsidP="007E4211">
      <w:pPr>
        <w:spacing w:after="300"/>
        <w:ind w:left="360"/>
        <w:rPr>
          <w:sz w:val="27"/>
          <w:szCs w:val="27"/>
          <w:u w:val="single"/>
          <w:lang w:val="en-GB"/>
        </w:rPr>
      </w:pPr>
    </w:p>
    <w:p w14:paraId="4A4091EF" w14:textId="77777777" w:rsidR="00850B40" w:rsidRDefault="00850B40" w:rsidP="007E4211">
      <w:pPr>
        <w:spacing w:after="300"/>
        <w:ind w:left="360"/>
        <w:rPr>
          <w:sz w:val="27"/>
          <w:szCs w:val="27"/>
          <w:u w:val="single"/>
          <w:lang w:val="en-GB"/>
        </w:rPr>
      </w:pPr>
    </w:p>
    <w:p w14:paraId="5B2B0DCD" w14:textId="77777777" w:rsidR="00850B40" w:rsidRDefault="00850B40" w:rsidP="007E4211">
      <w:pPr>
        <w:spacing w:after="300"/>
        <w:ind w:left="360"/>
        <w:rPr>
          <w:sz w:val="27"/>
          <w:szCs w:val="27"/>
          <w:u w:val="single"/>
          <w:lang w:val="en-GB"/>
        </w:rPr>
      </w:pPr>
    </w:p>
    <w:p w14:paraId="4085A115" w14:textId="77777777" w:rsidR="00112ED7" w:rsidRDefault="00112ED7" w:rsidP="007E4211">
      <w:pPr>
        <w:spacing w:after="300"/>
        <w:ind w:left="360"/>
        <w:rPr>
          <w:sz w:val="27"/>
          <w:szCs w:val="27"/>
          <w:u w:val="single"/>
          <w:lang w:val="en-GB"/>
        </w:rPr>
      </w:pPr>
    </w:p>
    <w:p w14:paraId="3CBC79DB" w14:textId="77777777" w:rsidR="00112ED7" w:rsidRDefault="00112ED7" w:rsidP="007E4211">
      <w:pPr>
        <w:spacing w:after="300"/>
        <w:ind w:left="360"/>
        <w:rPr>
          <w:sz w:val="27"/>
          <w:szCs w:val="27"/>
          <w:u w:val="single"/>
          <w:lang w:val="en-GB"/>
        </w:rPr>
      </w:pPr>
    </w:p>
    <w:p w14:paraId="5EBB76D8" w14:textId="77777777" w:rsidR="00112ED7" w:rsidRDefault="00112ED7" w:rsidP="007E4211">
      <w:pPr>
        <w:spacing w:after="300"/>
        <w:ind w:left="360"/>
        <w:rPr>
          <w:sz w:val="27"/>
          <w:szCs w:val="27"/>
          <w:u w:val="single"/>
          <w:lang w:val="en-GB"/>
        </w:rPr>
      </w:pPr>
    </w:p>
    <w:p w14:paraId="068A73AE" w14:textId="77777777" w:rsidR="00112ED7" w:rsidRDefault="00112ED7" w:rsidP="007E4211">
      <w:pPr>
        <w:spacing w:after="300"/>
        <w:ind w:left="360"/>
        <w:rPr>
          <w:sz w:val="27"/>
          <w:szCs w:val="27"/>
          <w:u w:val="single"/>
          <w:lang w:val="en-GB"/>
        </w:rPr>
      </w:pPr>
    </w:p>
    <w:p w14:paraId="7BF3A04A" w14:textId="58CB33AE" w:rsidR="00AD3966" w:rsidRPr="00850B40" w:rsidRDefault="00850B40" w:rsidP="007E4211">
      <w:pPr>
        <w:spacing w:after="300"/>
        <w:ind w:left="360"/>
        <w:rPr>
          <w:sz w:val="24"/>
          <w:szCs w:val="24"/>
          <w:u w:val="single"/>
          <w:lang w:val="en-GB"/>
        </w:rPr>
      </w:pPr>
      <w:r w:rsidRPr="00850B40">
        <w:rPr>
          <w:sz w:val="27"/>
          <w:szCs w:val="27"/>
          <w:u w:val="single"/>
          <w:lang w:val="en-GB"/>
        </w:rPr>
        <w:lastRenderedPageBreak/>
        <w:t>Academic references:</w:t>
      </w:r>
    </w:p>
    <w:p w14:paraId="4C592C4C" w14:textId="77777777" w:rsidR="000312C8" w:rsidRPr="000312C8" w:rsidRDefault="000312C8" w:rsidP="00AA7A6D">
      <w:pPr>
        <w:spacing w:after="300"/>
        <w:rPr>
          <w:sz w:val="24"/>
          <w:szCs w:val="24"/>
          <w:lang w:val="en-GB"/>
        </w:rPr>
      </w:pPr>
      <w:r>
        <w:rPr>
          <w:sz w:val="24"/>
          <w:szCs w:val="24"/>
          <w:lang w:val="en-GB"/>
        </w:rPr>
        <w:t xml:space="preserve">Andrews, N. (2015) </w:t>
      </w:r>
      <w:r>
        <w:rPr>
          <w:i/>
          <w:sz w:val="24"/>
          <w:szCs w:val="24"/>
          <w:lang w:val="en-GB"/>
        </w:rPr>
        <w:t xml:space="preserve">Contract Law </w:t>
      </w:r>
      <w:r>
        <w:rPr>
          <w:sz w:val="24"/>
          <w:szCs w:val="24"/>
          <w:lang w:val="en-GB"/>
        </w:rPr>
        <w:t>Cambridge: Cambridge University Press</w:t>
      </w:r>
    </w:p>
    <w:p w14:paraId="14052B5D" w14:textId="77777777" w:rsidR="00C241A1" w:rsidRPr="00C241A1" w:rsidRDefault="00C241A1" w:rsidP="00AA7A6D">
      <w:pPr>
        <w:spacing w:after="300"/>
        <w:rPr>
          <w:sz w:val="24"/>
          <w:szCs w:val="24"/>
          <w:lang w:val="en-GB"/>
        </w:rPr>
      </w:pPr>
      <w:r>
        <w:rPr>
          <w:sz w:val="24"/>
          <w:szCs w:val="24"/>
          <w:lang w:val="en-GB"/>
        </w:rPr>
        <w:t xml:space="preserve">Andrews, G. M. and Millett, R. (2011) </w:t>
      </w:r>
      <w:r>
        <w:rPr>
          <w:i/>
          <w:sz w:val="24"/>
          <w:szCs w:val="24"/>
          <w:lang w:val="en-GB"/>
        </w:rPr>
        <w:t xml:space="preserve">Law of Guarantees </w:t>
      </w:r>
      <w:r>
        <w:rPr>
          <w:sz w:val="24"/>
          <w:szCs w:val="24"/>
          <w:lang w:val="en-GB"/>
        </w:rPr>
        <w:t>London: Sweet and Maxwell</w:t>
      </w:r>
    </w:p>
    <w:p w14:paraId="255D5AC4" w14:textId="00A87EAD" w:rsidR="007E4211" w:rsidRDefault="00C25270" w:rsidP="00AA7A6D">
      <w:pPr>
        <w:spacing w:after="300"/>
        <w:rPr>
          <w:sz w:val="24"/>
          <w:szCs w:val="24"/>
          <w:lang w:val="en-GB"/>
        </w:rPr>
      </w:pPr>
      <w:r>
        <w:rPr>
          <w:sz w:val="24"/>
          <w:szCs w:val="24"/>
          <w:lang w:val="en-GB"/>
        </w:rPr>
        <w:t xml:space="preserve">Arvin, T.T. and Arvin, T.T. (2019) </w:t>
      </w:r>
      <w:r w:rsidRPr="00C25270">
        <w:rPr>
          <w:i/>
          <w:sz w:val="24"/>
          <w:szCs w:val="24"/>
          <w:lang w:val="en-GB"/>
        </w:rPr>
        <w:t>Contract Law</w:t>
      </w:r>
      <w:r>
        <w:rPr>
          <w:sz w:val="24"/>
          <w:szCs w:val="24"/>
          <w:lang w:val="en-GB"/>
        </w:rPr>
        <w:t xml:space="preserve"> Oxford: Oxford University Press</w:t>
      </w:r>
    </w:p>
    <w:p w14:paraId="17D16CED" w14:textId="4E43B9E0" w:rsidR="000B3595" w:rsidRPr="00C25270" w:rsidRDefault="000B3595" w:rsidP="00AA7A6D">
      <w:pPr>
        <w:spacing w:after="300"/>
        <w:rPr>
          <w:sz w:val="24"/>
          <w:szCs w:val="24"/>
          <w:lang w:val="en-GB"/>
        </w:rPr>
      </w:pPr>
      <w:proofErr w:type="spellStart"/>
      <w:r>
        <w:rPr>
          <w:sz w:val="24"/>
          <w:szCs w:val="24"/>
          <w:lang w:val="en-GB"/>
        </w:rPr>
        <w:t>Atiyah</w:t>
      </w:r>
      <w:proofErr w:type="spellEnd"/>
      <w:r>
        <w:rPr>
          <w:sz w:val="24"/>
          <w:szCs w:val="24"/>
          <w:lang w:val="en-GB"/>
        </w:rPr>
        <w:t xml:space="preserve">, P.S. (1985) </w:t>
      </w:r>
      <w:r>
        <w:rPr>
          <w:i/>
          <w:iCs/>
          <w:sz w:val="24"/>
          <w:szCs w:val="24"/>
          <w:lang w:val="en-GB"/>
        </w:rPr>
        <w:t>The Rise and Fall of the Freedom of Contract</w:t>
      </w:r>
      <w:r>
        <w:rPr>
          <w:sz w:val="24"/>
          <w:szCs w:val="24"/>
          <w:lang w:val="en-GB"/>
        </w:rPr>
        <w:t xml:space="preserve"> Oxford: Clarendon Press</w:t>
      </w:r>
    </w:p>
    <w:p w14:paraId="096FCBBA" w14:textId="77777777" w:rsidR="007E4211" w:rsidRDefault="00A05ED2" w:rsidP="00AA7A6D">
      <w:pPr>
        <w:spacing w:after="300"/>
        <w:rPr>
          <w:sz w:val="24"/>
          <w:szCs w:val="24"/>
          <w:lang w:val="en-GB"/>
        </w:rPr>
      </w:pPr>
      <w:r>
        <w:rPr>
          <w:sz w:val="24"/>
          <w:szCs w:val="24"/>
          <w:lang w:val="en-GB"/>
        </w:rPr>
        <w:t xml:space="preserve">Beatty, J.F. and Samuelson, S.S. (2005) </w:t>
      </w:r>
      <w:r>
        <w:rPr>
          <w:i/>
          <w:sz w:val="24"/>
          <w:szCs w:val="24"/>
          <w:lang w:val="en-GB"/>
        </w:rPr>
        <w:t xml:space="preserve">Essentials of Business Law </w:t>
      </w:r>
      <w:r>
        <w:rPr>
          <w:sz w:val="24"/>
          <w:szCs w:val="24"/>
          <w:lang w:val="en-GB"/>
        </w:rPr>
        <w:t>Mason: Thomson/</w:t>
      </w:r>
      <w:proofErr w:type="spellStart"/>
      <w:r>
        <w:rPr>
          <w:sz w:val="24"/>
          <w:szCs w:val="24"/>
          <w:lang w:val="en-GB"/>
        </w:rPr>
        <w:t>SouthernWestern</w:t>
      </w:r>
      <w:proofErr w:type="spellEnd"/>
    </w:p>
    <w:p w14:paraId="20E74CBA" w14:textId="77777777" w:rsidR="00DE2EFE" w:rsidRDefault="00DE2EFE" w:rsidP="00AA7A6D">
      <w:pPr>
        <w:spacing w:after="300"/>
        <w:rPr>
          <w:sz w:val="24"/>
          <w:szCs w:val="24"/>
          <w:lang w:val="en-GB"/>
        </w:rPr>
      </w:pPr>
      <w:r>
        <w:rPr>
          <w:sz w:val="24"/>
          <w:szCs w:val="24"/>
          <w:lang w:val="en-GB"/>
        </w:rPr>
        <w:t xml:space="preserve">Burrows, A. (2018) </w:t>
      </w:r>
      <w:r>
        <w:rPr>
          <w:i/>
          <w:sz w:val="24"/>
          <w:szCs w:val="24"/>
          <w:lang w:val="en-GB"/>
        </w:rPr>
        <w:t xml:space="preserve">A casebook on Contract </w:t>
      </w:r>
      <w:r w:rsidR="001E082A">
        <w:rPr>
          <w:sz w:val="24"/>
          <w:szCs w:val="24"/>
          <w:lang w:val="en-GB"/>
        </w:rPr>
        <w:t>London: Bloomsbury Publishing</w:t>
      </w:r>
    </w:p>
    <w:p w14:paraId="64775136" w14:textId="77777777" w:rsidR="00ED4F9A" w:rsidRPr="00ED4F9A" w:rsidRDefault="00ED4F9A" w:rsidP="00AA7A6D">
      <w:pPr>
        <w:spacing w:after="300"/>
        <w:rPr>
          <w:sz w:val="24"/>
          <w:szCs w:val="24"/>
          <w:lang w:val="en-GB"/>
        </w:rPr>
      </w:pPr>
      <w:proofErr w:type="spellStart"/>
      <w:r>
        <w:rPr>
          <w:sz w:val="24"/>
          <w:szCs w:val="24"/>
          <w:lang w:val="en-GB"/>
        </w:rPr>
        <w:t>Brookner</w:t>
      </w:r>
      <w:proofErr w:type="spellEnd"/>
      <w:r>
        <w:rPr>
          <w:sz w:val="24"/>
          <w:szCs w:val="24"/>
          <w:lang w:val="en-GB"/>
        </w:rPr>
        <w:t xml:space="preserve">, A. (2000) </w:t>
      </w:r>
      <w:r>
        <w:rPr>
          <w:i/>
          <w:sz w:val="24"/>
          <w:szCs w:val="24"/>
          <w:lang w:val="en-GB"/>
        </w:rPr>
        <w:t xml:space="preserve">Undue Influence </w:t>
      </w:r>
      <w:r>
        <w:rPr>
          <w:sz w:val="24"/>
          <w:szCs w:val="24"/>
          <w:lang w:val="en-GB"/>
        </w:rPr>
        <w:t>London: Penguin Group</w:t>
      </w:r>
    </w:p>
    <w:p w14:paraId="5073760F" w14:textId="77777777" w:rsidR="00B42522" w:rsidRDefault="00B42522" w:rsidP="00AA7A6D">
      <w:pPr>
        <w:spacing w:after="300"/>
        <w:rPr>
          <w:sz w:val="24"/>
          <w:szCs w:val="24"/>
          <w:lang w:val="en-GB"/>
        </w:rPr>
      </w:pPr>
      <w:r>
        <w:rPr>
          <w:sz w:val="24"/>
          <w:szCs w:val="24"/>
          <w:lang w:val="en-GB"/>
        </w:rPr>
        <w:t xml:space="preserve">Charman, M. (2013) </w:t>
      </w:r>
      <w:r>
        <w:rPr>
          <w:i/>
          <w:sz w:val="24"/>
          <w:szCs w:val="24"/>
          <w:lang w:val="en-GB"/>
        </w:rPr>
        <w:t xml:space="preserve">Contract Law </w:t>
      </w:r>
      <w:r>
        <w:rPr>
          <w:sz w:val="24"/>
          <w:szCs w:val="24"/>
          <w:lang w:val="en-GB"/>
        </w:rPr>
        <w:t>London: Taylor and Francis</w:t>
      </w:r>
    </w:p>
    <w:p w14:paraId="7884F76F" w14:textId="77777777" w:rsidR="00E75D78" w:rsidRDefault="00E75D78" w:rsidP="00AA7A6D">
      <w:pPr>
        <w:spacing w:after="300"/>
        <w:rPr>
          <w:sz w:val="24"/>
          <w:szCs w:val="24"/>
          <w:lang w:val="en-GB"/>
        </w:rPr>
      </w:pPr>
      <w:r>
        <w:rPr>
          <w:sz w:val="24"/>
          <w:szCs w:val="24"/>
          <w:lang w:val="en-GB"/>
        </w:rPr>
        <w:t xml:space="preserve">Collins, H. (2003) </w:t>
      </w:r>
      <w:r>
        <w:rPr>
          <w:i/>
          <w:sz w:val="24"/>
          <w:szCs w:val="24"/>
          <w:lang w:val="en-GB"/>
        </w:rPr>
        <w:t>The Law of Contract</w:t>
      </w:r>
      <w:r>
        <w:rPr>
          <w:sz w:val="24"/>
          <w:szCs w:val="24"/>
          <w:lang w:val="en-GB"/>
        </w:rPr>
        <w:t xml:space="preserve"> Edinburgh: LexisNexis UK </w:t>
      </w:r>
    </w:p>
    <w:p w14:paraId="2015634C" w14:textId="77777777" w:rsidR="00EC5B69" w:rsidRPr="001D4FE5" w:rsidRDefault="00EC5B69" w:rsidP="00AA7A6D">
      <w:pPr>
        <w:spacing w:after="300"/>
        <w:rPr>
          <w:sz w:val="24"/>
          <w:szCs w:val="24"/>
          <w:lang w:val="en-GB"/>
        </w:rPr>
      </w:pPr>
      <w:r>
        <w:rPr>
          <w:sz w:val="24"/>
          <w:szCs w:val="24"/>
          <w:lang w:val="en-GB"/>
        </w:rPr>
        <w:t xml:space="preserve">Finch, E. and </w:t>
      </w:r>
      <w:proofErr w:type="spellStart"/>
      <w:r>
        <w:rPr>
          <w:sz w:val="24"/>
          <w:szCs w:val="24"/>
          <w:lang w:val="en-GB"/>
        </w:rPr>
        <w:t>Fafinski</w:t>
      </w:r>
      <w:proofErr w:type="spellEnd"/>
      <w:r>
        <w:rPr>
          <w:sz w:val="24"/>
          <w:szCs w:val="24"/>
          <w:lang w:val="en-GB"/>
        </w:rPr>
        <w:t xml:space="preserve">, S. (2018) </w:t>
      </w:r>
      <w:r>
        <w:rPr>
          <w:i/>
          <w:sz w:val="24"/>
          <w:szCs w:val="24"/>
          <w:lang w:val="en-GB"/>
        </w:rPr>
        <w:t xml:space="preserve">Law Express: Contract Law </w:t>
      </w:r>
      <w:r w:rsidR="001D4FE5">
        <w:rPr>
          <w:sz w:val="24"/>
          <w:szCs w:val="24"/>
          <w:lang w:val="en-GB"/>
        </w:rPr>
        <w:t xml:space="preserve">London: </w:t>
      </w:r>
      <w:proofErr w:type="spellStart"/>
      <w:r w:rsidR="001D4FE5">
        <w:rPr>
          <w:sz w:val="24"/>
          <w:szCs w:val="24"/>
          <w:lang w:val="en-GB"/>
        </w:rPr>
        <w:t>Pearsons</w:t>
      </w:r>
      <w:proofErr w:type="spellEnd"/>
    </w:p>
    <w:p w14:paraId="6F8F2BC1" w14:textId="77777777" w:rsidR="00FE484D" w:rsidRDefault="002721D1" w:rsidP="00AA7A6D">
      <w:pPr>
        <w:spacing w:after="300"/>
        <w:rPr>
          <w:sz w:val="24"/>
          <w:szCs w:val="24"/>
          <w:lang w:val="en-GB"/>
        </w:rPr>
      </w:pPr>
      <w:r>
        <w:rPr>
          <w:sz w:val="24"/>
          <w:szCs w:val="24"/>
          <w:lang w:val="en-GB"/>
        </w:rPr>
        <w:t xml:space="preserve">Hamilton, M. (2019) </w:t>
      </w:r>
      <w:r>
        <w:rPr>
          <w:i/>
          <w:sz w:val="24"/>
          <w:szCs w:val="24"/>
          <w:lang w:val="en-GB"/>
        </w:rPr>
        <w:t>Contract Law</w:t>
      </w:r>
      <w:r>
        <w:rPr>
          <w:sz w:val="24"/>
          <w:szCs w:val="24"/>
          <w:lang w:val="en-GB"/>
        </w:rPr>
        <w:t xml:space="preserve"> London: </w:t>
      </w:r>
      <w:proofErr w:type="spellStart"/>
      <w:r>
        <w:rPr>
          <w:sz w:val="24"/>
          <w:szCs w:val="24"/>
          <w:lang w:val="en-GB"/>
        </w:rPr>
        <w:t>Pearsons</w:t>
      </w:r>
      <w:proofErr w:type="spellEnd"/>
    </w:p>
    <w:p w14:paraId="628E8073" w14:textId="77777777" w:rsidR="00BA1D26" w:rsidRDefault="00BA1D26" w:rsidP="00AA7A6D">
      <w:pPr>
        <w:spacing w:after="300"/>
        <w:rPr>
          <w:sz w:val="24"/>
          <w:szCs w:val="24"/>
          <w:lang w:val="en-GB"/>
        </w:rPr>
      </w:pPr>
      <w:r>
        <w:rPr>
          <w:sz w:val="24"/>
          <w:szCs w:val="24"/>
          <w:lang w:val="en-GB"/>
        </w:rPr>
        <w:t xml:space="preserve">Loots, P. and </w:t>
      </w:r>
      <w:proofErr w:type="spellStart"/>
      <w:r>
        <w:rPr>
          <w:sz w:val="24"/>
          <w:szCs w:val="24"/>
          <w:lang w:val="en-GB"/>
        </w:rPr>
        <w:t>Charrett</w:t>
      </w:r>
      <w:proofErr w:type="spellEnd"/>
      <w:r>
        <w:rPr>
          <w:sz w:val="24"/>
          <w:szCs w:val="24"/>
          <w:lang w:val="en-GB"/>
        </w:rPr>
        <w:t xml:space="preserve">, D. (2019) </w:t>
      </w:r>
      <w:r>
        <w:rPr>
          <w:i/>
          <w:sz w:val="24"/>
          <w:szCs w:val="24"/>
          <w:lang w:val="en-GB"/>
        </w:rPr>
        <w:t xml:space="preserve">The Application of Contracts in Developing Offshore Oil and Gas Projects </w:t>
      </w:r>
      <w:r>
        <w:rPr>
          <w:sz w:val="24"/>
          <w:szCs w:val="24"/>
          <w:lang w:val="en-GB"/>
        </w:rPr>
        <w:t xml:space="preserve">London: Taylor and Francis </w:t>
      </w:r>
    </w:p>
    <w:p w14:paraId="0FE2A701" w14:textId="77777777" w:rsidR="00441DEA" w:rsidRPr="00441DEA" w:rsidRDefault="00441DEA" w:rsidP="00AA7A6D">
      <w:pPr>
        <w:spacing w:after="300"/>
        <w:rPr>
          <w:sz w:val="24"/>
          <w:szCs w:val="24"/>
          <w:lang w:val="en-GB"/>
        </w:rPr>
      </w:pPr>
      <w:r>
        <w:rPr>
          <w:sz w:val="24"/>
          <w:szCs w:val="24"/>
          <w:lang w:val="en-GB"/>
        </w:rPr>
        <w:t xml:space="preserve">McDonald-Eggers, P. (2016) </w:t>
      </w:r>
      <w:r>
        <w:rPr>
          <w:i/>
          <w:sz w:val="24"/>
          <w:szCs w:val="24"/>
          <w:lang w:val="en-GB"/>
        </w:rPr>
        <w:t xml:space="preserve">Vitiation of Contractual Consent </w:t>
      </w:r>
      <w:r>
        <w:rPr>
          <w:sz w:val="24"/>
          <w:szCs w:val="24"/>
          <w:lang w:val="en-GB"/>
        </w:rPr>
        <w:t>London: Taylor and Francis</w:t>
      </w:r>
    </w:p>
    <w:p w14:paraId="052D8212" w14:textId="77777777" w:rsidR="00732E81" w:rsidRDefault="00732E81" w:rsidP="00AA7A6D">
      <w:pPr>
        <w:spacing w:after="300"/>
        <w:rPr>
          <w:sz w:val="24"/>
          <w:szCs w:val="24"/>
          <w:lang w:val="en-GB"/>
        </w:rPr>
      </w:pPr>
      <w:r>
        <w:rPr>
          <w:sz w:val="24"/>
          <w:szCs w:val="24"/>
          <w:lang w:val="en-GB"/>
        </w:rPr>
        <w:t xml:space="preserve">McLeod, I. (1999) </w:t>
      </w:r>
      <w:r>
        <w:rPr>
          <w:i/>
          <w:sz w:val="24"/>
          <w:szCs w:val="24"/>
          <w:lang w:val="en-GB"/>
        </w:rPr>
        <w:t xml:space="preserve">Legal Method </w:t>
      </w:r>
      <w:r>
        <w:rPr>
          <w:sz w:val="24"/>
          <w:szCs w:val="24"/>
          <w:lang w:val="en-GB"/>
        </w:rPr>
        <w:t xml:space="preserve">London: </w:t>
      </w:r>
      <w:proofErr w:type="spellStart"/>
      <w:r>
        <w:rPr>
          <w:sz w:val="24"/>
          <w:szCs w:val="24"/>
          <w:lang w:val="en-GB"/>
        </w:rPr>
        <w:t>Macmillans</w:t>
      </w:r>
      <w:proofErr w:type="spellEnd"/>
      <w:r>
        <w:rPr>
          <w:sz w:val="24"/>
          <w:szCs w:val="24"/>
          <w:lang w:val="en-GB"/>
        </w:rPr>
        <w:t xml:space="preserve"> Press</w:t>
      </w:r>
    </w:p>
    <w:p w14:paraId="3DE3A290" w14:textId="77777777" w:rsidR="009348C0" w:rsidRPr="009348C0" w:rsidRDefault="009348C0" w:rsidP="00AA7A6D">
      <w:pPr>
        <w:spacing w:after="300"/>
        <w:rPr>
          <w:sz w:val="24"/>
          <w:szCs w:val="24"/>
          <w:lang w:val="en-GB"/>
        </w:rPr>
      </w:pPr>
      <w:proofErr w:type="spellStart"/>
      <w:r>
        <w:rPr>
          <w:sz w:val="24"/>
          <w:szCs w:val="24"/>
          <w:lang w:val="en-GB"/>
        </w:rPr>
        <w:t>Oughton</w:t>
      </w:r>
      <w:proofErr w:type="spellEnd"/>
      <w:r>
        <w:rPr>
          <w:sz w:val="24"/>
          <w:szCs w:val="24"/>
          <w:lang w:val="en-GB"/>
        </w:rPr>
        <w:t xml:space="preserve">, M. and Davies, M. (2000) </w:t>
      </w:r>
      <w:r>
        <w:rPr>
          <w:i/>
          <w:sz w:val="24"/>
          <w:szCs w:val="24"/>
          <w:lang w:val="en-GB"/>
        </w:rPr>
        <w:t xml:space="preserve">Source Book on Contract Law </w:t>
      </w:r>
      <w:r>
        <w:rPr>
          <w:sz w:val="24"/>
          <w:szCs w:val="24"/>
          <w:lang w:val="en-GB"/>
        </w:rPr>
        <w:t>London: Cavendish</w:t>
      </w:r>
    </w:p>
    <w:p w14:paraId="60E046BA" w14:textId="77777777" w:rsidR="00DF69A5" w:rsidRDefault="00DF69A5" w:rsidP="00AA7A6D">
      <w:pPr>
        <w:spacing w:after="300"/>
        <w:rPr>
          <w:sz w:val="24"/>
          <w:szCs w:val="24"/>
          <w:lang w:val="en-GB"/>
        </w:rPr>
      </w:pPr>
      <w:r>
        <w:rPr>
          <w:sz w:val="24"/>
          <w:szCs w:val="24"/>
          <w:lang w:val="en-GB"/>
        </w:rPr>
        <w:t xml:space="preserve">Poole, J. (2012) </w:t>
      </w:r>
      <w:r>
        <w:rPr>
          <w:i/>
          <w:sz w:val="24"/>
          <w:szCs w:val="24"/>
          <w:lang w:val="en-GB"/>
        </w:rPr>
        <w:t>Casebook on Contract Law</w:t>
      </w:r>
      <w:r>
        <w:rPr>
          <w:sz w:val="24"/>
          <w:szCs w:val="24"/>
          <w:lang w:val="en-GB"/>
        </w:rPr>
        <w:t xml:space="preserve"> Oxford: Oxford University Press</w:t>
      </w:r>
    </w:p>
    <w:p w14:paraId="1706344D" w14:textId="77777777" w:rsidR="00FE29F0" w:rsidRPr="00FE29F0" w:rsidRDefault="00FE29F0" w:rsidP="00AA7A6D">
      <w:pPr>
        <w:spacing w:after="300"/>
        <w:rPr>
          <w:sz w:val="24"/>
          <w:szCs w:val="24"/>
          <w:lang w:val="en-GB"/>
        </w:rPr>
      </w:pPr>
      <w:r>
        <w:rPr>
          <w:sz w:val="24"/>
          <w:szCs w:val="24"/>
          <w:lang w:val="en-GB"/>
        </w:rPr>
        <w:t xml:space="preserve">Poole, J. (2012) </w:t>
      </w:r>
      <w:r>
        <w:rPr>
          <w:i/>
          <w:sz w:val="24"/>
          <w:szCs w:val="24"/>
          <w:lang w:val="en-GB"/>
        </w:rPr>
        <w:t xml:space="preserve">Textbook on Contract Law </w:t>
      </w:r>
      <w:r>
        <w:rPr>
          <w:sz w:val="24"/>
          <w:szCs w:val="24"/>
          <w:lang w:val="en-GB"/>
        </w:rPr>
        <w:t>Oxford: Oxford University Press</w:t>
      </w:r>
    </w:p>
    <w:p w14:paraId="64112292" w14:textId="77777777" w:rsidR="00F531C5" w:rsidRDefault="00F531C5" w:rsidP="00AA7A6D">
      <w:pPr>
        <w:spacing w:after="300"/>
        <w:rPr>
          <w:sz w:val="24"/>
          <w:szCs w:val="24"/>
          <w:lang w:val="en-GB"/>
        </w:rPr>
      </w:pPr>
      <w:r>
        <w:rPr>
          <w:sz w:val="24"/>
          <w:szCs w:val="24"/>
          <w:lang w:val="en-GB"/>
        </w:rPr>
        <w:t xml:space="preserve">Stone, R. (2005) </w:t>
      </w:r>
      <w:r>
        <w:rPr>
          <w:i/>
          <w:sz w:val="24"/>
          <w:szCs w:val="24"/>
          <w:lang w:val="en-GB"/>
        </w:rPr>
        <w:t xml:space="preserve">The Modern Law of Contract </w:t>
      </w:r>
      <w:r>
        <w:rPr>
          <w:sz w:val="24"/>
          <w:szCs w:val="24"/>
          <w:lang w:val="en-GB"/>
        </w:rPr>
        <w:t xml:space="preserve">London: Cavendish </w:t>
      </w:r>
    </w:p>
    <w:p w14:paraId="00682883" w14:textId="77777777" w:rsidR="00233606" w:rsidRPr="00233606" w:rsidRDefault="00233606" w:rsidP="00AA7A6D">
      <w:pPr>
        <w:spacing w:after="300"/>
        <w:rPr>
          <w:sz w:val="24"/>
          <w:szCs w:val="24"/>
          <w:lang w:val="en-GB"/>
        </w:rPr>
      </w:pPr>
      <w:r>
        <w:rPr>
          <w:sz w:val="24"/>
          <w:szCs w:val="24"/>
          <w:lang w:val="en-GB"/>
        </w:rPr>
        <w:t xml:space="preserve">Stone, R. and </w:t>
      </w:r>
      <w:proofErr w:type="spellStart"/>
      <w:r>
        <w:rPr>
          <w:sz w:val="24"/>
          <w:szCs w:val="24"/>
          <w:lang w:val="en-GB"/>
        </w:rPr>
        <w:t>Devenney</w:t>
      </w:r>
      <w:proofErr w:type="spellEnd"/>
      <w:r>
        <w:rPr>
          <w:sz w:val="24"/>
          <w:szCs w:val="24"/>
          <w:lang w:val="en-GB"/>
        </w:rPr>
        <w:t xml:space="preserve">, J. and </w:t>
      </w:r>
      <w:proofErr w:type="spellStart"/>
      <w:r>
        <w:rPr>
          <w:sz w:val="24"/>
          <w:szCs w:val="24"/>
          <w:lang w:val="en-GB"/>
        </w:rPr>
        <w:t>Cunninghton</w:t>
      </w:r>
      <w:proofErr w:type="spellEnd"/>
      <w:r>
        <w:rPr>
          <w:sz w:val="24"/>
          <w:szCs w:val="24"/>
          <w:lang w:val="en-GB"/>
        </w:rPr>
        <w:t xml:space="preserve"> R. (2011) </w:t>
      </w:r>
      <w:r>
        <w:rPr>
          <w:i/>
          <w:sz w:val="24"/>
          <w:szCs w:val="24"/>
          <w:lang w:val="en-GB"/>
        </w:rPr>
        <w:t xml:space="preserve">Texts, Cases and Materials on Case Law </w:t>
      </w:r>
      <w:r>
        <w:rPr>
          <w:sz w:val="24"/>
          <w:szCs w:val="24"/>
          <w:lang w:val="en-GB"/>
        </w:rPr>
        <w:t xml:space="preserve">Milton Park: </w:t>
      </w:r>
      <w:proofErr w:type="spellStart"/>
      <w:r>
        <w:rPr>
          <w:sz w:val="24"/>
          <w:szCs w:val="24"/>
          <w:lang w:val="en-GB"/>
        </w:rPr>
        <w:t>Routladge</w:t>
      </w:r>
      <w:proofErr w:type="spellEnd"/>
    </w:p>
    <w:p w14:paraId="36E6EB87" w14:textId="77777777" w:rsidR="00137706" w:rsidRPr="00137706" w:rsidRDefault="00137706" w:rsidP="00137706">
      <w:pPr>
        <w:pStyle w:val="Heading1"/>
        <w:rPr>
          <w:lang w:val="en-GB"/>
        </w:rPr>
      </w:pPr>
      <w:r w:rsidRPr="00137706">
        <w:rPr>
          <w:rFonts w:asciiTheme="minorHAnsi" w:hAnsiTheme="minorHAnsi" w:cstheme="minorHAnsi"/>
          <w:b w:val="0"/>
          <w:sz w:val="24"/>
          <w:szCs w:val="24"/>
          <w:lang w:val="en-GB"/>
        </w:rPr>
        <w:lastRenderedPageBreak/>
        <w:t>SWARB (2020)</w:t>
      </w:r>
      <w:r>
        <w:rPr>
          <w:sz w:val="24"/>
          <w:szCs w:val="24"/>
          <w:lang w:val="en-GB"/>
        </w:rPr>
        <w:t xml:space="preserve"> ‘</w:t>
      </w:r>
      <w:r w:rsidRPr="00137706">
        <w:rPr>
          <w:rFonts w:asciiTheme="minorHAnsi" w:hAnsiTheme="minorHAnsi" w:cstheme="minorHAnsi"/>
          <w:b w:val="0"/>
          <w:i/>
          <w:sz w:val="24"/>
          <w:szCs w:val="24"/>
          <w:lang w:val="en-GB"/>
        </w:rPr>
        <w:t xml:space="preserve">Pao On and Others v Lau </w:t>
      </w:r>
      <w:proofErr w:type="spellStart"/>
      <w:r w:rsidRPr="00137706">
        <w:rPr>
          <w:rFonts w:asciiTheme="minorHAnsi" w:hAnsiTheme="minorHAnsi" w:cstheme="minorHAnsi"/>
          <w:b w:val="0"/>
          <w:i/>
          <w:sz w:val="24"/>
          <w:szCs w:val="24"/>
          <w:lang w:val="en-GB"/>
        </w:rPr>
        <w:t>Yiu</w:t>
      </w:r>
      <w:proofErr w:type="spellEnd"/>
      <w:r w:rsidRPr="00137706">
        <w:rPr>
          <w:rFonts w:asciiTheme="minorHAnsi" w:hAnsiTheme="minorHAnsi" w:cstheme="minorHAnsi"/>
          <w:b w:val="0"/>
          <w:i/>
          <w:sz w:val="24"/>
          <w:szCs w:val="24"/>
          <w:lang w:val="en-GB"/>
        </w:rPr>
        <w:t xml:space="preserve"> Long and Others</w:t>
      </w:r>
      <w:r>
        <w:rPr>
          <w:rFonts w:asciiTheme="minorHAnsi" w:hAnsiTheme="minorHAnsi" w:cstheme="minorHAnsi"/>
          <w:b w:val="0"/>
          <w:i/>
          <w:sz w:val="24"/>
          <w:szCs w:val="24"/>
          <w:lang w:val="en-GB"/>
        </w:rPr>
        <w:t>’</w:t>
      </w:r>
      <w:r>
        <w:rPr>
          <w:rFonts w:asciiTheme="minorHAnsi" w:hAnsiTheme="minorHAnsi" w:cstheme="minorHAnsi"/>
          <w:b w:val="0"/>
          <w:sz w:val="24"/>
          <w:szCs w:val="24"/>
          <w:lang w:val="en-GB"/>
        </w:rPr>
        <w:t xml:space="preserve"> (Online) Available at: </w:t>
      </w:r>
      <w:hyperlink r:id="rId9" w:history="1">
        <w:r w:rsidRPr="00A15D15">
          <w:rPr>
            <w:rStyle w:val="Hyperlink"/>
            <w:rFonts w:asciiTheme="minorHAnsi" w:hAnsiTheme="minorHAnsi" w:cstheme="minorHAnsi"/>
            <w:b w:val="0"/>
            <w:sz w:val="24"/>
            <w:szCs w:val="24"/>
            <w:lang w:val="en-GB"/>
          </w:rPr>
          <w:t>https://swarb.co.uk/pao-on-and-others-v-lau-yiu-long-and-others-pc-9-apr-1979/</w:t>
        </w:r>
      </w:hyperlink>
      <w:r>
        <w:rPr>
          <w:rFonts w:asciiTheme="minorHAnsi" w:hAnsiTheme="minorHAnsi" w:cstheme="minorHAnsi"/>
          <w:b w:val="0"/>
          <w:sz w:val="24"/>
          <w:szCs w:val="24"/>
          <w:lang w:val="en-GB"/>
        </w:rPr>
        <w:t xml:space="preserve"> (Accessed:8</w:t>
      </w:r>
      <w:r w:rsidRPr="00137706">
        <w:rPr>
          <w:rFonts w:asciiTheme="minorHAnsi" w:hAnsiTheme="minorHAnsi" w:cstheme="minorHAnsi"/>
          <w:b w:val="0"/>
          <w:sz w:val="24"/>
          <w:szCs w:val="24"/>
          <w:vertAlign w:val="superscript"/>
          <w:lang w:val="en-GB"/>
        </w:rPr>
        <w:t>th</w:t>
      </w:r>
      <w:r>
        <w:rPr>
          <w:rFonts w:asciiTheme="minorHAnsi" w:hAnsiTheme="minorHAnsi" w:cstheme="minorHAnsi"/>
          <w:b w:val="0"/>
          <w:sz w:val="24"/>
          <w:szCs w:val="24"/>
          <w:lang w:val="en-GB"/>
        </w:rPr>
        <w:t xml:space="preserve"> April 2021) </w:t>
      </w:r>
    </w:p>
    <w:p w14:paraId="53E66DE3" w14:textId="77777777" w:rsidR="00137706" w:rsidRPr="00DF4DF6" w:rsidRDefault="00DF4DF6" w:rsidP="00137706">
      <w:pPr>
        <w:pStyle w:val="Heading1"/>
        <w:rPr>
          <w:rFonts w:asciiTheme="minorHAnsi" w:hAnsiTheme="minorHAnsi" w:cstheme="minorHAnsi"/>
          <w:b w:val="0"/>
          <w:sz w:val="24"/>
          <w:szCs w:val="24"/>
          <w:lang w:val="en-GB"/>
        </w:rPr>
      </w:pPr>
      <w:r>
        <w:rPr>
          <w:rFonts w:asciiTheme="minorHAnsi" w:hAnsiTheme="minorHAnsi" w:cstheme="minorHAnsi"/>
          <w:b w:val="0"/>
          <w:sz w:val="24"/>
          <w:szCs w:val="24"/>
          <w:lang w:val="en-GB"/>
        </w:rPr>
        <w:t xml:space="preserve">Naidoo, A. (2021) </w:t>
      </w:r>
      <w:r>
        <w:rPr>
          <w:rFonts w:asciiTheme="minorHAnsi" w:hAnsiTheme="minorHAnsi" w:cstheme="minorHAnsi"/>
          <w:b w:val="0"/>
          <w:i/>
          <w:sz w:val="24"/>
          <w:szCs w:val="24"/>
          <w:lang w:val="en-GB"/>
        </w:rPr>
        <w:t xml:space="preserve">Complete Contract Law </w:t>
      </w:r>
      <w:r>
        <w:rPr>
          <w:rFonts w:asciiTheme="minorHAnsi" w:hAnsiTheme="minorHAnsi" w:cstheme="minorHAnsi"/>
          <w:b w:val="0"/>
          <w:sz w:val="24"/>
          <w:szCs w:val="24"/>
          <w:lang w:val="en-GB"/>
        </w:rPr>
        <w:t>Oxford: Oxford University Press</w:t>
      </w:r>
    </w:p>
    <w:p w14:paraId="7E40F20A" w14:textId="77777777" w:rsidR="004E68BF" w:rsidRDefault="004E68BF" w:rsidP="00AA7A6D">
      <w:pPr>
        <w:spacing w:after="300"/>
        <w:rPr>
          <w:sz w:val="24"/>
          <w:szCs w:val="24"/>
          <w:u w:val="single"/>
          <w:lang w:val="en-GB"/>
        </w:rPr>
      </w:pPr>
    </w:p>
    <w:p w14:paraId="4A128F81" w14:textId="2FCA4835" w:rsidR="00137706" w:rsidRPr="00850B40" w:rsidRDefault="00850B40" w:rsidP="00AA7A6D">
      <w:pPr>
        <w:spacing w:after="300"/>
        <w:rPr>
          <w:sz w:val="24"/>
          <w:szCs w:val="24"/>
          <w:u w:val="single"/>
          <w:lang w:val="en-GB"/>
        </w:rPr>
      </w:pPr>
      <w:r w:rsidRPr="00850B40">
        <w:rPr>
          <w:sz w:val="24"/>
          <w:szCs w:val="24"/>
          <w:u w:val="single"/>
          <w:lang w:val="en-GB"/>
        </w:rPr>
        <w:t>Case References:</w:t>
      </w:r>
    </w:p>
    <w:p w14:paraId="5353667B" w14:textId="7AD8E32D" w:rsidR="00850B40" w:rsidRPr="00B12F55" w:rsidRDefault="0068779D" w:rsidP="00AA7A6D">
      <w:pPr>
        <w:spacing w:after="300"/>
        <w:rPr>
          <w:rFonts w:cstheme="minorHAnsi"/>
          <w:sz w:val="24"/>
          <w:szCs w:val="24"/>
          <w:shd w:val="clear" w:color="auto" w:fill="FFFFFF"/>
        </w:rPr>
      </w:pPr>
      <w:r w:rsidRPr="00B12F55">
        <w:rPr>
          <w:rFonts w:cstheme="minorHAnsi"/>
          <w:i/>
          <w:iCs/>
          <w:sz w:val="24"/>
          <w:szCs w:val="24"/>
          <w:shd w:val="clear" w:color="auto" w:fill="FFFFFF"/>
        </w:rPr>
        <w:t>Atlas Express Ltd v Kafco (Importers and Distributors) Ltd</w:t>
      </w:r>
      <w:r w:rsidRPr="00B12F55">
        <w:rPr>
          <w:rFonts w:cstheme="minorHAnsi"/>
          <w:sz w:val="24"/>
          <w:szCs w:val="24"/>
          <w:shd w:val="clear" w:color="auto" w:fill="FFFFFF"/>
        </w:rPr>
        <w:t> [1989] QB 833</w:t>
      </w:r>
    </w:p>
    <w:p w14:paraId="6D902716" w14:textId="18B47D3C" w:rsidR="0068779D" w:rsidRPr="00B12F55" w:rsidRDefault="0068779D" w:rsidP="00AA7A6D">
      <w:pPr>
        <w:spacing w:after="300"/>
        <w:rPr>
          <w:rFonts w:cstheme="minorHAnsi"/>
          <w:sz w:val="24"/>
          <w:szCs w:val="24"/>
          <w:shd w:val="clear" w:color="auto" w:fill="FFFFFF"/>
        </w:rPr>
      </w:pPr>
      <w:r w:rsidRPr="00B12F55">
        <w:rPr>
          <w:rFonts w:cstheme="minorHAnsi"/>
          <w:i/>
          <w:iCs/>
          <w:sz w:val="24"/>
          <w:szCs w:val="24"/>
          <w:shd w:val="clear" w:color="auto" w:fill="FFFFFF"/>
        </w:rPr>
        <w:t>Bank of Credit and Commerce International S.A. v. Aboody</w:t>
      </w:r>
      <w:r w:rsidRPr="00B12F55">
        <w:rPr>
          <w:rFonts w:cstheme="minorHAnsi"/>
          <w:sz w:val="24"/>
          <w:szCs w:val="24"/>
          <w:shd w:val="clear" w:color="auto" w:fill="FFFFFF"/>
        </w:rPr>
        <w:t xml:space="preserve"> [1992] 4 All ER 955</w:t>
      </w:r>
    </w:p>
    <w:p w14:paraId="07C71D12" w14:textId="77777777" w:rsidR="0068779D" w:rsidRPr="00B12F55" w:rsidRDefault="0068779D" w:rsidP="00AA7A6D">
      <w:pPr>
        <w:spacing w:after="300"/>
        <w:rPr>
          <w:rFonts w:cstheme="minorHAnsi"/>
          <w:sz w:val="24"/>
          <w:szCs w:val="24"/>
          <w:shd w:val="clear" w:color="auto" w:fill="FFFFFF"/>
        </w:rPr>
      </w:pPr>
      <w:r w:rsidRPr="00B12F55">
        <w:rPr>
          <w:rFonts w:cstheme="minorHAnsi"/>
          <w:i/>
          <w:iCs/>
          <w:sz w:val="24"/>
          <w:szCs w:val="24"/>
          <w:shd w:val="clear" w:color="auto" w:fill="FFFFFF"/>
        </w:rPr>
        <w:t>Barclays Bank plc v O’Brien</w:t>
      </w:r>
      <w:r w:rsidRPr="00B12F55">
        <w:rPr>
          <w:rFonts w:cstheme="minorHAnsi"/>
          <w:sz w:val="24"/>
          <w:szCs w:val="24"/>
          <w:shd w:val="clear" w:color="auto" w:fill="FFFFFF"/>
        </w:rPr>
        <w:t xml:space="preserve"> [1993] UKHL 6</w:t>
      </w:r>
    </w:p>
    <w:p w14:paraId="2B1515BF" w14:textId="7CB2FB3A" w:rsidR="0068779D" w:rsidRPr="00B12F55" w:rsidRDefault="0068779D" w:rsidP="00AA7A6D">
      <w:pPr>
        <w:spacing w:after="300"/>
        <w:rPr>
          <w:rStyle w:val="Strong"/>
          <w:rFonts w:cstheme="minorHAnsi"/>
          <w:b w:val="0"/>
          <w:bCs w:val="0"/>
          <w:sz w:val="24"/>
          <w:szCs w:val="24"/>
          <w:shd w:val="clear" w:color="auto" w:fill="FFFFFF"/>
        </w:rPr>
      </w:pPr>
      <w:r w:rsidRPr="00B12F55">
        <w:rPr>
          <w:rStyle w:val="Emphasis"/>
          <w:rFonts w:cstheme="minorHAnsi"/>
          <w:sz w:val="24"/>
          <w:szCs w:val="24"/>
          <w:shd w:val="clear" w:color="auto" w:fill="FFFFFF"/>
        </w:rPr>
        <w:t>Barton v Armstrong</w:t>
      </w:r>
      <w:r w:rsidRPr="00B12F55">
        <w:rPr>
          <w:rStyle w:val="Strong"/>
          <w:rFonts w:cstheme="minorHAnsi"/>
          <w:b w:val="0"/>
          <w:bCs w:val="0"/>
          <w:sz w:val="24"/>
          <w:szCs w:val="24"/>
          <w:shd w:val="clear" w:color="auto" w:fill="FFFFFF"/>
        </w:rPr>
        <w:t> [1976] AC 104</w:t>
      </w:r>
    </w:p>
    <w:p w14:paraId="687D445B" w14:textId="786C48F6" w:rsidR="0068779D" w:rsidRPr="00B12F55" w:rsidRDefault="0068779D" w:rsidP="00AA7A6D">
      <w:pPr>
        <w:spacing w:after="300"/>
        <w:rPr>
          <w:rStyle w:val="Strong"/>
          <w:rFonts w:cstheme="minorHAnsi"/>
          <w:b w:val="0"/>
          <w:bCs w:val="0"/>
          <w:sz w:val="24"/>
          <w:szCs w:val="24"/>
          <w:shd w:val="clear" w:color="auto" w:fill="FFFFFF"/>
        </w:rPr>
      </w:pPr>
      <w:r w:rsidRPr="00B12F55">
        <w:rPr>
          <w:rFonts w:cstheme="minorHAnsi"/>
          <w:i/>
          <w:iCs/>
          <w:sz w:val="24"/>
          <w:szCs w:val="24"/>
          <w:shd w:val="clear" w:color="auto" w:fill="FFFFFF"/>
        </w:rPr>
        <w:t>CIBC Mortgages plc v Pitt</w:t>
      </w:r>
      <w:r w:rsidRPr="00B12F55">
        <w:rPr>
          <w:rFonts w:cstheme="minorHAnsi"/>
          <w:sz w:val="24"/>
          <w:szCs w:val="24"/>
          <w:shd w:val="clear" w:color="auto" w:fill="FFFFFF"/>
        </w:rPr>
        <w:t xml:space="preserve"> [1993] UKHL 7</w:t>
      </w:r>
    </w:p>
    <w:p w14:paraId="26DAB254" w14:textId="4EA6D2EE" w:rsidR="0068779D" w:rsidRPr="00B12F55" w:rsidRDefault="0068779D" w:rsidP="0068779D">
      <w:pPr>
        <w:pStyle w:val="Heading1"/>
        <w:shd w:val="clear" w:color="auto" w:fill="FFFFFF"/>
        <w:spacing w:before="0" w:beforeAutospacing="0"/>
        <w:rPr>
          <w:rFonts w:asciiTheme="minorHAnsi" w:hAnsiTheme="minorHAnsi" w:cstheme="minorHAnsi"/>
          <w:b w:val="0"/>
          <w:bCs w:val="0"/>
          <w:sz w:val="24"/>
          <w:szCs w:val="24"/>
        </w:rPr>
      </w:pPr>
      <w:r w:rsidRPr="00B12F55">
        <w:rPr>
          <w:rFonts w:asciiTheme="minorHAnsi" w:hAnsiTheme="minorHAnsi" w:cstheme="minorHAnsi"/>
          <w:b w:val="0"/>
          <w:bCs w:val="0"/>
          <w:i/>
          <w:iCs/>
          <w:sz w:val="24"/>
          <w:szCs w:val="24"/>
        </w:rPr>
        <w:t>CTN Cash &amp; Carry Ltd v Gallagher Ltd</w:t>
      </w:r>
      <w:r w:rsidRPr="00B12F55">
        <w:rPr>
          <w:rFonts w:asciiTheme="minorHAnsi" w:hAnsiTheme="minorHAnsi" w:cstheme="minorHAnsi"/>
          <w:b w:val="0"/>
          <w:bCs w:val="0"/>
          <w:sz w:val="24"/>
          <w:szCs w:val="24"/>
        </w:rPr>
        <w:t xml:space="preserve"> [1994] 4 All ER 714</w:t>
      </w:r>
    </w:p>
    <w:p w14:paraId="70F6CCCC" w14:textId="7556E075" w:rsidR="0068779D" w:rsidRPr="00B12F55" w:rsidRDefault="0068779D" w:rsidP="0068779D">
      <w:pPr>
        <w:pStyle w:val="Heading1"/>
        <w:shd w:val="clear" w:color="auto" w:fill="FFFFFF"/>
        <w:spacing w:before="0" w:beforeAutospacing="0"/>
        <w:rPr>
          <w:rFonts w:asciiTheme="minorHAnsi" w:hAnsiTheme="minorHAnsi" w:cstheme="minorHAnsi"/>
          <w:b w:val="0"/>
          <w:bCs w:val="0"/>
          <w:sz w:val="24"/>
          <w:szCs w:val="24"/>
          <w:shd w:val="clear" w:color="auto" w:fill="FFFFFF"/>
        </w:rPr>
      </w:pPr>
      <w:r w:rsidRPr="00B12F55">
        <w:rPr>
          <w:rStyle w:val="Emphasis"/>
          <w:rFonts w:asciiTheme="minorHAnsi" w:eastAsiaTheme="majorEastAsia" w:hAnsiTheme="minorHAnsi" w:cstheme="minorHAnsi"/>
          <w:b w:val="0"/>
          <w:bCs w:val="0"/>
          <w:sz w:val="24"/>
          <w:szCs w:val="24"/>
          <w:shd w:val="clear" w:color="auto" w:fill="FFFFFF"/>
        </w:rPr>
        <w:t>Maskell v Horner</w:t>
      </w:r>
      <w:r w:rsidRPr="00B12F55">
        <w:rPr>
          <w:rFonts w:asciiTheme="minorHAnsi" w:hAnsiTheme="minorHAnsi" w:cstheme="minorHAnsi"/>
          <w:b w:val="0"/>
          <w:bCs w:val="0"/>
          <w:sz w:val="24"/>
          <w:szCs w:val="24"/>
          <w:shd w:val="clear" w:color="auto" w:fill="FFFFFF"/>
        </w:rPr>
        <w:t> [1915] 3 KB 106</w:t>
      </w:r>
    </w:p>
    <w:p w14:paraId="20EDD4ED" w14:textId="62AE8BB5" w:rsidR="0068779D" w:rsidRPr="00B12F55" w:rsidRDefault="0068779D" w:rsidP="0068779D">
      <w:pPr>
        <w:pStyle w:val="Heading1"/>
        <w:shd w:val="clear" w:color="auto" w:fill="FFFFFF"/>
        <w:spacing w:before="0" w:beforeAutospacing="0"/>
        <w:rPr>
          <w:rFonts w:asciiTheme="minorHAnsi" w:hAnsiTheme="minorHAnsi" w:cstheme="minorHAnsi"/>
          <w:b w:val="0"/>
          <w:bCs w:val="0"/>
          <w:sz w:val="24"/>
          <w:szCs w:val="24"/>
        </w:rPr>
      </w:pPr>
      <w:r w:rsidRPr="00B12F55">
        <w:rPr>
          <w:rFonts w:asciiTheme="minorHAnsi" w:hAnsiTheme="minorHAnsi" w:cstheme="minorHAnsi"/>
          <w:b w:val="0"/>
          <w:bCs w:val="0"/>
          <w:i/>
          <w:iCs/>
          <w:sz w:val="24"/>
          <w:szCs w:val="24"/>
          <w:shd w:val="clear" w:color="auto" w:fill="FFFFFF"/>
        </w:rPr>
        <w:t>North Ocean Shipping v Hyundai Construction (</w:t>
      </w:r>
      <w:r w:rsidRPr="00B12F55">
        <w:rPr>
          <w:rStyle w:val="Emphasis"/>
          <w:rFonts w:asciiTheme="minorHAnsi" w:eastAsiaTheme="majorEastAsia" w:hAnsiTheme="minorHAnsi" w:cstheme="minorHAnsi"/>
          <w:b w:val="0"/>
          <w:bCs w:val="0"/>
          <w:i w:val="0"/>
          <w:iCs w:val="0"/>
          <w:sz w:val="24"/>
          <w:szCs w:val="24"/>
          <w:shd w:val="clear" w:color="auto" w:fill="FFFFFF"/>
        </w:rPr>
        <w:t>The Atlantic Baron</w:t>
      </w:r>
      <w:r w:rsidRPr="00B12F55">
        <w:rPr>
          <w:rFonts w:asciiTheme="minorHAnsi" w:hAnsiTheme="minorHAnsi" w:cstheme="minorHAnsi"/>
          <w:b w:val="0"/>
          <w:bCs w:val="0"/>
          <w:i/>
          <w:iCs/>
          <w:sz w:val="24"/>
          <w:szCs w:val="24"/>
          <w:shd w:val="clear" w:color="auto" w:fill="FFFFFF"/>
        </w:rPr>
        <w:t>)</w:t>
      </w:r>
      <w:r w:rsidRPr="00B12F55">
        <w:rPr>
          <w:rFonts w:asciiTheme="minorHAnsi" w:hAnsiTheme="minorHAnsi" w:cstheme="minorHAnsi"/>
          <w:b w:val="0"/>
          <w:bCs w:val="0"/>
          <w:sz w:val="24"/>
          <w:szCs w:val="24"/>
          <w:shd w:val="clear" w:color="auto" w:fill="FFFFFF"/>
        </w:rPr>
        <w:t xml:space="preserve"> [</w:t>
      </w:r>
      <w:r w:rsidRPr="00B12F55">
        <w:rPr>
          <w:rStyle w:val="Emphasis"/>
          <w:rFonts w:asciiTheme="minorHAnsi" w:eastAsiaTheme="majorEastAsia" w:hAnsiTheme="minorHAnsi" w:cstheme="minorHAnsi"/>
          <w:b w:val="0"/>
          <w:bCs w:val="0"/>
          <w:i w:val="0"/>
          <w:iCs w:val="0"/>
          <w:sz w:val="24"/>
          <w:szCs w:val="24"/>
          <w:shd w:val="clear" w:color="auto" w:fill="FFFFFF"/>
        </w:rPr>
        <w:t>1979</w:t>
      </w:r>
      <w:r w:rsidRPr="00B12F55">
        <w:rPr>
          <w:rFonts w:asciiTheme="minorHAnsi" w:hAnsiTheme="minorHAnsi" w:cstheme="minorHAnsi"/>
          <w:b w:val="0"/>
          <w:bCs w:val="0"/>
          <w:sz w:val="24"/>
          <w:szCs w:val="24"/>
          <w:shd w:val="clear" w:color="auto" w:fill="FFFFFF"/>
        </w:rPr>
        <w:t>] QB 705</w:t>
      </w:r>
    </w:p>
    <w:p w14:paraId="702E79DE" w14:textId="66AEBEEA" w:rsidR="0068779D" w:rsidRPr="00B12F55" w:rsidRDefault="0068779D" w:rsidP="0068779D">
      <w:pPr>
        <w:pStyle w:val="Heading1"/>
        <w:shd w:val="clear" w:color="auto" w:fill="FFFFFF"/>
        <w:spacing w:before="0" w:beforeAutospacing="0"/>
        <w:rPr>
          <w:rFonts w:asciiTheme="minorHAnsi" w:hAnsiTheme="minorHAnsi" w:cstheme="minorHAnsi"/>
          <w:b w:val="0"/>
          <w:bCs w:val="0"/>
          <w:sz w:val="24"/>
          <w:szCs w:val="24"/>
          <w:shd w:val="clear" w:color="auto" w:fill="FFFFFF"/>
        </w:rPr>
      </w:pPr>
      <w:r w:rsidRPr="00B12F55">
        <w:rPr>
          <w:rStyle w:val="Emphasis"/>
          <w:rFonts w:asciiTheme="minorHAnsi" w:eastAsiaTheme="majorEastAsia" w:hAnsiTheme="minorHAnsi" w:cstheme="minorHAnsi"/>
          <w:b w:val="0"/>
          <w:bCs w:val="0"/>
          <w:sz w:val="24"/>
          <w:szCs w:val="24"/>
          <w:shd w:val="clear" w:color="auto" w:fill="FFFFFF"/>
        </w:rPr>
        <w:t>Occidental Worldwide Investment v Skibs</w:t>
      </w:r>
      <w:r w:rsidRPr="00B12F55">
        <w:rPr>
          <w:rFonts w:asciiTheme="minorHAnsi" w:hAnsiTheme="minorHAnsi" w:cstheme="minorHAnsi"/>
          <w:b w:val="0"/>
          <w:bCs w:val="0"/>
          <w:sz w:val="24"/>
          <w:szCs w:val="24"/>
          <w:shd w:val="clear" w:color="auto" w:fill="FFFFFF"/>
        </w:rPr>
        <w:t> (The Sibeon &amp; The Sibotre) [1976] 1 Lloyds Rep 293</w:t>
      </w:r>
    </w:p>
    <w:p w14:paraId="58DEFF3B" w14:textId="401C7D05" w:rsidR="0068779D" w:rsidRPr="00B12F55" w:rsidRDefault="0068779D" w:rsidP="0068779D">
      <w:pPr>
        <w:pStyle w:val="Heading1"/>
        <w:shd w:val="clear" w:color="auto" w:fill="FFFFFF"/>
        <w:spacing w:before="0" w:beforeAutospacing="0"/>
        <w:rPr>
          <w:rFonts w:asciiTheme="minorHAnsi" w:hAnsiTheme="minorHAnsi" w:cstheme="minorHAnsi"/>
          <w:b w:val="0"/>
          <w:bCs w:val="0"/>
          <w:sz w:val="24"/>
          <w:szCs w:val="24"/>
          <w:shd w:val="clear" w:color="auto" w:fill="FFFFFF"/>
        </w:rPr>
      </w:pPr>
      <w:r w:rsidRPr="00B12F55">
        <w:rPr>
          <w:rFonts w:asciiTheme="minorHAnsi" w:hAnsiTheme="minorHAnsi" w:cstheme="minorHAnsi"/>
          <w:b w:val="0"/>
          <w:bCs w:val="0"/>
          <w:i/>
          <w:iCs/>
          <w:sz w:val="24"/>
          <w:szCs w:val="24"/>
          <w:shd w:val="clear" w:color="auto" w:fill="FFFFFF"/>
        </w:rPr>
        <w:t>Pao On v. Lau Yiu Long</w:t>
      </w:r>
      <w:r w:rsidRPr="00B12F55">
        <w:rPr>
          <w:rFonts w:asciiTheme="minorHAnsi" w:hAnsiTheme="minorHAnsi" w:cstheme="minorHAnsi"/>
          <w:b w:val="0"/>
          <w:bCs w:val="0"/>
          <w:sz w:val="24"/>
          <w:szCs w:val="24"/>
          <w:shd w:val="clear" w:color="auto" w:fill="FFFFFF"/>
        </w:rPr>
        <w:t xml:space="preserve"> [1979] UKPC 17</w:t>
      </w:r>
    </w:p>
    <w:p w14:paraId="1FF4F04D" w14:textId="7DACB024" w:rsidR="0068779D" w:rsidRPr="00B12F55" w:rsidRDefault="0068779D" w:rsidP="0068779D">
      <w:pPr>
        <w:pStyle w:val="Heading1"/>
        <w:shd w:val="clear" w:color="auto" w:fill="FFFFFF"/>
        <w:spacing w:before="0" w:beforeAutospacing="0"/>
        <w:rPr>
          <w:rFonts w:asciiTheme="minorHAnsi" w:hAnsiTheme="minorHAnsi" w:cstheme="minorHAnsi"/>
          <w:b w:val="0"/>
          <w:bCs w:val="0"/>
          <w:sz w:val="24"/>
          <w:szCs w:val="24"/>
          <w:shd w:val="clear" w:color="auto" w:fill="FFFFFF"/>
        </w:rPr>
      </w:pPr>
      <w:r w:rsidRPr="00B12F55">
        <w:rPr>
          <w:rFonts w:asciiTheme="minorHAnsi" w:hAnsiTheme="minorHAnsi" w:cstheme="minorHAnsi"/>
          <w:b w:val="0"/>
          <w:bCs w:val="0"/>
          <w:i/>
          <w:iCs/>
          <w:sz w:val="24"/>
          <w:szCs w:val="24"/>
          <w:shd w:val="clear" w:color="auto" w:fill="FFFFFF"/>
        </w:rPr>
        <w:t>R v </w:t>
      </w:r>
      <w:r w:rsidRPr="00B12F55">
        <w:rPr>
          <w:rStyle w:val="Emphasis"/>
          <w:rFonts w:asciiTheme="minorHAnsi" w:eastAsiaTheme="majorEastAsia" w:hAnsiTheme="minorHAnsi" w:cstheme="minorHAnsi"/>
          <w:b w:val="0"/>
          <w:bCs w:val="0"/>
          <w:i w:val="0"/>
          <w:iCs w:val="0"/>
          <w:sz w:val="24"/>
          <w:szCs w:val="24"/>
          <w:shd w:val="clear" w:color="auto" w:fill="FFFFFF"/>
        </w:rPr>
        <w:t>Attorney</w:t>
      </w:r>
      <w:r w:rsidRPr="00B12F55">
        <w:rPr>
          <w:rFonts w:asciiTheme="minorHAnsi" w:hAnsiTheme="minorHAnsi" w:cstheme="minorHAnsi"/>
          <w:b w:val="0"/>
          <w:bCs w:val="0"/>
          <w:i/>
          <w:iCs/>
          <w:sz w:val="24"/>
          <w:szCs w:val="24"/>
          <w:shd w:val="clear" w:color="auto" w:fill="FFFFFF"/>
        </w:rPr>
        <w:t>-</w:t>
      </w:r>
      <w:r w:rsidRPr="00B12F55">
        <w:rPr>
          <w:rStyle w:val="Emphasis"/>
          <w:rFonts w:asciiTheme="minorHAnsi" w:eastAsiaTheme="majorEastAsia" w:hAnsiTheme="minorHAnsi" w:cstheme="minorHAnsi"/>
          <w:b w:val="0"/>
          <w:bCs w:val="0"/>
          <w:i w:val="0"/>
          <w:iCs w:val="0"/>
          <w:sz w:val="24"/>
          <w:szCs w:val="24"/>
          <w:shd w:val="clear" w:color="auto" w:fill="FFFFFF"/>
        </w:rPr>
        <w:t>General</w:t>
      </w:r>
      <w:r w:rsidRPr="00B12F55">
        <w:rPr>
          <w:rFonts w:asciiTheme="minorHAnsi" w:hAnsiTheme="minorHAnsi" w:cstheme="minorHAnsi"/>
          <w:b w:val="0"/>
          <w:bCs w:val="0"/>
          <w:i/>
          <w:iCs/>
          <w:sz w:val="24"/>
          <w:szCs w:val="24"/>
          <w:shd w:val="clear" w:color="auto" w:fill="FFFFFF"/>
        </w:rPr>
        <w:t> for England &amp; Wales</w:t>
      </w:r>
      <w:r w:rsidRPr="00B12F55">
        <w:rPr>
          <w:rFonts w:asciiTheme="minorHAnsi" w:hAnsiTheme="minorHAnsi" w:cstheme="minorHAnsi"/>
          <w:b w:val="0"/>
          <w:bCs w:val="0"/>
          <w:sz w:val="24"/>
          <w:szCs w:val="24"/>
          <w:shd w:val="clear" w:color="auto" w:fill="FFFFFF"/>
        </w:rPr>
        <w:t xml:space="preserve"> [</w:t>
      </w:r>
      <w:r w:rsidRPr="00B12F55">
        <w:rPr>
          <w:rStyle w:val="Emphasis"/>
          <w:rFonts w:asciiTheme="minorHAnsi" w:eastAsiaTheme="majorEastAsia" w:hAnsiTheme="minorHAnsi" w:cstheme="minorHAnsi"/>
          <w:b w:val="0"/>
          <w:bCs w:val="0"/>
          <w:i w:val="0"/>
          <w:iCs w:val="0"/>
          <w:sz w:val="24"/>
          <w:szCs w:val="24"/>
          <w:shd w:val="clear" w:color="auto" w:fill="FFFFFF"/>
        </w:rPr>
        <w:t>2003</w:t>
      </w:r>
      <w:r w:rsidRPr="00B12F55">
        <w:rPr>
          <w:rFonts w:asciiTheme="minorHAnsi" w:hAnsiTheme="minorHAnsi" w:cstheme="minorHAnsi"/>
          <w:b w:val="0"/>
          <w:bCs w:val="0"/>
          <w:sz w:val="24"/>
          <w:szCs w:val="24"/>
          <w:shd w:val="clear" w:color="auto" w:fill="FFFFFF"/>
        </w:rPr>
        <w:t>] UKPC 22</w:t>
      </w:r>
    </w:p>
    <w:p w14:paraId="64EE52F5" w14:textId="47264011" w:rsidR="0068779D" w:rsidRPr="00B12F55" w:rsidRDefault="0068779D" w:rsidP="0068779D">
      <w:pPr>
        <w:pStyle w:val="Heading1"/>
        <w:shd w:val="clear" w:color="auto" w:fill="FFFFFF"/>
        <w:spacing w:before="0" w:beforeAutospacing="0"/>
        <w:rPr>
          <w:rFonts w:asciiTheme="minorHAnsi" w:hAnsiTheme="minorHAnsi" w:cstheme="minorHAnsi"/>
          <w:b w:val="0"/>
          <w:bCs w:val="0"/>
          <w:sz w:val="24"/>
          <w:szCs w:val="24"/>
          <w:shd w:val="clear" w:color="auto" w:fill="FFFFFF"/>
        </w:rPr>
      </w:pPr>
      <w:r w:rsidRPr="00B12F55">
        <w:rPr>
          <w:rFonts w:asciiTheme="minorHAnsi" w:hAnsiTheme="minorHAnsi" w:cstheme="minorHAnsi"/>
          <w:b w:val="0"/>
          <w:bCs w:val="0"/>
          <w:i/>
          <w:iCs/>
          <w:sz w:val="24"/>
          <w:szCs w:val="24"/>
          <w:shd w:val="clear" w:color="auto" w:fill="FFFFFF"/>
        </w:rPr>
        <w:t>Royal Bank of Scotland plc v Etridge (No 2)</w:t>
      </w:r>
      <w:r w:rsidRPr="00B12F55">
        <w:rPr>
          <w:rFonts w:asciiTheme="minorHAnsi" w:hAnsiTheme="minorHAnsi" w:cstheme="minorHAnsi"/>
          <w:b w:val="0"/>
          <w:bCs w:val="0"/>
          <w:sz w:val="24"/>
          <w:szCs w:val="24"/>
          <w:shd w:val="clear" w:color="auto" w:fill="FFFFFF"/>
        </w:rPr>
        <w:t xml:space="preserve"> [2001] UKHL 44</w:t>
      </w:r>
    </w:p>
    <w:p w14:paraId="2174B620" w14:textId="7A3E4CF3" w:rsidR="0068779D" w:rsidRPr="00B12F55" w:rsidRDefault="0068779D" w:rsidP="0068779D">
      <w:pPr>
        <w:pStyle w:val="Heading1"/>
        <w:shd w:val="clear" w:color="auto" w:fill="FFFFFF"/>
        <w:spacing w:before="0" w:beforeAutospacing="0"/>
        <w:rPr>
          <w:rFonts w:asciiTheme="minorHAnsi" w:hAnsiTheme="minorHAnsi" w:cstheme="minorHAnsi"/>
          <w:b w:val="0"/>
          <w:bCs w:val="0"/>
          <w:sz w:val="24"/>
          <w:szCs w:val="24"/>
          <w:shd w:val="clear" w:color="auto" w:fill="FFFFFF"/>
        </w:rPr>
      </w:pPr>
      <w:r w:rsidRPr="00B12F55">
        <w:rPr>
          <w:rStyle w:val="Emphasis"/>
          <w:rFonts w:asciiTheme="minorHAnsi" w:eastAsiaTheme="majorEastAsia" w:hAnsiTheme="minorHAnsi" w:cstheme="minorHAnsi"/>
          <w:b w:val="0"/>
          <w:bCs w:val="0"/>
          <w:sz w:val="24"/>
          <w:szCs w:val="24"/>
          <w:shd w:val="clear" w:color="auto" w:fill="FFFFFF"/>
        </w:rPr>
        <w:t>Skeate v Beale</w:t>
      </w:r>
      <w:r w:rsidRPr="00B12F55">
        <w:rPr>
          <w:rFonts w:asciiTheme="minorHAnsi" w:hAnsiTheme="minorHAnsi" w:cstheme="minorHAnsi"/>
          <w:b w:val="0"/>
          <w:bCs w:val="0"/>
          <w:sz w:val="24"/>
          <w:szCs w:val="24"/>
          <w:shd w:val="clear" w:color="auto" w:fill="FFFFFF"/>
        </w:rPr>
        <w:t> (1840) 11 Ad&amp;El 983</w:t>
      </w:r>
    </w:p>
    <w:p w14:paraId="431AF82B" w14:textId="2F0E14DA" w:rsidR="0068779D" w:rsidRPr="00B12F55" w:rsidRDefault="0068779D" w:rsidP="0068779D">
      <w:pPr>
        <w:pStyle w:val="Heading1"/>
        <w:shd w:val="clear" w:color="auto" w:fill="FFFFFF"/>
        <w:spacing w:before="0" w:beforeAutospacing="0"/>
        <w:rPr>
          <w:rFonts w:asciiTheme="minorHAnsi" w:hAnsiTheme="minorHAnsi" w:cstheme="minorHAnsi"/>
          <w:b w:val="0"/>
          <w:bCs w:val="0"/>
          <w:sz w:val="24"/>
          <w:szCs w:val="24"/>
          <w:shd w:val="clear" w:color="auto" w:fill="FFFFFF"/>
        </w:rPr>
      </w:pPr>
      <w:r w:rsidRPr="00B12F55">
        <w:rPr>
          <w:rFonts w:asciiTheme="minorHAnsi" w:hAnsiTheme="minorHAnsi" w:cstheme="minorHAnsi"/>
          <w:b w:val="0"/>
          <w:bCs w:val="0"/>
          <w:i/>
          <w:iCs/>
          <w:sz w:val="24"/>
          <w:szCs w:val="24"/>
          <w:shd w:val="clear" w:color="auto" w:fill="FFFFFF"/>
        </w:rPr>
        <w:t>Universe Tankships Inc. of Monrovia v. International Transport Workers’ Federation</w:t>
      </w:r>
      <w:r w:rsidRPr="00B12F55">
        <w:rPr>
          <w:rFonts w:asciiTheme="minorHAnsi" w:hAnsiTheme="minorHAnsi" w:cstheme="minorHAnsi"/>
          <w:b w:val="0"/>
          <w:bCs w:val="0"/>
          <w:sz w:val="24"/>
          <w:szCs w:val="24"/>
          <w:shd w:val="clear" w:color="auto" w:fill="FFFFFF"/>
        </w:rPr>
        <w:t xml:space="preserve"> [1982] 2 All ER 67</w:t>
      </w:r>
    </w:p>
    <w:p w14:paraId="4A42C6DC" w14:textId="76F3ACE6" w:rsidR="0068779D" w:rsidRPr="00B12F55" w:rsidRDefault="0068779D" w:rsidP="0068779D">
      <w:pPr>
        <w:pStyle w:val="Heading1"/>
        <w:shd w:val="clear" w:color="auto" w:fill="FFFFFF"/>
        <w:spacing w:before="0" w:beforeAutospacing="0"/>
        <w:rPr>
          <w:rFonts w:asciiTheme="minorHAnsi" w:hAnsiTheme="minorHAnsi" w:cstheme="minorHAnsi"/>
          <w:b w:val="0"/>
          <w:bCs w:val="0"/>
          <w:sz w:val="24"/>
          <w:szCs w:val="24"/>
          <w:shd w:val="clear" w:color="auto" w:fill="FFFFFF"/>
        </w:rPr>
      </w:pPr>
      <w:r w:rsidRPr="00B12F55">
        <w:rPr>
          <w:rStyle w:val="Emphasis"/>
          <w:rFonts w:asciiTheme="minorHAnsi" w:eastAsiaTheme="majorEastAsia" w:hAnsiTheme="minorHAnsi" w:cstheme="minorHAnsi"/>
          <w:b w:val="0"/>
          <w:bCs w:val="0"/>
          <w:sz w:val="24"/>
          <w:szCs w:val="24"/>
          <w:shd w:val="clear" w:color="auto" w:fill="FFFFFF"/>
        </w:rPr>
        <w:t>Williams</w:t>
      </w:r>
      <w:r w:rsidRPr="00B12F55">
        <w:rPr>
          <w:rFonts w:asciiTheme="minorHAnsi" w:hAnsiTheme="minorHAnsi" w:cstheme="minorHAnsi"/>
          <w:b w:val="0"/>
          <w:bCs w:val="0"/>
          <w:sz w:val="24"/>
          <w:szCs w:val="24"/>
          <w:shd w:val="clear" w:color="auto" w:fill="FFFFFF"/>
        </w:rPr>
        <w:t> and Others </w:t>
      </w:r>
      <w:r w:rsidRPr="00B12F55">
        <w:rPr>
          <w:rStyle w:val="Emphasis"/>
          <w:rFonts w:asciiTheme="minorHAnsi" w:eastAsiaTheme="majorEastAsia" w:hAnsiTheme="minorHAnsi" w:cstheme="minorHAnsi"/>
          <w:b w:val="0"/>
          <w:bCs w:val="0"/>
          <w:sz w:val="24"/>
          <w:szCs w:val="24"/>
          <w:shd w:val="clear" w:color="auto" w:fill="FFFFFF"/>
        </w:rPr>
        <w:t>v</w:t>
      </w:r>
      <w:r w:rsidRPr="00B12F55">
        <w:rPr>
          <w:rFonts w:asciiTheme="minorHAnsi" w:hAnsiTheme="minorHAnsi" w:cstheme="minorHAnsi"/>
          <w:b w:val="0"/>
          <w:bCs w:val="0"/>
          <w:sz w:val="24"/>
          <w:szCs w:val="24"/>
          <w:shd w:val="clear" w:color="auto" w:fill="FFFFFF"/>
        </w:rPr>
        <w:t>  </w:t>
      </w:r>
      <w:r w:rsidRPr="00B12F55">
        <w:rPr>
          <w:rStyle w:val="Emphasis"/>
          <w:rFonts w:asciiTheme="minorHAnsi" w:eastAsiaTheme="majorEastAsia" w:hAnsiTheme="minorHAnsi" w:cstheme="minorHAnsi"/>
          <w:b w:val="0"/>
          <w:bCs w:val="0"/>
          <w:sz w:val="24"/>
          <w:szCs w:val="24"/>
          <w:shd w:val="clear" w:color="auto" w:fill="FFFFFF"/>
        </w:rPr>
        <w:t>Bayley</w:t>
      </w:r>
      <w:r w:rsidRPr="00B12F55">
        <w:rPr>
          <w:rFonts w:asciiTheme="minorHAnsi" w:hAnsiTheme="minorHAnsi" w:cstheme="minorHAnsi"/>
          <w:b w:val="0"/>
          <w:bCs w:val="0"/>
          <w:sz w:val="24"/>
          <w:szCs w:val="24"/>
          <w:shd w:val="clear" w:color="auto" w:fill="FFFFFF"/>
        </w:rPr>
        <w:t> (1866) L.R. 1 H.L. 200</w:t>
      </w:r>
    </w:p>
    <w:p w14:paraId="7D3CFD45" w14:textId="5D7F96D8" w:rsidR="0068779D" w:rsidRPr="00B12F55" w:rsidRDefault="0068779D" w:rsidP="0068779D">
      <w:pPr>
        <w:pStyle w:val="Heading1"/>
        <w:shd w:val="clear" w:color="auto" w:fill="FFFFFF"/>
        <w:spacing w:before="0" w:beforeAutospacing="0"/>
        <w:rPr>
          <w:rFonts w:asciiTheme="minorHAnsi" w:hAnsiTheme="minorHAnsi" w:cstheme="minorHAnsi"/>
          <w:b w:val="0"/>
          <w:bCs w:val="0"/>
          <w:sz w:val="24"/>
          <w:szCs w:val="24"/>
        </w:rPr>
      </w:pPr>
      <w:r w:rsidRPr="00B12F55">
        <w:rPr>
          <w:rFonts w:asciiTheme="minorHAnsi" w:hAnsiTheme="minorHAnsi" w:cstheme="minorHAnsi"/>
          <w:b w:val="0"/>
          <w:bCs w:val="0"/>
          <w:i/>
          <w:iCs/>
          <w:sz w:val="24"/>
          <w:szCs w:val="24"/>
          <w:shd w:val="clear" w:color="auto" w:fill="FFFFFF"/>
        </w:rPr>
        <w:t>Williams v Roffey Bros &amp; Nicholls (Contractors) Ltd</w:t>
      </w:r>
      <w:r w:rsidRPr="00B12F55">
        <w:rPr>
          <w:rFonts w:asciiTheme="minorHAnsi" w:hAnsiTheme="minorHAnsi" w:cstheme="minorHAnsi"/>
          <w:b w:val="0"/>
          <w:bCs w:val="0"/>
          <w:sz w:val="24"/>
          <w:szCs w:val="24"/>
          <w:shd w:val="clear" w:color="auto" w:fill="FFFFFF"/>
        </w:rPr>
        <w:t xml:space="preserve"> [1989] EWCA Civ 5</w:t>
      </w:r>
    </w:p>
    <w:p w14:paraId="38073291" w14:textId="77777777" w:rsidR="0068779D" w:rsidRPr="00F531C5" w:rsidRDefault="0068779D" w:rsidP="00AA7A6D">
      <w:pPr>
        <w:spacing w:after="300"/>
        <w:rPr>
          <w:sz w:val="24"/>
          <w:szCs w:val="24"/>
          <w:lang w:val="en-GB"/>
        </w:rPr>
      </w:pPr>
    </w:p>
    <w:sectPr w:rsidR="0068779D" w:rsidRPr="00F531C5" w:rsidSect="00C24A15">
      <w:headerReference w:type="default" r:id="rId10"/>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0D224" w14:textId="77777777" w:rsidR="00D70963" w:rsidRDefault="00D70963" w:rsidP="00AA7A6D">
      <w:pPr>
        <w:spacing w:after="0" w:line="240" w:lineRule="auto"/>
      </w:pPr>
      <w:r>
        <w:separator/>
      </w:r>
    </w:p>
  </w:endnote>
  <w:endnote w:type="continuationSeparator" w:id="0">
    <w:p w14:paraId="264A911E" w14:textId="77777777" w:rsidR="00D70963" w:rsidRDefault="00D70963" w:rsidP="00AA7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F0123" w14:textId="77777777" w:rsidR="00D70963" w:rsidRDefault="00D70963" w:rsidP="00AA7A6D">
      <w:pPr>
        <w:spacing w:after="0" w:line="240" w:lineRule="auto"/>
      </w:pPr>
      <w:r>
        <w:separator/>
      </w:r>
    </w:p>
  </w:footnote>
  <w:footnote w:type="continuationSeparator" w:id="0">
    <w:p w14:paraId="22E50930" w14:textId="77777777" w:rsidR="00D70963" w:rsidRDefault="00D70963" w:rsidP="00AA7A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3B50C" w14:textId="77777777" w:rsidR="00AA7A6D" w:rsidRDefault="00AA7A6D">
    <w:pPr>
      <w:pStyle w:val="Header"/>
    </w:pPr>
    <w:r>
      <w:rPr>
        <w:noProof/>
        <w:lang w:eastAsia="pl-PL"/>
      </w:rPr>
      <w:drawing>
        <wp:anchor distT="0" distB="0" distL="114300" distR="114300" simplePos="0" relativeHeight="251658240" behindDoc="0" locked="0" layoutInCell="1" allowOverlap="1" wp14:anchorId="19A22CFA" wp14:editId="7DA444F0">
          <wp:simplePos x="0" y="0"/>
          <wp:positionH relativeFrom="column">
            <wp:posOffset>4315460</wp:posOffset>
          </wp:positionH>
          <wp:positionV relativeFrom="paragraph">
            <wp:posOffset>-415925</wp:posOffset>
          </wp:positionV>
          <wp:extent cx="2325370" cy="811530"/>
          <wp:effectExtent l="0" t="0" r="0" b="7620"/>
          <wp:wrapSquare wrapText="bothSides"/>
          <wp:docPr id="3" name="Picture 3" descr="MADE Wales | Manufacture Advance Design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DE Wales | Manufacture Advance Design Engineerin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25370" cy="81153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1761C"/>
    <w:multiLevelType w:val="hybridMultilevel"/>
    <w:tmpl w:val="CF0EEA8C"/>
    <w:lvl w:ilvl="0" w:tplc="04150001">
      <w:start w:val="1"/>
      <w:numFmt w:val="bullet"/>
      <w:lvlText w:val=""/>
      <w:lvlJc w:val="left"/>
      <w:pPr>
        <w:ind w:left="1129" w:hanging="360"/>
      </w:pPr>
      <w:rPr>
        <w:rFonts w:ascii="Symbol" w:hAnsi="Symbol" w:hint="default"/>
      </w:rPr>
    </w:lvl>
    <w:lvl w:ilvl="1" w:tplc="04150003" w:tentative="1">
      <w:start w:val="1"/>
      <w:numFmt w:val="bullet"/>
      <w:lvlText w:val="o"/>
      <w:lvlJc w:val="left"/>
      <w:pPr>
        <w:ind w:left="1849" w:hanging="360"/>
      </w:pPr>
      <w:rPr>
        <w:rFonts w:ascii="Courier New" w:hAnsi="Courier New" w:cs="Courier New" w:hint="default"/>
      </w:rPr>
    </w:lvl>
    <w:lvl w:ilvl="2" w:tplc="04150005" w:tentative="1">
      <w:start w:val="1"/>
      <w:numFmt w:val="bullet"/>
      <w:lvlText w:val=""/>
      <w:lvlJc w:val="left"/>
      <w:pPr>
        <w:ind w:left="2569" w:hanging="360"/>
      </w:pPr>
      <w:rPr>
        <w:rFonts w:ascii="Wingdings" w:hAnsi="Wingdings" w:hint="default"/>
      </w:rPr>
    </w:lvl>
    <w:lvl w:ilvl="3" w:tplc="04150001" w:tentative="1">
      <w:start w:val="1"/>
      <w:numFmt w:val="bullet"/>
      <w:lvlText w:val=""/>
      <w:lvlJc w:val="left"/>
      <w:pPr>
        <w:ind w:left="3289" w:hanging="360"/>
      </w:pPr>
      <w:rPr>
        <w:rFonts w:ascii="Symbol" w:hAnsi="Symbol" w:hint="default"/>
      </w:rPr>
    </w:lvl>
    <w:lvl w:ilvl="4" w:tplc="04150003" w:tentative="1">
      <w:start w:val="1"/>
      <w:numFmt w:val="bullet"/>
      <w:lvlText w:val="o"/>
      <w:lvlJc w:val="left"/>
      <w:pPr>
        <w:ind w:left="4009" w:hanging="360"/>
      </w:pPr>
      <w:rPr>
        <w:rFonts w:ascii="Courier New" w:hAnsi="Courier New" w:cs="Courier New" w:hint="default"/>
      </w:rPr>
    </w:lvl>
    <w:lvl w:ilvl="5" w:tplc="04150005" w:tentative="1">
      <w:start w:val="1"/>
      <w:numFmt w:val="bullet"/>
      <w:lvlText w:val=""/>
      <w:lvlJc w:val="left"/>
      <w:pPr>
        <w:ind w:left="4729" w:hanging="360"/>
      </w:pPr>
      <w:rPr>
        <w:rFonts w:ascii="Wingdings" w:hAnsi="Wingdings" w:hint="default"/>
      </w:rPr>
    </w:lvl>
    <w:lvl w:ilvl="6" w:tplc="04150001" w:tentative="1">
      <w:start w:val="1"/>
      <w:numFmt w:val="bullet"/>
      <w:lvlText w:val=""/>
      <w:lvlJc w:val="left"/>
      <w:pPr>
        <w:ind w:left="5449" w:hanging="360"/>
      </w:pPr>
      <w:rPr>
        <w:rFonts w:ascii="Symbol" w:hAnsi="Symbol" w:hint="default"/>
      </w:rPr>
    </w:lvl>
    <w:lvl w:ilvl="7" w:tplc="04150003" w:tentative="1">
      <w:start w:val="1"/>
      <w:numFmt w:val="bullet"/>
      <w:lvlText w:val="o"/>
      <w:lvlJc w:val="left"/>
      <w:pPr>
        <w:ind w:left="6169" w:hanging="360"/>
      </w:pPr>
      <w:rPr>
        <w:rFonts w:ascii="Courier New" w:hAnsi="Courier New" w:cs="Courier New" w:hint="default"/>
      </w:rPr>
    </w:lvl>
    <w:lvl w:ilvl="8" w:tplc="04150005" w:tentative="1">
      <w:start w:val="1"/>
      <w:numFmt w:val="bullet"/>
      <w:lvlText w:val=""/>
      <w:lvlJc w:val="left"/>
      <w:pPr>
        <w:ind w:left="6889" w:hanging="360"/>
      </w:pPr>
      <w:rPr>
        <w:rFonts w:ascii="Wingdings" w:hAnsi="Wingdings" w:hint="default"/>
      </w:rPr>
    </w:lvl>
  </w:abstractNum>
  <w:abstractNum w:abstractNumId="1" w15:restartNumberingAfterBreak="0">
    <w:nsid w:val="437059FC"/>
    <w:multiLevelType w:val="hybridMultilevel"/>
    <w:tmpl w:val="AFB08C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3F02759"/>
    <w:multiLevelType w:val="hybridMultilevel"/>
    <w:tmpl w:val="7738FABA"/>
    <w:lvl w:ilvl="0" w:tplc="04150001">
      <w:start w:val="1"/>
      <w:numFmt w:val="bullet"/>
      <w:lvlText w:val=""/>
      <w:lvlJc w:val="left"/>
      <w:pPr>
        <w:ind w:left="1080" w:hanging="360"/>
      </w:pPr>
      <w:rPr>
        <w:rFonts w:ascii="Symbol" w:hAnsi="Symbol" w:hint="default"/>
      </w:rPr>
    </w:lvl>
    <w:lvl w:ilvl="1" w:tplc="04150003" w:tentative="1">
      <w:start w:val="1"/>
      <w:numFmt w:val="bullet"/>
      <w:lvlText w:val="o"/>
      <w:lvlJc w:val="left"/>
      <w:pPr>
        <w:ind w:left="1800" w:hanging="360"/>
      </w:pPr>
      <w:rPr>
        <w:rFonts w:ascii="Courier New" w:hAnsi="Courier New" w:cs="Courier New" w:hint="default"/>
      </w:rPr>
    </w:lvl>
    <w:lvl w:ilvl="2" w:tplc="04150005" w:tentative="1">
      <w:start w:val="1"/>
      <w:numFmt w:val="bullet"/>
      <w:lvlText w:val=""/>
      <w:lvlJc w:val="left"/>
      <w:pPr>
        <w:ind w:left="2520" w:hanging="360"/>
      </w:pPr>
      <w:rPr>
        <w:rFonts w:ascii="Wingdings" w:hAnsi="Wingdings" w:hint="default"/>
      </w:rPr>
    </w:lvl>
    <w:lvl w:ilvl="3" w:tplc="04150001" w:tentative="1">
      <w:start w:val="1"/>
      <w:numFmt w:val="bullet"/>
      <w:lvlText w:val=""/>
      <w:lvlJc w:val="left"/>
      <w:pPr>
        <w:ind w:left="3240" w:hanging="360"/>
      </w:pPr>
      <w:rPr>
        <w:rFonts w:ascii="Symbol" w:hAnsi="Symbol" w:hint="default"/>
      </w:rPr>
    </w:lvl>
    <w:lvl w:ilvl="4" w:tplc="04150003" w:tentative="1">
      <w:start w:val="1"/>
      <w:numFmt w:val="bullet"/>
      <w:lvlText w:val="o"/>
      <w:lvlJc w:val="left"/>
      <w:pPr>
        <w:ind w:left="3960" w:hanging="360"/>
      </w:pPr>
      <w:rPr>
        <w:rFonts w:ascii="Courier New" w:hAnsi="Courier New" w:cs="Courier New" w:hint="default"/>
      </w:rPr>
    </w:lvl>
    <w:lvl w:ilvl="5" w:tplc="04150005" w:tentative="1">
      <w:start w:val="1"/>
      <w:numFmt w:val="bullet"/>
      <w:lvlText w:val=""/>
      <w:lvlJc w:val="left"/>
      <w:pPr>
        <w:ind w:left="4680" w:hanging="360"/>
      </w:pPr>
      <w:rPr>
        <w:rFonts w:ascii="Wingdings" w:hAnsi="Wingdings" w:hint="default"/>
      </w:rPr>
    </w:lvl>
    <w:lvl w:ilvl="6" w:tplc="04150001" w:tentative="1">
      <w:start w:val="1"/>
      <w:numFmt w:val="bullet"/>
      <w:lvlText w:val=""/>
      <w:lvlJc w:val="left"/>
      <w:pPr>
        <w:ind w:left="5400" w:hanging="360"/>
      </w:pPr>
      <w:rPr>
        <w:rFonts w:ascii="Symbol" w:hAnsi="Symbol" w:hint="default"/>
      </w:rPr>
    </w:lvl>
    <w:lvl w:ilvl="7" w:tplc="04150003" w:tentative="1">
      <w:start w:val="1"/>
      <w:numFmt w:val="bullet"/>
      <w:lvlText w:val="o"/>
      <w:lvlJc w:val="left"/>
      <w:pPr>
        <w:ind w:left="6120" w:hanging="360"/>
      </w:pPr>
      <w:rPr>
        <w:rFonts w:ascii="Courier New" w:hAnsi="Courier New" w:cs="Courier New" w:hint="default"/>
      </w:rPr>
    </w:lvl>
    <w:lvl w:ilvl="8" w:tplc="04150005" w:tentative="1">
      <w:start w:val="1"/>
      <w:numFmt w:val="bullet"/>
      <w:lvlText w:val=""/>
      <w:lvlJc w:val="left"/>
      <w:pPr>
        <w:ind w:left="6840" w:hanging="360"/>
      </w:pPr>
      <w:rPr>
        <w:rFonts w:ascii="Wingdings" w:hAnsi="Wingdings" w:hint="default"/>
      </w:rPr>
    </w:lvl>
  </w:abstractNum>
  <w:abstractNum w:abstractNumId="3" w15:restartNumberingAfterBreak="0">
    <w:nsid w:val="6EF75760"/>
    <w:multiLevelType w:val="hybridMultilevel"/>
    <w:tmpl w:val="A94437DE"/>
    <w:lvl w:ilvl="0" w:tplc="04150001">
      <w:start w:val="1"/>
      <w:numFmt w:val="bullet"/>
      <w:lvlText w:val=""/>
      <w:lvlJc w:val="left"/>
      <w:pPr>
        <w:ind w:left="1080" w:hanging="360"/>
      </w:pPr>
      <w:rPr>
        <w:rFonts w:ascii="Symbol" w:hAnsi="Symbol" w:hint="default"/>
      </w:rPr>
    </w:lvl>
    <w:lvl w:ilvl="1" w:tplc="04150003" w:tentative="1">
      <w:start w:val="1"/>
      <w:numFmt w:val="bullet"/>
      <w:lvlText w:val="o"/>
      <w:lvlJc w:val="left"/>
      <w:pPr>
        <w:ind w:left="1800" w:hanging="360"/>
      </w:pPr>
      <w:rPr>
        <w:rFonts w:ascii="Courier New" w:hAnsi="Courier New" w:cs="Courier New" w:hint="default"/>
      </w:rPr>
    </w:lvl>
    <w:lvl w:ilvl="2" w:tplc="04150005" w:tentative="1">
      <w:start w:val="1"/>
      <w:numFmt w:val="bullet"/>
      <w:lvlText w:val=""/>
      <w:lvlJc w:val="left"/>
      <w:pPr>
        <w:ind w:left="2520" w:hanging="360"/>
      </w:pPr>
      <w:rPr>
        <w:rFonts w:ascii="Wingdings" w:hAnsi="Wingdings" w:hint="default"/>
      </w:rPr>
    </w:lvl>
    <w:lvl w:ilvl="3" w:tplc="04150001" w:tentative="1">
      <w:start w:val="1"/>
      <w:numFmt w:val="bullet"/>
      <w:lvlText w:val=""/>
      <w:lvlJc w:val="left"/>
      <w:pPr>
        <w:ind w:left="3240" w:hanging="360"/>
      </w:pPr>
      <w:rPr>
        <w:rFonts w:ascii="Symbol" w:hAnsi="Symbol" w:hint="default"/>
      </w:rPr>
    </w:lvl>
    <w:lvl w:ilvl="4" w:tplc="04150003" w:tentative="1">
      <w:start w:val="1"/>
      <w:numFmt w:val="bullet"/>
      <w:lvlText w:val="o"/>
      <w:lvlJc w:val="left"/>
      <w:pPr>
        <w:ind w:left="3960" w:hanging="360"/>
      </w:pPr>
      <w:rPr>
        <w:rFonts w:ascii="Courier New" w:hAnsi="Courier New" w:cs="Courier New" w:hint="default"/>
      </w:rPr>
    </w:lvl>
    <w:lvl w:ilvl="5" w:tplc="04150005" w:tentative="1">
      <w:start w:val="1"/>
      <w:numFmt w:val="bullet"/>
      <w:lvlText w:val=""/>
      <w:lvlJc w:val="left"/>
      <w:pPr>
        <w:ind w:left="4680" w:hanging="360"/>
      </w:pPr>
      <w:rPr>
        <w:rFonts w:ascii="Wingdings" w:hAnsi="Wingdings" w:hint="default"/>
      </w:rPr>
    </w:lvl>
    <w:lvl w:ilvl="6" w:tplc="04150001" w:tentative="1">
      <w:start w:val="1"/>
      <w:numFmt w:val="bullet"/>
      <w:lvlText w:val=""/>
      <w:lvlJc w:val="left"/>
      <w:pPr>
        <w:ind w:left="5400" w:hanging="360"/>
      </w:pPr>
      <w:rPr>
        <w:rFonts w:ascii="Symbol" w:hAnsi="Symbol" w:hint="default"/>
      </w:rPr>
    </w:lvl>
    <w:lvl w:ilvl="7" w:tplc="04150003" w:tentative="1">
      <w:start w:val="1"/>
      <w:numFmt w:val="bullet"/>
      <w:lvlText w:val="o"/>
      <w:lvlJc w:val="left"/>
      <w:pPr>
        <w:ind w:left="6120" w:hanging="360"/>
      </w:pPr>
      <w:rPr>
        <w:rFonts w:ascii="Courier New" w:hAnsi="Courier New" w:cs="Courier New" w:hint="default"/>
      </w:rPr>
    </w:lvl>
    <w:lvl w:ilvl="8" w:tplc="04150005" w:tentative="1">
      <w:start w:val="1"/>
      <w:numFmt w:val="bullet"/>
      <w:lvlText w:val=""/>
      <w:lvlJc w:val="left"/>
      <w:pPr>
        <w:ind w:left="6840" w:hanging="360"/>
      </w:pPr>
      <w:rPr>
        <w:rFonts w:ascii="Wingdings" w:hAnsi="Wingdings" w:hint="default"/>
      </w:rPr>
    </w:lvl>
  </w:abstractNum>
  <w:abstractNum w:abstractNumId="4" w15:restartNumberingAfterBreak="0">
    <w:nsid w:val="751272C6"/>
    <w:multiLevelType w:val="hybridMultilevel"/>
    <w:tmpl w:val="DD0227EC"/>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24A15"/>
    <w:rsid w:val="0000048B"/>
    <w:rsid w:val="000312C8"/>
    <w:rsid w:val="00044F87"/>
    <w:rsid w:val="00045C71"/>
    <w:rsid w:val="00047866"/>
    <w:rsid w:val="00051583"/>
    <w:rsid w:val="00055A5C"/>
    <w:rsid w:val="00061139"/>
    <w:rsid w:val="00064D4A"/>
    <w:rsid w:val="00066EA5"/>
    <w:rsid w:val="000914FF"/>
    <w:rsid w:val="000B3595"/>
    <w:rsid w:val="000C2D18"/>
    <w:rsid w:val="000C7F29"/>
    <w:rsid w:val="000E3050"/>
    <w:rsid w:val="000F5A95"/>
    <w:rsid w:val="001119F4"/>
    <w:rsid w:val="00112ED7"/>
    <w:rsid w:val="001358E5"/>
    <w:rsid w:val="00137706"/>
    <w:rsid w:val="0014622E"/>
    <w:rsid w:val="00186FEE"/>
    <w:rsid w:val="00190CEF"/>
    <w:rsid w:val="001B0E2C"/>
    <w:rsid w:val="001D4FE5"/>
    <w:rsid w:val="001E082A"/>
    <w:rsid w:val="001E1574"/>
    <w:rsid w:val="001E6F9D"/>
    <w:rsid w:val="00223F2D"/>
    <w:rsid w:val="00233606"/>
    <w:rsid w:val="00237273"/>
    <w:rsid w:val="002711BB"/>
    <w:rsid w:val="002721D1"/>
    <w:rsid w:val="0028013F"/>
    <w:rsid w:val="00296ABF"/>
    <w:rsid w:val="002C0F72"/>
    <w:rsid w:val="002C60FA"/>
    <w:rsid w:val="002C6486"/>
    <w:rsid w:val="003020A7"/>
    <w:rsid w:val="003048D2"/>
    <w:rsid w:val="0031066E"/>
    <w:rsid w:val="00311152"/>
    <w:rsid w:val="00323733"/>
    <w:rsid w:val="003360A3"/>
    <w:rsid w:val="003465E9"/>
    <w:rsid w:val="0038603C"/>
    <w:rsid w:val="00395DCD"/>
    <w:rsid w:val="003B29D4"/>
    <w:rsid w:val="003B6AF1"/>
    <w:rsid w:val="003C262B"/>
    <w:rsid w:val="003D530A"/>
    <w:rsid w:val="003D6ED0"/>
    <w:rsid w:val="003D7861"/>
    <w:rsid w:val="003F4D8A"/>
    <w:rsid w:val="00407965"/>
    <w:rsid w:val="00423245"/>
    <w:rsid w:val="00441DEA"/>
    <w:rsid w:val="00455266"/>
    <w:rsid w:val="00483A02"/>
    <w:rsid w:val="0049028A"/>
    <w:rsid w:val="00491228"/>
    <w:rsid w:val="004B3613"/>
    <w:rsid w:val="004B40EA"/>
    <w:rsid w:val="004E68BF"/>
    <w:rsid w:val="00504486"/>
    <w:rsid w:val="00512C7C"/>
    <w:rsid w:val="00512D6C"/>
    <w:rsid w:val="00534D8F"/>
    <w:rsid w:val="00540547"/>
    <w:rsid w:val="005503B7"/>
    <w:rsid w:val="005640E8"/>
    <w:rsid w:val="00572F2D"/>
    <w:rsid w:val="00573DD0"/>
    <w:rsid w:val="00590449"/>
    <w:rsid w:val="005968F3"/>
    <w:rsid w:val="005B376C"/>
    <w:rsid w:val="005C08D6"/>
    <w:rsid w:val="005D08BF"/>
    <w:rsid w:val="00604ACC"/>
    <w:rsid w:val="00612F38"/>
    <w:rsid w:val="0062147A"/>
    <w:rsid w:val="006266E8"/>
    <w:rsid w:val="0064043A"/>
    <w:rsid w:val="00644BC2"/>
    <w:rsid w:val="006520EA"/>
    <w:rsid w:val="00675E99"/>
    <w:rsid w:val="0068779D"/>
    <w:rsid w:val="00687EEA"/>
    <w:rsid w:val="006C77D7"/>
    <w:rsid w:val="006E35C6"/>
    <w:rsid w:val="00705660"/>
    <w:rsid w:val="0072762E"/>
    <w:rsid w:val="00732E81"/>
    <w:rsid w:val="00734F16"/>
    <w:rsid w:val="00737A6C"/>
    <w:rsid w:val="007574BD"/>
    <w:rsid w:val="00762697"/>
    <w:rsid w:val="00764790"/>
    <w:rsid w:val="00766C28"/>
    <w:rsid w:val="0077048F"/>
    <w:rsid w:val="00781C6F"/>
    <w:rsid w:val="00784513"/>
    <w:rsid w:val="00795233"/>
    <w:rsid w:val="007C7C8F"/>
    <w:rsid w:val="007D5ABB"/>
    <w:rsid w:val="007E4211"/>
    <w:rsid w:val="007E6061"/>
    <w:rsid w:val="007F516E"/>
    <w:rsid w:val="00842E93"/>
    <w:rsid w:val="00850B40"/>
    <w:rsid w:val="00865398"/>
    <w:rsid w:val="008771EC"/>
    <w:rsid w:val="00883DB2"/>
    <w:rsid w:val="008B4E58"/>
    <w:rsid w:val="008C31FC"/>
    <w:rsid w:val="008C7CC4"/>
    <w:rsid w:val="008E2759"/>
    <w:rsid w:val="008E2956"/>
    <w:rsid w:val="009348C0"/>
    <w:rsid w:val="0095752F"/>
    <w:rsid w:val="009641CE"/>
    <w:rsid w:val="00997D3C"/>
    <w:rsid w:val="009E6379"/>
    <w:rsid w:val="00A001D7"/>
    <w:rsid w:val="00A05000"/>
    <w:rsid w:val="00A05ED2"/>
    <w:rsid w:val="00A0696C"/>
    <w:rsid w:val="00A17A95"/>
    <w:rsid w:val="00A41A6A"/>
    <w:rsid w:val="00A859A5"/>
    <w:rsid w:val="00AA7A6D"/>
    <w:rsid w:val="00AB41FB"/>
    <w:rsid w:val="00AD27E3"/>
    <w:rsid w:val="00AD3966"/>
    <w:rsid w:val="00AF1920"/>
    <w:rsid w:val="00AF7250"/>
    <w:rsid w:val="00B118DE"/>
    <w:rsid w:val="00B12F55"/>
    <w:rsid w:val="00B20775"/>
    <w:rsid w:val="00B42522"/>
    <w:rsid w:val="00B43C1C"/>
    <w:rsid w:val="00B70D58"/>
    <w:rsid w:val="00B851C1"/>
    <w:rsid w:val="00B859EE"/>
    <w:rsid w:val="00BA1D26"/>
    <w:rsid w:val="00BA5A94"/>
    <w:rsid w:val="00BB500A"/>
    <w:rsid w:val="00BC086B"/>
    <w:rsid w:val="00C175D5"/>
    <w:rsid w:val="00C241A1"/>
    <w:rsid w:val="00C24A15"/>
    <w:rsid w:val="00C25270"/>
    <w:rsid w:val="00C26CF0"/>
    <w:rsid w:val="00C33CE8"/>
    <w:rsid w:val="00C602FF"/>
    <w:rsid w:val="00C63424"/>
    <w:rsid w:val="00C67670"/>
    <w:rsid w:val="00C81A17"/>
    <w:rsid w:val="00CA73B8"/>
    <w:rsid w:val="00CB65F8"/>
    <w:rsid w:val="00CD6CF7"/>
    <w:rsid w:val="00CE0C54"/>
    <w:rsid w:val="00CE6E0F"/>
    <w:rsid w:val="00D04A61"/>
    <w:rsid w:val="00D55161"/>
    <w:rsid w:val="00D70963"/>
    <w:rsid w:val="00D8134B"/>
    <w:rsid w:val="00D921CC"/>
    <w:rsid w:val="00D9753A"/>
    <w:rsid w:val="00DD2C88"/>
    <w:rsid w:val="00DE2EFE"/>
    <w:rsid w:val="00DF11B2"/>
    <w:rsid w:val="00DF4DF6"/>
    <w:rsid w:val="00DF69A5"/>
    <w:rsid w:val="00E22170"/>
    <w:rsid w:val="00E63B4D"/>
    <w:rsid w:val="00E6790A"/>
    <w:rsid w:val="00E75D78"/>
    <w:rsid w:val="00E80735"/>
    <w:rsid w:val="00EC5B69"/>
    <w:rsid w:val="00ED3D14"/>
    <w:rsid w:val="00ED482B"/>
    <w:rsid w:val="00ED4F9A"/>
    <w:rsid w:val="00F154F4"/>
    <w:rsid w:val="00F17ED5"/>
    <w:rsid w:val="00F20422"/>
    <w:rsid w:val="00F22471"/>
    <w:rsid w:val="00F531C5"/>
    <w:rsid w:val="00F6040A"/>
    <w:rsid w:val="00F74F1D"/>
    <w:rsid w:val="00F9667A"/>
    <w:rsid w:val="00F97D63"/>
    <w:rsid w:val="00FB6295"/>
    <w:rsid w:val="00FE29F0"/>
    <w:rsid w:val="00FE484D"/>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5381CA"/>
  <w15:docId w15:val="{4060EBCA-BB6B-4B22-AB0E-711E1008F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3770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pl-P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24A1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C24A15"/>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C24A15"/>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C24A15"/>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C24A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4A15"/>
    <w:rPr>
      <w:rFonts w:ascii="Tahoma" w:hAnsi="Tahoma" w:cs="Tahoma"/>
      <w:sz w:val="16"/>
      <w:szCs w:val="16"/>
    </w:rPr>
  </w:style>
  <w:style w:type="paragraph" w:styleId="Header">
    <w:name w:val="header"/>
    <w:basedOn w:val="Normal"/>
    <w:link w:val="HeaderChar"/>
    <w:uiPriority w:val="99"/>
    <w:unhideWhenUsed/>
    <w:rsid w:val="00AA7A6D"/>
    <w:pPr>
      <w:tabs>
        <w:tab w:val="center" w:pos="4536"/>
        <w:tab w:val="right" w:pos="9072"/>
      </w:tabs>
      <w:spacing w:after="0" w:line="240" w:lineRule="auto"/>
    </w:pPr>
  </w:style>
  <w:style w:type="character" w:customStyle="1" w:styleId="HeaderChar">
    <w:name w:val="Header Char"/>
    <w:basedOn w:val="DefaultParagraphFont"/>
    <w:link w:val="Header"/>
    <w:uiPriority w:val="99"/>
    <w:rsid w:val="00AA7A6D"/>
  </w:style>
  <w:style w:type="paragraph" w:styleId="Footer">
    <w:name w:val="footer"/>
    <w:basedOn w:val="Normal"/>
    <w:link w:val="FooterChar"/>
    <w:uiPriority w:val="99"/>
    <w:unhideWhenUsed/>
    <w:rsid w:val="00AA7A6D"/>
    <w:pPr>
      <w:tabs>
        <w:tab w:val="center" w:pos="4536"/>
        <w:tab w:val="right" w:pos="9072"/>
      </w:tabs>
      <w:spacing w:after="0" w:line="240" w:lineRule="auto"/>
    </w:pPr>
  </w:style>
  <w:style w:type="character" w:customStyle="1" w:styleId="FooterChar">
    <w:name w:val="Footer Char"/>
    <w:basedOn w:val="DefaultParagraphFont"/>
    <w:link w:val="Footer"/>
    <w:uiPriority w:val="99"/>
    <w:rsid w:val="00AA7A6D"/>
  </w:style>
  <w:style w:type="paragraph" w:styleId="ListParagraph">
    <w:name w:val="List Paragraph"/>
    <w:basedOn w:val="Normal"/>
    <w:uiPriority w:val="34"/>
    <w:qFormat/>
    <w:rsid w:val="00675E99"/>
    <w:pPr>
      <w:ind w:left="720"/>
      <w:contextualSpacing/>
    </w:pPr>
  </w:style>
  <w:style w:type="character" w:styleId="Strong">
    <w:name w:val="Strong"/>
    <w:basedOn w:val="DefaultParagraphFont"/>
    <w:uiPriority w:val="22"/>
    <w:qFormat/>
    <w:rsid w:val="008E2956"/>
    <w:rPr>
      <w:b/>
      <w:bCs/>
    </w:rPr>
  </w:style>
  <w:style w:type="paragraph" w:styleId="NormalWeb">
    <w:name w:val="Normal (Web)"/>
    <w:basedOn w:val="Normal"/>
    <w:uiPriority w:val="99"/>
    <w:semiHidden/>
    <w:unhideWhenUsed/>
    <w:rsid w:val="003465E9"/>
    <w:pPr>
      <w:spacing w:before="100" w:beforeAutospacing="1" w:after="100" w:afterAutospacing="1" w:line="240" w:lineRule="auto"/>
    </w:pPr>
    <w:rPr>
      <w:rFonts w:ascii="Times New Roman" w:eastAsia="Times New Roman" w:hAnsi="Times New Roman" w:cs="Times New Roman"/>
      <w:sz w:val="24"/>
      <w:szCs w:val="24"/>
      <w:lang w:eastAsia="pl-PL"/>
    </w:rPr>
  </w:style>
  <w:style w:type="character" w:customStyle="1" w:styleId="Heading1Char">
    <w:name w:val="Heading 1 Char"/>
    <w:basedOn w:val="DefaultParagraphFont"/>
    <w:link w:val="Heading1"/>
    <w:uiPriority w:val="9"/>
    <w:rsid w:val="00137706"/>
    <w:rPr>
      <w:rFonts w:ascii="Times New Roman" w:eastAsia="Times New Roman" w:hAnsi="Times New Roman" w:cs="Times New Roman"/>
      <w:b/>
      <w:bCs/>
      <w:kern w:val="36"/>
      <w:sz w:val="48"/>
      <w:szCs w:val="48"/>
      <w:lang w:eastAsia="pl-PL"/>
    </w:rPr>
  </w:style>
  <w:style w:type="character" w:styleId="Hyperlink">
    <w:name w:val="Hyperlink"/>
    <w:basedOn w:val="DefaultParagraphFont"/>
    <w:uiPriority w:val="99"/>
    <w:unhideWhenUsed/>
    <w:rsid w:val="00137706"/>
    <w:rPr>
      <w:color w:val="0000FF" w:themeColor="hyperlink"/>
      <w:u w:val="single"/>
    </w:rPr>
  </w:style>
  <w:style w:type="character" w:styleId="Emphasis">
    <w:name w:val="Emphasis"/>
    <w:basedOn w:val="DefaultParagraphFont"/>
    <w:uiPriority w:val="20"/>
    <w:qFormat/>
    <w:rsid w:val="001119F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22148">
      <w:bodyDiv w:val="1"/>
      <w:marLeft w:val="0"/>
      <w:marRight w:val="0"/>
      <w:marTop w:val="0"/>
      <w:marBottom w:val="0"/>
      <w:divBdr>
        <w:top w:val="none" w:sz="0" w:space="0" w:color="auto"/>
        <w:left w:val="none" w:sz="0" w:space="0" w:color="auto"/>
        <w:bottom w:val="none" w:sz="0" w:space="0" w:color="auto"/>
        <w:right w:val="none" w:sz="0" w:space="0" w:color="auto"/>
      </w:divBdr>
      <w:divsChild>
        <w:div w:id="2135905849">
          <w:marLeft w:val="0"/>
          <w:marRight w:val="0"/>
          <w:marTop w:val="0"/>
          <w:marBottom w:val="0"/>
          <w:divBdr>
            <w:top w:val="none" w:sz="0" w:space="0" w:color="auto"/>
            <w:left w:val="none" w:sz="0" w:space="0" w:color="auto"/>
            <w:bottom w:val="none" w:sz="0" w:space="0" w:color="auto"/>
            <w:right w:val="none" w:sz="0" w:space="0" w:color="auto"/>
          </w:divBdr>
          <w:divsChild>
            <w:div w:id="1005206222">
              <w:marLeft w:val="0"/>
              <w:marRight w:val="0"/>
              <w:marTop w:val="0"/>
              <w:marBottom w:val="0"/>
              <w:divBdr>
                <w:top w:val="none" w:sz="0" w:space="0" w:color="auto"/>
                <w:left w:val="none" w:sz="0" w:space="0" w:color="auto"/>
                <w:bottom w:val="none" w:sz="0" w:space="0" w:color="auto"/>
                <w:right w:val="none" w:sz="0" w:space="0" w:color="auto"/>
              </w:divBdr>
            </w:div>
            <w:div w:id="273943328">
              <w:marLeft w:val="0"/>
              <w:marRight w:val="0"/>
              <w:marTop w:val="0"/>
              <w:marBottom w:val="0"/>
              <w:divBdr>
                <w:top w:val="none" w:sz="0" w:space="0" w:color="auto"/>
                <w:left w:val="none" w:sz="0" w:space="0" w:color="auto"/>
                <w:bottom w:val="none" w:sz="0" w:space="0" w:color="auto"/>
                <w:right w:val="none" w:sz="0" w:space="0" w:color="auto"/>
              </w:divBdr>
            </w:div>
            <w:div w:id="1288272732">
              <w:marLeft w:val="0"/>
              <w:marRight w:val="0"/>
              <w:marTop w:val="0"/>
              <w:marBottom w:val="0"/>
              <w:divBdr>
                <w:top w:val="none" w:sz="0" w:space="0" w:color="auto"/>
                <w:left w:val="none" w:sz="0" w:space="0" w:color="auto"/>
                <w:bottom w:val="none" w:sz="0" w:space="0" w:color="auto"/>
                <w:right w:val="none" w:sz="0" w:space="0" w:color="auto"/>
              </w:divBdr>
            </w:div>
            <w:div w:id="553396954">
              <w:marLeft w:val="0"/>
              <w:marRight w:val="0"/>
              <w:marTop w:val="0"/>
              <w:marBottom w:val="0"/>
              <w:divBdr>
                <w:top w:val="none" w:sz="0" w:space="0" w:color="auto"/>
                <w:left w:val="none" w:sz="0" w:space="0" w:color="auto"/>
                <w:bottom w:val="none" w:sz="0" w:space="0" w:color="auto"/>
                <w:right w:val="none" w:sz="0" w:space="0" w:color="auto"/>
              </w:divBdr>
            </w:div>
          </w:divsChild>
        </w:div>
        <w:div w:id="1557620265">
          <w:marLeft w:val="0"/>
          <w:marRight w:val="0"/>
          <w:marTop w:val="0"/>
          <w:marBottom w:val="0"/>
          <w:divBdr>
            <w:top w:val="none" w:sz="0" w:space="0" w:color="auto"/>
            <w:left w:val="none" w:sz="0" w:space="0" w:color="auto"/>
            <w:bottom w:val="none" w:sz="0" w:space="0" w:color="auto"/>
            <w:right w:val="none" w:sz="0" w:space="0" w:color="auto"/>
          </w:divBdr>
        </w:div>
      </w:divsChild>
    </w:div>
    <w:div w:id="152183311">
      <w:bodyDiv w:val="1"/>
      <w:marLeft w:val="0"/>
      <w:marRight w:val="0"/>
      <w:marTop w:val="0"/>
      <w:marBottom w:val="0"/>
      <w:divBdr>
        <w:top w:val="none" w:sz="0" w:space="0" w:color="auto"/>
        <w:left w:val="none" w:sz="0" w:space="0" w:color="auto"/>
        <w:bottom w:val="none" w:sz="0" w:space="0" w:color="auto"/>
        <w:right w:val="none" w:sz="0" w:space="0" w:color="auto"/>
      </w:divBdr>
      <w:divsChild>
        <w:div w:id="1750040181">
          <w:marLeft w:val="0"/>
          <w:marRight w:val="0"/>
          <w:marTop w:val="0"/>
          <w:marBottom w:val="0"/>
          <w:divBdr>
            <w:top w:val="none" w:sz="0" w:space="0" w:color="auto"/>
            <w:left w:val="none" w:sz="0" w:space="0" w:color="auto"/>
            <w:bottom w:val="none" w:sz="0" w:space="0" w:color="auto"/>
            <w:right w:val="none" w:sz="0" w:space="0" w:color="auto"/>
          </w:divBdr>
          <w:divsChild>
            <w:div w:id="264118167">
              <w:marLeft w:val="0"/>
              <w:marRight w:val="0"/>
              <w:marTop w:val="0"/>
              <w:marBottom w:val="0"/>
              <w:divBdr>
                <w:top w:val="none" w:sz="0" w:space="0" w:color="auto"/>
                <w:left w:val="none" w:sz="0" w:space="0" w:color="auto"/>
                <w:bottom w:val="none" w:sz="0" w:space="0" w:color="auto"/>
                <w:right w:val="none" w:sz="0" w:space="0" w:color="auto"/>
              </w:divBdr>
            </w:div>
            <w:div w:id="1921986378">
              <w:marLeft w:val="0"/>
              <w:marRight w:val="0"/>
              <w:marTop w:val="0"/>
              <w:marBottom w:val="0"/>
              <w:divBdr>
                <w:top w:val="none" w:sz="0" w:space="0" w:color="auto"/>
                <w:left w:val="none" w:sz="0" w:space="0" w:color="auto"/>
                <w:bottom w:val="none" w:sz="0" w:space="0" w:color="auto"/>
                <w:right w:val="none" w:sz="0" w:space="0" w:color="auto"/>
              </w:divBdr>
            </w:div>
            <w:div w:id="125084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680250">
      <w:bodyDiv w:val="1"/>
      <w:marLeft w:val="0"/>
      <w:marRight w:val="0"/>
      <w:marTop w:val="0"/>
      <w:marBottom w:val="0"/>
      <w:divBdr>
        <w:top w:val="none" w:sz="0" w:space="0" w:color="auto"/>
        <w:left w:val="none" w:sz="0" w:space="0" w:color="auto"/>
        <w:bottom w:val="none" w:sz="0" w:space="0" w:color="auto"/>
        <w:right w:val="none" w:sz="0" w:space="0" w:color="auto"/>
      </w:divBdr>
    </w:div>
    <w:div w:id="1299216716">
      <w:bodyDiv w:val="1"/>
      <w:marLeft w:val="0"/>
      <w:marRight w:val="0"/>
      <w:marTop w:val="0"/>
      <w:marBottom w:val="0"/>
      <w:divBdr>
        <w:top w:val="none" w:sz="0" w:space="0" w:color="auto"/>
        <w:left w:val="none" w:sz="0" w:space="0" w:color="auto"/>
        <w:bottom w:val="none" w:sz="0" w:space="0" w:color="auto"/>
        <w:right w:val="none" w:sz="0" w:space="0" w:color="auto"/>
      </w:divBdr>
    </w:div>
    <w:div w:id="1510946954">
      <w:bodyDiv w:val="1"/>
      <w:marLeft w:val="0"/>
      <w:marRight w:val="0"/>
      <w:marTop w:val="0"/>
      <w:marBottom w:val="0"/>
      <w:divBdr>
        <w:top w:val="none" w:sz="0" w:space="0" w:color="auto"/>
        <w:left w:val="none" w:sz="0" w:space="0" w:color="auto"/>
        <w:bottom w:val="none" w:sz="0" w:space="0" w:color="auto"/>
        <w:right w:val="none" w:sz="0" w:space="0" w:color="auto"/>
      </w:divBdr>
    </w:div>
    <w:div w:id="1550142328">
      <w:bodyDiv w:val="1"/>
      <w:marLeft w:val="0"/>
      <w:marRight w:val="0"/>
      <w:marTop w:val="0"/>
      <w:marBottom w:val="0"/>
      <w:divBdr>
        <w:top w:val="none" w:sz="0" w:space="0" w:color="auto"/>
        <w:left w:val="none" w:sz="0" w:space="0" w:color="auto"/>
        <w:bottom w:val="none" w:sz="0" w:space="0" w:color="auto"/>
        <w:right w:val="none" w:sz="0" w:space="0" w:color="auto"/>
      </w:divBdr>
    </w:div>
    <w:div w:id="1748310260">
      <w:bodyDiv w:val="1"/>
      <w:marLeft w:val="0"/>
      <w:marRight w:val="0"/>
      <w:marTop w:val="0"/>
      <w:marBottom w:val="0"/>
      <w:divBdr>
        <w:top w:val="none" w:sz="0" w:space="0" w:color="auto"/>
        <w:left w:val="none" w:sz="0" w:space="0" w:color="auto"/>
        <w:bottom w:val="none" w:sz="0" w:space="0" w:color="auto"/>
        <w:right w:val="none" w:sz="0" w:space="0" w:color="auto"/>
      </w:divBdr>
      <w:divsChild>
        <w:div w:id="1732119071">
          <w:marLeft w:val="0"/>
          <w:marRight w:val="0"/>
          <w:marTop w:val="0"/>
          <w:marBottom w:val="0"/>
          <w:divBdr>
            <w:top w:val="none" w:sz="0" w:space="0" w:color="auto"/>
            <w:left w:val="none" w:sz="0" w:space="0" w:color="auto"/>
            <w:bottom w:val="none" w:sz="0" w:space="0" w:color="auto"/>
            <w:right w:val="none" w:sz="0" w:space="0" w:color="auto"/>
          </w:divBdr>
        </w:div>
        <w:div w:id="1414859783">
          <w:marLeft w:val="0"/>
          <w:marRight w:val="0"/>
          <w:marTop w:val="0"/>
          <w:marBottom w:val="0"/>
          <w:divBdr>
            <w:top w:val="none" w:sz="0" w:space="0" w:color="auto"/>
            <w:left w:val="none" w:sz="0" w:space="0" w:color="auto"/>
            <w:bottom w:val="none" w:sz="0" w:space="0" w:color="auto"/>
            <w:right w:val="none" w:sz="0" w:space="0" w:color="auto"/>
          </w:divBdr>
        </w:div>
      </w:divsChild>
    </w:div>
    <w:div w:id="1863351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warb.co.uk/pao-on-and-others-v-lau-yiu-long-and-others-pc-9-apr-1979/"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2647</Words>
  <Characters>15088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Contract Law Assignment 2</vt:lpstr>
    </vt:vector>
  </TitlesOfParts>
  <Company/>
  <LinksUpToDate>false</LinksUpToDate>
  <CharactersWithSpaces>17700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Law Assignment 2</dc:title>
  <dc:subject>Evaluate the extent to which the courts will uphold a contract entered into as a result of threats or pressure by one party to the contract upon the other.</dc:subject>
  <dc:creator>Krzysztof Rutkowski</dc:creator>
  <cp:lastModifiedBy>Krzysztof Rutkowski (1907930)</cp:lastModifiedBy>
  <cp:revision>2</cp:revision>
  <dcterms:created xsi:type="dcterms:W3CDTF">2021-05-06T15:04:00Z</dcterms:created>
  <dcterms:modified xsi:type="dcterms:W3CDTF">2021-05-06T15:04:00Z</dcterms:modified>
</cp:coreProperties>
</file>