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2ED16" w14:textId="5BBB13B4" w:rsidR="00E33FAA" w:rsidRPr="00CF1303" w:rsidRDefault="00FA1142"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hAnsi="Arial" w:cs="Arial"/>
          <w:b/>
          <w:bCs/>
          <w:noProof/>
          <w:sz w:val="28"/>
          <w:szCs w:val="28"/>
        </w:rPr>
        <w:drawing>
          <wp:anchor distT="0" distB="0" distL="114300" distR="114300" simplePos="0" relativeHeight="251658240" behindDoc="0" locked="0" layoutInCell="1" allowOverlap="1" wp14:anchorId="6855B85D" wp14:editId="73434901">
            <wp:simplePos x="0" y="0"/>
            <wp:positionH relativeFrom="column">
              <wp:posOffset>-89535</wp:posOffset>
            </wp:positionH>
            <wp:positionV relativeFrom="paragraph">
              <wp:posOffset>0</wp:posOffset>
            </wp:positionV>
            <wp:extent cx="6071235" cy="3359785"/>
            <wp:effectExtent l="0" t="0" r="5715" b="0"/>
            <wp:wrapTopAndBottom/>
            <wp:docPr id="887973045" name="Picture 1">
              <a:extLst xmlns:a="http://schemas.openxmlformats.org/drawingml/2006/main">
                <a:ext uri="{FF2B5EF4-FFF2-40B4-BE49-F238E27FC236}">
                  <a16:creationId xmlns:a16="http://schemas.microsoft.com/office/drawing/2014/main" id="{E99CD276-C498-4B46-9E4E-36B94501E5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73045" name=""/>
                    <pic:cNvPicPr/>
                  </pic:nvPicPr>
                  <pic:blipFill>
                    <a:blip r:embed="rId7"/>
                    <a:stretch>
                      <a:fillRect/>
                    </a:stretch>
                  </pic:blipFill>
                  <pic:spPr>
                    <a:xfrm>
                      <a:off x="0" y="0"/>
                      <a:ext cx="6071235" cy="3359785"/>
                    </a:xfrm>
                    <a:prstGeom prst="rect">
                      <a:avLst/>
                    </a:prstGeom>
                  </pic:spPr>
                </pic:pic>
              </a:graphicData>
            </a:graphic>
            <wp14:sizeRelH relativeFrom="margin">
              <wp14:pctWidth>0</wp14:pctWidth>
            </wp14:sizeRelH>
            <wp14:sizeRelV relativeFrom="margin">
              <wp14:pctHeight>0</wp14:pctHeight>
            </wp14:sizeRelV>
          </wp:anchor>
        </w:drawing>
      </w:r>
      <w:r w:rsidR="00E33FAA" w:rsidRPr="00CF1303">
        <w:rPr>
          <w:rFonts w:ascii="Arial" w:eastAsia="Times New Roman" w:hAnsi="Arial" w:cs="Arial"/>
          <w:b/>
          <w:bCs/>
          <w:kern w:val="36"/>
          <w:sz w:val="28"/>
          <w:szCs w:val="28"/>
          <w14:ligatures w14:val="none"/>
        </w:rPr>
        <w:t xml:space="preserve">Name: Shamaila Sakhawat </w:t>
      </w:r>
    </w:p>
    <w:p w14:paraId="0C7A1374" w14:textId="1F03373C" w:rsidR="00E33FAA" w:rsidRPr="00CF1303" w:rsidRDefault="00990B4C"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eastAsia="Times New Roman" w:hAnsi="Arial" w:cs="Arial"/>
          <w:b/>
          <w:bCs/>
          <w:kern w:val="36"/>
          <w:sz w:val="28"/>
          <w:szCs w:val="28"/>
          <w14:ligatures w14:val="none"/>
        </w:rPr>
        <w:t>Student ID:2309140</w:t>
      </w:r>
    </w:p>
    <w:p w14:paraId="384646CA" w14:textId="62893B1B" w:rsidR="00A77170" w:rsidRPr="00CF1303" w:rsidRDefault="00F0637A"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eastAsia="Times New Roman" w:hAnsi="Arial" w:cs="Arial"/>
          <w:b/>
          <w:bCs/>
          <w:kern w:val="36"/>
          <w:sz w:val="28"/>
          <w:szCs w:val="28"/>
          <w14:ligatures w14:val="none"/>
        </w:rPr>
        <w:t>Lecturer: Neal</w:t>
      </w:r>
      <w:r w:rsidR="00964472" w:rsidRPr="00CF1303">
        <w:rPr>
          <w:rFonts w:ascii="Arial" w:eastAsia="Times New Roman" w:hAnsi="Arial" w:cs="Arial"/>
          <w:b/>
          <w:bCs/>
          <w:kern w:val="36"/>
          <w:sz w:val="28"/>
          <w:szCs w:val="28"/>
          <w14:ligatures w14:val="none"/>
        </w:rPr>
        <w:t xml:space="preserve">e </w:t>
      </w:r>
      <w:r w:rsidRPr="00CF1303">
        <w:rPr>
          <w:rFonts w:ascii="Arial" w:eastAsia="Times New Roman" w:hAnsi="Arial" w:cs="Arial"/>
          <w:b/>
          <w:bCs/>
          <w:kern w:val="36"/>
          <w:sz w:val="28"/>
          <w:szCs w:val="28"/>
          <w14:ligatures w14:val="none"/>
        </w:rPr>
        <w:t>H</w:t>
      </w:r>
      <w:r w:rsidR="000F3746" w:rsidRPr="00CF1303">
        <w:rPr>
          <w:rFonts w:ascii="Arial" w:eastAsia="Times New Roman" w:hAnsi="Arial" w:cs="Arial"/>
          <w:b/>
          <w:bCs/>
          <w:kern w:val="36"/>
          <w:sz w:val="28"/>
          <w:szCs w:val="28"/>
          <w14:ligatures w14:val="none"/>
        </w:rPr>
        <w:t>addon</w:t>
      </w:r>
    </w:p>
    <w:p w14:paraId="6ED54EC7" w14:textId="2A707EE8" w:rsidR="00990B4C" w:rsidRPr="00CF1303" w:rsidRDefault="00C5369C"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eastAsia="Times New Roman" w:hAnsi="Arial" w:cs="Arial"/>
          <w:b/>
          <w:bCs/>
          <w:kern w:val="36"/>
          <w:sz w:val="28"/>
          <w:szCs w:val="28"/>
          <w14:ligatures w14:val="none"/>
        </w:rPr>
        <w:t xml:space="preserve">Module </w:t>
      </w:r>
      <w:r w:rsidR="006F27CD" w:rsidRPr="00CF1303">
        <w:rPr>
          <w:rFonts w:ascii="Arial" w:eastAsia="Times New Roman" w:hAnsi="Arial" w:cs="Arial"/>
          <w:b/>
          <w:bCs/>
          <w:kern w:val="36"/>
          <w:sz w:val="28"/>
          <w:szCs w:val="28"/>
          <w14:ligatures w14:val="none"/>
        </w:rPr>
        <w:t>code: BMHP</w:t>
      </w:r>
      <w:r w:rsidR="00A77170" w:rsidRPr="00CF1303">
        <w:rPr>
          <w:rFonts w:ascii="Arial" w:eastAsia="Times New Roman" w:hAnsi="Arial" w:cs="Arial"/>
          <w:b/>
          <w:bCs/>
          <w:kern w:val="36"/>
          <w:sz w:val="28"/>
          <w:szCs w:val="28"/>
          <w14:ligatures w14:val="none"/>
        </w:rPr>
        <w:t>6029</w:t>
      </w:r>
    </w:p>
    <w:p w14:paraId="55088C9F" w14:textId="36350C45" w:rsidR="00E33FAA" w:rsidRPr="00CF1303" w:rsidRDefault="006F27CD"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eastAsia="Times New Roman" w:hAnsi="Arial" w:cs="Arial"/>
          <w:b/>
          <w:bCs/>
          <w:kern w:val="36"/>
          <w:sz w:val="28"/>
          <w:szCs w:val="28"/>
          <w14:ligatures w14:val="none"/>
        </w:rPr>
        <w:t>Module:</w:t>
      </w:r>
      <w:r w:rsidR="00C5369C" w:rsidRPr="00CF1303">
        <w:rPr>
          <w:rFonts w:ascii="Arial" w:eastAsia="Times New Roman" w:hAnsi="Arial" w:cs="Arial"/>
          <w:b/>
          <w:bCs/>
          <w:kern w:val="36"/>
          <w:sz w:val="28"/>
          <w:szCs w:val="28"/>
          <w14:ligatures w14:val="none"/>
        </w:rPr>
        <w:t xml:space="preserve"> </w:t>
      </w:r>
      <w:r w:rsidR="001813B8" w:rsidRPr="00CF1303">
        <w:rPr>
          <w:rFonts w:ascii="Arial" w:eastAsia="Times New Roman" w:hAnsi="Arial" w:cs="Arial"/>
          <w:b/>
          <w:bCs/>
          <w:kern w:val="36"/>
          <w:sz w:val="28"/>
          <w:szCs w:val="28"/>
          <w14:ligatures w14:val="none"/>
        </w:rPr>
        <w:t xml:space="preserve">psychological classification </w:t>
      </w:r>
      <w:r w:rsidR="00C800F4" w:rsidRPr="00CF1303">
        <w:rPr>
          <w:rFonts w:ascii="Arial" w:eastAsia="Times New Roman" w:hAnsi="Arial" w:cs="Arial"/>
          <w:b/>
          <w:bCs/>
          <w:kern w:val="36"/>
          <w:sz w:val="28"/>
          <w:szCs w:val="28"/>
          <w14:ligatures w14:val="none"/>
        </w:rPr>
        <w:t xml:space="preserve">and </w:t>
      </w:r>
      <w:r w:rsidR="00DA0057" w:rsidRPr="00CF1303">
        <w:rPr>
          <w:rFonts w:ascii="Arial" w:eastAsia="Times New Roman" w:hAnsi="Arial" w:cs="Arial"/>
          <w:b/>
          <w:bCs/>
          <w:kern w:val="36"/>
          <w:sz w:val="28"/>
          <w:szCs w:val="28"/>
          <w14:ligatures w14:val="none"/>
        </w:rPr>
        <w:t xml:space="preserve">Provisions </w:t>
      </w:r>
    </w:p>
    <w:p w14:paraId="448EFDB5" w14:textId="4DA12D7F" w:rsidR="00DA0057" w:rsidRPr="00CF1303" w:rsidRDefault="00DA0057"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eastAsia="Times New Roman" w:hAnsi="Arial" w:cs="Arial"/>
          <w:b/>
          <w:bCs/>
          <w:kern w:val="36"/>
          <w:sz w:val="28"/>
          <w:szCs w:val="28"/>
          <w14:ligatures w14:val="none"/>
        </w:rPr>
        <w:t xml:space="preserve">Assignment </w:t>
      </w:r>
      <w:r w:rsidR="006F27CD" w:rsidRPr="00CF1303">
        <w:rPr>
          <w:rFonts w:ascii="Arial" w:eastAsia="Times New Roman" w:hAnsi="Arial" w:cs="Arial"/>
          <w:b/>
          <w:bCs/>
          <w:kern w:val="36"/>
          <w:sz w:val="28"/>
          <w:szCs w:val="28"/>
          <w14:ligatures w14:val="none"/>
        </w:rPr>
        <w:t xml:space="preserve">Title: </w:t>
      </w:r>
      <w:bookmarkStart w:id="0" w:name="_Int_e4AHylga"/>
      <w:r w:rsidR="006F27CD" w:rsidRPr="00CF1303">
        <w:rPr>
          <w:rFonts w:ascii="Arial" w:eastAsia="Times New Roman" w:hAnsi="Arial" w:cs="Arial"/>
          <w:b/>
          <w:bCs/>
          <w:kern w:val="36"/>
          <w:sz w:val="28"/>
          <w:szCs w:val="28"/>
          <w14:ligatures w14:val="none"/>
        </w:rPr>
        <w:t>Component</w:t>
      </w:r>
      <w:bookmarkEnd w:id="0"/>
      <w:r w:rsidR="00A967D8" w:rsidRPr="00CF1303">
        <w:rPr>
          <w:rFonts w:ascii="Arial" w:eastAsia="Times New Roman" w:hAnsi="Arial" w:cs="Arial"/>
          <w:b/>
          <w:bCs/>
          <w:kern w:val="36"/>
          <w:sz w:val="28"/>
          <w:szCs w:val="28"/>
          <w14:ligatures w14:val="none"/>
        </w:rPr>
        <w:t xml:space="preserve"> </w:t>
      </w:r>
      <w:r w:rsidRPr="00CF1303">
        <w:rPr>
          <w:rFonts w:ascii="Arial" w:eastAsia="Times New Roman" w:hAnsi="Arial" w:cs="Arial"/>
          <w:b/>
          <w:bCs/>
          <w:kern w:val="36"/>
          <w:sz w:val="28"/>
          <w:szCs w:val="28"/>
          <w14:ligatures w14:val="none"/>
        </w:rPr>
        <w:t>2</w:t>
      </w:r>
      <w:r w:rsidR="00F847F6" w:rsidRPr="00CF1303">
        <w:rPr>
          <w:rFonts w:ascii="Arial" w:eastAsia="Times New Roman" w:hAnsi="Arial" w:cs="Arial"/>
          <w:b/>
          <w:bCs/>
          <w:kern w:val="36"/>
          <w:sz w:val="28"/>
          <w:szCs w:val="28"/>
          <w14:ligatures w14:val="none"/>
        </w:rPr>
        <w:t xml:space="preserve">: Written Assignment </w:t>
      </w:r>
      <w:r w:rsidR="0077798A" w:rsidRPr="00CF1303">
        <w:rPr>
          <w:rFonts w:ascii="Arial" w:eastAsia="Times New Roman" w:hAnsi="Arial" w:cs="Arial"/>
          <w:b/>
          <w:bCs/>
          <w:kern w:val="36"/>
          <w:sz w:val="28"/>
          <w:szCs w:val="28"/>
          <w14:ligatures w14:val="none"/>
        </w:rPr>
        <w:t>(Report)</w:t>
      </w:r>
    </w:p>
    <w:p w14:paraId="6FDAAEC1" w14:textId="77777777" w:rsidR="00E33FAA" w:rsidRPr="00CF1303" w:rsidRDefault="00E33FAA"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p>
    <w:p w14:paraId="46373532" w14:textId="77777777" w:rsidR="00E33FAA" w:rsidRDefault="00E33FAA" w:rsidP="00E33FA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258C965E" w14:textId="77777777" w:rsidR="000F3746" w:rsidRPr="00363737" w:rsidRDefault="000F3746" w:rsidP="00E33FAA">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p>
    <w:p w14:paraId="067C8E13" w14:textId="77777777" w:rsidR="00CF1303" w:rsidRDefault="00CF1303" w:rsidP="00E33FA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935857E" w14:textId="77777777" w:rsidR="0007541B" w:rsidRDefault="0007541B" w:rsidP="0073222F">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78E1E303"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Table of Contents</w:t>
      </w:r>
    </w:p>
    <w:p w14:paraId="0CCED5C4" w14:textId="49ECE9CC"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1.</w:t>
      </w:r>
      <w:r w:rsidRPr="002C2455">
        <w:rPr>
          <w:rFonts w:ascii="Arial" w:eastAsia="Times New Roman" w:hAnsi="Arial" w:cs="Arial"/>
          <w:b/>
          <w:bCs/>
          <w:kern w:val="36"/>
          <w:sz w:val="22"/>
          <w:szCs w:val="22"/>
          <w14:ligatures w14:val="none"/>
        </w:rPr>
        <w:tab/>
        <w:t xml:space="preserve">Introduction …………………………………………………… </w:t>
      </w:r>
      <w:r w:rsidR="00F31DDC">
        <w:rPr>
          <w:rFonts w:ascii="Arial" w:eastAsia="Times New Roman" w:hAnsi="Arial" w:cs="Arial"/>
          <w:b/>
          <w:bCs/>
          <w:kern w:val="36"/>
          <w:sz w:val="22"/>
          <w:szCs w:val="22"/>
          <w14:ligatures w14:val="none"/>
        </w:rPr>
        <w:t>3</w:t>
      </w:r>
    </w:p>
    <w:p w14:paraId="75EB746D" w14:textId="73344172"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2.</w:t>
      </w:r>
      <w:r w:rsidRPr="002C2455">
        <w:rPr>
          <w:rFonts w:ascii="Arial" w:eastAsia="Times New Roman" w:hAnsi="Arial" w:cs="Arial"/>
          <w:b/>
          <w:bCs/>
          <w:kern w:val="36"/>
          <w:sz w:val="22"/>
          <w:szCs w:val="22"/>
          <w14:ligatures w14:val="none"/>
        </w:rPr>
        <w:tab/>
        <w:t xml:space="preserve">Classification and Diagnosis ……………………………… </w:t>
      </w:r>
      <w:r w:rsidR="00891576">
        <w:rPr>
          <w:rFonts w:ascii="Arial" w:eastAsia="Times New Roman" w:hAnsi="Arial" w:cs="Arial"/>
          <w:b/>
          <w:bCs/>
          <w:kern w:val="36"/>
          <w:sz w:val="22"/>
          <w:szCs w:val="22"/>
          <w14:ligatures w14:val="none"/>
        </w:rPr>
        <w:t>4</w:t>
      </w:r>
    </w:p>
    <w:p w14:paraId="64DE6A96"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2.1 ICD-11 Classification</w:t>
      </w:r>
    </w:p>
    <w:p w14:paraId="43ABF966"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2.2 Diagnostic Requirements</w:t>
      </w:r>
    </w:p>
    <w:p w14:paraId="378B9007"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2.3 Cultural and Gender Considerations</w:t>
      </w:r>
    </w:p>
    <w:p w14:paraId="00212B72"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2.4 Critical Issues in Diagnosis</w:t>
      </w:r>
    </w:p>
    <w:p w14:paraId="138C7228" w14:textId="7F1DFA23"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3.</w:t>
      </w:r>
      <w:r w:rsidRPr="002C2455">
        <w:rPr>
          <w:rFonts w:ascii="Arial" w:eastAsia="Times New Roman" w:hAnsi="Arial" w:cs="Arial"/>
          <w:b/>
          <w:bCs/>
          <w:kern w:val="36"/>
          <w:sz w:val="22"/>
          <w:szCs w:val="22"/>
          <w14:ligatures w14:val="none"/>
        </w:rPr>
        <w:tab/>
        <w:t xml:space="preserve">Treatment and Rehabilitation …………………………… </w:t>
      </w:r>
      <w:r w:rsidR="00AA0D8F">
        <w:rPr>
          <w:rFonts w:ascii="Arial" w:eastAsia="Times New Roman" w:hAnsi="Arial" w:cs="Arial"/>
          <w:b/>
          <w:bCs/>
          <w:kern w:val="36"/>
          <w:sz w:val="22"/>
          <w:szCs w:val="22"/>
          <w14:ligatures w14:val="none"/>
        </w:rPr>
        <w:t>6</w:t>
      </w:r>
    </w:p>
    <w:p w14:paraId="0E0435CA"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3.1 Standard Treatment Approaches</w:t>
      </w:r>
    </w:p>
    <w:p w14:paraId="52902C47"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3.2 Rehabilitation in ICD-11 and in Practice</w:t>
      </w:r>
    </w:p>
    <w:p w14:paraId="7FFF7E08"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3.3 Effectiveness and Limitations</w:t>
      </w:r>
    </w:p>
    <w:p w14:paraId="0792EDF3"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3.4 Critical Appraisal</w:t>
      </w:r>
    </w:p>
    <w:p w14:paraId="2ABF2C1D" w14:textId="1F93D0F2"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4.</w:t>
      </w:r>
      <w:r w:rsidRPr="002C2455">
        <w:rPr>
          <w:rFonts w:ascii="Arial" w:eastAsia="Times New Roman" w:hAnsi="Arial" w:cs="Arial"/>
          <w:b/>
          <w:bCs/>
          <w:kern w:val="36"/>
          <w:sz w:val="22"/>
          <w:szCs w:val="22"/>
          <w14:ligatures w14:val="none"/>
        </w:rPr>
        <w:tab/>
        <w:t>Current Debates and Emerging Issues ……………… 1</w:t>
      </w:r>
      <w:r w:rsidR="00272418">
        <w:rPr>
          <w:rFonts w:ascii="Arial" w:eastAsia="Times New Roman" w:hAnsi="Arial" w:cs="Arial"/>
          <w:b/>
          <w:bCs/>
          <w:kern w:val="36"/>
          <w:sz w:val="22"/>
          <w:szCs w:val="22"/>
          <w14:ligatures w14:val="none"/>
        </w:rPr>
        <w:t>0</w:t>
      </w:r>
    </w:p>
    <w:p w14:paraId="030C2E27"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4.1 Classification Debates</w:t>
      </w:r>
    </w:p>
    <w:p w14:paraId="05534AF0"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4.2 Neurodivergence and Reclassification</w:t>
      </w:r>
    </w:p>
    <w:p w14:paraId="676E9894"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4.3 Sociocultural Influences</w:t>
      </w:r>
    </w:p>
    <w:p w14:paraId="18E049DE"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4.4 Policy and Practice Implications</w:t>
      </w:r>
    </w:p>
    <w:p w14:paraId="6F7E8F41" w14:textId="612CD46C"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5.</w:t>
      </w:r>
      <w:r w:rsidRPr="002C2455">
        <w:rPr>
          <w:rFonts w:ascii="Arial" w:eastAsia="Times New Roman" w:hAnsi="Arial" w:cs="Arial"/>
          <w:b/>
          <w:bCs/>
          <w:kern w:val="36"/>
          <w:sz w:val="22"/>
          <w:szCs w:val="22"/>
          <w14:ligatures w14:val="none"/>
        </w:rPr>
        <w:tab/>
        <w:t>Recommendations …………………………………………. 1</w:t>
      </w:r>
      <w:r w:rsidR="007F7A81">
        <w:rPr>
          <w:rFonts w:ascii="Arial" w:eastAsia="Times New Roman" w:hAnsi="Arial" w:cs="Arial"/>
          <w:b/>
          <w:bCs/>
          <w:kern w:val="36"/>
          <w:sz w:val="22"/>
          <w:szCs w:val="22"/>
          <w14:ligatures w14:val="none"/>
        </w:rPr>
        <w:t>2</w:t>
      </w:r>
    </w:p>
    <w:p w14:paraId="654AA6FF" w14:textId="0C09A938"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6.</w:t>
      </w:r>
      <w:r w:rsidRPr="002C2455">
        <w:rPr>
          <w:rFonts w:ascii="Arial" w:eastAsia="Times New Roman" w:hAnsi="Arial" w:cs="Arial"/>
          <w:b/>
          <w:bCs/>
          <w:kern w:val="36"/>
          <w:sz w:val="22"/>
          <w:szCs w:val="22"/>
          <w14:ligatures w14:val="none"/>
        </w:rPr>
        <w:tab/>
        <w:t>Conclusion …………………………………………………… 1</w:t>
      </w:r>
      <w:r w:rsidR="00150590">
        <w:rPr>
          <w:rFonts w:ascii="Arial" w:eastAsia="Times New Roman" w:hAnsi="Arial" w:cs="Arial"/>
          <w:b/>
          <w:bCs/>
          <w:kern w:val="36"/>
          <w:sz w:val="22"/>
          <w:szCs w:val="22"/>
          <w14:ligatures w14:val="none"/>
        </w:rPr>
        <w:t>3</w:t>
      </w:r>
    </w:p>
    <w:p w14:paraId="28E7FA5C" w14:textId="056CD92E" w:rsidR="00667529" w:rsidRDefault="002C2455" w:rsidP="0073222F">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7.</w:t>
      </w:r>
      <w:r w:rsidRPr="002C2455">
        <w:rPr>
          <w:rFonts w:ascii="Arial" w:eastAsia="Times New Roman" w:hAnsi="Arial" w:cs="Arial"/>
          <w:b/>
          <w:bCs/>
          <w:kern w:val="36"/>
          <w:sz w:val="22"/>
          <w:szCs w:val="22"/>
          <w14:ligatures w14:val="none"/>
        </w:rPr>
        <w:tab/>
        <w:t xml:space="preserve">References …………………………………………………… </w:t>
      </w:r>
      <w:r w:rsidR="00365725">
        <w:rPr>
          <w:rFonts w:ascii="Arial" w:eastAsia="Times New Roman" w:hAnsi="Arial" w:cs="Arial"/>
          <w:b/>
          <w:bCs/>
          <w:kern w:val="36"/>
          <w:sz w:val="22"/>
          <w:szCs w:val="22"/>
          <w14:ligatures w14:val="none"/>
        </w:rPr>
        <w:t>14</w:t>
      </w:r>
    </w:p>
    <w:p w14:paraId="4D8375D7" w14:textId="77777777" w:rsidR="00667529" w:rsidRDefault="00667529" w:rsidP="0073222F">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2DB7F647" w14:textId="01155684" w:rsidR="00E33FAA" w:rsidRPr="009D0406" w:rsidRDefault="00E33FAA" w:rsidP="009D0406">
      <w:pPr>
        <w:spacing w:before="100" w:beforeAutospacing="1" w:after="100" w:afterAutospacing="1" w:line="360" w:lineRule="auto"/>
        <w:outlineLvl w:val="0"/>
        <w:rPr>
          <w:rFonts w:ascii="Arial" w:eastAsia="Times New Roman" w:hAnsi="Arial" w:cs="Arial"/>
          <w:b/>
          <w:bCs/>
          <w:kern w:val="36"/>
          <w:sz w:val="22"/>
          <w:szCs w:val="22"/>
          <w14:ligatures w14:val="none"/>
        </w:rPr>
      </w:pPr>
      <w:r w:rsidRPr="009D0406">
        <w:rPr>
          <w:rFonts w:ascii="Arial" w:eastAsia="Times New Roman" w:hAnsi="Arial" w:cs="Arial"/>
          <w:b/>
          <w:bCs/>
          <w:kern w:val="36"/>
          <w:sz w:val="22"/>
          <w:szCs w:val="22"/>
          <w14:ligatures w14:val="none"/>
        </w:rPr>
        <w:t>Feeding and Eating Disorders in ICD-11: A Critical Examination</w:t>
      </w:r>
    </w:p>
    <w:p w14:paraId="056FBC77" w14:textId="49A21D12" w:rsidR="00E33FAA" w:rsidRPr="009D0406" w:rsidRDefault="00403A5E" w:rsidP="009D0406">
      <w:pPr>
        <w:spacing w:before="100" w:beforeAutospacing="1" w:after="100" w:afterAutospacing="1" w:line="360" w:lineRule="auto"/>
        <w:rPr>
          <w:rFonts w:ascii="Arial" w:hAnsi="Arial" w:cs="Arial"/>
          <w:kern w:val="0"/>
          <w:sz w:val="22"/>
          <w:szCs w:val="22"/>
          <w14:ligatures w14:val="none"/>
        </w:rPr>
      </w:pPr>
      <w:r>
        <w:rPr>
          <w:noProof/>
        </w:rPr>
        <w:drawing>
          <wp:anchor distT="0" distB="0" distL="114300" distR="114300" simplePos="0" relativeHeight="251658241" behindDoc="0" locked="0" layoutInCell="1" allowOverlap="1" wp14:anchorId="00AFA13A" wp14:editId="08E4348D">
            <wp:simplePos x="0" y="0"/>
            <wp:positionH relativeFrom="margin">
              <wp:posOffset>-450215</wp:posOffset>
            </wp:positionH>
            <wp:positionV relativeFrom="paragraph">
              <wp:posOffset>340995</wp:posOffset>
            </wp:positionV>
            <wp:extent cx="6628765" cy="3221990"/>
            <wp:effectExtent l="0" t="0" r="635" b="0"/>
            <wp:wrapTopAndBottom/>
            <wp:docPr id="1883221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221457" name=""/>
                    <pic:cNvPicPr/>
                  </pic:nvPicPr>
                  <pic:blipFill>
                    <a:blip r:embed="rId8"/>
                    <a:stretch>
                      <a:fillRect/>
                    </a:stretch>
                  </pic:blipFill>
                  <pic:spPr>
                    <a:xfrm>
                      <a:off x="0" y="0"/>
                      <a:ext cx="6628765" cy="3221990"/>
                    </a:xfrm>
                    <a:prstGeom prst="rect">
                      <a:avLst/>
                    </a:prstGeom>
                  </pic:spPr>
                </pic:pic>
              </a:graphicData>
            </a:graphic>
            <wp14:sizeRelH relativeFrom="margin">
              <wp14:pctWidth>0</wp14:pctWidth>
            </wp14:sizeRelH>
            <wp14:sizeRelV relativeFrom="margin">
              <wp14:pctHeight>0</wp14:pctHeight>
            </wp14:sizeRelV>
          </wp:anchor>
        </w:drawing>
      </w:r>
    </w:p>
    <w:p w14:paraId="7E3BD4B0" w14:textId="77777777" w:rsidR="0096604E" w:rsidRDefault="0096604E" w:rsidP="009D0406">
      <w:pPr>
        <w:spacing w:before="100" w:beforeAutospacing="1" w:after="100" w:afterAutospacing="1" w:line="360" w:lineRule="auto"/>
        <w:rPr>
          <w:rFonts w:ascii="Arial" w:hAnsi="Arial" w:cs="Arial"/>
          <w:kern w:val="0"/>
          <w:sz w:val="22"/>
          <w:szCs w:val="22"/>
          <w14:ligatures w14:val="none"/>
        </w:rPr>
      </w:pPr>
    </w:p>
    <w:tbl>
      <w:tblPr>
        <w:tblStyle w:val="TableGrid"/>
        <w:tblW w:w="0" w:type="auto"/>
        <w:tblInd w:w="-5" w:type="dxa"/>
        <w:tblCellMar>
          <w:top w:w="0" w:type="dxa"/>
          <w:left w:w="0" w:type="dxa"/>
          <w:bottom w:w="0" w:type="dxa"/>
          <w:right w:w="0" w:type="dxa"/>
        </w:tblCellMar>
        <w:tblLook w:val="04A0" w:firstRow="1" w:lastRow="0" w:firstColumn="1" w:lastColumn="0" w:noHBand="0" w:noVBand="1"/>
      </w:tblPr>
      <w:tblGrid>
        <w:gridCol w:w="9016"/>
      </w:tblGrid>
      <w:tr w:rsidR="00403A5E" w14:paraId="5B72B443" w14:textId="77777777">
        <w:tblPrEx>
          <w:tblCellMar>
            <w:top w:w="0" w:type="dxa"/>
            <w:left w:w="0" w:type="dxa"/>
            <w:bottom w:w="0" w:type="dxa"/>
            <w:right w:w="0" w:type="dxa"/>
          </w:tblCellMar>
        </w:tblPrEx>
        <w:tc>
          <w:tcPr>
            <w:tcW w:w="9016" w:type="dxa"/>
          </w:tcPr>
          <w:p w14:paraId="3A3D4451" w14:textId="67562B9F" w:rsidR="00403A5E" w:rsidRDefault="00403A5E" w:rsidP="009D0406">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Fig</w:t>
            </w:r>
            <w:r w:rsidR="00232303">
              <w:rPr>
                <w:rFonts w:ascii="Arial" w:hAnsi="Arial" w:cs="Arial"/>
                <w:kern w:val="0"/>
                <w:sz w:val="22"/>
                <w:szCs w:val="22"/>
                <w14:ligatures w14:val="none"/>
              </w:rPr>
              <w:t>ure</w:t>
            </w:r>
            <w:r>
              <w:rPr>
                <w:rFonts w:ascii="Arial" w:hAnsi="Arial" w:cs="Arial"/>
                <w:kern w:val="0"/>
                <w:sz w:val="22"/>
                <w:szCs w:val="22"/>
                <w14:ligatures w14:val="none"/>
              </w:rPr>
              <w:t xml:space="preserve"> 1: </w:t>
            </w:r>
            <w:r w:rsidR="004E39A1">
              <w:rPr>
                <w:rFonts w:ascii="Arial" w:hAnsi="Arial" w:cs="Arial"/>
                <w:kern w:val="0"/>
                <w:sz w:val="22"/>
                <w:szCs w:val="22"/>
                <w14:ligatures w14:val="none"/>
              </w:rPr>
              <w:t xml:space="preserve"> WWW</w:t>
            </w:r>
            <w:r w:rsidR="004210D5">
              <w:rPr>
                <w:rFonts w:ascii="Arial" w:hAnsi="Arial" w:cs="Arial"/>
                <w:kern w:val="0"/>
                <w:sz w:val="22"/>
                <w:szCs w:val="22"/>
                <w14:ligatures w14:val="none"/>
              </w:rPr>
              <w:t xml:space="preserve">. </w:t>
            </w:r>
            <w:r w:rsidR="00A76733">
              <w:rPr>
                <w:rFonts w:ascii="Arial" w:hAnsi="Arial" w:cs="Arial"/>
                <w:kern w:val="0"/>
                <w:sz w:val="22"/>
                <w:szCs w:val="22"/>
                <w14:ligatures w14:val="none"/>
              </w:rPr>
              <w:t>Urmc.ro</w:t>
            </w:r>
            <w:r w:rsidR="003C5BDC">
              <w:rPr>
                <w:rFonts w:ascii="Arial" w:hAnsi="Arial" w:cs="Arial"/>
                <w:kern w:val="0"/>
                <w:sz w:val="22"/>
                <w:szCs w:val="22"/>
                <w14:ligatures w14:val="none"/>
              </w:rPr>
              <w:t>chester.edu</w:t>
            </w:r>
            <w:r w:rsidR="00512499">
              <w:rPr>
                <w:rFonts w:ascii="Arial" w:hAnsi="Arial" w:cs="Arial"/>
                <w:kern w:val="0"/>
                <w:sz w:val="22"/>
                <w:szCs w:val="22"/>
                <w14:ligatures w14:val="none"/>
              </w:rPr>
              <w:t xml:space="preserve"> </w:t>
            </w:r>
            <w:r w:rsidR="00343ECF">
              <w:rPr>
                <w:rFonts w:ascii="Arial" w:hAnsi="Arial" w:cs="Arial"/>
                <w:kern w:val="0"/>
                <w:sz w:val="22"/>
                <w:szCs w:val="22"/>
                <w14:ligatures w14:val="none"/>
              </w:rPr>
              <w:t>(</w:t>
            </w:r>
            <w:r w:rsidR="00814BF6">
              <w:rPr>
                <w:rFonts w:ascii="Arial" w:hAnsi="Arial" w:cs="Arial"/>
                <w:kern w:val="0"/>
                <w:sz w:val="22"/>
                <w:szCs w:val="22"/>
                <w14:ligatures w14:val="none"/>
              </w:rPr>
              <w:t>Un</w:t>
            </w:r>
            <w:r w:rsidR="0071771D">
              <w:rPr>
                <w:rFonts w:ascii="Arial" w:hAnsi="Arial" w:cs="Arial"/>
                <w:kern w:val="0"/>
                <w:sz w:val="22"/>
                <w:szCs w:val="22"/>
                <w14:ligatures w14:val="none"/>
              </w:rPr>
              <w:t>ivers</w:t>
            </w:r>
            <w:r w:rsidR="00332BE7">
              <w:rPr>
                <w:rFonts w:ascii="Arial" w:hAnsi="Arial" w:cs="Arial"/>
                <w:kern w:val="0"/>
                <w:sz w:val="22"/>
                <w:szCs w:val="22"/>
                <w14:ligatures w14:val="none"/>
              </w:rPr>
              <w:t>ity of R</w:t>
            </w:r>
            <w:r w:rsidR="0080462D">
              <w:rPr>
                <w:rFonts w:ascii="Arial" w:hAnsi="Arial" w:cs="Arial"/>
                <w:kern w:val="0"/>
                <w:sz w:val="22"/>
                <w:szCs w:val="22"/>
                <w14:ligatures w14:val="none"/>
              </w:rPr>
              <w:t>och</w:t>
            </w:r>
            <w:r w:rsidR="00507224">
              <w:rPr>
                <w:rFonts w:ascii="Arial" w:hAnsi="Arial" w:cs="Arial"/>
                <w:kern w:val="0"/>
                <w:sz w:val="22"/>
                <w:szCs w:val="22"/>
                <w14:ligatures w14:val="none"/>
              </w:rPr>
              <w:t>ester Med</w:t>
            </w:r>
            <w:r w:rsidR="00E07000">
              <w:rPr>
                <w:rFonts w:ascii="Arial" w:hAnsi="Arial" w:cs="Arial"/>
                <w:kern w:val="0"/>
                <w:sz w:val="22"/>
                <w:szCs w:val="22"/>
                <w14:ligatures w14:val="none"/>
              </w:rPr>
              <w:t>ical</w:t>
            </w:r>
            <w:r w:rsidR="00C53001">
              <w:rPr>
                <w:rFonts w:ascii="Arial" w:hAnsi="Arial" w:cs="Arial"/>
                <w:kern w:val="0"/>
                <w:sz w:val="22"/>
                <w:szCs w:val="22"/>
                <w14:ligatures w14:val="none"/>
              </w:rPr>
              <w:t xml:space="preserve"> </w:t>
            </w:r>
            <w:r w:rsidR="00A37274">
              <w:rPr>
                <w:rFonts w:ascii="Arial" w:hAnsi="Arial" w:cs="Arial"/>
                <w:kern w:val="0"/>
                <w:sz w:val="22"/>
                <w:szCs w:val="22"/>
                <w14:ligatures w14:val="none"/>
              </w:rPr>
              <w:t>Centre</w:t>
            </w:r>
            <w:r w:rsidR="00A16F97">
              <w:rPr>
                <w:rFonts w:ascii="Arial" w:hAnsi="Arial" w:cs="Arial"/>
                <w:kern w:val="0"/>
                <w:sz w:val="22"/>
                <w:szCs w:val="22"/>
                <w14:ligatures w14:val="none"/>
              </w:rPr>
              <w:t xml:space="preserve">, </w:t>
            </w:r>
            <w:r w:rsidR="005D29AF">
              <w:rPr>
                <w:rFonts w:ascii="Arial" w:hAnsi="Arial" w:cs="Arial"/>
                <w:kern w:val="0"/>
                <w:sz w:val="22"/>
                <w:szCs w:val="22"/>
                <w14:ligatures w14:val="none"/>
              </w:rPr>
              <w:t>n</w:t>
            </w:r>
            <w:r w:rsidR="00641A3E">
              <w:rPr>
                <w:rFonts w:ascii="Arial" w:hAnsi="Arial" w:cs="Arial"/>
                <w:kern w:val="0"/>
                <w:sz w:val="22"/>
                <w:szCs w:val="22"/>
                <w14:ligatures w14:val="none"/>
              </w:rPr>
              <w:t>.d.</w:t>
            </w:r>
            <w:r w:rsidR="00343ECF">
              <w:rPr>
                <w:rFonts w:ascii="Arial" w:hAnsi="Arial" w:cs="Arial"/>
                <w:kern w:val="0"/>
                <w:sz w:val="22"/>
                <w:szCs w:val="22"/>
                <w14:ligatures w14:val="none"/>
              </w:rPr>
              <w:t>)</w:t>
            </w:r>
          </w:p>
        </w:tc>
      </w:tr>
    </w:tbl>
    <w:p w14:paraId="763CA370" w14:textId="77777777" w:rsidR="0096604E" w:rsidRPr="009D0406" w:rsidRDefault="0096604E" w:rsidP="009D0406">
      <w:pPr>
        <w:spacing w:before="100" w:beforeAutospacing="1" w:after="100" w:afterAutospacing="1" w:line="360" w:lineRule="auto"/>
        <w:rPr>
          <w:rFonts w:ascii="Arial" w:hAnsi="Arial" w:cs="Arial"/>
          <w:kern w:val="0"/>
          <w:sz w:val="22"/>
          <w:szCs w:val="22"/>
          <w14:ligatures w14:val="none"/>
        </w:rPr>
      </w:pPr>
    </w:p>
    <w:p w14:paraId="0540868F" w14:textId="2390F36D" w:rsidR="00E33FAA" w:rsidRPr="00B473B4" w:rsidRDefault="00E33FAA" w:rsidP="009D0406">
      <w:pPr>
        <w:pStyle w:val="ListParagraph"/>
        <w:numPr>
          <w:ilvl w:val="0"/>
          <w:numId w:val="6"/>
        </w:numPr>
        <w:spacing w:before="100" w:beforeAutospacing="1" w:after="100" w:afterAutospacing="1" w:line="360" w:lineRule="auto"/>
        <w:outlineLvl w:val="1"/>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Introduction</w:t>
      </w:r>
    </w:p>
    <w:p w14:paraId="41E6D274" w14:textId="1A5E133E"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Feeding and Eating Disorders (FEDs) represent a heterogeneous group of psychiatric conditions characterised by abnormal eating behaviours, disturbances in attitudes towards food, and in many cases, preoccupations with body weight and shape. The World Health </w:t>
      </w:r>
      <w:r w:rsidR="00207A73" w:rsidRPr="009D0406">
        <w:rPr>
          <w:rFonts w:ascii="Arial" w:hAnsi="Arial" w:cs="Arial"/>
          <w:kern w:val="0"/>
          <w:sz w:val="22"/>
          <w:szCs w:val="22"/>
          <w14:ligatures w14:val="none"/>
        </w:rPr>
        <w:t>Organisations</w:t>
      </w:r>
      <w:r w:rsidRPr="009D0406">
        <w:rPr>
          <w:rFonts w:ascii="Arial" w:hAnsi="Arial" w:cs="Arial"/>
          <w:kern w:val="0"/>
          <w:sz w:val="22"/>
          <w:szCs w:val="22"/>
          <w14:ligatures w14:val="none"/>
        </w:rPr>
        <w:t xml:space="preserve"> International Classification of Diseases, 11th Revision (ICD-11) situates FEDs within Chapter 6: Mental, Behavioural and </w:t>
      </w:r>
      <w:r w:rsidR="00207A73" w:rsidRPr="009D0406">
        <w:rPr>
          <w:rFonts w:ascii="Arial" w:hAnsi="Arial" w:cs="Arial"/>
          <w:kern w:val="0"/>
          <w:sz w:val="22"/>
          <w:szCs w:val="22"/>
          <w14:ligatures w14:val="none"/>
        </w:rPr>
        <w:t>Neurodevelopment</w:t>
      </w:r>
      <w:r w:rsidRPr="009D0406">
        <w:rPr>
          <w:rFonts w:ascii="Arial" w:hAnsi="Arial" w:cs="Arial"/>
          <w:kern w:val="0"/>
          <w:sz w:val="22"/>
          <w:szCs w:val="22"/>
          <w14:ligatures w14:val="none"/>
        </w:rPr>
        <w:t xml:space="preserve"> Disorders, acknowledging their complex aetiology and significant psychosocial and medical burden (WHO, 2019). These disorders are increasingly prevalent worldwide, with marked variations across regions, genders, and cultural contexts, and they contribute to elevated morbidity and mortality rates (Smink, van </w:t>
      </w:r>
      <w:r w:rsidR="00B51507" w:rsidRPr="009D0406">
        <w:rPr>
          <w:rFonts w:ascii="Arial" w:hAnsi="Arial" w:cs="Arial"/>
          <w:kern w:val="0"/>
          <w:sz w:val="22"/>
          <w:szCs w:val="22"/>
          <w14:ligatures w14:val="none"/>
        </w:rPr>
        <w:t>Hoken</w:t>
      </w:r>
      <w:r w:rsidRPr="009D0406">
        <w:rPr>
          <w:rFonts w:ascii="Arial" w:hAnsi="Arial" w:cs="Arial"/>
          <w:kern w:val="0"/>
          <w:sz w:val="22"/>
          <w:szCs w:val="22"/>
          <w14:ligatures w14:val="none"/>
        </w:rPr>
        <w:t xml:space="preserve"> &amp; Hoek, 2019).</w:t>
      </w:r>
    </w:p>
    <w:p w14:paraId="47A4DAD0" w14:textId="061E0619"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The ICD-11 framework marks a substantial departure from ICD-10, as it broadens diagnostic thresholds and shifts towards a dimensional understanding of mental health disorders. In the case of FEDs, this change reflects an attempt to increase clinical utility and to better capture atypical or subthreshold presentations. However, it has also raised debates concerning risks of </w:t>
      </w:r>
      <w:r w:rsidR="00A01F40" w:rsidRPr="009D0406">
        <w:rPr>
          <w:rFonts w:ascii="Arial" w:hAnsi="Arial" w:cs="Arial"/>
          <w:kern w:val="0"/>
          <w:sz w:val="22"/>
          <w:szCs w:val="22"/>
          <w14:ligatures w14:val="none"/>
        </w:rPr>
        <w:t>over diagnosis</w:t>
      </w:r>
      <w:r w:rsidRPr="009D0406">
        <w:rPr>
          <w:rFonts w:ascii="Arial" w:hAnsi="Arial" w:cs="Arial"/>
          <w:kern w:val="0"/>
          <w:sz w:val="22"/>
          <w:szCs w:val="22"/>
          <w14:ligatures w14:val="none"/>
        </w:rPr>
        <w:t>, cultural applicability, and the medicalisation of behaviours that may be developmentally normative or culturally sanctioned (</w:t>
      </w:r>
      <w:r w:rsidR="006C7D72" w:rsidRPr="009D0406">
        <w:rPr>
          <w:rFonts w:ascii="Arial" w:hAnsi="Arial" w:cs="Arial"/>
          <w:kern w:val="0"/>
          <w:sz w:val="22"/>
          <w:szCs w:val="22"/>
          <w14:ligatures w14:val="none"/>
        </w:rPr>
        <w:t>Aitchison</w:t>
      </w:r>
      <w:r w:rsidRPr="009D0406">
        <w:rPr>
          <w:rFonts w:ascii="Arial" w:hAnsi="Arial" w:cs="Arial"/>
          <w:kern w:val="0"/>
          <w:sz w:val="22"/>
          <w:szCs w:val="22"/>
          <w14:ligatures w14:val="none"/>
        </w:rPr>
        <w:t xml:space="preserve"> et al., 2020).</w:t>
      </w:r>
    </w:p>
    <w:p w14:paraId="1A6B2FB0"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This assessment critically examines FEDs within ICD-11, focusing on their classification, diagnosis, treatment, and rehabilitation. It also considers contemporary debates surrounding these disorders, including questions of neurodivergence, cultural relativity, and evolving treatment frameworks. Finally, recommendations will </w:t>
      </w:r>
      <w:bookmarkStart w:id="1" w:name="_Int_JEKAEOiE"/>
      <w:r w:rsidRPr="009D0406">
        <w:rPr>
          <w:rFonts w:ascii="Arial" w:hAnsi="Arial" w:cs="Arial"/>
          <w:kern w:val="0"/>
          <w:sz w:val="22"/>
          <w:szCs w:val="22"/>
          <w14:ligatures w14:val="none"/>
        </w:rPr>
        <w:t>be presented</w:t>
      </w:r>
      <w:bookmarkEnd w:id="1"/>
      <w:r w:rsidRPr="009D0406">
        <w:rPr>
          <w:rFonts w:ascii="Arial" w:hAnsi="Arial" w:cs="Arial"/>
          <w:kern w:val="0"/>
          <w:sz w:val="22"/>
          <w:szCs w:val="22"/>
          <w14:ligatures w14:val="none"/>
        </w:rPr>
        <w:t xml:space="preserve"> for refining classification systems and improving treatment outcomes, grounded in evidence from recent scholarship.</w:t>
      </w:r>
    </w:p>
    <w:p w14:paraId="15ABF565" w14:textId="4D3F3B2C" w:rsidR="00F23F0E" w:rsidRDefault="00F23F0E"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5BCC8F87" w14:textId="2D45FB19" w:rsidR="00A14BAA" w:rsidRPr="00C144E4" w:rsidRDefault="00113D9C" w:rsidP="00C144E4">
      <w:pPr>
        <w:pStyle w:val="ListParagraph"/>
        <w:numPr>
          <w:ilvl w:val="0"/>
          <w:numId w:val="6"/>
        </w:numPr>
        <w:spacing w:before="100" w:beforeAutospacing="1" w:after="100" w:afterAutospacing="1" w:line="360" w:lineRule="auto"/>
        <w:outlineLvl w:val="1"/>
        <w:rPr>
          <w:rFonts w:ascii="Arial" w:hAnsi="Arial" w:cs="Arial"/>
          <w:b/>
          <w:bCs/>
          <w:kern w:val="0"/>
          <w:sz w:val="22"/>
          <w:szCs w:val="22"/>
          <w14:ligatures w14:val="none"/>
        </w:rPr>
      </w:pPr>
      <w:r>
        <w:rPr>
          <w:noProof/>
        </w:rPr>
        <w:drawing>
          <wp:anchor distT="0" distB="0" distL="114300" distR="114300" simplePos="0" relativeHeight="251658242" behindDoc="0" locked="0" layoutInCell="1" allowOverlap="1" wp14:anchorId="6EAAAA20" wp14:editId="705CD5B2">
            <wp:simplePos x="0" y="0"/>
            <wp:positionH relativeFrom="margin">
              <wp:posOffset>-585470</wp:posOffset>
            </wp:positionH>
            <wp:positionV relativeFrom="paragraph">
              <wp:posOffset>552450</wp:posOffset>
            </wp:positionV>
            <wp:extent cx="6798310" cy="5605780"/>
            <wp:effectExtent l="0" t="0" r="0" b="0"/>
            <wp:wrapTopAndBottom/>
            <wp:docPr id="1056223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223482" name=""/>
                    <pic:cNvPicPr/>
                  </pic:nvPicPr>
                  <pic:blipFill>
                    <a:blip r:embed="rId9"/>
                    <a:stretch>
                      <a:fillRect/>
                    </a:stretch>
                  </pic:blipFill>
                  <pic:spPr>
                    <a:xfrm>
                      <a:off x="0" y="0"/>
                      <a:ext cx="6798310" cy="5605780"/>
                    </a:xfrm>
                    <a:prstGeom prst="rect">
                      <a:avLst/>
                    </a:prstGeom>
                  </pic:spPr>
                </pic:pic>
              </a:graphicData>
            </a:graphic>
            <wp14:sizeRelH relativeFrom="margin">
              <wp14:pctWidth>0</wp14:pctWidth>
            </wp14:sizeRelH>
            <wp14:sizeRelV relativeFrom="margin">
              <wp14:pctHeight>0</wp14:pctHeight>
            </wp14:sizeRelV>
          </wp:anchor>
        </w:drawing>
      </w:r>
      <w:r w:rsidR="00E33FAA" w:rsidRPr="009D0406">
        <w:rPr>
          <w:rFonts w:ascii="Arial" w:eastAsia="Times New Roman" w:hAnsi="Arial" w:cs="Arial"/>
          <w:b/>
          <w:bCs/>
          <w:kern w:val="0"/>
          <w:sz w:val="22"/>
          <w:szCs w:val="22"/>
          <w14:ligatures w14:val="none"/>
        </w:rPr>
        <w:t>Classification and Diagnosis</w:t>
      </w:r>
    </w:p>
    <w:tbl>
      <w:tblPr>
        <w:tblStyle w:val="TableGrid"/>
        <w:tblW w:w="6379" w:type="dxa"/>
        <w:tblInd w:w="-147" w:type="dxa"/>
        <w:tblCellMar>
          <w:top w:w="0" w:type="dxa"/>
          <w:left w:w="0" w:type="dxa"/>
          <w:bottom w:w="0" w:type="dxa"/>
          <w:right w:w="0" w:type="dxa"/>
        </w:tblCellMar>
        <w:tblLook w:val="04A0" w:firstRow="1" w:lastRow="0" w:firstColumn="1" w:lastColumn="0" w:noHBand="0" w:noVBand="1"/>
      </w:tblPr>
      <w:tblGrid>
        <w:gridCol w:w="6379"/>
      </w:tblGrid>
      <w:tr w:rsidR="003F332B" w14:paraId="2240E8BA" w14:textId="77777777" w:rsidTr="003075CA">
        <w:tblPrEx>
          <w:tblCellMar>
            <w:top w:w="0" w:type="dxa"/>
            <w:left w:w="0" w:type="dxa"/>
            <w:bottom w:w="0" w:type="dxa"/>
            <w:right w:w="0" w:type="dxa"/>
          </w:tblCellMar>
        </w:tblPrEx>
        <w:trPr>
          <w:trHeight w:val="517"/>
        </w:trPr>
        <w:tc>
          <w:tcPr>
            <w:tcW w:w="6379" w:type="dxa"/>
          </w:tcPr>
          <w:p w14:paraId="0A2756FD" w14:textId="7426F189" w:rsidR="003F332B" w:rsidRDefault="00071E30" w:rsidP="00C144E4">
            <w:pPr>
              <w:spacing w:before="100" w:beforeAutospacing="1" w:after="100" w:afterAutospacing="1" w:line="360" w:lineRule="auto"/>
              <w:outlineLvl w:val="1"/>
              <w:rPr>
                <w:rFonts w:ascii="Arial" w:hAnsi="Arial" w:cs="Arial"/>
                <w:b/>
                <w:bCs/>
                <w:kern w:val="0"/>
                <w:sz w:val="22"/>
                <w:szCs w:val="22"/>
                <w14:ligatures w14:val="none"/>
              </w:rPr>
            </w:pPr>
            <w:r>
              <w:rPr>
                <w:rFonts w:ascii="Arial" w:hAnsi="Arial" w:cs="Arial"/>
                <w:b/>
                <w:bCs/>
                <w:kern w:val="0"/>
                <w:sz w:val="22"/>
                <w:szCs w:val="22"/>
                <w14:ligatures w14:val="none"/>
              </w:rPr>
              <w:t xml:space="preserve">   </w:t>
            </w:r>
            <w:r w:rsidR="00727037">
              <w:rPr>
                <w:rFonts w:ascii="Arial" w:hAnsi="Arial" w:cs="Arial"/>
                <w:b/>
                <w:bCs/>
                <w:kern w:val="0"/>
                <w:sz w:val="22"/>
                <w:szCs w:val="22"/>
                <w14:ligatures w14:val="none"/>
              </w:rPr>
              <w:t>F</w:t>
            </w:r>
            <w:r w:rsidR="00534329">
              <w:rPr>
                <w:rFonts w:ascii="Arial" w:hAnsi="Arial" w:cs="Arial"/>
                <w:b/>
                <w:bCs/>
                <w:kern w:val="0"/>
                <w:sz w:val="22"/>
                <w:szCs w:val="22"/>
                <w14:ligatures w14:val="none"/>
              </w:rPr>
              <w:t>iger</w:t>
            </w:r>
            <w:r w:rsidR="000830B7">
              <w:rPr>
                <w:rFonts w:ascii="Arial" w:hAnsi="Arial" w:cs="Arial"/>
                <w:b/>
                <w:bCs/>
                <w:kern w:val="0"/>
                <w:sz w:val="22"/>
                <w:szCs w:val="22"/>
                <w14:ligatures w14:val="none"/>
              </w:rPr>
              <w:t xml:space="preserve"> 2: </w:t>
            </w:r>
            <w:r w:rsidR="004169E3">
              <w:rPr>
                <w:rFonts w:ascii="Arial" w:hAnsi="Arial" w:cs="Arial"/>
                <w:b/>
                <w:bCs/>
                <w:kern w:val="0"/>
                <w:sz w:val="22"/>
                <w:szCs w:val="22"/>
                <w14:ligatures w14:val="none"/>
              </w:rPr>
              <w:t>“</w:t>
            </w:r>
            <w:r w:rsidR="00D94ED3">
              <w:rPr>
                <w:rFonts w:ascii="Arial" w:hAnsi="Arial" w:cs="Arial"/>
                <w:b/>
                <w:bCs/>
                <w:kern w:val="0"/>
                <w:sz w:val="22"/>
                <w:szCs w:val="22"/>
                <w14:ligatures w14:val="none"/>
              </w:rPr>
              <w:t>C</w:t>
            </w:r>
            <w:r w:rsidR="002C2A90">
              <w:rPr>
                <w:rFonts w:ascii="Arial" w:hAnsi="Arial" w:cs="Arial"/>
                <w:b/>
                <w:bCs/>
                <w:kern w:val="0"/>
                <w:sz w:val="22"/>
                <w:szCs w:val="22"/>
                <w14:ligatures w14:val="none"/>
              </w:rPr>
              <w:t>lassification and Diag</w:t>
            </w:r>
            <w:r w:rsidR="006B00C2">
              <w:rPr>
                <w:rFonts w:ascii="Arial" w:hAnsi="Arial" w:cs="Arial"/>
                <w:b/>
                <w:bCs/>
                <w:kern w:val="0"/>
                <w:sz w:val="22"/>
                <w:szCs w:val="22"/>
                <w14:ligatures w14:val="none"/>
              </w:rPr>
              <w:t>no</w:t>
            </w:r>
            <w:r w:rsidR="00D52630">
              <w:rPr>
                <w:rFonts w:ascii="Arial" w:hAnsi="Arial" w:cs="Arial"/>
                <w:b/>
                <w:bCs/>
                <w:kern w:val="0"/>
                <w:sz w:val="22"/>
                <w:szCs w:val="22"/>
                <w14:ligatures w14:val="none"/>
              </w:rPr>
              <w:t>sis</w:t>
            </w:r>
            <w:r w:rsidR="004169E3">
              <w:rPr>
                <w:rFonts w:ascii="Arial" w:hAnsi="Arial" w:cs="Arial"/>
                <w:b/>
                <w:bCs/>
                <w:kern w:val="0"/>
                <w:sz w:val="22"/>
                <w:szCs w:val="22"/>
                <w14:ligatures w14:val="none"/>
              </w:rPr>
              <w:t xml:space="preserve">” </w:t>
            </w:r>
            <w:r w:rsidR="00657CC7">
              <w:rPr>
                <w:rFonts w:ascii="Arial" w:hAnsi="Arial" w:cs="Arial"/>
                <w:b/>
                <w:bCs/>
                <w:kern w:val="0"/>
                <w:sz w:val="22"/>
                <w:szCs w:val="22"/>
                <w14:ligatures w14:val="none"/>
              </w:rPr>
              <w:t>from</w:t>
            </w:r>
            <w:r w:rsidR="00345E18">
              <w:rPr>
                <w:rFonts w:ascii="Arial" w:hAnsi="Arial" w:cs="Arial"/>
                <w:b/>
                <w:bCs/>
                <w:kern w:val="0"/>
                <w:sz w:val="22"/>
                <w:szCs w:val="22"/>
                <w14:ligatures w14:val="none"/>
              </w:rPr>
              <w:t xml:space="preserve"> </w:t>
            </w:r>
            <w:r w:rsidR="003075CA">
              <w:rPr>
                <w:rFonts w:ascii="Arial" w:hAnsi="Arial" w:cs="Arial"/>
                <w:b/>
                <w:bCs/>
                <w:kern w:val="0"/>
                <w:sz w:val="22"/>
                <w:szCs w:val="22"/>
                <w14:ligatures w14:val="none"/>
              </w:rPr>
              <w:t xml:space="preserve">              </w:t>
            </w:r>
            <w:r w:rsidR="009A41B4">
              <w:rPr>
                <w:rFonts w:ascii="Arial" w:hAnsi="Arial" w:cs="Arial"/>
                <w:b/>
                <w:bCs/>
                <w:kern w:val="0"/>
                <w:sz w:val="22"/>
                <w:szCs w:val="22"/>
                <w14:ligatures w14:val="none"/>
              </w:rPr>
              <w:t>WWW</w:t>
            </w:r>
            <w:r w:rsidR="00167BF1">
              <w:rPr>
                <w:rFonts w:ascii="Arial" w:hAnsi="Arial" w:cs="Arial"/>
                <w:b/>
                <w:bCs/>
                <w:kern w:val="0"/>
                <w:sz w:val="22"/>
                <w:szCs w:val="22"/>
                <w14:ligatures w14:val="none"/>
              </w:rPr>
              <w:t>.Link</w:t>
            </w:r>
            <w:r w:rsidR="001F19B1">
              <w:rPr>
                <w:rFonts w:ascii="Arial" w:hAnsi="Arial" w:cs="Arial"/>
                <w:b/>
                <w:bCs/>
                <w:kern w:val="0"/>
                <w:sz w:val="22"/>
                <w:szCs w:val="22"/>
                <w14:ligatures w14:val="none"/>
              </w:rPr>
              <w:t>edin</w:t>
            </w:r>
            <w:r w:rsidR="006B0FC4">
              <w:rPr>
                <w:rFonts w:ascii="Arial" w:hAnsi="Arial" w:cs="Arial"/>
                <w:b/>
                <w:bCs/>
                <w:kern w:val="0"/>
                <w:sz w:val="22"/>
                <w:szCs w:val="22"/>
                <w14:ligatures w14:val="none"/>
              </w:rPr>
              <w:t>.com</w:t>
            </w:r>
          </w:p>
        </w:tc>
      </w:tr>
    </w:tbl>
    <w:p w14:paraId="08966084" w14:textId="77777777" w:rsidR="0023766D" w:rsidRPr="00C144E4" w:rsidRDefault="0023766D" w:rsidP="00C144E4">
      <w:pPr>
        <w:spacing w:before="100" w:beforeAutospacing="1" w:after="100" w:afterAutospacing="1" w:line="360" w:lineRule="auto"/>
        <w:outlineLvl w:val="1"/>
        <w:rPr>
          <w:rFonts w:ascii="Arial" w:hAnsi="Arial" w:cs="Arial"/>
          <w:b/>
          <w:bCs/>
          <w:kern w:val="0"/>
          <w:sz w:val="22"/>
          <w:szCs w:val="22"/>
          <w14:ligatures w14:val="none"/>
        </w:rPr>
      </w:pPr>
    </w:p>
    <w:p w14:paraId="7E4A3AB3" w14:textId="4D6E56DD" w:rsidR="00500958" w:rsidRPr="00500958" w:rsidRDefault="00E33FAA" w:rsidP="00500958">
      <w:pPr>
        <w:pStyle w:val="ListParagraph"/>
        <w:numPr>
          <w:ilvl w:val="1"/>
          <w:numId w:val="6"/>
        </w:num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ICD-11 Classification</w:t>
      </w:r>
    </w:p>
    <w:p w14:paraId="3478D179" w14:textId="15B2192D"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Feeding and Eating Disorders </w:t>
      </w:r>
      <w:bookmarkStart w:id="2" w:name="_Int_88c52acH"/>
      <w:r w:rsidRPr="009D0406">
        <w:rPr>
          <w:rFonts w:ascii="Arial" w:hAnsi="Arial" w:cs="Arial"/>
          <w:kern w:val="0"/>
          <w:sz w:val="22"/>
          <w:szCs w:val="22"/>
          <w14:ligatures w14:val="none"/>
        </w:rPr>
        <w:t>are defined</w:t>
      </w:r>
      <w:bookmarkEnd w:id="2"/>
      <w:r w:rsidRPr="009D0406">
        <w:rPr>
          <w:rFonts w:ascii="Arial" w:hAnsi="Arial" w:cs="Arial"/>
          <w:kern w:val="0"/>
          <w:sz w:val="22"/>
          <w:szCs w:val="22"/>
          <w14:ligatures w14:val="none"/>
        </w:rPr>
        <w:t xml:space="preserve"> in ICD-11 as “abnormal eating or feeding behaviours that are not explained by another health condition and are not developmentally appropriate or culturally sanctioned” (WHO, 2019, p. 6B80). The diagnostic grouping encompasses a spectrum of disorders including Anorexia Nervosa, Bulimia Nervosa, Binge Eating Disorder, Avoidant/Restrictive Food Intake Disorder (ARFID), Pica, Rumination Disorder, and Other Specified Feeding or </w:t>
      </w:r>
      <w:r w:rsidR="00A05EB8" w:rsidRPr="009D0406">
        <w:rPr>
          <w:rFonts w:ascii="Arial" w:hAnsi="Arial" w:cs="Arial"/>
          <w:kern w:val="0"/>
          <w:sz w:val="22"/>
          <w:szCs w:val="22"/>
          <w14:ligatures w14:val="none"/>
        </w:rPr>
        <w:t>eating disorders</w:t>
      </w:r>
      <w:r w:rsidRPr="009D0406">
        <w:rPr>
          <w:rFonts w:ascii="Arial" w:hAnsi="Arial" w:cs="Arial"/>
          <w:kern w:val="0"/>
          <w:sz w:val="22"/>
          <w:szCs w:val="22"/>
          <w14:ligatures w14:val="none"/>
        </w:rPr>
        <w:t xml:space="preserve"> (OSFED). Unlike ICD-10, ICD-11 no longer emphasises rigid weight thresholds, particularly for Anorexia Nervosa, instead prioritising behavioural and cognitive features such as persistent restriction of food intake, body image disturbance, and fear of weight gain (Fairburn, 2020).</w:t>
      </w:r>
    </w:p>
    <w:p w14:paraId="1A08CEA6"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5EEC78EA" w14:textId="51FFEB85"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This shift signals an important conceptual move towards recognising eating disorders as multidimensional conditions, rather than disorders defined solely by physical manifestations such as body mass index (BMI). It aligns ICD-11 more closely with contemporary evidence, which suggests that psychological and behavioural patterns are better indicators of pathology and prognosis than weight criteria alone (Treasure, Duarte &amp; Schmidt, 2020). However, the continued use of the term “disorder” underscores the dominance of the medical model, which has been criticised for </w:t>
      </w:r>
      <w:r w:rsidR="006C7D72" w:rsidRPr="009D0406">
        <w:rPr>
          <w:rFonts w:ascii="Arial" w:hAnsi="Arial" w:cs="Arial"/>
          <w:kern w:val="0"/>
          <w:sz w:val="22"/>
          <w:szCs w:val="22"/>
          <w14:ligatures w14:val="none"/>
        </w:rPr>
        <w:t>pathologizing</w:t>
      </w:r>
      <w:r w:rsidRPr="009D0406">
        <w:rPr>
          <w:rFonts w:ascii="Arial" w:hAnsi="Arial" w:cs="Arial"/>
          <w:kern w:val="0"/>
          <w:sz w:val="22"/>
          <w:szCs w:val="22"/>
          <w14:ligatures w14:val="none"/>
        </w:rPr>
        <w:t xml:space="preserve"> distress and reinforcing stigma (Eddy et al., 2020).</w:t>
      </w:r>
    </w:p>
    <w:p w14:paraId="30E79535"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0D7ED578" w14:textId="0EE1D9DD" w:rsidR="00E33FAA" w:rsidRPr="00C3389F" w:rsidRDefault="007C32BA" w:rsidP="00C3389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2.2 </w:t>
      </w:r>
      <w:r w:rsidR="00E33FAA" w:rsidRPr="009D0406">
        <w:rPr>
          <w:rFonts w:ascii="Arial" w:eastAsia="Times New Roman" w:hAnsi="Arial" w:cs="Arial"/>
          <w:b/>
          <w:bCs/>
          <w:kern w:val="0"/>
          <w:sz w:val="22"/>
          <w:szCs w:val="22"/>
          <w14:ligatures w14:val="none"/>
        </w:rPr>
        <w:t>Diagnostic Requirements</w:t>
      </w:r>
    </w:p>
    <w:p w14:paraId="55D01384"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ICD-11 requires that abnormal eating behaviours:</w:t>
      </w:r>
    </w:p>
    <w:p w14:paraId="2A898E43" w14:textId="5B699134" w:rsidR="00E33FAA" w:rsidRPr="009D0406" w:rsidRDefault="00E33FAA" w:rsidP="009D0406">
      <w:pPr>
        <w:numPr>
          <w:ilvl w:val="0"/>
          <w:numId w:val="1"/>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Are not developmentally </w:t>
      </w:r>
      <w:r w:rsidR="00386F15" w:rsidRPr="009D0406">
        <w:rPr>
          <w:rFonts w:ascii="Arial" w:hAnsi="Arial" w:cs="Arial"/>
          <w:kern w:val="0"/>
          <w:sz w:val="22"/>
          <w:szCs w:val="22"/>
          <w14:ligatures w14:val="none"/>
        </w:rPr>
        <w:t>(</w:t>
      </w:r>
      <w:r w:rsidRPr="009D0406">
        <w:rPr>
          <w:rFonts w:ascii="Arial" w:hAnsi="Arial" w:cs="Arial"/>
          <w:kern w:val="0"/>
          <w:sz w:val="22"/>
          <w:szCs w:val="22"/>
          <w14:ligatures w14:val="none"/>
        </w:rPr>
        <w:t xml:space="preserve">e.g., </w:t>
      </w:r>
      <w:r w:rsidR="00A61D49" w:rsidRPr="009D0406">
        <w:rPr>
          <w:rFonts w:ascii="Arial" w:hAnsi="Arial" w:cs="Arial"/>
          <w:kern w:val="0"/>
          <w:sz w:val="22"/>
          <w:szCs w:val="22"/>
          <w14:ligatures w14:val="none"/>
        </w:rPr>
        <w:t>precise</w:t>
      </w:r>
      <w:r w:rsidRPr="009D0406">
        <w:rPr>
          <w:rFonts w:ascii="Arial" w:hAnsi="Arial" w:cs="Arial"/>
          <w:kern w:val="0"/>
          <w:sz w:val="22"/>
          <w:szCs w:val="22"/>
          <w14:ligatures w14:val="none"/>
        </w:rPr>
        <w:t xml:space="preserve"> eating in toddlers would not qualify).</w:t>
      </w:r>
    </w:p>
    <w:p w14:paraId="7A237BF9" w14:textId="77777777" w:rsidR="00E33FAA" w:rsidRPr="009D0406" w:rsidRDefault="00E33FAA" w:rsidP="009D0406">
      <w:pPr>
        <w:numPr>
          <w:ilvl w:val="0"/>
          <w:numId w:val="1"/>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Are not culturally sanctioned (e.g., fasting practices within religious contexts </w:t>
      </w:r>
      <w:bookmarkStart w:id="3" w:name="_Int_hUIC7u4j"/>
      <w:r w:rsidRPr="009D0406">
        <w:rPr>
          <w:rFonts w:ascii="Arial" w:hAnsi="Arial" w:cs="Arial"/>
          <w:kern w:val="0"/>
          <w:sz w:val="22"/>
          <w:szCs w:val="22"/>
          <w14:ligatures w14:val="none"/>
        </w:rPr>
        <w:t>are excluded</w:t>
      </w:r>
      <w:bookmarkEnd w:id="3"/>
      <w:r w:rsidRPr="009D0406">
        <w:rPr>
          <w:rFonts w:ascii="Arial" w:hAnsi="Arial" w:cs="Arial"/>
          <w:kern w:val="0"/>
          <w:sz w:val="22"/>
          <w:szCs w:val="22"/>
          <w14:ligatures w14:val="none"/>
        </w:rPr>
        <w:t>).</w:t>
      </w:r>
    </w:p>
    <w:p w14:paraId="3E580548" w14:textId="77777777" w:rsidR="00E33FAA" w:rsidRPr="009D0406" w:rsidRDefault="00E33FAA" w:rsidP="009D0406">
      <w:pPr>
        <w:numPr>
          <w:ilvl w:val="0"/>
          <w:numId w:val="1"/>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Cannot </w:t>
      </w:r>
      <w:bookmarkStart w:id="4" w:name="_Int_rDv6ds9k"/>
      <w:r w:rsidRPr="009D0406">
        <w:rPr>
          <w:rFonts w:ascii="Arial" w:hAnsi="Arial" w:cs="Arial"/>
          <w:kern w:val="0"/>
          <w:sz w:val="22"/>
          <w:szCs w:val="22"/>
          <w14:ligatures w14:val="none"/>
        </w:rPr>
        <w:t>be better explained</w:t>
      </w:r>
      <w:bookmarkEnd w:id="4"/>
      <w:r w:rsidRPr="009D0406">
        <w:rPr>
          <w:rFonts w:ascii="Arial" w:hAnsi="Arial" w:cs="Arial"/>
          <w:kern w:val="0"/>
          <w:sz w:val="22"/>
          <w:szCs w:val="22"/>
          <w14:ligatures w14:val="none"/>
        </w:rPr>
        <w:t xml:space="preserve"> by another medical or psychiatric condition.</w:t>
      </w:r>
    </w:p>
    <w:p w14:paraId="51CF5E5E"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1B64135E"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The diagnosis must also consider the extent of functional impairment, distress, or physical health risk posed by the behaviours. This focus on functional impact aligns with ICD-11’s overarching framework for mental disorders, which prioritises clinical utility and cultural flexibility (WHO, 2019).</w:t>
      </w:r>
    </w:p>
    <w:p w14:paraId="6947C11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00C81F59" w14:textId="55B75CBA"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For example, Anorexia Nervosa in ICD-11 no longer requires a BMI below 17.5, a criterion </w:t>
      </w:r>
      <w:bookmarkStart w:id="5" w:name="_Int_zdOr4yn5"/>
      <w:r w:rsidRPr="009D0406">
        <w:rPr>
          <w:rFonts w:ascii="Arial" w:hAnsi="Arial" w:cs="Arial"/>
          <w:kern w:val="0"/>
          <w:sz w:val="22"/>
          <w:szCs w:val="22"/>
          <w14:ligatures w14:val="none"/>
        </w:rPr>
        <w:t>retained</w:t>
      </w:r>
      <w:bookmarkEnd w:id="5"/>
      <w:r w:rsidRPr="009D0406">
        <w:rPr>
          <w:rFonts w:ascii="Arial" w:hAnsi="Arial" w:cs="Arial"/>
          <w:kern w:val="0"/>
          <w:sz w:val="22"/>
          <w:szCs w:val="22"/>
          <w14:ligatures w14:val="none"/>
        </w:rPr>
        <w:t xml:space="preserve"> in ICD-10, but instead emphasises “significant underweight” </w:t>
      </w:r>
      <w:r w:rsidR="0034114B" w:rsidRPr="009D0406">
        <w:rPr>
          <w:rFonts w:ascii="Arial" w:hAnsi="Arial" w:cs="Arial"/>
          <w:kern w:val="0"/>
          <w:sz w:val="22"/>
          <w:szCs w:val="22"/>
          <w14:ligatures w14:val="none"/>
        </w:rPr>
        <w:t>compared</w:t>
      </w:r>
      <w:r w:rsidRPr="009D0406">
        <w:rPr>
          <w:rFonts w:ascii="Arial" w:hAnsi="Arial" w:cs="Arial"/>
          <w:kern w:val="0"/>
          <w:sz w:val="22"/>
          <w:szCs w:val="22"/>
          <w14:ligatures w14:val="none"/>
        </w:rPr>
        <w:t xml:space="preserve"> to age, sex, and developmental trajectory, combined with behaviours indicative of body image disturbance and restrictive eating (</w:t>
      </w:r>
      <w:r w:rsidR="00EF673D">
        <w:rPr>
          <w:rFonts w:ascii="Arial" w:hAnsi="Arial" w:cs="Arial"/>
          <w:kern w:val="0"/>
          <w:sz w:val="22"/>
          <w:szCs w:val="22"/>
          <w14:ligatures w14:val="none"/>
        </w:rPr>
        <w:t>A</w:t>
      </w:r>
      <w:r w:rsidR="006A551F">
        <w:rPr>
          <w:rFonts w:ascii="Arial" w:hAnsi="Arial" w:cs="Arial"/>
          <w:kern w:val="0"/>
          <w:sz w:val="22"/>
          <w:szCs w:val="22"/>
          <w14:ligatures w14:val="none"/>
        </w:rPr>
        <w:t>hr</w:t>
      </w:r>
      <w:r w:rsidR="003166CF">
        <w:rPr>
          <w:rFonts w:ascii="Arial" w:hAnsi="Arial" w:cs="Arial"/>
          <w:kern w:val="0"/>
          <w:sz w:val="22"/>
          <w:szCs w:val="22"/>
          <w14:ligatures w14:val="none"/>
        </w:rPr>
        <w:t>b</w:t>
      </w:r>
      <w:r w:rsidR="00E961A7">
        <w:rPr>
          <w:rFonts w:ascii="Arial" w:hAnsi="Arial" w:cs="Arial"/>
          <w:kern w:val="0"/>
          <w:sz w:val="22"/>
          <w:szCs w:val="22"/>
          <w14:ligatures w14:val="none"/>
        </w:rPr>
        <w:t xml:space="preserve">erg </w:t>
      </w:r>
      <w:r w:rsidR="00A3102E">
        <w:rPr>
          <w:rFonts w:ascii="Arial" w:hAnsi="Arial" w:cs="Arial"/>
          <w:kern w:val="0"/>
          <w:sz w:val="22"/>
          <w:szCs w:val="22"/>
          <w14:ligatures w14:val="none"/>
        </w:rPr>
        <w:t>et.al</w:t>
      </w:r>
      <w:r w:rsidR="0081648B">
        <w:rPr>
          <w:rFonts w:ascii="Arial" w:hAnsi="Arial" w:cs="Arial"/>
          <w:kern w:val="0"/>
          <w:sz w:val="22"/>
          <w:szCs w:val="22"/>
          <w14:ligatures w14:val="none"/>
        </w:rPr>
        <w:t>.,</w:t>
      </w:r>
      <w:r w:rsidRPr="009D0406">
        <w:rPr>
          <w:rFonts w:ascii="Arial" w:hAnsi="Arial" w:cs="Arial"/>
          <w:kern w:val="0"/>
          <w:sz w:val="22"/>
          <w:szCs w:val="22"/>
          <w14:ligatures w14:val="none"/>
        </w:rPr>
        <w:t>20</w:t>
      </w:r>
      <w:r w:rsidR="008678D2">
        <w:rPr>
          <w:rFonts w:ascii="Arial" w:hAnsi="Arial" w:cs="Arial"/>
          <w:kern w:val="0"/>
          <w:sz w:val="22"/>
          <w:szCs w:val="22"/>
          <w14:ligatures w14:val="none"/>
        </w:rPr>
        <w:t>11</w:t>
      </w:r>
      <w:r w:rsidRPr="009D0406">
        <w:rPr>
          <w:rFonts w:ascii="Arial" w:hAnsi="Arial" w:cs="Arial"/>
          <w:kern w:val="0"/>
          <w:sz w:val="22"/>
          <w:szCs w:val="22"/>
          <w14:ligatures w14:val="none"/>
        </w:rPr>
        <w:t xml:space="preserve">). Similarly, Bulimia Nervosa and Binge Eating Disorder </w:t>
      </w:r>
      <w:bookmarkStart w:id="6" w:name="_Int_rm7Z8eUR"/>
      <w:r w:rsidRPr="009D0406">
        <w:rPr>
          <w:rFonts w:ascii="Arial" w:hAnsi="Arial" w:cs="Arial"/>
          <w:kern w:val="0"/>
          <w:sz w:val="22"/>
          <w:szCs w:val="22"/>
          <w14:ligatures w14:val="none"/>
        </w:rPr>
        <w:t>are distinguished</w:t>
      </w:r>
      <w:bookmarkEnd w:id="6"/>
      <w:r w:rsidRPr="009D0406">
        <w:rPr>
          <w:rFonts w:ascii="Arial" w:hAnsi="Arial" w:cs="Arial"/>
          <w:kern w:val="0"/>
          <w:sz w:val="22"/>
          <w:szCs w:val="22"/>
          <w14:ligatures w14:val="none"/>
        </w:rPr>
        <w:t xml:space="preserve"> by the presence or absence of compensatory behaviours, while ARFID </w:t>
      </w:r>
      <w:bookmarkStart w:id="7" w:name="_Int_LkZc9qHu"/>
      <w:r w:rsidRPr="009D0406">
        <w:rPr>
          <w:rFonts w:ascii="Arial" w:hAnsi="Arial" w:cs="Arial"/>
          <w:kern w:val="0"/>
          <w:sz w:val="22"/>
          <w:szCs w:val="22"/>
          <w14:ligatures w14:val="none"/>
        </w:rPr>
        <w:t>is recognised</w:t>
      </w:r>
      <w:bookmarkEnd w:id="7"/>
      <w:r w:rsidRPr="009D0406">
        <w:rPr>
          <w:rFonts w:ascii="Arial" w:hAnsi="Arial" w:cs="Arial"/>
          <w:kern w:val="0"/>
          <w:sz w:val="22"/>
          <w:szCs w:val="22"/>
          <w14:ligatures w14:val="none"/>
        </w:rPr>
        <w:t xml:space="preserve"> as a condition independent of body image concerns, highlighting the expanding diversity of presentations captured by ICD-11.</w:t>
      </w:r>
    </w:p>
    <w:p w14:paraId="18675A73"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50059B56" w14:textId="0A62A64E" w:rsidR="00E33FAA" w:rsidRPr="009D0406" w:rsidRDefault="007C32BA" w:rsidP="009D0406">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2.3 </w:t>
      </w:r>
      <w:r w:rsidR="00E33FAA" w:rsidRPr="009D0406">
        <w:rPr>
          <w:rFonts w:ascii="Arial" w:eastAsia="Times New Roman" w:hAnsi="Arial" w:cs="Arial"/>
          <w:b/>
          <w:bCs/>
          <w:kern w:val="0"/>
          <w:sz w:val="22"/>
          <w:szCs w:val="22"/>
          <w14:ligatures w14:val="none"/>
        </w:rPr>
        <w:t>Cultural and Gender Considerations</w:t>
      </w:r>
    </w:p>
    <w:p w14:paraId="02250202"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60CAB4B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ICD-11 explicitly acknowledges cultural variations in eating and body image concerns. For instance, while thinness is often idealised in Western societies, muscularity may be the dominant concern in men or in non-Western settings (Murray et al., 2019). The ICD framework </w:t>
      </w:r>
      <w:bookmarkStart w:id="8" w:name="_Int_Gtgv1VPM"/>
      <w:r w:rsidRPr="009D0406">
        <w:rPr>
          <w:rFonts w:ascii="Arial" w:hAnsi="Arial" w:cs="Arial"/>
          <w:kern w:val="0"/>
          <w:sz w:val="22"/>
          <w:szCs w:val="22"/>
          <w14:ligatures w14:val="none"/>
        </w:rPr>
        <w:t>attempts</w:t>
      </w:r>
      <w:bookmarkEnd w:id="8"/>
      <w:r w:rsidRPr="009D0406">
        <w:rPr>
          <w:rFonts w:ascii="Arial" w:hAnsi="Arial" w:cs="Arial"/>
          <w:kern w:val="0"/>
          <w:sz w:val="22"/>
          <w:szCs w:val="22"/>
          <w14:ligatures w14:val="none"/>
        </w:rPr>
        <w:t xml:space="preserve"> to balance universality with cultural sensitivity, but challenges </w:t>
      </w:r>
      <w:bookmarkStart w:id="9" w:name="_Int_Yntq7ffY"/>
      <w:r w:rsidRPr="009D0406">
        <w:rPr>
          <w:rFonts w:ascii="Arial" w:hAnsi="Arial" w:cs="Arial"/>
          <w:kern w:val="0"/>
          <w:sz w:val="22"/>
          <w:szCs w:val="22"/>
          <w14:ligatures w14:val="none"/>
        </w:rPr>
        <w:t>remain</w:t>
      </w:r>
      <w:bookmarkEnd w:id="9"/>
      <w:r w:rsidRPr="009D0406">
        <w:rPr>
          <w:rFonts w:ascii="Arial" w:hAnsi="Arial" w:cs="Arial"/>
          <w:kern w:val="0"/>
          <w:sz w:val="22"/>
          <w:szCs w:val="22"/>
          <w14:ligatures w14:val="none"/>
        </w:rPr>
        <w:t>. For example, certain culturally normative practices such as prolonged fasting may mimic pathological behaviours, complicating diagnosis.</w:t>
      </w:r>
    </w:p>
    <w:p w14:paraId="5B845801"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7F3108AF" w14:textId="5B89AA5F"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Gender bias also persists in diagnosis. Despite evidence that eating disorders affect men at substantial rates, male cases are </w:t>
      </w:r>
      <w:bookmarkStart w:id="10" w:name="_Int_tmkJQPz5"/>
      <w:r w:rsidRPr="009D0406">
        <w:rPr>
          <w:rFonts w:ascii="Arial" w:hAnsi="Arial" w:cs="Arial"/>
          <w:kern w:val="0"/>
          <w:sz w:val="22"/>
          <w:szCs w:val="22"/>
          <w14:ligatures w14:val="none"/>
        </w:rPr>
        <w:t>frequently</w:t>
      </w:r>
      <w:bookmarkEnd w:id="10"/>
      <w:r w:rsidRPr="009D0406">
        <w:rPr>
          <w:rFonts w:ascii="Arial" w:hAnsi="Arial" w:cs="Arial"/>
          <w:kern w:val="0"/>
          <w:sz w:val="22"/>
          <w:szCs w:val="22"/>
          <w14:ligatures w14:val="none"/>
        </w:rPr>
        <w:t xml:space="preserve"> under-recognised or misclassified, partly due to diagnostic systems historically </w:t>
      </w:r>
      <w:bookmarkStart w:id="11" w:name="_Int_RBjIxZmC"/>
      <w:r w:rsidRPr="009D0406">
        <w:rPr>
          <w:rFonts w:ascii="Arial" w:hAnsi="Arial" w:cs="Arial"/>
          <w:kern w:val="0"/>
          <w:sz w:val="22"/>
          <w:szCs w:val="22"/>
          <w14:ligatures w14:val="none"/>
        </w:rPr>
        <w:t>being designed</w:t>
      </w:r>
      <w:bookmarkEnd w:id="11"/>
      <w:r w:rsidRPr="009D0406">
        <w:rPr>
          <w:rFonts w:ascii="Arial" w:hAnsi="Arial" w:cs="Arial"/>
          <w:kern w:val="0"/>
          <w:sz w:val="22"/>
          <w:szCs w:val="22"/>
          <w14:ligatures w14:val="none"/>
        </w:rPr>
        <w:t xml:space="preserve"> around female presentations (Murray et al., 2019). ICD-11’s broader criteria aim to counteract this limitation, but clinical practice continues to </w:t>
      </w:r>
      <w:r w:rsidR="00BF6E44" w:rsidRPr="009D0406">
        <w:rPr>
          <w:rFonts w:ascii="Arial" w:hAnsi="Arial" w:cs="Arial"/>
          <w:kern w:val="0"/>
          <w:sz w:val="22"/>
          <w:szCs w:val="22"/>
          <w14:ligatures w14:val="none"/>
        </w:rPr>
        <w:t>lag</w:t>
      </w:r>
      <w:r w:rsidRPr="009D0406">
        <w:rPr>
          <w:rFonts w:ascii="Arial" w:hAnsi="Arial" w:cs="Arial"/>
          <w:kern w:val="0"/>
          <w:sz w:val="22"/>
          <w:szCs w:val="22"/>
          <w14:ligatures w14:val="none"/>
        </w:rPr>
        <w:t>.</w:t>
      </w:r>
    </w:p>
    <w:p w14:paraId="1727181D" w14:textId="77777777" w:rsidR="00E33FAA" w:rsidRDefault="00E33FAA" w:rsidP="009D0406">
      <w:pPr>
        <w:spacing w:before="100" w:beforeAutospacing="1" w:after="100" w:afterAutospacing="1" w:line="360" w:lineRule="auto"/>
        <w:rPr>
          <w:rFonts w:ascii="Arial" w:hAnsi="Arial" w:cs="Arial"/>
          <w:kern w:val="0"/>
          <w:sz w:val="22"/>
          <w:szCs w:val="22"/>
          <w14:ligatures w14:val="none"/>
        </w:rPr>
      </w:pPr>
    </w:p>
    <w:p w14:paraId="5B945E39" w14:textId="77777777" w:rsidR="002916C9" w:rsidRPr="009D0406" w:rsidRDefault="002916C9" w:rsidP="009D0406">
      <w:pPr>
        <w:spacing w:before="100" w:beforeAutospacing="1" w:after="100" w:afterAutospacing="1" w:line="360" w:lineRule="auto"/>
        <w:rPr>
          <w:rFonts w:ascii="Arial" w:hAnsi="Arial" w:cs="Arial"/>
          <w:kern w:val="0"/>
          <w:sz w:val="22"/>
          <w:szCs w:val="22"/>
          <w14:ligatures w14:val="none"/>
        </w:rPr>
      </w:pPr>
    </w:p>
    <w:p w14:paraId="6C7BA139" w14:textId="2946D4C8" w:rsidR="00E33FAA" w:rsidRPr="00EB4438" w:rsidRDefault="007C32BA" w:rsidP="00EB4438">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2.4 </w:t>
      </w:r>
      <w:r w:rsidR="00E33FAA" w:rsidRPr="009D0406">
        <w:rPr>
          <w:rFonts w:ascii="Arial" w:eastAsia="Times New Roman" w:hAnsi="Arial" w:cs="Arial"/>
          <w:b/>
          <w:bCs/>
          <w:kern w:val="0"/>
          <w:sz w:val="22"/>
          <w:szCs w:val="22"/>
          <w14:ligatures w14:val="none"/>
        </w:rPr>
        <w:t>Critical Issues in Diagnosis</w:t>
      </w:r>
    </w:p>
    <w:p w14:paraId="33316CA3" w14:textId="19012EC5"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While the ICD-11 classification enhances inclusivity, it risks </w:t>
      </w:r>
      <w:r w:rsidR="00BD3D65" w:rsidRPr="009D0406">
        <w:rPr>
          <w:rFonts w:ascii="Arial" w:hAnsi="Arial" w:cs="Arial"/>
          <w:kern w:val="0"/>
          <w:sz w:val="22"/>
          <w:szCs w:val="22"/>
          <w14:ligatures w14:val="none"/>
        </w:rPr>
        <w:t>over diagnosis</w:t>
      </w:r>
      <w:r w:rsidRPr="009D0406">
        <w:rPr>
          <w:rFonts w:ascii="Arial" w:hAnsi="Arial" w:cs="Arial"/>
          <w:kern w:val="0"/>
          <w:sz w:val="22"/>
          <w:szCs w:val="22"/>
          <w14:ligatures w14:val="none"/>
        </w:rPr>
        <w:t xml:space="preserve"> by expanding diagnostic thresholds to include subclinical cases (Mitchison et al., 2020). Furthermore, the residual category “Other Specified Feeding or </w:t>
      </w:r>
      <w:r w:rsidR="00A05EB8" w:rsidRPr="009D0406">
        <w:rPr>
          <w:rFonts w:ascii="Arial" w:hAnsi="Arial" w:cs="Arial"/>
          <w:kern w:val="0"/>
          <w:sz w:val="22"/>
          <w:szCs w:val="22"/>
          <w14:ligatures w14:val="none"/>
        </w:rPr>
        <w:t>eating disorders</w:t>
      </w:r>
      <w:r w:rsidRPr="009D0406">
        <w:rPr>
          <w:rFonts w:ascii="Arial" w:hAnsi="Arial" w:cs="Arial"/>
          <w:kern w:val="0"/>
          <w:sz w:val="22"/>
          <w:szCs w:val="22"/>
          <w14:ligatures w14:val="none"/>
        </w:rPr>
        <w:t>” (OSFED) has been criticised as a “catch-all” that lacks specificity and risks undermining diagnostic clarity (Eddy et al., 2020).</w:t>
      </w:r>
    </w:p>
    <w:p w14:paraId="434B9AA5" w14:textId="5E529F2B" w:rsidR="00E33FAA" w:rsidRPr="009D0406" w:rsidRDefault="00E33FAA" w:rsidP="00AC7A35">
      <w:pPr>
        <w:spacing w:before="100" w:beforeAutospacing="1" w:after="100" w:afterAutospacing="1" w:line="360" w:lineRule="auto"/>
        <w:rPr>
          <w:rFonts w:ascii="Arial" w:eastAsia="Times New Roman" w:hAnsi="Arial" w:cs="Arial"/>
          <w:kern w:val="0"/>
          <w:sz w:val="22"/>
          <w:szCs w:val="22"/>
          <w14:ligatures w14:val="none"/>
        </w:rPr>
      </w:pPr>
      <w:r w:rsidRPr="009D0406">
        <w:rPr>
          <w:rFonts w:ascii="Arial" w:hAnsi="Arial" w:cs="Arial"/>
          <w:kern w:val="0"/>
          <w:sz w:val="22"/>
          <w:szCs w:val="22"/>
          <w14:ligatures w14:val="none"/>
        </w:rPr>
        <w:t>Another central debate concerns transdiagnostic models of FEDs, which argue that common mechanisms (e.g., perfectionism, cognitive rigidity, emotional dysregulation) underlie multiple disorders, making strict categorical divisions less meaningful (Fairburn, 2020). ICD-11’s categorical approach may therefore fall short of fully capturing the spectrum and fluidity of these conditions.</w:t>
      </w:r>
    </w:p>
    <w:p w14:paraId="1926F607" w14:textId="3A14328C" w:rsidR="00E33FAA" w:rsidRPr="00AB6858" w:rsidRDefault="007C32BA" w:rsidP="00AB6858">
      <w:pPr>
        <w:spacing w:before="100" w:beforeAutospacing="1" w:after="100" w:afterAutospacing="1" w:line="360" w:lineRule="auto"/>
        <w:outlineLvl w:val="1"/>
        <w:rPr>
          <w:rFonts w:ascii="Arial"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3. </w:t>
      </w:r>
      <w:r w:rsidR="00E33FAA" w:rsidRPr="009D0406">
        <w:rPr>
          <w:rFonts w:ascii="Arial" w:eastAsia="Times New Roman" w:hAnsi="Arial" w:cs="Arial"/>
          <w:b/>
          <w:bCs/>
          <w:kern w:val="0"/>
          <w:sz w:val="22"/>
          <w:szCs w:val="22"/>
          <w14:ligatures w14:val="none"/>
        </w:rPr>
        <w:t>Treatment and Rehabilitation</w:t>
      </w:r>
    </w:p>
    <w:p w14:paraId="0A1CF0D3" w14:textId="030C2AFA" w:rsidR="00E33FAA" w:rsidRPr="00C3389F" w:rsidRDefault="007C32BA" w:rsidP="00C3389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3.1 </w:t>
      </w:r>
      <w:r w:rsidR="00E33FAA" w:rsidRPr="009D0406">
        <w:rPr>
          <w:rFonts w:ascii="Arial" w:eastAsia="Times New Roman" w:hAnsi="Arial" w:cs="Arial"/>
          <w:b/>
          <w:bCs/>
          <w:kern w:val="0"/>
          <w:sz w:val="22"/>
          <w:szCs w:val="22"/>
          <w14:ligatures w14:val="none"/>
        </w:rPr>
        <w:t>Standard Treatment Approaches</w:t>
      </w:r>
    </w:p>
    <w:p w14:paraId="5F5AEB03" w14:textId="6824A464" w:rsidR="00C646CC" w:rsidRDefault="00E33FAA" w:rsidP="009D0406">
      <w:pPr>
        <w:spacing w:before="100" w:beforeAutospacing="1" w:after="100" w:afterAutospacing="1" w:line="360" w:lineRule="auto"/>
      </w:pPr>
      <w:r w:rsidRPr="009D0406">
        <w:rPr>
          <w:rFonts w:ascii="Arial" w:hAnsi="Arial" w:cs="Arial"/>
          <w:kern w:val="0"/>
          <w:sz w:val="22"/>
          <w:szCs w:val="22"/>
          <w14:ligatures w14:val="none"/>
        </w:rPr>
        <w:t>Treatment for Feeding and Eating Disorders (FEDs) is multidisciplinary, typically involving psychological therapies, nutritional rehabilitation, medical monitoring, and sometimes pharmacological intervention. The choice of treatment depends on the disorder subtype, severity, and age of the patient</w:t>
      </w:r>
      <w:r w:rsidR="0091277E">
        <w:rPr>
          <w:noProof/>
        </w:rPr>
        <w:t>.</w:t>
      </w:r>
    </w:p>
    <w:p w14:paraId="78791CFB" w14:textId="5D6BF689" w:rsidR="007E3659" w:rsidRDefault="00FC727E" w:rsidP="009D0406">
      <w:pPr>
        <w:spacing w:before="100" w:beforeAutospacing="1" w:after="100" w:afterAutospacing="1" w:line="360" w:lineRule="auto"/>
        <w:rPr>
          <w:noProof/>
        </w:rPr>
      </w:pPr>
      <w:r>
        <w:rPr>
          <w:noProof/>
        </w:rPr>
        <w:drawing>
          <wp:anchor distT="0" distB="0" distL="114300" distR="114300" simplePos="0" relativeHeight="251658243" behindDoc="0" locked="0" layoutInCell="1" allowOverlap="1" wp14:anchorId="1DEDB7F5" wp14:editId="6FE33C37">
            <wp:simplePos x="0" y="0"/>
            <wp:positionH relativeFrom="column">
              <wp:posOffset>-382905</wp:posOffset>
            </wp:positionH>
            <wp:positionV relativeFrom="paragraph">
              <wp:posOffset>376555</wp:posOffset>
            </wp:positionV>
            <wp:extent cx="6393180" cy="1934845"/>
            <wp:effectExtent l="0" t="0" r="7620" b="8255"/>
            <wp:wrapTopAndBottom/>
            <wp:docPr id="58254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54093" name=""/>
                    <pic:cNvPicPr/>
                  </pic:nvPicPr>
                  <pic:blipFill>
                    <a:blip r:embed="rId10"/>
                    <a:stretch>
                      <a:fillRect/>
                    </a:stretch>
                  </pic:blipFill>
                  <pic:spPr>
                    <a:xfrm>
                      <a:off x="0" y="0"/>
                      <a:ext cx="6393180" cy="1934845"/>
                    </a:xfrm>
                    <a:prstGeom prst="rect">
                      <a:avLst/>
                    </a:prstGeom>
                  </pic:spPr>
                </pic:pic>
              </a:graphicData>
            </a:graphic>
            <wp14:sizeRelH relativeFrom="margin">
              <wp14:pctWidth>0</wp14:pctWidth>
            </wp14:sizeRelH>
            <wp14:sizeRelV relativeFrom="margin">
              <wp14:pctHeight>0</wp14:pctHeight>
            </wp14:sizeRelV>
          </wp:anchor>
        </w:drawing>
      </w:r>
      <w:r w:rsidR="00FA27EE" w:rsidRPr="00C3389F">
        <w:rPr>
          <w:rFonts w:ascii="Arial" w:hAnsi="Arial" w:cs="Arial"/>
          <w:b/>
          <w:bCs/>
          <w:kern w:val="0"/>
          <w:sz w:val="22"/>
          <w:szCs w:val="22"/>
          <w14:ligatures w14:val="none"/>
        </w:rPr>
        <w:t>Psychological Therapies</w:t>
      </w:r>
    </w:p>
    <w:p w14:paraId="638458AA" w14:textId="77777777" w:rsidR="007E3659" w:rsidRDefault="007E3659" w:rsidP="009D0406">
      <w:pPr>
        <w:spacing w:before="100" w:beforeAutospacing="1" w:after="100" w:afterAutospacing="1" w:line="360" w:lineRule="auto"/>
        <w:rPr>
          <w:rFonts w:ascii="Arial" w:hAnsi="Arial" w:cs="Arial"/>
          <w:kern w:val="0"/>
          <w:sz w:val="22"/>
          <w:szCs w:val="22"/>
          <w14:ligatures w14:val="none"/>
        </w:rPr>
      </w:pPr>
    </w:p>
    <w:tbl>
      <w:tblPr>
        <w:tblStyle w:val="TableGrid"/>
        <w:tblpPr w:leftFromText="180" w:rightFromText="180" w:vertAnchor="page" w:horzAnchor="margin" w:tblpY="14134"/>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
      <w:tblGrid>
        <w:gridCol w:w="6232"/>
      </w:tblGrid>
      <w:tr w:rsidR="00FC727E" w14:paraId="533A143F" w14:textId="77777777" w:rsidTr="00FC727E">
        <w:tc>
          <w:tcPr>
            <w:tcW w:w="6232" w:type="dxa"/>
          </w:tcPr>
          <w:p w14:paraId="448F9453" w14:textId="77777777" w:rsidR="00FC727E" w:rsidRDefault="00FC727E" w:rsidP="00FC727E">
            <w:pPr>
              <w:spacing w:before="100" w:beforeAutospacing="1" w:after="100" w:afterAutospacing="1" w:line="360" w:lineRule="auto"/>
              <w:rPr>
                <w:rFonts w:ascii="Arial" w:hAnsi="Arial" w:cs="Arial"/>
                <w:b/>
                <w:bCs/>
                <w:kern w:val="0"/>
                <w:sz w:val="22"/>
                <w:szCs w:val="22"/>
                <w14:ligatures w14:val="none"/>
              </w:rPr>
            </w:pPr>
            <w:r>
              <w:rPr>
                <w:rFonts w:ascii="Arial" w:hAnsi="Arial" w:cs="Arial"/>
                <w:b/>
                <w:bCs/>
                <w:kern w:val="0"/>
                <w:sz w:val="22"/>
                <w:szCs w:val="22"/>
                <w14:ligatures w14:val="none"/>
              </w:rPr>
              <w:t>Figer 3: www.verywellhealth.com</w:t>
            </w:r>
          </w:p>
        </w:tc>
      </w:tr>
    </w:tbl>
    <w:p w14:paraId="6B664DFC" w14:textId="4BF719AD" w:rsidR="0073254C" w:rsidRPr="00896EF0" w:rsidRDefault="0073254C" w:rsidP="009D0406">
      <w:pPr>
        <w:spacing w:before="100" w:beforeAutospacing="1" w:after="100" w:afterAutospacing="1" w:line="360" w:lineRule="auto"/>
        <w:rPr>
          <w:rFonts w:ascii="Arial" w:hAnsi="Arial" w:cs="Arial"/>
          <w:b/>
          <w:kern w:val="0"/>
          <w:sz w:val="22"/>
          <w:szCs w:val="22"/>
          <w14:ligatures w14:val="none"/>
        </w:rPr>
      </w:pPr>
    </w:p>
    <w:p w14:paraId="3940B815" w14:textId="77777777" w:rsidR="00485641" w:rsidRDefault="00485641" w:rsidP="009D0406">
      <w:pPr>
        <w:spacing w:before="100" w:beforeAutospacing="1" w:after="100" w:afterAutospacing="1" w:line="360" w:lineRule="auto"/>
        <w:rPr>
          <w:rFonts w:ascii="Arial" w:hAnsi="Arial" w:cs="Arial"/>
          <w:kern w:val="0"/>
          <w:sz w:val="22"/>
          <w:szCs w:val="22"/>
          <w14:ligatures w14:val="none"/>
        </w:rPr>
      </w:pPr>
    </w:p>
    <w:p w14:paraId="449E90A9" w14:textId="361E08B4"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Cognitive Behavioural Therapy (CBT), particularly the enhanced form (CBT-E), </w:t>
      </w:r>
      <w:bookmarkStart w:id="12" w:name="_Int_y88pJtWd"/>
      <w:r w:rsidRPr="009D0406">
        <w:rPr>
          <w:rFonts w:ascii="Arial" w:hAnsi="Arial" w:cs="Arial"/>
          <w:kern w:val="0"/>
          <w:sz w:val="22"/>
          <w:szCs w:val="22"/>
          <w14:ligatures w14:val="none"/>
        </w:rPr>
        <w:t>is widely considered</w:t>
      </w:r>
      <w:bookmarkEnd w:id="12"/>
      <w:r w:rsidRPr="009D0406">
        <w:rPr>
          <w:rFonts w:ascii="Arial" w:hAnsi="Arial" w:cs="Arial"/>
          <w:kern w:val="0"/>
          <w:sz w:val="22"/>
          <w:szCs w:val="22"/>
          <w14:ligatures w14:val="none"/>
        </w:rPr>
        <w:t xml:space="preserve"> the most evidence-based approach for bulimia nervosa and binge eating disorder, and increasingly for anorexia nervosa (Linardon et al., 2019). CBT-E focuses on addressing dysfunctional cognitions related to food, weight, and shape, alongside </w:t>
      </w:r>
      <w:bookmarkStart w:id="13" w:name="_Int_ddkXk2yc"/>
      <w:r w:rsidRPr="009D0406">
        <w:rPr>
          <w:rFonts w:ascii="Arial" w:hAnsi="Arial" w:cs="Arial"/>
          <w:kern w:val="0"/>
          <w:sz w:val="22"/>
          <w:szCs w:val="22"/>
          <w14:ligatures w14:val="none"/>
        </w:rPr>
        <w:t>modifying</w:t>
      </w:r>
      <w:bookmarkEnd w:id="13"/>
      <w:r w:rsidRPr="009D0406">
        <w:rPr>
          <w:rFonts w:ascii="Arial" w:hAnsi="Arial" w:cs="Arial"/>
          <w:kern w:val="0"/>
          <w:sz w:val="22"/>
          <w:szCs w:val="22"/>
          <w14:ligatures w14:val="none"/>
        </w:rPr>
        <w:t xml:space="preserve"> maladaptive behaviours such as binge eating or purging. Randomised controlled trials </w:t>
      </w:r>
      <w:bookmarkStart w:id="14" w:name="_Int_n09WoMM2"/>
      <w:r w:rsidRPr="009D0406">
        <w:rPr>
          <w:rFonts w:ascii="Arial" w:hAnsi="Arial" w:cs="Arial"/>
          <w:kern w:val="0"/>
          <w:sz w:val="22"/>
          <w:szCs w:val="22"/>
          <w14:ligatures w14:val="none"/>
        </w:rPr>
        <w:t>demonstrate</w:t>
      </w:r>
      <w:bookmarkEnd w:id="14"/>
      <w:r w:rsidRPr="009D0406">
        <w:rPr>
          <w:rFonts w:ascii="Arial" w:hAnsi="Arial" w:cs="Arial"/>
          <w:kern w:val="0"/>
          <w:sz w:val="22"/>
          <w:szCs w:val="22"/>
          <w14:ligatures w14:val="none"/>
        </w:rPr>
        <w:t xml:space="preserve"> moderate-to-large effect sizes, though long-term remission rates </w:t>
      </w:r>
      <w:bookmarkStart w:id="15" w:name="_Int_PF2uOKJM"/>
      <w:r w:rsidRPr="009D0406">
        <w:rPr>
          <w:rFonts w:ascii="Arial" w:hAnsi="Arial" w:cs="Arial"/>
          <w:kern w:val="0"/>
          <w:sz w:val="22"/>
          <w:szCs w:val="22"/>
          <w14:ligatures w14:val="none"/>
        </w:rPr>
        <w:t>remain</w:t>
      </w:r>
      <w:bookmarkEnd w:id="15"/>
      <w:r w:rsidRPr="009D0406">
        <w:rPr>
          <w:rFonts w:ascii="Arial" w:hAnsi="Arial" w:cs="Arial"/>
          <w:kern w:val="0"/>
          <w:sz w:val="22"/>
          <w:szCs w:val="22"/>
          <w14:ligatures w14:val="none"/>
        </w:rPr>
        <w:t xml:space="preserve"> modest, with relapse a persistent challenge (Linardon et al., 2019).</w:t>
      </w:r>
    </w:p>
    <w:p w14:paraId="122074E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023226D4" w14:textId="155CD915"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Family-Based Therapy (FBT), also known as the Maudsley Method, has become the treatment of choice for adolescents with anorexia nervosa. It empowers families to take an active role in restoring the child’s weight and normalising eating patterns (Herpertz-Dahlmann, 2019). Evidence suggests that FBT produces superior outcomes compared with individual therapy in younger populations, with lower relapse rates (</w:t>
      </w:r>
      <w:r w:rsidR="00D147CD">
        <w:rPr>
          <w:rFonts w:ascii="Arial" w:hAnsi="Arial" w:cs="Arial"/>
          <w:kern w:val="0"/>
          <w:sz w:val="22"/>
          <w:szCs w:val="22"/>
          <w14:ligatures w14:val="none"/>
        </w:rPr>
        <w:t>A</w:t>
      </w:r>
      <w:r w:rsidR="00E478B9">
        <w:rPr>
          <w:rFonts w:ascii="Arial" w:hAnsi="Arial" w:cs="Arial"/>
          <w:kern w:val="0"/>
          <w:sz w:val="22"/>
          <w:szCs w:val="22"/>
          <w14:ligatures w14:val="none"/>
        </w:rPr>
        <w:t>h</w:t>
      </w:r>
      <w:r w:rsidR="001D079C">
        <w:rPr>
          <w:rFonts w:ascii="Arial" w:hAnsi="Arial" w:cs="Arial"/>
          <w:kern w:val="0"/>
          <w:sz w:val="22"/>
          <w:szCs w:val="22"/>
          <w14:ligatures w14:val="none"/>
        </w:rPr>
        <w:t>rb</w:t>
      </w:r>
      <w:r w:rsidR="001D094C">
        <w:rPr>
          <w:rFonts w:ascii="Arial" w:hAnsi="Arial" w:cs="Arial"/>
          <w:kern w:val="0"/>
          <w:sz w:val="22"/>
          <w:szCs w:val="22"/>
          <w14:ligatures w14:val="none"/>
        </w:rPr>
        <w:t>erg</w:t>
      </w:r>
      <w:r w:rsidR="00352246">
        <w:rPr>
          <w:rFonts w:ascii="Arial" w:hAnsi="Arial" w:cs="Arial"/>
          <w:kern w:val="0"/>
          <w:sz w:val="22"/>
          <w:szCs w:val="22"/>
          <w14:ligatures w14:val="none"/>
        </w:rPr>
        <w:t xml:space="preserve"> et</w:t>
      </w:r>
      <w:r w:rsidR="00234D9D">
        <w:rPr>
          <w:rFonts w:ascii="Arial" w:hAnsi="Arial" w:cs="Arial"/>
          <w:kern w:val="0"/>
          <w:sz w:val="22"/>
          <w:szCs w:val="22"/>
          <w14:ligatures w14:val="none"/>
        </w:rPr>
        <w:t>. Al.</w:t>
      </w:r>
      <w:r w:rsidRPr="009D0406">
        <w:rPr>
          <w:rFonts w:ascii="Arial" w:hAnsi="Arial" w:cs="Arial"/>
          <w:kern w:val="0"/>
          <w:sz w:val="22"/>
          <w:szCs w:val="22"/>
          <w14:ligatures w14:val="none"/>
        </w:rPr>
        <w:t>, 20</w:t>
      </w:r>
      <w:r w:rsidR="000575C0">
        <w:rPr>
          <w:rFonts w:ascii="Arial" w:hAnsi="Arial" w:cs="Arial"/>
          <w:kern w:val="0"/>
          <w:sz w:val="22"/>
          <w:szCs w:val="22"/>
          <w14:ligatures w14:val="none"/>
        </w:rPr>
        <w:t>11</w:t>
      </w:r>
      <w:r w:rsidRPr="009D0406">
        <w:rPr>
          <w:rFonts w:ascii="Arial" w:hAnsi="Arial" w:cs="Arial"/>
          <w:kern w:val="0"/>
          <w:sz w:val="22"/>
          <w:szCs w:val="22"/>
          <w14:ligatures w14:val="none"/>
        </w:rPr>
        <w:t xml:space="preserve">). However, its applicability is more limited in adults, who often </w:t>
      </w:r>
      <w:bookmarkStart w:id="16" w:name="_Int_Xm2IBAsR"/>
      <w:r w:rsidRPr="009D0406">
        <w:rPr>
          <w:rFonts w:ascii="Arial" w:hAnsi="Arial" w:cs="Arial"/>
          <w:kern w:val="0"/>
          <w:sz w:val="22"/>
          <w:szCs w:val="22"/>
          <w14:ligatures w14:val="none"/>
        </w:rPr>
        <w:t>require</w:t>
      </w:r>
      <w:bookmarkEnd w:id="16"/>
      <w:r w:rsidRPr="009D0406">
        <w:rPr>
          <w:rFonts w:ascii="Arial" w:hAnsi="Arial" w:cs="Arial"/>
          <w:kern w:val="0"/>
          <w:sz w:val="22"/>
          <w:szCs w:val="22"/>
          <w14:ligatures w14:val="none"/>
        </w:rPr>
        <w:t xml:space="preserve"> greater emphasis on autonomy and self-directed recovery.</w:t>
      </w:r>
    </w:p>
    <w:p w14:paraId="5908431E"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2D03C745" w14:textId="77777777" w:rsidR="00E33FAA" w:rsidRPr="00C3389F" w:rsidRDefault="00E33FAA" w:rsidP="009D0406">
      <w:pPr>
        <w:spacing w:before="100" w:beforeAutospacing="1" w:after="100" w:afterAutospacing="1" w:line="360" w:lineRule="auto"/>
        <w:rPr>
          <w:rFonts w:ascii="Arial" w:hAnsi="Arial" w:cs="Arial"/>
          <w:b/>
          <w:bCs/>
          <w:kern w:val="0"/>
          <w:sz w:val="22"/>
          <w:szCs w:val="22"/>
          <w14:ligatures w14:val="none"/>
        </w:rPr>
      </w:pPr>
      <w:r w:rsidRPr="00C3389F">
        <w:rPr>
          <w:rFonts w:ascii="Arial" w:hAnsi="Arial" w:cs="Arial"/>
          <w:b/>
          <w:bCs/>
          <w:kern w:val="0"/>
          <w:sz w:val="22"/>
          <w:szCs w:val="22"/>
          <w14:ligatures w14:val="none"/>
        </w:rPr>
        <w:t>Pharmacological Approaches.</w:t>
      </w:r>
    </w:p>
    <w:p w14:paraId="7B4B6B3B" w14:textId="47F82AA5"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Medication has a </w:t>
      </w:r>
      <w:r w:rsidR="0011708D" w:rsidRPr="009D0406">
        <w:rPr>
          <w:rFonts w:ascii="Arial" w:hAnsi="Arial" w:cs="Arial"/>
          <w:kern w:val="0"/>
          <w:sz w:val="22"/>
          <w:szCs w:val="22"/>
          <w14:ligatures w14:val="none"/>
        </w:rPr>
        <w:t>modest</w:t>
      </w:r>
      <w:r w:rsidRPr="009D0406">
        <w:rPr>
          <w:rFonts w:ascii="Arial" w:hAnsi="Arial" w:cs="Arial"/>
          <w:kern w:val="0"/>
          <w:sz w:val="22"/>
          <w:szCs w:val="22"/>
          <w14:ligatures w14:val="none"/>
        </w:rPr>
        <w:t xml:space="preserve"> role in the treatment of FEDs. Selective Serotonin Reuptake Inhibitors (SSRIs) such as fluoxetine may reduce binge–purge symptoms in bulimia nervosa, though their effects are less robust than psychotherapy (</w:t>
      </w:r>
      <w:r w:rsidR="00A44F7E">
        <w:rPr>
          <w:rFonts w:ascii="Arial" w:hAnsi="Arial" w:cs="Arial"/>
          <w:kern w:val="0"/>
          <w:sz w:val="22"/>
          <w:szCs w:val="22"/>
          <w14:ligatures w14:val="none"/>
        </w:rPr>
        <w:t>A</w:t>
      </w:r>
      <w:r w:rsidR="00EF4985">
        <w:rPr>
          <w:rFonts w:ascii="Arial" w:hAnsi="Arial" w:cs="Arial"/>
          <w:kern w:val="0"/>
          <w:sz w:val="22"/>
          <w:szCs w:val="22"/>
          <w14:ligatures w14:val="none"/>
        </w:rPr>
        <w:t>h</w:t>
      </w:r>
      <w:r w:rsidR="00AC60FD">
        <w:rPr>
          <w:rFonts w:ascii="Arial" w:hAnsi="Arial" w:cs="Arial"/>
          <w:kern w:val="0"/>
          <w:sz w:val="22"/>
          <w:szCs w:val="22"/>
          <w14:ligatures w14:val="none"/>
        </w:rPr>
        <w:t>rberg et.al.</w:t>
      </w:r>
      <w:r w:rsidRPr="009D0406">
        <w:rPr>
          <w:rFonts w:ascii="Arial" w:hAnsi="Arial" w:cs="Arial"/>
          <w:kern w:val="0"/>
          <w:sz w:val="22"/>
          <w:szCs w:val="22"/>
          <w14:ligatures w14:val="none"/>
        </w:rPr>
        <w:t>, 20</w:t>
      </w:r>
      <w:r w:rsidR="00A44F7E">
        <w:rPr>
          <w:rFonts w:ascii="Arial" w:hAnsi="Arial" w:cs="Arial"/>
          <w:kern w:val="0"/>
          <w:sz w:val="22"/>
          <w:szCs w:val="22"/>
          <w14:ligatures w14:val="none"/>
        </w:rPr>
        <w:t>11</w:t>
      </w:r>
      <w:r w:rsidRPr="009D0406">
        <w:rPr>
          <w:rFonts w:ascii="Arial" w:hAnsi="Arial" w:cs="Arial"/>
          <w:kern w:val="0"/>
          <w:sz w:val="22"/>
          <w:szCs w:val="22"/>
          <w14:ligatures w14:val="none"/>
        </w:rPr>
        <w:t xml:space="preserve">). Similarly, lisdexamfetamine has </w:t>
      </w:r>
      <w:bookmarkStart w:id="17" w:name="_Int_DWz69UH4"/>
      <w:r w:rsidRPr="009D0406">
        <w:rPr>
          <w:rFonts w:ascii="Arial" w:hAnsi="Arial" w:cs="Arial"/>
          <w:kern w:val="0"/>
          <w:sz w:val="22"/>
          <w:szCs w:val="22"/>
          <w14:ligatures w14:val="none"/>
        </w:rPr>
        <w:t>been approved</w:t>
      </w:r>
      <w:bookmarkEnd w:id="17"/>
      <w:r w:rsidRPr="009D0406">
        <w:rPr>
          <w:rFonts w:ascii="Arial" w:hAnsi="Arial" w:cs="Arial"/>
          <w:kern w:val="0"/>
          <w:sz w:val="22"/>
          <w:szCs w:val="22"/>
          <w14:ligatures w14:val="none"/>
        </w:rPr>
        <w:t xml:space="preserve"> in some countries for binge eating disorder, showing efficacy in reducing binge frequency, but concerns </w:t>
      </w:r>
      <w:bookmarkStart w:id="18" w:name="_Int_ZyVxave5"/>
      <w:r w:rsidRPr="009D0406">
        <w:rPr>
          <w:rFonts w:ascii="Arial" w:hAnsi="Arial" w:cs="Arial"/>
          <w:kern w:val="0"/>
          <w:sz w:val="22"/>
          <w:szCs w:val="22"/>
          <w14:ligatures w14:val="none"/>
        </w:rPr>
        <w:t>remain</w:t>
      </w:r>
      <w:bookmarkEnd w:id="18"/>
      <w:r w:rsidRPr="009D0406">
        <w:rPr>
          <w:rFonts w:ascii="Arial" w:hAnsi="Arial" w:cs="Arial"/>
          <w:kern w:val="0"/>
          <w:sz w:val="22"/>
          <w:szCs w:val="22"/>
          <w14:ligatures w14:val="none"/>
        </w:rPr>
        <w:t xml:space="preserve"> </w:t>
      </w:r>
      <w:bookmarkStart w:id="19" w:name="_Int_XdZ6YaFB"/>
      <w:r w:rsidRPr="009D0406">
        <w:rPr>
          <w:rFonts w:ascii="Arial" w:hAnsi="Arial" w:cs="Arial"/>
          <w:kern w:val="0"/>
          <w:sz w:val="22"/>
          <w:szCs w:val="22"/>
          <w14:ligatures w14:val="none"/>
        </w:rPr>
        <w:t>regarding</w:t>
      </w:r>
      <w:bookmarkEnd w:id="19"/>
      <w:r w:rsidRPr="009D0406">
        <w:rPr>
          <w:rFonts w:ascii="Arial" w:hAnsi="Arial" w:cs="Arial"/>
          <w:kern w:val="0"/>
          <w:sz w:val="22"/>
          <w:szCs w:val="22"/>
          <w14:ligatures w14:val="none"/>
        </w:rPr>
        <w:t xml:space="preserve"> long-term safety and potential for misuse. Importantly, no medication </w:t>
      </w:r>
      <w:bookmarkStart w:id="20" w:name="_Int_PJu0dy4i"/>
      <w:r w:rsidRPr="009D0406">
        <w:rPr>
          <w:rFonts w:ascii="Arial" w:hAnsi="Arial" w:cs="Arial"/>
          <w:kern w:val="0"/>
          <w:sz w:val="22"/>
          <w:szCs w:val="22"/>
          <w14:ligatures w14:val="none"/>
        </w:rPr>
        <w:t>is currently approved</w:t>
      </w:r>
      <w:bookmarkEnd w:id="20"/>
      <w:r w:rsidRPr="009D0406">
        <w:rPr>
          <w:rFonts w:ascii="Arial" w:hAnsi="Arial" w:cs="Arial"/>
          <w:kern w:val="0"/>
          <w:sz w:val="22"/>
          <w:szCs w:val="22"/>
          <w14:ligatures w14:val="none"/>
        </w:rPr>
        <w:t xml:space="preserve"> specifically for anorexia nervosa, underscoring the difficulty of pharmacological management in this group (Treasure, Duarte &amp; Schmidt, 2020).</w:t>
      </w:r>
    </w:p>
    <w:p w14:paraId="175DAE66" w14:textId="77777777" w:rsidR="00E33FAA" w:rsidRPr="00855501" w:rsidRDefault="00E33FAA" w:rsidP="009D0406">
      <w:pPr>
        <w:spacing w:before="100" w:beforeAutospacing="1" w:after="100" w:afterAutospacing="1" w:line="360" w:lineRule="auto"/>
        <w:rPr>
          <w:rFonts w:ascii="Arial" w:hAnsi="Arial" w:cs="Arial"/>
          <w:b/>
          <w:bCs/>
          <w:kern w:val="0"/>
          <w:sz w:val="22"/>
          <w:szCs w:val="22"/>
          <w14:ligatures w14:val="none"/>
        </w:rPr>
      </w:pPr>
      <w:r w:rsidRPr="00855501">
        <w:rPr>
          <w:rFonts w:ascii="Arial" w:hAnsi="Arial" w:cs="Arial"/>
          <w:b/>
          <w:bCs/>
          <w:kern w:val="0"/>
          <w:sz w:val="22"/>
          <w:szCs w:val="22"/>
          <w14:ligatures w14:val="none"/>
        </w:rPr>
        <w:t>Nutritional Rehabilitation and Medical Care.</w:t>
      </w:r>
    </w:p>
    <w:p w14:paraId="301AE145" w14:textId="7E25E12B" w:rsidR="00AB6858"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Nutritional support and medical monitoring are essential components of treatment, particularly in anorexia nervosa, where malnutrition and electrolyte imbalances pose life-threatening risks (Katzman, 2019). Nutritional rehabilitation aims not only to restore healthy weight but also to normalise eating patterns and reduce food-related anxiety. Medical monitoring is critical in preventing complications such as refeeding syndrome, osteoporosis, and cardiovascular problems.</w:t>
      </w:r>
    </w:p>
    <w:p w14:paraId="0061C477" w14:textId="01BA0685" w:rsidR="00E33FAA" w:rsidRPr="00AB6858" w:rsidRDefault="007C32BA" w:rsidP="00AB6858">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3.2 </w:t>
      </w:r>
      <w:r w:rsidR="00E33FAA" w:rsidRPr="009D0406">
        <w:rPr>
          <w:rFonts w:ascii="Arial" w:eastAsia="Times New Roman" w:hAnsi="Arial" w:cs="Arial"/>
          <w:b/>
          <w:bCs/>
          <w:kern w:val="0"/>
          <w:sz w:val="22"/>
          <w:szCs w:val="22"/>
          <w14:ligatures w14:val="none"/>
        </w:rPr>
        <w:t>Rehabilitation in ICD-11 and in Practice</w:t>
      </w:r>
    </w:p>
    <w:p w14:paraId="32CF69F9" w14:textId="0142ACBA"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ICD-11 emphasises that feeding and eating disorders result in “significant risk or damage to health, significant distress, or significant impairment in personal, family, social, educational, or occupational functioning” (WHO, 2019). Rehabilitation is therefore conceptualised as a multidimensional process extending beyond symptom reduction. It incorporates medical, psychological, and social recovery, highlighting the importance of functional outcomes.</w:t>
      </w:r>
    </w:p>
    <w:p w14:paraId="079460D0" w14:textId="77777777" w:rsidR="00AB6858" w:rsidRDefault="00AB6858" w:rsidP="009D0406">
      <w:pPr>
        <w:spacing w:before="100" w:beforeAutospacing="1" w:after="100" w:afterAutospacing="1" w:line="360" w:lineRule="auto"/>
        <w:rPr>
          <w:rFonts w:ascii="Arial" w:hAnsi="Arial" w:cs="Arial"/>
          <w:b/>
          <w:bCs/>
          <w:kern w:val="0"/>
          <w:sz w:val="22"/>
          <w:szCs w:val="22"/>
          <w14:ligatures w14:val="none"/>
        </w:rPr>
      </w:pPr>
    </w:p>
    <w:p w14:paraId="5A2146FA" w14:textId="75E905E7" w:rsidR="00E33FAA" w:rsidRPr="00855501" w:rsidRDefault="00E33FAA" w:rsidP="009D0406">
      <w:pPr>
        <w:spacing w:before="100" w:beforeAutospacing="1" w:after="100" w:afterAutospacing="1" w:line="360" w:lineRule="auto"/>
        <w:rPr>
          <w:rFonts w:ascii="Arial" w:hAnsi="Arial" w:cs="Arial"/>
          <w:b/>
          <w:bCs/>
          <w:kern w:val="0"/>
          <w:sz w:val="22"/>
          <w:szCs w:val="22"/>
          <w14:ligatures w14:val="none"/>
        </w:rPr>
      </w:pPr>
      <w:r w:rsidRPr="00855501">
        <w:rPr>
          <w:rFonts w:ascii="Arial" w:hAnsi="Arial" w:cs="Arial"/>
          <w:b/>
          <w:bCs/>
          <w:kern w:val="0"/>
          <w:sz w:val="22"/>
          <w:szCs w:val="22"/>
          <w14:ligatures w14:val="none"/>
        </w:rPr>
        <w:t>In practice, rehabilitation may include:</w:t>
      </w:r>
    </w:p>
    <w:p w14:paraId="49ACD6A3" w14:textId="77777777" w:rsidR="00E33FAA" w:rsidRPr="009D0406" w:rsidRDefault="00E33FAA" w:rsidP="009D0406">
      <w:pPr>
        <w:numPr>
          <w:ilvl w:val="0"/>
          <w:numId w:val="2"/>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Structured refeeding programmes (inpatient or outpatient).</w:t>
      </w:r>
    </w:p>
    <w:p w14:paraId="06B301B0" w14:textId="77777777" w:rsidR="00E33FAA" w:rsidRPr="009D0406" w:rsidRDefault="00E33FAA" w:rsidP="009D0406">
      <w:pPr>
        <w:numPr>
          <w:ilvl w:val="0"/>
          <w:numId w:val="2"/>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Psychosocial interventions to address comorbidities (e.g., depression, anxiety, obsessive-compulsive symptoms).</w:t>
      </w:r>
    </w:p>
    <w:p w14:paraId="1C546194" w14:textId="77777777" w:rsidR="00E33FAA" w:rsidRPr="009D0406" w:rsidRDefault="00E33FAA" w:rsidP="009D0406">
      <w:pPr>
        <w:numPr>
          <w:ilvl w:val="0"/>
          <w:numId w:val="2"/>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Occupational and educational reintegration.</w:t>
      </w:r>
    </w:p>
    <w:p w14:paraId="11BF2BC1" w14:textId="442AD872" w:rsidR="00E33FAA" w:rsidRPr="00FF2DEA" w:rsidRDefault="00E33FAA" w:rsidP="009D0406">
      <w:pPr>
        <w:numPr>
          <w:ilvl w:val="0"/>
          <w:numId w:val="2"/>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Peer-support and community-based recovery models.</w:t>
      </w:r>
    </w:p>
    <w:p w14:paraId="6DFE3598"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The ICD-11 framework supports the view that long-term recovery should focus on restoring quality of life and social functioning, not merely the cessation of disordered eating behaviours.</w:t>
      </w:r>
    </w:p>
    <w:p w14:paraId="4C5B080C"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3BB9D438" w14:textId="720454FA" w:rsidR="00E33FAA" w:rsidRPr="00FF2DEA" w:rsidRDefault="007C32BA" w:rsidP="00FF2DEA">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3.3 </w:t>
      </w:r>
      <w:r w:rsidR="00E33FAA" w:rsidRPr="009D0406">
        <w:rPr>
          <w:rFonts w:ascii="Arial" w:eastAsia="Times New Roman" w:hAnsi="Arial" w:cs="Arial"/>
          <w:b/>
          <w:bCs/>
          <w:kern w:val="0"/>
          <w:sz w:val="22"/>
          <w:szCs w:val="22"/>
          <w14:ligatures w14:val="none"/>
        </w:rPr>
        <w:t>Effectiveness and Limitations</w:t>
      </w:r>
    </w:p>
    <w:p w14:paraId="630F34B2" w14:textId="5DC8BB0E"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FF2DEA">
        <w:rPr>
          <w:rFonts w:ascii="Arial" w:hAnsi="Arial" w:cs="Arial"/>
          <w:b/>
          <w:bCs/>
          <w:kern w:val="0"/>
          <w:sz w:val="22"/>
          <w:szCs w:val="22"/>
          <w14:ligatures w14:val="none"/>
        </w:rPr>
        <w:t>Despite progress in treatment,</w:t>
      </w:r>
      <w:r w:rsidRPr="009D0406">
        <w:rPr>
          <w:rFonts w:ascii="Arial" w:hAnsi="Arial" w:cs="Arial"/>
          <w:kern w:val="0"/>
          <w:sz w:val="22"/>
          <w:szCs w:val="22"/>
          <w14:ligatures w14:val="none"/>
        </w:rPr>
        <w:t xml:space="preserve"> significant limitations </w:t>
      </w:r>
      <w:r w:rsidR="00A11828" w:rsidRPr="009D0406">
        <w:rPr>
          <w:rFonts w:ascii="Arial" w:hAnsi="Arial" w:cs="Arial"/>
          <w:kern w:val="0"/>
          <w:sz w:val="22"/>
          <w:szCs w:val="22"/>
          <w14:ligatures w14:val="none"/>
        </w:rPr>
        <w:t>are still</w:t>
      </w:r>
      <w:r w:rsidRPr="009D0406">
        <w:rPr>
          <w:rFonts w:ascii="Arial" w:hAnsi="Arial" w:cs="Arial"/>
          <w:kern w:val="0"/>
          <w:sz w:val="22"/>
          <w:szCs w:val="22"/>
          <w14:ligatures w14:val="none"/>
        </w:rPr>
        <w:t xml:space="preserve">. Anorexia nervosa has one of the highest mortality rates among psychiatric disorders, with relapse rates reported as high as 50% (Berends, Boonstra &amp; van Elburg, 2018). Even in cases where weight restoration </w:t>
      </w:r>
      <w:bookmarkStart w:id="21" w:name="_Int_Ja07rBdW"/>
      <w:r w:rsidRPr="009D0406">
        <w:rPr>
          <w:rFonts w:ascii="Arial" w:hAnsi="Arial" w:cs="Arial"/>
          <w:kern w:val="0"/>
          <w:sz w:val="22"/>
          <w:szCs w:val="22"/>
          <w14:ligatures w14:val="none"/>
        </w:rPr>
        <w:t>is achieved</w:t>
      </w:r>
      <w:bookmarkEnd w:id="21"/>
      <w:r w:rsidRPr="009D0406">
        <w:rPr>
          <w:rFonts w:ascii="Arial" w:hAnsi="Arial" w:cs="Arial"/>
          <w:kern w:val="0"/>
          <w:sz w:val="22"/>
          <w:szCs w:val="22"/>
          <w14:ligatures w14:val="none"/>
        </w:rPr>
        <w:t>, many patients continue to experience enduring psychological distress and impaired functioning.</w:t>
      </w:r>
    </w:p>
    <w:p w14:paraId="59656E06"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233AC275"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7D6080">
        <w:rPr>
          <w:rFonts w:ascii="Arial" w:hAnsi="Arial" w:cs="Arial"/>
          <w:b/>
          <w:bCs/>
          <w:kern w:val="0"/>
          <w:sz w:val="22"/>
          <w:szCs w:val="22"/>
          <w14:ligatures w14:val="none"/>
        </w:rPr>
        <w:t>A further limitation lies in the accessibility of evidence-based treatments.</w:t>
      </w:r>
      <w:r w:rsidRPr="009D0406">
        <w:rPr>
          <w:rFonts w:ascii="Arial" w:hAnsi="Arial" w:cs="Arial"/>
          <w:kern w:val="0"/>
          <w:sz w:val="22"/>
          <w:szCs w:val="22"/>
          <w14:ligatures w14:val="none"/>
        </w:rPr>
        <w:t xml:space="preserve"> Many health systems face shortages of specialist services, leading to delays in treatment initiation, which are associated with poorer outcomes (Treasure et al., 2020). Moreover, existing interventions </w:t>
      </w:r>
      <w:bookmarkStart w:id="22" w:name="_Int_ssw7XbIm"/>
      <w:r w:rsidRPr="009D0406">
        <w:rPr>
          <w:rFonts w:ascii="Arial" w:hAnsi="Arial" w:cs="Arial"/>
          <w:kern w:val="0"/>
          <w:sz w:val="22"/>
          <w:szCs w:val="22"/>
          <w14:ligatures w14:val="none"/>
        </w:rPr>
        <w:t>are often designed</w:t>
      </w:r>
      <w:bookmarkEnd w:id="22"/>
      <w:r w:rsidRPr="009D0406">
        <w:rPr>
          <w:rFonts w:ascii="Arial" w:hAnsi="Arial" w:cs="Arial"/>
          <w:kern w:val="0"/>
          <w:sz w:val="22"/>
          <w:szCs w:val="22"/>
          <w14:ligatures w14:val="none"/>
        </w:rPr>
        <w:t xml:space="preserve"> for Western populations, raising concerns about cultural applicability in diverse global contexts (Murray et al., 2019).</w:t>
      </w:r>
    </w:p>
    <w:p w14:paraId="2042DA06"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3FB2D1A6" w14:textId="04C90985"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7D6080">
        <w:rPr>
          <w:rFonts w:ascii="Arial" w:hAnsi="Arial" w:cs="Arial"/>
          <w:b/>
          <w:bCs/>
          <w:kern w:val="0"/>
          <w:sz w:val="22"/>
          <w:szCs w:val="22"/>
          <w14:ligatures w14:val="none"/>
        </w:rPr>
        <w:t>Another challenge is the issue of compulsory treatment.</w:t>
      </w:r>
      <w:r w:rsidRPr="009D0406">
        <w:rPr>
          <w:rFonts w:ascii="Arial" w:hAnsi="Arial" w:cs="Arial"/>
          <w:kern w:val="0"/>
          <w:sz w:val="22"/>
          <w:szCs w:val="22"/>
          <w14:ligatures w14:val="none"/>
        </w:rPr>
        <w:t xml:space="preserve"> In cases of severe anorexia nervosa where capacity is impaired, involuntary hospitalisation and feeding may be employed. While sometimes </w:t>
      </w:r>
      <w:r w:rsidR="00A11828" w:rsidRPr="009D0406">
        <w:rPr>
          <w:rFonts w:ascii="Arial" w:hAnsi="Arial" w:cs="Arial"/>
          <w:kern w:val="0"/>
          <w:sz w:val="22"/>
          <w:szCs w:val="22"/>
          <w14:ligatures w14:val="none"/>
        </w:rPr>
        <w:t>lifesaving</w:t>
      </w:r>
      <w:r w:rsidRPr="009D0406">
        <w:rPr>
          <w:rFonts w:ascii="Arial" w:hAnsi="Arial" w:cs="Arial"/>
          <w:kern w:val="0"/>
          <w:sz w:val="22"/>
          <w:szCs w:val="22"/>
          <w14:ligatures w14:val="none"/>
        </w:rPr>
        <w:t>, these interventions raise profound ethical questions about autonomy, dignity, and long-term therapeutic relationships (Tan, Stewart &amp; Fitzpatrick, 2020).</w:t>
      </w:r>
    </w:p>
    <w:p w14:paraId="4A21B35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09EA9309" w14:textId="7AF3A10A"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B92B8E">
        <w:rPr>
          <w:rFonts w:ascii="Arial" w:hAnsi="Arial" w:cs="Arial"/>
          <w:b/>
          <w:bCs/>
          <w:kern w:val="0"/>
          <w:sz w:val="22"/>
          <w:szCs w:val="22"/>
          <w14:ligatures w14:val="none"/>
        </w:rPr>
        <w:t>Digital health interventions,</w:t>
      </w:r>
      <w:r w:rsidRPr="009D0406">
        <w:rPr>
          <w:rFonts w:ascii="Arial" w:hAnsi="Arial" w:cs="Arial"/>
          <w:kern w:val="0"/>
          <w:sz w:val="22"/>
          <w:szCs w:val="22"/>
          <w14:ligatures w14:val="none"/>
        </w:rPr>
        <w:t xml:space="preserve"> including </w:t>
      </w:r>
      <w:r w:rsidR="009831BC" w:rsidRPr="009D0406">
        <w:rPr>
          <w:rFonts w:ascii="Arial" w:hAnsi="Arial" w:cs="Arial"/>
          <w:kern w:val="0"/>
          <w:sz w:val="22"/>
          <w:szCs w:val="22"/>
          <w14:ligatures w14:val="none"/>
        </w:rPr>
        <w:t>tele therapy</w:t>
      </w:r>
      <w:r w:rsidRPr="009D0406">
        <w:rPr>
          <w:rFonts w:ascii="Arial" w:hAnsi="Arial" w:cs="Arial"/>
          <w:kern w:val="0"/>
          <w:sz w:val="22"/>
          <w:szCs w:val="22"/>
          <w14:ligatures w14:val="none"/>
        </w:rPr>
        <w:t xml:space="preserve"> and mobile applications, have recently </w:t>
      </w:r>
      <w:r w:rsidR="009831BC" w:rsidRPr="009D0406">
        <w:rPr>
          <w:rFonts w:ascii="Arial" w:hAnsi="Arial" w:cs="Arial"/>
          <w:kern w:val="0"/>
          <w:sz w:val="22"/>
          <w:szCs w:val="22"/>
          <w14:ligatures w14:val="none"/>
        </w:rPr>
        <w:t>appeared</w:t>
      </w:r>
      <w:r w:rsidRPr="009D0406">
        <w:rPr>
          <w:rFonts w:ascii="Arial" w:hAnsi="Arial" w:cs="Arial"/>
          <w:kern w:val="0"/>
          <w:sz w:val="22"/>
          <w:szCs w:val="22"/>
          <w14:ligatures w14:val="none"/>
        </w:rPr>
        <w:t xml:space="preserve"> as promising adjuncts. They offer cost-effective, scalable solutions and may reduce barriers to access, particularly in underserved regions (Linardon et al., 2019). However, the evidence base for their effectiveness </w:t>
      </w:r>
      <w:bookmarkStart w:id="23" w:name="_Int_jHn4be7X"/>
      <w:r w:rsidRPr="009D0406">
        <w:rPr>
          <w:rFonts w:ascii="Arial" w:hAnsi="Arial" w:cs="Arial"/>
          <w:kern w:val="0"/>
          <w:sz w:val="22"/>
          <w:szCs w:val="22"/>
          <w14:ligatures w14:val="none"/>
        </w:rPr>
        <w:t>remains</w:t>
      </w:r>
      <w:bookmarkEnd w:id="23"/>
      <w:r w:rsidRPr="009D0406">
        <w:rPr>
          <w:rFonts w:ascii="Arial" w:hAnsi="Arial" w:cs="Arial"/>
          <w:kern w:val="0"/>
          <w:sz w:val="22"/>
          <w:szCs w:val="22"/>
          <w14:ligatures w14:val="none"/>
        </w:rPr>
        <w:t xml:space="preserve"> in its infancy, and concerns about quality assurance persist.</w:t>
      </w:r>
    </w:p>
    <w:p w14:paraId="0717861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5796C80D" w14:textId="3F6A8698" w:rsidR="00E33FAA" w:rsidRPr="000C1829" w:rsidRDefault="007C32BA" w:rsidP="000C1829">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3.4 </w:t>
      </w:r>
      <w:r w:rsidR="00E33FAA" w:rsidRPr="009D0406">
        <w:rPr>
          <w:rFonts w:ascii="Arial" w:eastAsia="Times New Roman" w:hAnsi="Arial" w:cs="Arial"/>
          <w:b/>
          <w:bCs/>
          <w:kern w:val="0"/>
          <w:sz w:val="22"/>
          <w:szCs w:val="22"/>
          <w14:ligatures w14:val="none"/>
        </w:rPr>
        <w:t>Critical Appraisal</w:t>
      </w:r>
    </w:p>
    <w:p w14:paraId="4E857802" w14:textId="5C112F80"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Overall, treatment and rehabilitation approaches for FEDs have advanced significantly in recent decades, particularly with the development of CBT-E and FBT. Yet outcomes </w:t>
      </w:r>
      <w:r w:rsidR="009831BC" w:rsidRPr="009D0406">
        <w:rPr>
          <w:rFonts w:ascii="Arial" w:hAnsi="Arial" w:cs="Arial"/>
          <w:kern w:val="0"/>
          <w:sz w:val="22"/>
          <w:szCs w:val="22"/>
          <w14:ligatures w14:val="none"/>
        </w:rPr>
        <w:t>stay</w:t>
      </w:r>
      <w:r w:rsidRPr="009D0406">
        <w:rPr>
          <w:rFonts w:ascii="Arial" w:hAnsi="Arial" w:cs="Arial"/>
          <w:kern w:val="0"/>
          <w:sz w:val="22"/>
          <w:szCs w:val="22"/>
          <w14:ligatures w14:val="none"/>
        </w:rPr>
        <w:t xml:space="preserve"> suboptimal, especially in anorexia nervosa, where mortality and relapse rates underscore the urgent need for novel therapeutic strategies. The ICD-11’s emphasis on functional impairment and distress </w:t>
      </w:r>
      <w:r w:rsidR="009831BC" w:rsidRPr="009D0406">
        <w:rPr>
          <w:rFonts w:ascii="Arial" w:hAnsi="Arial" w:cs="Arial"/>
          <w:kern w:val="0"/>
          <w:sz w:val="22"/>
          <w:szCs w:val="22"/>
          <w14:ligatures w14:val="none"/>
        </w:rPr>
        <w:t>stands for</w:t>
      </w:r>
      <w:r w:rsidRPr="009D0406">
        <w:rPr>
          <w:rFonts w:ascii="Arial" w:hAnsi="Arial" w:cs="Arial"/>
          <w:kern w:val="0"/>
          <w:sz w:val="22"/>
          <w:szCs w:val="22"/>
          <w14:ligatures w14:val="none"/>
        </w:rPr>
        <w:t xml:space="preserve"> progress, aligning diagnostic and rehabilitative practices with real-world outcomes. Nevertheless, substantial challenges persist in ensuring </w:t>
      </w:r>
      <w:bookmarkStart w:id="24" w:name="_Int_ifdgOTGz"/>
      <w:r w:rsidRPr="009D0406">
        <w:rPr>
          <w:rFonts w:ascii="Arial" w:hAnsi="Arial" w:cs="Arial"/>
          <w:kern w:val="0"/>
          <w:sz w:val="22"/>
          <w:szCs w:val="22"/>
          <w14:ligatures w14:val="none"/>
        </w:rPr>
        <w:t>equitable</w:t>
      </w:r>
      <w:bookmarkEnd w:id="24"/>
      <w:r w:rsidRPr="009D0406">
        <w:rPr>
          <w:rFonts w:ascii="Arial" w:hAnsi="Arial" w:cs="Arial"/>
          <w:kern w:val="0"/>
          <w:sz w:val="22"/>
          <w:szCs w:val="22"/>
          <w14:ligatures w14:val="none"/>
        </w:rPr>
        <w:t xml:space="preserve"> access, culturally sensitive interventions, and ethically sound treatment frameworks.</w:t>
      </w:r>
    </w:p>
    <w:p w14:paraId="7159C408" w14:textId="5BD82C14" w:rsidR="00E33FAA" w:rsidRPr="009D0406" w:rsidRDefault="00E33FAA" w:rsidP="009D0406">
      <w:pPr>
        <w:spacing w:after="0" w:line="360" w:lineRule="auto"/>
        <w:rPr>
          <w:rFonts w:ascii="Arial" w:eastAsia="Times New Roman" w:hAnsi="Arial" w:cs="Arial"/>
          <w:kern w:val="0"/>
          <w:sz w:val="22"/>
          <w:szCs w:val="22"/>
          <w14:ligatures w14:val="none"/>
        </w:rPr>
      </w:pPr>
    </w:p>
    <w:p w14:paraId="0C3F6BD1" w14:textId="75FB7FBD" w:rsidR="00E33FAA" w:rsidRPr="00FA28DF" w:rsidRDefault="00E33FAA" w:rsidP="009D0406">
      <w:pPr>
        <w:pStyle w:val="ListParagraph"/>
        <w:numPr>
          <w:ilvl w:val="0"/>
          <w:numId w:val="1"/>
        </w:numPr>
        <w:spacing w:before="100" w:beforeAutospacing="1" w:after="100" w:afterAutospacing="1" w:line="360" w:lineRule="auto"/>
        <w:outlineLvl w:val="1"/>
        <w:rPr>
          <w:rFonts w:ascii="Arial" w:hAnsi="Arial" w:cs="Arial"/>
          <w:b/>
          <w:bCs/>
          <w:kern w:val="0"/>
          <w:sz w:val="22"/>
          <w:szCs w:val="22"/>
          <w14:ligatures w14:val="none"/>
        </w:rPr>
      </w:pPr>
      <w:r w:rsidRPr="009D0406">
        <w:rPr>
          <w:rFonts w:ascii="Arial" w:eastAsia="Times New Roman" w:hAnsi="Arial" w:cs="Arial"/>
          <w:b/>
          <w:bCs/>
          <w:kern w:val="0"/>
          <w:sz w:val="22"/>
          <w:szCs w:val="22"/>
          <w14:ligatures w14:val="none"/>
        </w:rPr>
        <w:t>Current Debates and Emerging Issues</w:t>
      </w:r>
    </w:p>
    <w:p w14:paraId="7817FB1A" w14:textId="77A88E6B" w:rsidR="00E33FAA" w:rsidRPr="009D0406" w:rsidRDefault="007C32BA" w:rsidP="009D0406">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4.1 </w:t>
      </w:r>
      <w:r w:rsidR="00E33FAA" w:rsidRPr="009D0406">
        <w:rPr>
          <w:rFonts w:ascii="Arial" w:eastAsia="Times New Roman" w:hAnsi="Arial" w:cs="Arial"/>
          <w:b/>
          <w:bCs/>
          <w:kern w:val="0"/>
          <w:sz w:val="22"/>
          <w:szCs w:val="22"/>
          <w14:ligatures w14:val="none"/>
        </w:rPr>
        <w:t>Classification Debates</w:t>
      </w:r>
    </w:p>
    <w:p w14:paraId="4B090DE7"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356741B1" w14:textId="644DCF1D"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One of the central debates concerns the ICD-11’s departure from rigid diagnostic thresholds in favour of more flexible, behavioural-based criteria. Advocates argue that this increases clinical utility and allows earlier intervention (Fairburn, 2020). Critics, however, warn of potential </w:t>
      </w:r>
      <w:r w:rsidR="008323CD" w:rsidRPr="009D0406">
        <w:rPr>
          <w:rFonts w:ascii="Arial" w:hAnsi="Arial" w:cs="Arial"/>
          <w:kern w:val="0"/>
          <w:sz w:val="22"/>
          <w:szCs w:val="22"/>
          <w14:ligatures w14:val="none"/>
        </w:rPr>
        <w:t>over diagnosis</w:t>
      </w:r>
      <w:r w:rsidRPr="009D0406">
        <w:rPr>
          <w:rFonts w:ascii="Arial" w:hAnsi="Arial" w:cs="Arial"/>
          <w:kern w:val="0"/>
          <w:sz w:val="22"/>
          <w:szCs w:val="22"/>
          <w14:ligatures w14:val="none"/>
        </w:rPr>
        <w:t>, particularly in populations where dieting and body image concerns are normative (Mitchison et al., 2020).</w:t>
      </w:r>
    </w:p>
    <w:p w14:paraId="554FF6E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77C08A7B" w14:textId="0D6AC00D"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The residual category “Other Specified Feeding or </w:t>
      </w:r>
      <w:r w:rsidR="00A05EB8" w:rsidRPr="009D0406">
        <w:rPr>
          <w:rFonts w:ascii="Arial" w:hAnsi="Arial" w:cs="Arial"/>
          <w:kern w:val="0"/>
          <w:sz w:val="22"/>
          <w:szCs w:val="22"/>
          <w14:ligatures w14:val="none"/>
        </w:rPr>
        <w:t>eating disorders</w:t>
      </w:r>
      <w:r w:rsidRPr="009D0406">
        <w:rPr>
          <w:rFonts w:ascii="Arial" w:hAnsi="Arial" w:cs="Arial"/>
          <w:kern w:val="0"/>
          <w:sz w:val="22"/>
          <w:szCs w:val="22"/>
          <w14:ligatures w14:val="none"/>
        </w:rPr>
        <w:t xml:space="preserve">” (OSFED) has been especially contentious. While it ensures that atypical or subthreshold presentations </w:t>
      </w:r>
      <w:bookmarkStart w:id="25" w:name="_Int_2bGzMLZa"/>
      <w:r w:rsidRPr="009D0406">
        <w:rPr>
          <w:rFonts w:ascii="Arial" w:hAnsi="Arial" w:cs="Arial"/>
          <w:kern w:val="0"/>
          <w:sz w:val="22"/>
          <w:szCs w:val="22"/>
          <w14:ligatures w14:val="none"/>
        </w:rPr>
        <w:t>are not overlooked</w:t>
      </w:r>
      <w:bookmarkEnd w:id="25"/>
      <w:r w:rsidRPr="009D0406">
        <w:rPr>
          <w:rFonts w:ascii="Arial" w:hAnsi="Arial" w:cs="Arial"/>
          <w:kern w:val="0"/>
          <w:sz w:val="22"/>
          <w:szCs w:val="22"/>
          <w14:ligatures w14:val="none"/>
        </w:rPr>
        <w:t>, it risks becoming a vague “catch-all” that diminishes diagnostic precision and may complicate research (Eddy et al., 2020).</w:t>
      </w:r>
    </w:p>
    <w:p w14:paraId="308D8D37"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416F4C79"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Another debate involves the transdiagnostic model, which posits that common mechanisms such as perfectionism, emotional dysregulation, and cognitive rigidity underpin a wide range of FEDs. If </w:t>
      </w:r>
      <w:bookmarkStart w:id="26" w:name="_Int_FxlMNXEK"/>
      <w:r w:rsidRPr="009D0406">
        <w:rPr>
          <w:rFonts w:ascii="Arial" w:hAnsi="Arial" w:cs="Arial"/>
          <w:kern w:val="0"/>
          <w:sz w:val="22"/>
          <w:szCs w:val="22"/>
          <w14:ligatures w14:val="none"/>
        </w:rPr>
        <w:t>accurate</w:t>
      </w:r>
      <w:bookmarkEnd w:id="26"/>
      <w:r w:rsidRPr="009D0406">
        <w:rPr>
          <w:rFonts w:ascii="Arial" w:hAnsi="Arial" w:cs="Arial"/>
          <w:kern w:val="0"/>
          <w:sz w:val="22"/>
          <w:szCs w:val="22"/>
          <w14:ligatures w14:val="none"/>
        </w:rPr>
        <w:t>, this model challenges the categorical distinctions upheld by ICD-11, suggesting that a dimensional framework might better reflect the clinical reality (Fairburn, 2020).</w:t>
      </w:r>
    </w:p>
    <w:p w14:paraId="38182172" w14:textId="77777777" w:rsidR="000C1829" w:rsidRDefault="000C1829" w:rsidP="009D0406">
      <w:pPr>
        <w:spacing w:before="100" w:beforeAutospacing="1" w:after="100" w:afterAutospacing="1" w:line="360" w:lineRule="auto"/>
        <w:outlineLvl w:val="2"/>
        <w:rPr>
          <w:rFonts w:ascii="Arial" w:eastAsia="Times New Roman" w:hAnsi="Arial" w:cs="Arial"/>
          <w:b/>
          <w:bCs/>
          <w:kern w:val="0"/>
          <w:sz w:val="22"/>
          <w:szCs w:val="22"/>
          <w14:ligatures w14:val="none"/>
        </w:rPr>
      </w:pPr>
    </w:p>
    <w:p w14:paraId="4A49B3F1" w14:textId="2C1FCC28" w:rsidR="00E33FAA" w:rsidRPr="00FA28DF" w:rsidRDefault="007C32BA" w:rsidP="00FA28D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4.2 </w:t>
      </w:r>
      <w:r w:rsidR="00E33FAA" w:rsidRPr="009D0406">
        <w:rPr>
          <w:rFonts w:ascii="Arial" w:eastAsia="Times New Roman" w:hAnsi="Arial" w:cs="Arial"/>
          <w:b/>
          <w:bCs/>
          <w:kern w:val="0"/>
          <w:sz w:val="22"/>
          <w:szCs w:val="22"/>
          <w14:ligatures w14:val="none"/>
        </w:rPr>
        <w:t>Neurodivergence and Reclassification</w:t>
      </w:r>
    </w:p>
    <w:p w14:paraId="0888FCBF" w14:textId="06773A21"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Emerging research suggests significant overlap between FEDs and </w:t>
      </w:r>
      <w:r w:rsidR="00E57FB8" w:rsidRPr="009D0406">
        <w:rPr>
          <w:rFonts w:ascii="Arial" w:hAnsi="Arial" w:cs="Arial"/>
          <w:kern w:val="0"/>
          <w:sz w:val="22"/>
          <w:szCs w:val="22"/>
          <w14:ligatures w14:val="none"/>
        </w:rPr>
        <w:t>neurodevelopment</w:t>
      </w:r>
      <w:r w:rsidRPr="009D0406">
        <w:rPr>
          <w:rFonts w:ascii="Arial" w:hAnsi="Arial" w:cs="Arial"/>
          <w:kern w:val="0"/>
          <w:sz w:val="22"/>
          <w:szCs w:val="22"/>
          <w14:ligatures w14:val="none"/>
        </w:rPr>
        <w:t xml:space="preserve"> conditions, particularly autism spectrum disorder (ASD). For example, Avoidant/Restrictive Food Intake Disorder (ARFID) often presents in individuals with sensory sensitivities and rigid routines, traits </w:t>
      </w:r>
      <w:bookmarkStart w:id="27" w:name="_Int_sdNBt9em"/>
      <w:r w:rsidRPr="009D0406">
        <w:rPr>
          <w:rFonts w:ascii="Arial" w:hAnsi="Arial" w:cs="Arial"/>
          <w:kern w:val="0"/>
          <w:sz w:val="22"/>
          <w:szCs w:val="22"/>
          <w14:ligatures w14:val="none"/>
        </w:rPr>
        <w:t>frequently</w:t>
      </w:r>
      <w:bookmarkEnd w:id="27"/>
      <w:r w:rsidRPr="009D0406">
        <w:rPr>
          <w:rFonts w:ascii="Arial" w:hAnsi="Arial" w:cs="Arial"/>
          <w:kern w:val="0"/>
          <w:sz w:val="22"/>
          <w:szCs w:val="22"/>
          <w14:ligatures w14:val="none"/>
        </w:rPr>
        <w:t xml:space="preserve"> </w:t>
      </w:r>
      <w:bookmarkStart w:id="28" w:name="_Int_HM3LRpiU"/>
      <w:r w:rsidRPr="009D0406">
        <w:rPr>
          <w:rFonts w:ascii="Arial" w:hAnsi="Arial" w:cs="Arial"/>
          <w:kern w:val="0"/>
          <w:sz w:val="22"/>
          <w:szCs w:val="22"/>
          <w14:ligatures w14:val="none"/>
        </w:rPr>
        <w:t>observed</w:t>
      </w:r>
      <w:bookmarkEnd w:id="28"/>
      <w:r w:rsidRPr="009D0406">
        <w:rPr>
          <w:rFonts w:ascii="Arial" w:hAnsi="Arial" w:cs="Arial"/>
          <w:kern w:val="0"/>
          <w:sz w:val="22"/>
          <w:szCs w:val="22"/>
          <w14:ligatures w14:val="none"/>
        </w:rPr>
        <w:t xml:space="preserve"> in ASD </w:t>
      </w:r>
      <w:r w:rsidR="00DE0B93">
        <w:rPr>
          <w:rFonts w:ascii="Arial" w:hAnsi="Arial" w:cs="Arial"/>
          <w:kern w:val="0"/>
          <w:sz w:val="22"/>
          <w:szCs w:val="22"/>
          <w14:ligatures w14:val="none"/>
        </w:rPr>
        <w:t>B</w:t>
      </w:r>
      <w:r w:rsidR="00DA7A6B">
        <w:rPr>
          <w:rFonts w:ascii="Arial" w:hAnsi="Arial" w:cs="Arial"/>
          <w:kern w:val="0"/>
          <w:sz w:val="22"/>
          <w:szCs w:val="22"/>
          <w14:ligatures w14:val="none"/>
        </w:rPr>
        <w:t>ou</w:t>
      </w:r>
      <w:r w:rsidR="005C5283">
        <w:rPr>
          <w:rFonts w:ascii="Arial" w:hAnsi="Arial" w:cs="Arial"/>
          <w:kern w:val="0"/>
          <w:sz w:val="22"/>
          <w:szCs w:val="22"/>
          <w14:ligatures w14:val="none"/>
        </w:rPr>
        <w:t>rne</w:t>
      </w:r>
      <w:r w:rsidR="008137D0">
        <w:rPr>
          <w:rFonts w:ascii="Arial" w:hAnsi="Arial" w:cs="Arial"/>
          <w:kern w:val="0"/>
          <w:sz w:val="22"/>
          <w:szCs w:val="22"/>
          <w14:ligatures w14:val="none"/>
        </w:rPr>
        <w:t xml:space="preserve"> et.</w:t>
      </w:r>
      <w:r w:rsidR="008052A0">
        <w:rPr>
          <w:rFonts w:ascii="Arial" w:hAnsi="Arial" w:cs="Arial"/>
          <w:kern w:val="0"/>
          <w:sz w:val="22"/>
          <w:szCs w:val="22"/>
          <w14:ligatures w14:val="none"/>
        </w:rPr>
        <w:t xml:space="preserve"> </w:t>
      </w:r>
      <w:r w:rsidR="00CC544C">
        <w:rPr>
          <w:rFonts w:ascii="Arial" w:hAnsi="Arial" w:cs="Arial"/>
          <w:kern w:val="0"/>
          <w:sz w:val="22"/>
          <w:szCs w:val="22"/>
          <w14:ligatures w14:val="none"/>
        </w:rPr>
        <w:t>a</w:t>
      </w:r>
      <w:r w:rsidR="008052A0">
        <w:rPr>
          <w:rFonts w:ascii="Arial" w:hAnsi="Arial" w:cs="Arial"/>
          <w:kern w:val="0"/>
          <w:sz w:val="22"/>
          <w:szCs w:val="22"/>
          <w14:ligatures w14:val="none"/>
        </w:rPr>
        <w:t>l</w:t>
      </w:r>
      <w:r w:rsidR="003B3ABE">
        <w:rPr>
          <w:rFonts w:ascii="Arial" w:hAnsi="Arial" w:cs="Arial"/>
          <w:kern w:val="0"/>
          <w:sz w:val="22"/>
          <w:szCs w:val="22"/>
          <w14:ligatures w14:val="none"/>
        </w:rPr>
        <w:t>. (</w:t>
      </w:r>
      <w:r w:rsidR="000B383B">
        <w:rPr>
          <w:rFonts w:ascii="Arial" w:hAnsi="Arial" w:cs="Arial"/>
          <w:kern w:val="0"/>
          <w:sz w:val="22"/>
          <w:szCs w:val="22"/>
          <w14:ligatures w14:val="none"/>
        </w:rPr>
        <w:t>2022</w:t>
      </w:r>
      <w:r w:rsidRPr="009D0406">
        <w:rPr>
          <w:rFonts w:ascii="Arial" w:hAnsi="Arial" w:cs="Arial"/>
          <w:kern w:val="0"/>
          <w:sz w:val="22"/>
          <w:szCs w:val="22"/>
          <w14:ligatures w14:val="none"/>
        </w:rPr>
        <w:t>). This has prompted debate over whether some FEDs might be better conceptualised within the spectrum of neurodivergence rather than strictly as psychiatric disorders.</w:t>
      </w:r>
    </w:p>
    <w:p w14:paraId="0A54D6D9"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73C303CB" w14:textId="252FE39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Neurobiological findings also support re-examining classification frameworks. Studies implicate disruptions in reward processing, </w:t>
      </w:r>
      <w:r w:rsidR="00E57FB8" w:rsidRPr="009D0406">
        <w:rPr>
          <w:rFonts w:ascii="Arial" w:hAnsi="Arial" w:cs="Arial"/>
          <w:kern w:val="0"/>
          <w:sz w:val="22"/>
          <w:szCs w:val="22"/>
          <w14:ligatures w14:val="none"/>
        </w:rPr>
        <w:t>interception</w:t>
      </w:r>
      <w:r w:rsidRPr="009D0406">
        <w:rPr>
          <w:rFonts w:ascii="Arial" w:hAnsi="Arial" w:cs="Arial"/>
          <w:kern w:val="0"/>
          <w:sz w:val="22"/>
          <w:szCs w:val="22"/>
          <w14:ligatures w14:val="none"/>
        </w:rPr>
        <w:t>, and neural circuitry involved in self-regulation as potential underlying mechanisms (Monteleone et</w:t>
      </w:r>
      <w:r w:rsidR="00AA5ADB">
        <w:rPr>
          <w:rFonts w:ascii="Arial" w:hAnsi="Arial" w:cs="Arial"/>
          <w:kern w:val="0"/>
          <w:sz w:val="22"/>
          <w:szCs w:val="22"/>
          <w14:ligatures w14:val="none"/>
        </w:rPr>
        <w:t>.</w:t>
      </w:r>
      <w:r w:rsidRPr="009D0406">
        <w:rPr>
          <w:rFonts w:ascii="Arial" w:hAnsi="Arial" w:cs="Arial"/>
          <w:kern w:val="0"/>
          <w:sz w:val="22"/>
          <w:szCs w:val="22"/>
          <w14:ligatures w14:val="none"/>
        </w:rPr>
        <w:t xml:space="preserve"> al., 2018). These findings challenge purely psychosocial models and suggest that ICD-11’s categorical framework may not fully capture the complex interplay of biological, psychological, and environmental factors.</w:t>
      </w:r>
    </w:p>
    <w:p w14:paraId="1B756F18"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722F27A3" w14:textId="1BE1386D" w:rsidR="00E33FAA" w:rsidRPr="00FA28DF" w:rsidRDefault="007C32BA" w:rsidP="00FA28D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4.3 </w:t>
      </w:r>
      <w:r w:rsidR="00E33FAA" w:rsidRPr="009D0406">
        <w:rPr>
          <w:rFonts w:ascii="Arial" w:eastAsia="Times New Roman" w:hAnsi="Arial" w:cs="Arial"/>
          <w:b/>
          <w:bCs/>
          <w:kern w:val="0"/>
          <w:sz w:val="22"/>
          <w:szCs w:val="22"/>
          <w14:ligatures w14:val="none"/>
        </w:rPr>
        <w:t>Sociocultural Influences</w:t>
      </w:r>
    </w:p>
    <w:p w14:paraId="16109C9E"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Sociocultural factors </w:t>
      </w:r>
      <w:bookmarkStart w:id="29" w:name="_Int_CAinDPrP"/>
      <w:r w:rsidRPr="009D0406">
        <w:rPr>
          <w:rFonts w:ascii="Arial" w:hAnsi="Arial" w:cs="Arial"/>
          <w:kern w:val="0"/>
          <w:sz w:val="22"/>
          <w:szCs w:val="22"/>
          <w14:ligatures w14:val="none"/>
        </w:rPr>
        <w:t>remain</w:t>
      </w:r>
      <w:bookmarkEnd w:id="29"/>
      <w:r w:rsidRPr="009D0406">
        <w:rPr>
          <w:rFonts w:ascii="Arial" w:hAnsi="Arial" w:cs="Arial"/>
          <w:kern w:val="0"/>
          <w:sz w:val="22"/>
          <w:szCs w:val="22"/>
          <w14:ligatures w14:val="none"/>
        </w:rPr>
        <w:t xml:space="preserve"> central to the aetiology and maintenance of FEDs. Globalisation of Western body ideals has contributed to rising prevalence of eating disorders in non-Western contexts, with thinness and muscularity increasingly promoted through mass media and social networking platforms (Holland &amp; Tiggemann, 2017). At the same time, the global obesity epidemic has intensified weight stigma and dieting behaviours, which may act as risk factors for FEDs (Treasure et al., 2020).</w:t>
      </w:r>
    </w:p>
    <w:p w14:paraId="1655224E"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5B11DA0F" w14:textId="1620EC66"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Gender differences add another layer of complexity. While women </w:t>
      </w:r>
      <w:bookmarkStart w:id="30" w:name="_Int_RLoS7jDN"/>
      <w:r w:rsidRPr="009D0406">
        <w:rPr>
          <w:rFonts w:ascii="Arial" w:hAnsi="Arial" w:cs="Arial"/>
          <w:kern w:val="0"/>
          <w:sz w:val="22"/>
          <w:szCs w:val="22"/>
          <w14:ligatures w14:val="none"/>
        </w:rPr>
        <w:t>remain</w:t>
      </w:r>
      <w:bookmarkEnd w:id="30"/>
      <w:r w:rsidRPr="009D0406">
        <w:rPr>
          <w:rFonts w:ascii="Arial" w:hAnsi="Arial" w:cs="Arial"/>
          <w:kern w:val="0"/>
          <w:sz w:val="22"/>
          <w:szCs w:val="22"/>
          <w14:ligatures w14:val="none"/>
        </w:rPr>
        <w:t xml:space="preserve"> disproportionately affected, emerging evidence highlights increasing prevalence among men, who often present with concerns about muscularity rather than thinness (</w:t>
      </w:r>
      <w:r w:rsidR="00661779">
        <w:rPr>
          <w:rFonts w:ascii="Arial" w:hAnsi="Arial" w:cs="Arial"/>
          <w:kern w:val="0"/>
          <w:sz w:val="22"/>
          <w:szCs w:val="22"/>
          <w14:ligatures w14:val="none"/>
        </w:rPr>
        <w:t>Bro</w:t>
      </w:r>
      <w:r w:rsidR="00AF07E9">
        <w:rPr>
          <w:rFonts w:ascii="Arial" w:hAnsi="Arial" w:cs="Arial"/>
          <w:kern w:val="0"/>
          <w:sz w:val="22"/>
          <w:szCs w:val="22"/>
          <w14:ligatures w14:val="none"/>
        </w:rPr>
        <w:t>wn and Keel, 2023</w:t>
      </w:r>
      <w:r w:rsidRPr="009D0406">
        <w:rPr>
          <w:rFonts w:ascii="Arial" w:hAnsi="Arial" w:cs="Arial"/>
          <w:kern w:val="0"/>
          <w:sz w:val="22"/>
          <w:szCs w:val="22"/>
          <w14:ligatures w14:val="none"/>
        </w:rPr>
        <w:t>). This underscores the need for diagnostic systems and treatment protocols that reflect diverse gendered experiences of body image disturbance.</w:t>
      </w:r>
    </w:p>
    <w:p w14:paraId="56E7557A"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07A28D1C" w14:textId="17AD5898" w:rsidR="00E33FAA" w:rsidRPr="00FA28DF" w:rsidRDefault="007C32BA" w:rsidP="00FA28D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4.4 </w:t>
      </w:r>
      <w:r w:rsidR="00E33FAA" w:rsidRPr="009D0406">
        <w:rPr>
          <w:rFonts w:ascii="Arial" w:eastAsia="Times New Roman" w:hAnsi="Arial" w:cs="Arial"/>
          <w:b/>
          <w:bCs/>
          <w:kern w:val="0"/>
          <w:sz w:val="22"/>
          <w:szCs w:val="22"/>
          <w14:ligatures w14:val="none"/>
        </w:rPr>
        <w:t>Policy and Practice Implications</w:t>
      </w:r>
    </w:p>
    <w:p w14:paraId="020C1FA0"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The debates surrounding classification and treatment of FEDs have direct implications for health policy and clinical practice. Broader ICD-11 criteria may expand access to services but also risk straining already limited resources. Conversely, more restrictive criteria could exclude individuals in need of care.</w:t>
      </w:r>
    </w:p>
    <w:p w14:paraId="2625F64C"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5792F49D" w14:textId="1CF378B0" w:rsidR="00FA28DF" w:rsidRPr="00E163FE" w:rsidRDefault="00E33FAA" w:rsidP="00E163FE">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There is also a growing call for public health approaches that emphasise early intervention and prevention, including school-based education, media literacy programmes, and policies addressing weight stigma (Treasure et al., 2020). The recognition of FEDs as conditions that extend beyond psychiatric symptoms to encompass social and functional impairments aligns with holistic, community-based models of care.</w:t>
      </w:r>
    </w:p>
    <w:p w14:paraId="0F8C9EE8" w14:textId="2847CB20" w:rsidR="00E33FAA" w:rsidRPr="00FA28DF" w:rsidRDefault="00EE0855" w:rsidP="00FA28DF">
      <w:pPr>
        <w:spacing w:before="100" w:beforeAutospacing="1" w:after="100" w:afterAutospacing="1" w:line="360" w:lineRule="auto"/>
        <w:outlineLvl w:val="1"/>
        <w:rPr>
          <w:rFonts w:ascii="Arial"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5. </w:t>
      </w:r>
      <w:r w:rsidR="00E33FAA" w:rsidRPr="009D0406">
        <w:rPr>
          <w:rFonts w:ascii="Arial" w:eastAsia="Times New Roman" w:hAnsi="Arial" w:cs="Arial"/>
          <w:b/>
          <w:bCs/>
          <w:kern w:val="0"/>
          <w:sz w:val="22"/>
          <w:szCs w:val="22"/>
          <w14:ligatures w14:val="none"/>
        </w:rPr>
        <w:t>Recommendations</w:t>
      </w:r>
    </w:p>
    <w:p w14:paraId="20B8D6B7"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Based on the critical analysis presented, several recommendations can </w:t>
      </w:r>
      <w:bookmarkStart w:id="31" w:name="_Int_FzWkDpx1"/>
      <w:r w:rsidRPr="009D0406">
        <w:rPr>
          <w:rFonts w:ascii="Arial" w:hAnsi="Arial" w:cs="Arial"/>
          <w:kern w:val="0"/>
          <w:sz w:val="22"/>
          <w:szCs w:val="22"/>
          <w14:ligatures w14:val="none"/>
        </w:rPr>
        <w:t>be proposed</w:t>
      </w:r>
      <w:bookmarkEnd w:id="31"/>
      <w:r w:rsidRPr="009D0406">
        <w:rPr>
          <w:rFonts w:ascii="Arial" w:hAnsi="Arial" w:cs="Arial"/>
          <w:kern w:val="0"/>
          <w:sz w:val="22"/>
          <w:szCs w:val="22"/>
          <w14:ligatures w14:val="none"/>
        </w:rPr>
        <w:t>:</w:t>
      </w:r>
    </w:p>
    <w:p w14:paraId="6E11F94D" w14:textId="77777777"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Refinement of Classification. ICD-11 could enhance specificity by reducing reliance on residual categories such as OSFED and by integrating dimensional assessments alongside categorical diagnoses.</w:t>
      </w:r>
    </w:p>
    <w:p w14:paraId="42960279" w14:textId="77777777"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Cultural Adaptation of Diagnostic Tools. Greater emphasis should </w:t>
      </w:r>
      <w:bookmarkStart w:id="32" w:name="_Int_aPeCQwxW"/>
      <w:r w:rsidRPr="009D0406">
        <w:rPr>
          <w:rFonts w:ascii="Arial" w:hAnsi="Arial" w:cs="Arial"/>
          <w:kern w:val="0"/>
          <w:sz w:val="22"/>
          <w:szCs w:val="22"/>
          <w14:ligatures w14:val="none"/>
        </w:rPr>
        <w:t>be placed</w:t>
      </w:r>
      <w:bookmarkEnd w:id="32"/>
      <w:r w:rsidRPr="009D0406">
        <w:rPr>
          <w:rFonts w:ascii="Arial" w:hAnsi="Arial" w:cs="Arial"/>
          <w:kern w:val="0"/>
          <w:sz w:val="22"/>
          <w:szCs w:val="22"/>
          <w14:ligatures w14:val="none"/>
        </w:rPr>
        <w:t xml:space="preserve"> on ensuring that diagnostic frameworks are culturally sensitive, particularly in non-Western contexts where normative eating and body ideals differ.</w:t>
      </w:r>
    </w:p>
    <w:p w14:paraId="0FE9AD68" w14:textId="77777777"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Improved Gender-Inclusive Practices. Training for clinicians should focus on recognising and addressing male presentations of FEDs, as well as those that centre on muscularity rather than thinness.</w:t>
      </w:r>
    </w:p>
    <w:p w14:paraId="12AE3345" w14:textId="77777777"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Expansion of Treatment Access. Investment </w:t>
      </w:r>
      <w:bookmarkStart w:id="33" w:name="_Int_AxC6XURX"/>
      <w:r w:rsidRPr="009D0406">
        <w:rPr>
          <w:rFonts w:ascii="Arial" w:hAnsi="Arial" w:cs="Arial"/>
          <w:kern w:val="0"/>
          <w:sz w:val="22"/>
          <w:szCs w:val="22"/>
          <w14:ligatures w14:val="none"/>
        </w:rPr>
        <w:t>is needed</w:t>
      </w:r>
      <w:bookmarkEnd w:id="33"/>
      <w:r w:rsidRPr="009D0406">
        <w:rPr>
          <w:rFonts w:ascii="Arial" w:hAnsi="Arial" w:cs="Arial"/>
          <w:kern w:val="0"/>
          <w:sz w:val="22"/>
          <w:szCs w:val="22"/>
          <w14:ligatures w14:val="none"/>
        </w:rPr>
        <w:t xml:space="preserve"> to expand specialist services and to integrate digital health interventions, which may offer scalable solutions to resource limitations.</w:t>
      </w:r>
    </w:p>
    <w:p w14:paraId="3FF1924B" w14:textId="77777777"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Ethically Grounded Rehabilitation. Policies should ensure that compulsory treatment </w:t>
      </w:r>
      <w:bookmarkStart w:id="34" w:name="_Int_Q44G7TpS"/>
      <w:r w:rsidRPr="009D0406">
        <w:rPr>
          <w:rFonts w:ascii="Arial" w:hAnsi="Arial" w:cs="Arial"/>
          <w:kern w:val="0"/>
          <w:sz w:val="22"/>
          <w:szCs w:val="22"/>
          <w14:ligatures w14:val="none"/>
        </w:rPr>
        <w:t>is used</w:t>
      </w:r>
      <w:bookmarkEnd w:id="34"/>
      <w:r w:rsidRPr="009D0406">
        <w:rPr>
          <w:rFonts w:ascii="Arial" w:hAnsi="Arial" w:cs="Arial"/>
          <w:kern w:val="0"/>
          <w:sz w:val="22"/>
          <w:szCs w:val="22"/>
          <w14:ligatures w14:val="none"/>
        </w:rPr>
        <w:t xml:space="preserve"> only as a last resort, with safeguards to preserve patient dignity and autonomy.</w:t>
      </w:r>
    </w:p>
    <w:p w14:paraId="318611E0" w14:textId="6D691C6B"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Integration of Neurodivergence Research. Ongoing research into the overlap between FEDs and </w:t>
      </w:r>
      <w:r w:rsidR="004C5152" w:rsidRPr="009D0406">
        <w:rPr>
          <w:rFonts w:ascii="Arial" w:hAnsi="Arial" w:cs="Arial"/>
          <w:kern w:val="0"/>
          <w:sz w:val="22"/>
          <w:szCs w:val="22"/>
          <w14:ligatures w14:val="none"/>
        </w:rPr>
        <w:t>neurodevelopment</w:t>
      </w:r>
      <w:r w:rsidRPr="009D0406">
        <w:rPr>
          <w:rFonts w:ascii="Arial" w:hAnsi="Arial" w:cs="Arial"/>
          <w:kern w:val="0"/>
          <w:sz w:val="22"/>
          <w:szCs w:val="22"/>
          <w14:ligatures w14:val="none"/>
        </w:rPr>
        <w:t xml:space="preserve"> conditions should inform future revisions of classification systems, potentially reframing some disorders within a broader neurodivergence framework.</w:t>
      </w:r>
    </w:p>
    <w:p w14:paraId="7F6894EA" w14:textId="4295C275" w:rsidR="00E33FAA" w:rsidRPr="009D0406" w:rsidRDefault="00E33FAA" w:rsidP="009D0406">
      <w:pPr>
        <w:spacing w:after="0" w:line="360" w:lineRule="auto"/>
        <w:rPr>
          <w:rFonts w:ascii="Arial" w:eastAsia="Times New Roman" w:hAnsi="Arial" w:cs="Arial"/>
          <w:kern w:val="0"/>
          <w:sz w:val="22"/>
          <w:szCs w:val="22"/>
          <w14:ligatures w14:val="none"/>
        </w:rPr>
      </w:pPr>
    </w:p>
    <w:p w14:paraId="22ED15CE"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1327FFC1"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77F3FEA1"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4DA4AFC7"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698704F2"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503911C0"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77C3E5A8"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474377DE" w14:textId="5CC2CF72" w:rsidR="00E33FAA" w:rsidRPr="00FA28DF" w:rsidRDefault="00DB501C" w:rsidP="00FA28DF">
      <w:pPr>
        <w:spacing w:before="100" w:beforeAutospacing="1" w:after="100" w:afterAutospacing="1" w:line="360" w:lineRule="auto"/>
        <w:outlineLvl w:val="1"/>
        <w:rPr>
          <w:rFonts w:ascii="Arial"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6. </w:t>
      </w:r>
      <w:r w:rsidR="00E33FAA" w:rsidRPr="009D0406">
        <w:rPr>
          <w:rFonts w:ascii="Arial" w:eastAsia="Times New Roman" w:hAnsi="Arial" w:cs="Arial"/>
          <w:b/>
          <w:bCs/>
          <w:kern w:val="0"/>
          <w:sz w:val="22"/>
          <w:szCs w:val="22"/>
          <w14:ligatures w14:val="none"/>
        </w:rPr>
        <w:t>Conclusion</w:t>
      </w:r>
    </w:p>
    <w:p w14:paraId="025A63C2" w14:textId="6D15F833"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Feeding and Eating Disorders, as classified in ICD-11, represent a complex and evolving field within mental health. The revision has broadened diagnostic thresholds, enhanced inclusivity, and prioritised functional impairment as a key marker of disorder. These changes align with contemporary clinical realities but have also sparked debates </w:t>
      </w:r>
      <w:bookmarkStart w:id="35" w:name="_Int_8lgn1nLq"/>
      <w:r w:rsidRPr="009D0406">
        <w:rPr>
          <w:rFonts w:ascii="Arial" w:hAnsi="Arial" w:cs="Arial"/>
          <w:kern w:val="0"/>
          <w:sz w:val="22"/>
          <w:szCs w:val="22"/>
          <w14:ligatures w14:val="none"/>
        </w:rPr>
        <w:t>regarding</w:t>
      </w:r>
      <w:bookmarkEnd w:id="35"/>
      <w:r w:rsidRPr="009D0406">
        <w:rPr>
          <w:rFonts w:ascii="Arial" w:hAnsi="Arial" w:cs="Arial"/>
          <w:kern w:val="0"/>
          <w:sz w:val="22"/>
          <w:szCs w:val="22"/>
          <w14:ligatures w14:val="none"/>
        </w:rPr>
        <w:t xml:space="preserve"> </w:t>
      </w:r>
      <w:r w:rsidR="004C5152" w:rsidRPr="009D0406">
        <w:rPr>
          <w:rFonts w:ascii="Arial" w:hAnsi="Arial" w:cs="Arial"/>
          <w:kern w:val="0"/>
          <w:sz w:val="22"/>
          <w:szCs w:val="22"/>
          <w14:ligatures w14:val="none"/>
        </w:rPr>
        <w:t>over diagnosis</w:t>
      </w:r>
      <w:r w:rsidRPr="009D0406">
        <w:rPr>
          <w:rFonts w:ascii="Arial" w:hAnsi="Arial" w:cs="Arial"/>
          <w:kern w:val="0"/>
          <w:sz w:val="22"/>
          <w:szCs w:val="22"/>
          <w14:ligatures w14:val="none"/>
        </w:rPr>
        <w:t>, cultural sensitivity, and the appropriateness of categorical models.</w:t>
      </w:r>
    </w:p>
    <w:p w14:paraId="60B1B05D"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1BC7C40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Treatment and rehabilitation have advanced with the development of CBT-E, FBT, and integrated care models, yet outcomes </w:t>
      </w:r>
      <w:bookmarkStart w:id="36" w:name="_Int_aHKBW1KG"/>
      <w:r w:rsidRPr="009D0406">
        <w:rPr>
          <w:rFonts w:ascii="Arial" w:hAnsi="Arial" w:cs="Arial"/>
          <w:kern w:val="0"/>
          <w:sz w:val="22"/>
          <w:szCs w:val="22"/>
          <w14:ligatures w14:val="none"/>
        </w:rPr>
        <w:t>remain</w:t>
      </w:r>
      <w:bookmarkEnd w:id="36"/>
      <w:r w:rsidRPr="009D0406">
        <w:rPr>
          <w:rFonts w:ascii="Arial" w:hAnsi="Arial" w:cs="Arial"/>
          <w:kern w:val="0"/>
          <w:sz w:val="22"/>
          <w:szCs w:val="22"/>
          <w14:ligatures w14:val="none"/>
        </w:rPr>
        <w:t xml:space="preserve"> suboptimal, particularly in anorexia nervosa. Persistent challenges include high relapse rates, ethical dilemmas around compulsory treatment, and limited global access to specialist care. Emerging debates surrounding neurodivergence and sociocultural influences highlight the need for flexible, multidimensional frameworks that better capture the lived experience of individuals with FEDs.</w:t>
      </w:r>
    </w:p>
    <w:p w14:paraId="59B8A5D3"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1BBE629A"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Future progress will depend on refining diagnostic systems, expanding culturally sensitive and gender-inclusive treatment approaches, and investing in early intervention and rehabilitation services. By addressing these challenges, health systems can move closer to providing comprehensive, </w:t>
      </w:r>
      <w:bookmarkStart w:id="37" w:name="_Int_Upt1GyhR"/>
      <w:r w:rsidRPr="009D0406">
        <w:rPr>
          <w:rFonts w:ascii="Arial" w:hAnsi="Arial" w:cs="Arial"/>
          <w:kern w:val="0"/>
          <w:sz w:val="22"/>
          <w:szCs w:val="22"/>
          <w14:ligatures w14:val="none"/>
        </w:rPr>
        <w:t>equitable</w:t>
      </w:r>
      <w:bookmarkEnd w:id="37"/>
      <w:r w:rsidRPr="009D0406">
        <w:rPr>
          <w:rFonts w:ascii="Arial" w:hAnsi="Arial" w:cs="Arial"/>
          <w:kern w:val="0"/>
          <w:sz w:val="22"/>
          <w:szCs w:val="22"/>
          <w14:ligatures w14:val="none"/>
        </w:rPr>
        <w:t>, and effective care for individuals living with feeding and eating disorders.</w:t>
      </w:r>
    </w:p>
    <w:p w14:paraId="76E18473" w14:textId="77777777" w:rsidR="002F0DE3" w:rsidRDefault="002F0DE3" w:rsidP="0073222F">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03D83402" w14:textId="77777777" w:rsidR="00FA28DF" w:rsidRPr="00FA28DF" w:rsidRDefault="00FA28DF" w:rsidP="00D24E98">
      <w:pPr>
        <w:pStyle w:val="ListParagraph"/>
        <w:spacing w:before="100" w:beforeAutospacing="1" w:after="100" w:afterAutospacing="1" w:line="360" w:lineRule="auto"/>
        <w:outlineLvl w:val="1"/>
        <w:rPr>
          <w:rFonts w:ascii="Arial" w:hAnsi="Arial" w:cs="Arial"/>
          <w:b/>
          <w:bCs/>
          <w:kern w:val="0"/>
          <w:sz w:val="22"/>
          <w:szCs w:val="22"/>
          <w14:ligatures w14:val="none"/>
        </w:rPr>
      </w:pPr>
    </w:p>
    <w:p w14:paraId="4A65C269" w14:textId="77777777" w:rsidR="00FA28DF" w:rsidRPr="00FA28DF" w:rsidRDefault="00FA28DF" w:rsidP="00D24E98">
      <w:pPr>
        <w:pStyle w:val="ListParagraph"/>
        <w:spacing w:before="100" w:beforeAutospacing="1" w:after="100" w:afterAutospacing="1" w:line="360" w:lineRule="auto"/>
        <w:outlineLvl w:val="1"/>
        <w:rPr>
          <w:rFonts w:ascii="Arial" w:hAnsi="Arial" w:cs="Arial"/>
          <w:b/>
          <w:bCs/>
          <w:kern w:val="0"/>
          <w:sz w:val="22"/>
          <w:szCs w:val="22"/>
          <w14:ligatures w14:val="none"/>
        </w:rPr>
      </w:pPr>
    </w:p>
    <w:p w14:paraId="79BE14A1" w14:textId="77777777" w:rsidR="00FA28DF" w:rsidRPr="00FA28DF" w:rsidRDefault="00FA28DF" w:rsidP="00D24E98">
      <w:pPr>
        <w:pStyle w:val="ListParagraph"/>
        <w:spacing w:before="100" w:beforeAutospacing="1" w:after="100" w:afterAutospacing="1" w:line="360" w:lineRule="auto"/>
        <w:outlineLvl w:val="1"/>
        <w:rPr>
          <w:rFonts w:ascii="Arial" w:hAnsi="Arial" w:cs="Arial"/>
          <w:b/>
          <w:bCs/>
          <w:kern w:val="0"/>
          <w:sz w:val="22"/>
          <w:szCs w:val="22"/>
          <w14:ligatures w14:val="none"/>
        </w:rPr>
      </w:pPr>
    </w:p>
    <w:p w14:paraId="7AD455F0" w14:textId="77777777" w:rsidR="00FA28DF" w:rsidRPr="00D24E98" w:rsidRDefault="00FA28DF" w:rsidP="00D24E98">
      <w:pPr>
        <w:spacing w:before="100" w:beforeAutospacing="1" w:after="100" w:afterAutospacing="1" w:line="360" w:lineRule="auto"/>
        <w:outlineLvl w:val="1"/>
        <w:rPr>
          <w:rFonts w:ascii="Arial" w:hAnsi="Arial" w:cs="Arial"/>
          <w:b/>
          <w:bCs/>
          <w:kern w:val="0"/>
          <w:sz w:val="22"/>
          <w:szCs w:val="22"/>
          <w14:ligatures w14:val="none"/>
        </w:rPr>
      </w:pPr>
    </w:p>
    <w:p w14:paraId="74E8D9B0" w14:textId="77777777" w:rsidR="00D24E98" w:rsidRDefault="00252113" w:rsidP="00D24E98">
      <w:pPr>
        <w:spacing w:before="100" w:beforeAutospacing="1" w:after="100" w:afterAutospacing="1" w:line="360" w:lineRule="auto"/>
        <w:ind w:left="360"/>
        <w:outlineLvl w:val="1"/>
        <w:rPr>
          <w:rFonts w:ascii="Arial" w:eastAsia="Times New Roman" w:hAnsi="Arial" w:cs="Arial"/>
          <w:b/>
          <w:bCs/>
          <w:kern w:val="0"/>
          <w:sz w:val="22"/>
          <w:szCs w:val="22"/>
          <w14:ligatures w14:val="none"/>
        </w:rPr>
      </w:pPr>
      <w:r w:rsidRPr="00D24E98">
        <w:rPr>
          <w:rFonts w:ascii="Arial" w:eastAsia="Times New Roman" w:hAnsi="Arial" w:cs="Arial"/>
          <w:b/>
          <w:bCs/>
          <w:kern w:val="0"/>
          <w:sz w:val="22"/>
          <w:szCs w:val="22"/>
          <w14:ligatures w14:val="none"/>
        </w:rPr>
        <w:t xml:space="preserve"> </w:t>
      </w:r>
    </w:p>
    <w:p w14:paraId="6ACFB603" w14:textId="77777777" w:rsidR="00D24E98" w:rsidRDefault="00D24E98" w:rsidP="00D24E98">
      <w:pPr>
        <w:spacing w:before="100" w:beforeAutospacing="1" w:after="100" w:afterAutospacing="1" w:line="360" w:lineRule="auto"/>
        <w:ind w:left="360"/>
        <w:outlineLvl w:val="1"/>
        <w:rPr>
          <w:rFonts w:ascii="Arial" w:eastAsia="Times New Roman" w:hAnsi="Arial" w:cs="Arial"/>
          <w:b/>
          <w:bCs/>
          <w:kern w:val="0"/>
          <w:sz w:val="22"/>
          <w:szCs w:val="22"/>
          <w14:ligatures w14:val="none"/>
        </w:rPr>
      </w:pPr>
    </w:p>
    <w:p w14:paraId="6C953208" w14:textId="77777777" w:rsidR="00D24E98" w:rsidRDefault="00D24E98" w:rsidP="00D24E98">
      <w:pPr>
        <w:spacing w:before="100" w:beforeAutospacing="1" w:after="100" w:afterAutospacing="1" w:line="360" w:lineRule="auto"/>
        <w:ind w:left="360"/>
        <w:outlineLvl w:val="1"/>
        <w:rPr>
          <w:rFonts w:ascii="Arial" w:eastAsia="Times New Roman" w:hAnsi="Arial" w:cs="Arial"/>
          <w:b/>
          <w:bCs/>
          <w:kern w:val="0"/>
          <w:sz w:val="22"/>
          <w:szCs w:val="22"/>
          <w14:ligatures w14:val="none"/>
        </w:rPr>
      </w:pPr>
    </w:p>
    <w:p w14:paraId="3C28178B" w14:textId="77777777" w:rsidR="00D24E98" w:rsidRDefault="00D24E98" w:rsidP="00D24E98">
      <w:pPr>
        <w:spacing w:before="100" w:beforeAutospacing="1" w:after="100" w:afterAutospacing="1" w:line="360" w:lineRule="auto"/>
        <w:ind w:left="360"/>
        <w:outlineLvl w:val="1"/>
        <w:rPr>
          <w:rFonts w:ascii="Arial" w:eastAsia="Times New Roman" w:hAnsi="Arial" w:cs="Arial"/>
          <w:b/>
          <w:bCs/>
          <w:kern w:val="0"/>
          <w:sz w:val="22"/>
          <w:szCs w:val="22"/>
          <w14:ligatures w14:val="none"/>
        </w:rPr>
      </w:pPr>
    </w:p>
    <w:p w14:paraId="3BEB58DD" w14:textId="72D81E9C" w:rsidR="00E33FAA" w:rsidRPr="00A710C0" w:rsidRDefault="00E33FAA" w:rsidP="00D24E98">
      <w:pPr>
        <w:pStyle w:val="ListParagraph"/>
        <w:numPr>
          <w:ilvl w:val="0"/>
          <w:numId w:val="3"/>
        </w:numPr>
        <w:spacing w:before="100" w:beforeAutospacing="1" w:after="100" w:afterAutospacing="1" w:line="360" w:lineRule="auto"/>
        <w:outlineLvl w:val="1"/>
        <w:rPr>
          <w:rFonts w:ascii="Arial" w:hAnsi="Arial" w:cs="Arial"/>
          <w:b/>
          <w:bCs/>
          <w:kern w:val="0"/>
          <w:sz w:val="22"/>
          <w:szCs w:val="22"/>
          <w14:ligatures w14:val="none"/>
        </w:rPr>
      </w:pPr>
      <w:r w:rsidRPr="00D24E98">
        <w:rPr>
          <w:rFonts w:ascii="Arial" w:eastAsia="Times New Roman" w:hAnsi="Arial" w:cs="Arial"/>
          <w:b/>
          <w:bCs/>
          <w:kern w:val="0"/>
          <w:sz w:val="22"/>
          <w:szCs w:val="22"/>
          <w14:ligatures w14:val="none"/>
        </w:rPr>
        <w:t>References</w:t>
      </w:r>
      <w:r w:rsidR="00D24E98">
        <w:rPr>
          <w:rFonts w:ascii="Arial" w:eastAsia="Times New Roman" w:hAnsi="Arial" w:cs="Arial"/>
          <w:b/>
          <w:bCs/>
          <w:kern w:val="0"/>
          <w:sz w:val="22"/>
          <w:szCs w:val="22"/>
          <w14:ligatures w14:val="none"/>
        </w:rPr>
        <w:t xml:space="preserve"> </w:t>
      </w:r>
    </w:p>
    <w:p w14:paraId="0E111CAF" w14:textId="77777777" w:rsidR="00511605" w:rsidRDefault="00511605" w:rsidP="00A710C0">
      <w:pPr>
        <w:pStyle w:val="ListParagraph"/>
        <w:spacing w:before="100" w:beforeAutospacing="1" w:after="100" w:afterAutospacing="1" w:line="360" w:lineRule="auto"/>
        <w:outlineLvl w:val="1"/>
        <w:rPr>
          <w:rFonts w:ascii="Arial" w:eastAsia="Times New Roman" w:hAnsi="Arial" w:cs="Arial"/>
          <w:color w:val="222222"/>
          <w:sz w:val="20"/>
          <w:szCs w:val="20"/>
          <w:shd w:val="clear" w:color="auto" w:fill="FFFFFF"/>
        </w:rPr>
      </w:pPr>
    </w:p>
    <w:p w14:paraId="73A3DC23"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Ahrberg, M., Trojca, D., Nasrawi, N. and Vocks, S. (2011) </w:t>
      </w:r>
      <w:r w:rsidRPr="004E3184">
        <w:rPr>
          <w:rStyle w:val="s2"/>
          <w:rFonts w:ascii="Arial" w:hAnsi="Arial" w:cs="Arial"/>
          <w:sz w:val="22"/>
          <w:szCs w:val="22"/>
        </w:rPr>
        <w:t>‘Body image disturbance in binge eating disorder: A review’</w:t>
      </w:r>
      <w:r w:rsidRPr="004E3184">
        <w:rPr>
          <w:rStyle w:val="s1"/>
          <w:rFonts w:ascii="Arial" w:hAnsi="Arial" w:cs="Arial"/>
          <w:sz w:val="22"/>
          <w:szCs w:val="22"/>
        </w:rPr>
        <w:t xml:space="preserve">, </w:t>
      </w:r>
      <w:r w:rsidRPr="004E3184">
        <w:rPr>
          <w:rStyle w:val="s2"/>
          <w:rFonts w:ascii="Arial" w:hAnsi="Arial" w:cs="Arial"/>
          <w:sz w:val="22"/>
          <w:szCs w:val="22"/>
        </w:rPr>
        <w:t>European Eating Disorders Review</w:t>
      </w:r>
      <w:r w:rsidRPr="004E3184">
        <w:rPr>
          <w:rStyle w:val="s1"/>
          <w:rFonts w:ascii="Arial" w:hAnsi="Arial" w:cs="Arial"/>
          <w:sz w:val="22"/>
          <w:szCs w:val="22"/>
        </w:rPr>
        <w:t>, 19(5), pp. 375–381.</w:t>
      </w:r>
    </w:p>
    <w:p w14:paraId="70411B2E" w14:textId="77777777" w:rsidR="00511605" w:rsidRPr="004E3184" w:rsidRDefault="00511605" w:rsidP="004E3184">
      <w:pPr>
        <w:pStyle w:val="p2"/>
        <w:spacing w:line="360" w:lineRule="auto"/>
        <w:divId w:val="1083651214"/>
        <w:rPr>
          <w:rFonts w:ascii="Arial" w:hAnsi="Arial" w:cs="Arial"/>
          <w:sz w:val="22"/>
          <w:szCs w:val="22"/>
        </w:rPr>
      </w:pPr>
    </w:p>
    <w:p w14:paraId="0CBCA648"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Berends, T., Boonstra, N. and van Elburg, A. (2018) </w:t>
      </w:r>
      <w:r w:rsidRPr="004E3184">
        <w:rPr>
          <w:rStyle w:val="s2"/>
          <w:rFonts w:ascii="Arial" w:hAnsi="Arial" w:cs="Arial"/>
          <w:sz w:val="22"/>
          <w:szCs w:val="22"/>
        </w:rPr>
        <w:t>‘Relapse in anorexia nervosa: A systematic review and meta-analysis’</w:t>
      </w:r>
      <w:r w:rsidRPr="004E3184">
        <w:rPr>
          <w:rStyle w:val="s1"/>
          <w:rFonts w:ascii="Arial" w:hAnsi="Arial" w:cs="Arial"/>
          <w:sz w:val="22"/>
          <w:szCs w:val="22"/>
        </w:rPr>
        <w:t xml:space="preserve">, </w:t>
      </w:r>
      <w:r w:rsidRPr="004E3184">
        <w:rPr>
          <w:rStyle w:val="s2"/>
          <w:rFonts w:ascii="Arial" w:hAnsi="Arial" w:cs="Arial"/>
          <w:sz w:val="22"/>
          <w:szCs w:val="22"/>
        </w:rPr>
        <w:t>Current Opinion in Psychiatry</w:t>
      </w:r>
      <w:r w:rsidRPr="004E3184">
        <w:rPr>
          <w:rStyle w:val="s1"/>
          <w:rFonts w:ascii="Arial" w:hAnsi="Arial" w:cs="Arial"/>
          <w:sz w:val="22"/>
          <w:szCs w:val="22"/>
        </w:rPr>
        <w:t>, 31(6), pp. 445–455. https://doi.org/10.1097/YCO.0000000000000453</w:t>
      </w:r>
    </w:p>
    <w:p w14:paraId="3C43C14B" w14:textId="77777777" w:rsidR="00511605" w:rsidRPr="004E3184" w:rsidRDefault="00511605" w:rsidP="004E3184">
      <w:pPr>
        <w:pStyle w:val="p2"/>
        <w:spacing w:line="360" w:lineRule="auto"/>
        <w:divId w:val="1083651214"/>
        <w:rPr>
          <w:rFonts w:ascii="Arial" w:hAnsi="Arial" w:cs="Arial"/>
          <w:sz w:val="22"/>
          <w:szCs w:val="22"/>
        </w:rPr>
      </w:pPr>
    </w:p>
    <w:p w14:paraId="0E5B2960"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Bourne, L., Mandy, W. and Bryant-Waugh, R. (2022) </w:t>
      </w:r>
      <w:r w:rsidRPr="004E3184">
        <w:rPr>
          <w:rStyle w:val="s2"/>
          <w:rFonts w:ascii="Arial" w:hAnsi="Arial" w:cs="Arial"/>
          <w:sz w:val="22"/>
          <w:szCs w:val="22"/>
        </w:rPr>
        <w:t>‘Avoidant/restrictive food intake disorder and severe food selectivity in children and young people with autism: A scoping review’</w:t>
      </w:r>
      <w:r w:rsidRPr="004E3184">
        <w:rPr>
          <w:rStyle w:val="s1"/>
          <w:rFonts w:ascii="Arial" w:hAnsi="Arial" w:cs="Arial"/>
          <w:sz w:val="22"/>
          <w:szCs w:val="22"/>
        </w:rPr>
        <w:t xml:space="preserve">, </w:t>
      </w:r>
      <w:r w:rsidRPr="004E3184">
        <w:rPr>
          <w:rStyle w:val="s2"/>
          <w:rFonts w:ascii="Arial" w:hAnsi="Arial" w:cs="Arial"/>
          <w:sz w:val="22"/>
          <w:szCs w:val="22"/>
        </w:rPr>
        <w:t>Developmental Medicine &amp; Child Neurology</w:t>
      </w:r>
      <w:r w:rsidRPr="004E3184">
        <w:rPr>
          <w:rStyle w:val="s1"/>
          <w:rFonts w:ascii="Arial" w:hAnsi="Arial" w:cs="Arial"/>
          <w:sz w:val="22"/>
          <w:szCs w:val="22"/>
        </w:rPr>
        <w:t>, 64(6), pp. 691–700.</w:t>
      </w:r>
    </w:p>
    <w:p w14:paraId="5A4EF428" w14:textId="77777777" w:rsidR="00511605" w:rsidRPr="004E3184" w:rsidRDefault="00511605" w:rsidP="004E3184">
      <w:pPr>
        <w:pStyle w:val="p2"/>
        <w:spacing w:line="360" w:lineRule="auto"/>
        <w:divId w:val="1083651214"/>
        <w:rPr>
          <w:rFonts w:ascii="Arial" w:hAnsi="Arial" w:cs="Arial"/>
          <w:sz w:val="22"/>
          <w:szCs w:val="22"/>
        </w:rPr>
      </w:pPr>
    </w:p>
    <w:p w14:paraId="21F989C9" w14:textId="75C10D7A"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Brown, T.A. and Keel, P.K. (2023) </w:t>
      </w:r>
      <w:r w:rsidRPr="004E3184">
        <w:rPr>
          <w:rStyle w:val="s2"/>
          <w:rFonts w:ascii="Arial" w:hAnsi="Arial" w:cs="Arial"/>
          <w:sz w:val="22"/>
          <w:szCs w:val="22"/>
        </w:rPr>
        <w:t>‘</w:t>
      </w:r>
      <w:r w:rsidR="00756298" w:rsidRPr="004E3184">
        <w:rPr>
          <w:rStyle w:val="s2"/>
          <w:rFonts w:ascii="Arial" w:hAnsi="Arial" w:cs="Arial"/>
          <w:sz w:val="22"/>
          <w:szCs w:val="22"/>
        </w:rPr>
        <w:t>eating</w:t>
      </w:r>
      <w:r w:rsidRPr="004E3184">
        <w:rPr>
          <w:rStyle w:val="s2"/>
          <w:rFonts w:ascii="Arial" w:hAnsi="Arial" w:cs="Arial"/>
          <w:sz w:val="22"/>
          <w:szCs w:val="22"/>
        </w:rPr>
        <w:t xml:space="preserve"> disorders in boys and men’</w:t>
      </w:r>
      <w:r w:rsidRPr="004E3184">
        <w:rPr>
          <w:rStyle w:val="s1"/>
          <w:rFonts w:ascii="Arial" w:hAnsi="Arial" w:cs="Arial"/>
          <w:sz w:val="22"/>
          <w:szCs w:val="22"/>
        </w:rPr>
        <w:t xml:space="preserve">, </w:t>
      </w:r>
      <w:r w:rsidRPr="004E3184">
        <w:rPr>
          <w:rStyle w:val="s2"/>
          <w:rFonts w:ascii="Arial" w:hAnsi="Arial" w:cs="Arial"/>
          <w:sz w:val="22"/>
          <w:szCs w:val="22"/>
        </w:rPr>
        <w:t>Annual Review of Clinical Psychology</w:t>
      </w:r>
      <w:r w:rsidRPr="004E3184">
        <w:rPr>
          <w:rStyle w:val="s1"/>
          <w:rFonts w:ascii="Arial" w:hAnsi="Arial" w:cs="Arial"/>
          <w:sz w:val="22"/>
          <w:szCs w:val="22"/>
        </w:rPr>
        <w:t>, 19(1), pp. 177–205.</w:t>
      </w:r>
    </w:p>
    <w:p w14:paraId="7D27A308" w14:textId="77777777" w:rsidR="00511605" w:rsidRPr="004E3184" w:rsidRDefault="00511605" w:rsidP="004E3184">
      <w:pPr>
        <w:pStyle w:val="p2"/>
        <w:spacing w:line="360" w:lineRule="auto"/>
        <w:divId w:val="1083651214"/>
        <w:rPr>
          <w:rFonts w:ascii="Arial" w:hAnsi="Arial" w:cs="Arial"/>
          <w:sz w:val="22"/>
          <w:szCs w:val="22"/>
        </w:rPr>
      </w:pPr>
    </w:p>
    <w:p w14:paraId="74A660E4"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lang w:val="fr-FR"/>
        </w:rPr>
        <w:t xml:space="preserve">Eddy, K.T. </w:t>
      </w:r>
      <w:r w:rsidRPr="004E3184">
        <w:rPr>
          <w:rStyle w:val="s2"/>
          <w:rFonts w:ascii="Arial" w:hAnsi="Arial" w:cs="Arial"/>
          <w:sz w:val="22"/>
          <w:szCs w:val="22"/>
          <w:lang w:val="fr-FR"/>
        </w:rPr>
        <w:t>et al.</w:t>
      </w:r>
      <w:r w:rsidRPr="004E3184">
        <w:rPr>
          <w:rStyle w:val="s1"/>
          <w:rFonts w:ascii="Arial" w:hAnsi="Arial" w:cs="Arial"/>
          <w:sz w:val="22"/>
          <w:szCs w:val="22"/>
          <w:lang w:val="fr-FR"/>
        </w:rPr>
        <w:t xml:space="preserve"> </w:t>
      </w:r>
      <w:r w:rsidRPr="004E3184">
        <w:rPr>
          <w:rStyle w:val="s1"/>
          <w:rFonts w:ascii="Arial" w:hAnsi="Arial" w:cs="Arial"/>
          <w:sz w:val="22"/>
          <w:szCs w:val="22"/>
        </w:rPr>
        <w:t xml:space="preserve">(2020) </w:t>
      </w:r>
      <w:r w:rsidRPr="004E3184">
        <w:rPr>
          <w:rStyle w:val="s2"/>
          <w:rFonts w:ascii="Arial" w:hAnsi="Arial" w:cs="Arial"/>
          <w:sz w:val="22"/>
          <w:szCs w:val="22"/>
        </w:rPr>
        <w:t>‘Other specified feeding or eating disorder: Clinical utility and research challenges’</w:t>
      </w:r>
      <w:r w:rsidRPr="004E3184">
        <w:rPr>
          <w:rStyle w:val="s1"/>
          <w:rFonts w:ascii="Arial" w:hAnsi="Arial" w:cs="Arial"/>
          <w:sz w:val="22"/>
          <w:szCs w:val="22"/>
        </w:rPr>
        <w:t xml:space="preserve">, </w:t>
      </w:r>
      <w:r w:rsidRPr="004E3184">
        <w:rPr>
          <w:rStyle w:val="s2"/>
          <w:rFonts w:ascii="Arial" w:hAnsi="Arial" w:cs="Arial"/>
          <w:sz w:val="22"/>
          <w:szCs w:val="22"/>
        </w:rPr>
        <w:t>International Journal of Eating Disorders</w:t>
      </w:r>
      <w:r w:rsidRPr="004E3184">
        <w:rPr>
          <w:rStyle w:val="s1"/>
          <w:rFonts w:ascii="Arial" w:hAnsi="Arial" w:cs="Arial"/>
          <w:sz w:val="22"/>
          <w:szCs w:val="22"/>
        </w:rPr>
        <w:t>, 53(2), pp. 165–171. https://doi.org/10.1002/eat.23226</w:t>
      </w:r>
    </w:p>
    <w:p w14:paraId="2DDFF5C1" w14:textId="77777777" w:rsidR="00511605" w:rsidRPr="004E3184" w:rsidRDefault="00511605" w:rsidP="004E3184">
      <w:pPr>
        <w:pStyle w:val="p2"/>
        <w:spacing w:line="360" w:lineRule="auto"/>
        <w:divId w:val="1083651214"/>
        <w:rPr>
          <w:rFonts w:ascii="Arial" w:hAnsi="Arial" w:cs="Arial"/>
          <w:sz w:val="22"/>
          <w:szCs w:val="22"/>
        </w:rPr>
      </w:pPr>
    </w:p>
    <w:p w14:paraId="03E3A863"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Fairburn, C.G. (2020) </w:t>
      </w:r>
      <w:r w:rsidRPr="004E3184">
        <w:rPr>
          <w:rStyle w:val="s2"/>
          <w:rFonts w:ascii="Arial" w:hAnsi="Arial" w:cs="Arial"/>
          <w:sz w:val="22"/>
          <w:szCs w:val="22"/>
        </w:rPr>
        <w:t>‘Transdiagnostic perspective on eating disorders’</w:t>
      </w:r>
      <w:r w:rsidRPr="004E3184">
        <w:rPr>
          <w:rStyle w:val="s1"/>
          <w:rFonts w:ascii="Arial" w:hAnsi="Arial" w:cs="Arial"/>
          <w:sz w:val="22"/>
          <w:szCs w:val="22"/>
        </w:rPr>
        <w:t xml:space="preserve">, </w:t>
      </w:r>
      <w:r w:rsidRPr="004E3184">
        <w:rPr>
          <w:rStyle w:val="s2"/>
          <w:rFonts w:ascii="Arial" w:hAnsi="Arial" w:cs="Arial"/>
          <w:sz w:val="22"/>
          <w:szCs w:val="22"/>
        </w:rPr>
        <w:t>Behaviour Research and Therapy</w:t>
      </w:r>
      <w:r w:rsidRPr="004E3184">
        <w:rPr>
          <w:rStyle w:val="s1"/>
          <w:rFonts w:ascii="Arial" w:hAnsi="Arial" w:cs="Arial"/>
          <w:sz w:val="22"/>
          <w:szCs w:val="22"/>
        </w:rPr>
        <w:t>, 131, 103556. https://doi.org/10.1016/j.brat.2020.103556</w:t>
      </w:r>
    </w:p>
    <w:p w14:paraId="068AEBA4" w14:textId="77777777" w:rsidR="00511605" w:rsidRPr="004E3184" w:rsidRDefault="00511605" w:rsidP="004E3184">
      <w:pPr>
        <w:pStyle w:val="p2"/>
        <w:spacing w:line="360" w:lineRule="auto"/>
        <w:divId w:val="1083651214"/>
        <w:rPr>
          <w:rFonts w:ascii="Arial" w:hAnsi="Arial" w:cs="Arial"/>
          <w:sz w:val="22"/>
          <w:szCs w:val="22"/>
        </w:rPr>
      </w:pPr>
    </w:p>
    <w:p w14:paraId="1A7EA95B"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Herpertz-Dahlmann, B. (2019) </w:t>
      </w:r>
      <w:r w:rsidRPr="004E3184">
        <w:rPr>
          <w:rStyle w:val="s2"/>
          <w:rFonts w:ascii="Arial" w:hAnsi="Arial" w:cs="Arial"/>
          <w:sz w:val="22"/>
          <w:szCs w:val="22"/>
        </w:rPr>
        <w:t>‘Treatment of eating disorders in children and adolescents’</w:t>
      </w:r>
      <w:r w:rsidRPr="004E3184">
        <w:rPr>
          <w:rStyle w:val="s1"/>
          <w:rFonts w:ascii="Arial" w:hAnsi="Arial" w:cs="Arial"/>
          <w:sz w:val="22"/>
          <w:szCs w:val="22"/>
        </w:rPr>
        <w:t xml:space="preserve">, </w:t>
      </w:r>
      <w:r w:rsidRPr="004E3184">
        <w:rPr>
          <w:rStyle w:val="s2"/>
          <w:rFonts w:ascii="Arial" w:hAnsi="Arial" w:cs="Arial"/>
          <w:sz w:val="22"/>
          <w:szCs w:val="22"/>
        </w:rPr>
        <w:t>Current Opinion in Psychiatry</w:t>
      </w:r>
      <w:r w:rsidRPr="004E3184">
        <w:rPr>
          <w:rStyle w:val="s1"/>
          <w:rFonts w:ascii="Arial" w:hAnsi="Arial" w:cs="Arial"/>
          <w:sz w:val="22"/>
          <w:szCs w:val="22"/>
        </w:rPr>
        <w:t>, 32(6), pp. 511–516. https://doi.org/10.1097/YCO.0000000000000548</w:t>
      </w:r>
    </w:p>
    <w:p w14:paraId="0833BE93" w14:textId="77777777" w:rsidR="00511605" w:rsidRPr="004E3184" w:rsidRDefault="00511605" w:rsidP="004E3184">
      <w:pPr>
        <w:pStyle w:val="p2"/>
        <w:spacing w:line="360" w:lineRule="auto"/>
        <w:divId w:val="1083651214"/>
        <w:rPr>
          <w:rFonts w:ascii="Arial" w:hAnsi="Arial" w:cs="Arial"/>
          <w:sz w:val="22"/>
          <w:szCs w:val="22"/>
        </w:rPr>
      </w:pPr>
    </w:p>
    <w:p w14:paraId="4422B334"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Holland, G. and Tiggemann, M. (2017) </w:t>
      </w:r>
      <w:r w:rsidRPr="004E3184">
        <w:rPr>
          <w:rStyle w:val="s2"/>
          <w:rFonts w:ascii="Arial" w:hAnsi="Arial" w:cs="Arial"/>
          <w:sz w:val="22"/>
          <w:szCs w:val="22"/>
        </w:rPr>
        <w:t>‘Social networking sites and body image: A meta-analysis’</w:t>
      </w:r>
      <w:r w:rsidRPr="004E3184">
        <w:rPr>
          <w:rStyle w:val="s1"/>
          <w:rFonts w:ascii="Arial" w:hAnsi="Arial" w:cs="Arial"/>
          <w:sz w:val="22"/>
          <w:szCs w:val="22"/>
        </w:rPr>
        <w:t xml:space="preserve">, </w:t>
      </w:r>
      <w:r w:rsidRPr="004E3184">
        <w:rPr>
          <w:rStyle w:val="s2"/>
          <w:rFonts w:ascii="Arial" w:hAnsi="Arial" w:cs="Arial"/>
          <w:sz w:val="22"/>
          <w:szCs w:val="22"/>
        </w:rPr>
        <w:t>Body Image</w:t>
      </w:r>
      <w:r w:rsidRPr="004E3184">
        <w:rPr>
          <w:rStyle w:val="s1"/>
          <w:rFonts w:ascii="Arial" w:hAnsi="Arial" w:cs="Arial"/>
          <w:sz w:val="22"/>
          <w:szCs w:val="22"/>
        </w:rPr>
        <w:t>, 23, pp. 82–96. https://doi.org/10.1016/j.bodyim.2017.04.001</w:t>
      </w:r>
    </w:p>
    <w:p w14:paraId="0241B104" w14:textId="77777777" w:rsidR="00511605" w:rsidRPr="004E3184" w:rsidRDefault="00511605" w:rsidP="004E3184">
      <w:pPr>
        <w:pStyle w:val="p2"/>
        <w:spacing w:line="360" w:lineRule="auto"/>
        <w:divId w:val="1083651214"/>
        <w:rPr>
          <w:rFonts w:ascii="Arial" w:hAnsi="Arial" w:cs="Arial"/>
          <w:sz w:val="22"/>
          <w:szCs w:val="22"/>
        </w:rPr>
      </w:pPr>
    </w:p>
    <w:p w14:paraId="2D309D87"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Katzman, D.K. (2019) </w:t>
      </w:r>
      <w:r w:rsidRPr="004E3184">
        <w:rPr>
          <w:rStyle w:val="s2"/>
          <w:rFonts w:ascii="Arial" w:hAnsi="Arial" w:cs="Arial"/>
          <w:sz w:val="22"/>
          <w:szCs w:val="22"/>
        </w:rPr>
        <w:t>‘Medical complications in adolescents with anorexia nervosa’</w:t>
      </w:r>
      <w:r w:rsidRPr="004E3184">
        <w:rPr>
          <w:rStyle w:val="s1"/>
          <w:rFonts w:ascii="Arial" w:hAnsi="Arial" w:cs="Arial"/>
          <w:sz w:val="22"/>
          <w:szCs w:val="22"/>
        </w:rPr>
        <w:t xml:space="preserve">, </w:t>
      </w:r>
      <w:r w:rsidRPr="004E3184">
        <w:rPr>
          <w:rStyle w:val="s2"/>
          <w:rFonts w:ascii="Arial" w:hAnsi="Arial" w:cs="Arial"/>
          <w:sz w:val="22"/>
          <w:szCs w:val="22"/>
        </w:rPr>
        <w:t>Journal of Eating Disorders</w:t>
      </w:r>
      <w:r w:rsidRPr="004E3184">
        <w:rPr>
          <w:rStyle w:val="s1"/>
          <w:rFonts w:ascii="Arial" w:hAnsi="Arial" w:cs="Arial"/>
          <w:sz w:val="22"/>
          <w:szCs w:val="22"/>
        </w:rPr>
        <w:t>, 7, 32. https://doi.org/10.1186/s40337-019-0262-2</w:t>
      </w:r>
    </w:p>
    <w:p w14:paraId="3D180AEE" w14:textId="77777777" w:rsidR="00511605" w:rsidRPr="004E3184" w:rsidRDefault="00511605" w:rsidP="004E3184">
      <w:pPr>
        <w:pStyle w:val="p2"/>
        <w:spacing w:line="360" w:lineRule="auto"/>
        <w:divId w:val="1083651214"/>
        <w:rPr>
          <w:rFonts w:ascii="Arial" w:hAnsi="Arial" w:cs="Arial"/>
          <w:sz w:val="22"/>
          <w:szCs w:val="22"/>
        </w:rPr>
      </w:pPr>
    </w:p>
    <w:p w14:paraId="594DAF47" w14:textId="77777777" w:rsidR="00511605" w:rsidRPr="004E3184" w:rsidRDefault="00511605" w:rsidP="004E3184">
      <w:pPr>
        <w:pStyle w:val="p2"/>
        <w:spacing w:line="360" w:lineRule="auto"/>
        <w:divId w:val="1083651214"/>
        <w:rPr>
          <w:rFonts w:ascii="Arial" w:hAnsi="Arial" w:cs="Arial"/>
          <w:sz w:val="22"/>
          <w:szCs w:val="22"/>
        </w:rPr>
      </w:pPr>
    </w:p>
    <w:p w14:paraId="144A1A27"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LinkedIn (n.d.) </w:t>
      </w:r>
      <w:r w:rsidRPr="004E3184">
        <w:rPr>
          <w:rStyle w:val="s2"/>
          <w:rFonts w:ascii="Arial" w:hAnsi="Arial" w:cs="Arial"/>
          <w:sz w:val="22"/>
          <w:szCs w:val="22"/>
        </w:rPr>
        <w:t>‘Classification and Diagnosis’ [Figure 2]</w:t>
      </w:r>
      <w:r w:rsidRPr="004E3184">
        <w:rPr>
          <w:rStyle w:val="s1"/>
          <w:rFonts w:ascii="Arial" w:hAnsi="Arial" w:cs="Arial"/>
          <w:sz w:val="22"/>
          <w:szCs w:val="22"/>
        </w:rPr>
        <w:t xml:space="preserve">. Available at: </w:t>
      </w:r>
      <w:hyperlink r:id="rId11" w:history="1">
        <w:r w:rsidRPr="004E3184">
          <w:rPr>
            <w:rStyle w:val="Hyperlink"/>
            <w:rFonts w:ascii="Arial" w:hAnsi="Arial" w:cs="Arial"/>
            <w:sz w:val="22"/>
            <w:szCs w:val="22"/>
          </w:rPr>
          <w:t>https://www.linkedin.com</w:t>
        </w:r>
      </w:hyperlink>
      <w:r w:rsidRPr="004E3184">
        <w:rPr>
          <w:rFonts w:ascii="Arial" w:hAnsi="Arial" w:cs="Arial"/>
          <w:sz w:val="22"/>
          <w:szCs w:val="22"/>
        </w:rPr>
        <mc:AlternateContent>
          <mc:Choice Requires="wps">
            <w:drawing>
              <wp:inline distT="0" distB="0" distL="0" distR="0" wp14:anchorId="11800C27" wp14:editId="785F0191">
                <wp:extent cx="300355" cy="300355"/>
                <wp:effectExtent l="0" t="0" r="0" b="0"/>
                <wp:docPr id="149773376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4DB4EE" id="Rectangle 4"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Pr="004E3184">
        <w:rPr>
          <w:rStyle w:val="s1"/>
          <w:rFonts w:ascii="Arial" w:hAnsi="Arial" w:cs="Arial"/>
          <w:sz w:val="22"/>
          <w:szCs w:val="22"/>
        </w:rPr>
        <w:t xml:space="preserve"> (Accessed: 3 November 2025).</w:t>
      </w:r>
    </w:p>
    <w:p w14:paraId="79D9F819" w14:textId="77777777" w:rsidR="00511605" w:rsidRPr="004E3184" w:rsidRDefault="00511605" w:rsidP="004E3184">
      <w:pPr>
        <w:pStyle w:val="p2"/>
        <w:spacing w:line="360" w:lineRule="auto"/>
        <w:divId w:val="1083651214"/>
        <w:rPr>
          <w:rFonts w:ascii="Arial" w:hAnsi="Arial" w:cs="Arial"/>
          <w:sz w:val="22"/>
          <w:szCs w:val="22"/>
        </w:rPr>
      </w:pPr>
    </w:p>
    <w:p w14:paraId="3A0FBE2F"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Linardon, J. </w:t>
      </w:r>
      <w:r w:rsidRPr="004E3184">
        <w:rPr>
          <w:rStyle w:val="s2"/>
          <w:rFonts w:ascii="Arial" w:hAnsi="Arial" w:cs="Arial"/>
          <w:sz w:val="22"/>
          <w:szCs w:val="22"/>
        </w:rPr>
        <w:t>et al.</w:t>
      </w:r>
      <w:r w:rsidRPr="004E3184">
        <w:rPr>
          <w:rStyle w:val="s1"/>
          <w:rFonts w:ascii="Arial" w:hAnsi="Arial" w:cs="Arial"/>
          <w:sz w:val="22"/>
          <w:szCs w:val="22"/>
        </w:rPr>
        <w:t xml:space="preserve"> (2019) </w:t>
      </w:r>
      <w:r w:rsidRPr="004E3184">
        <w:rPr>
          <w:rStyle w:val="s2"/>
          <w:rFonts w:ascii="Arial" w:hAnsi="Arial" w:cs="Arial"/>
          <w:sz w:val="22"/>
          <w:szCs w:val="22"/>
        </w:rPr>
        <w:t>‘The efficacy of CBT-E for eating disorders: A systematic review and meta-analysis’</w:t>
      </w:r>
      <w:r w:rsidRPr="004E3184">
        <w:rPr>
          <w:rStyle w:val="s1"/>
          <w:rFonts w:ascii="Arial" w:hAnsi="Arial" w:cs="Arial"/>
          <w:sz w:val="22"/>
          <w:szCs w:val="22"/>
        </w:rPr>
        <w:t xml:space="preserve">, </w:t>
      </w:r>
      <w:r w:rsidRPr="004E3184">
        <w:rPr>
          <w:rStyle w:val="s2"/>
          <w:rFonts w:ascii="Arial" w:hAnsi="Arial" w:cs="Arial"/>
          <w:sz w:val="22"/>
          <w:szCs w:val="22"/>
        </w:rPr>
        <w:t>Journal of Consulting and Clinical Psychology</w:t>
      </w:r>
      <w:r w:rsidRPr="004E3184">
        <w:rPr>
          <w:rStyle w:val="s1"/>
          <w:rFonts w:ascii="Arial" w:hAnsi="Arial" w:cs="Arial"/>
          <w:sz w:val="22"/>
          <w:szCs w:val="22"/>
        </w:rPr>
        <w:t>, 87(5), pp. 386–399. https://doi.org/10.1037/ccp0000390</w:t>
      </w:r>
    </w:p>
    <w:p w14:paraId="08FFE885" w14:textId="77777777" w:rsidR="00511605" w:rsidRPr="004E3184" w:rsidRDefault="00511605" w:rsidP="004E3184">
      <w:pPr>
        <w:pStyle w:val="p2"/>
        <w:spacing w:line="360" w:lineRule="auto"/>
        <w:divId w:val="1083651214"/>
        <w:rPr>
          <w:rFonts w:ascii="Arial" w:hAnsi="Arial" w:cs="Arial"/>
          <w:sz w:val="22"/>
          <w:szCs w:val="22"/>
        </w:rPr>
      </w:pPr>
    </w:p>
    <w:p w14:paraId="5C87E8D1"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Mitchison, D. </w:t>
      </w:r>
      <w:r w:rsidRPr="004E3184">
        <w:rPr>
          <w:rStyle w:val="s2"/>
          <w:rFonts w:ascii="Arial" w:hAnsi="Arial" w:cs="Arial"/>
          <w:sz w:val="22"/>
          <w:szCs w:val="22"/>
        </w:rPr>
        <w:t>et al.</w:t>
      </w:r>
      <w:r w:rsidRPr="004E3184">
        <w:rPr>
          <w:rStyle w:val="s1"/>
          <w:rFonts w:ascii="Arial" w:hAnsi="Arial" w:cs="Arial"/>
          <w:sz w:val="22"/>
          <w:szCs w:val="22"/>
        </w:rPr>
        <w:t xml:space="preserve"> (2020) </w:t>
      </w:r>
      <w:r w:rsidRPr="004E3184">
        <w:rPr>
          <w:rStyle w:val="s2"/>
          <w:rFonts w:ascii="Arial" w:hAnsi="Arial" w:cs="Arial"/>
          <w:sz w:val="22"/>
          <w:szCs w:val="22"/>
        </w:rPr>
        <w:t>‘The changing epidemiology of eating disorders’</w:t>
      </w:r>
      <w:r w:rsidRPr="004E3184">
        <w:rPr>
          <w:rStyle w:val="s1"/>
          <w:rFonts w:ascii="Arial" w:hAnsi="Arial" w:cs="Arial"/>
          <w:sz w:val="22"/>
          <w:szCs w:val="22"/>
        </w:rPr>
        <w:t xml:space="preserve">, </w:t>
      </w:r>
      <w:r w:rsidRPr="004E3184">
        <w:rPr>
          <w:rStyle w:val="s2"/>
          <w:rFonts w:ascii="Arial" w:hAnsi="Arial" w:cs="Arial"/>
          <w:sz w:val="22"/>
          <w:szCs w:val="22"/>
        </w:rPr>
        <w:t>Current Opinion in Psychiatry</w:t>
      </w:r>
      <w:r w:rsidRPr="004E3184">
        <w:rPr>
          <w:rStyle w:val="s1"/>
          <w:rFonts w:ascii="Arial" w:hAnsi="Arial" w:cs="Arial"/>
          <w:sz w:val="22"/>
          <w:szCs w:val="22"/>
        </w:rPr>
        <w:t>, 33(6), pp. 551–560. https://doi.org/10.1097/YCO.0000000000000648</w:t>
      </w:r>
    </w:p>
    <w:p w14:paraId="64FB8419" w14:textId="77777777" w:rsidR="00511605" w:rsidRPr="004E3184" w:rsidRDefault="00511605" w:rsidP="004E3184">
      <w:pPr>
        <w:pStyle w:val="p2"/>
        <w:spacing w:line="360" w:lineRule="auto"/>
        <w:divId w:val="1083651214"/>
        <w:rPr>
          <w:rFonts w:ascii="Arial" w:hAnsi="Arial" w:cs="Arial"/>
          <w:sz w:val="22"/>
          <w:szCs w:val="22"/>
        </w:rPr>
      </w:pPr>
    </w:p>
    <w:p w14:paraId="20079BAF"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Monteleone, A.M. </w:t>
      </w:r>
      <w:r w:rsidRPr="004E3184">
        <w:rPr>
          <w:rStyle w:val="s2"/>
          <w:rFonts w:ascii="Arial" w:hAnsi="Arial" w:cs="Arial"/>
          <w:sz w:val="22"/>
          <w:szCs w:val="22"/>
        </w:rPr>
        <w:t>et al.</w:t>
      </w:r>
      <w:r w:rsidRPr="004E3184">
        <w:rPr>
          <w:rStyle w:val="s1"/>
          <w:rFonts w:ascii="Arial" w:hAnsi="Arial" w:cs="Arial"/>
          <w:sz w:val="22"/>
          <w:szCs w:val="22"/>
        </w:rPr>
        <w:t xml:space="preserve"> (2018) </w:t>
      </w:r>
      <w:r w:rsidRPr="004E3184">
        <w:rPr>
          <w:rStyle w:val="s2"/>
          <w:rFonts w:ascii="Arial" w:hAnsi="Arial" w:cs="Arial"/>
          <w:sz w:val="22"/>
          <w:szCs w:val="22"/>
        </w:rPr>
        <w:t>‘Neural correlates of anorexia nervosa: Evidence from neuroimaging’</w:t>
      </w:r>
      <w:r w:rsidRPr="004E3184">
        <w:rPr>
          <w:rStyle w:val="s1"/>
          <w:rFonts w:ascii="Arial" w:hAnsi="Arial" w:cs="Arial"/>
          <w:sz w:val="22"/>
          <w:szCs w:val="22"/>
        </w:rPr>
        <w:t xml:space="preserve">, </w:t>
      </w:r>
      <w:r w:rsidRPr="004E3184">
        <w:rPr>
          <w:rStyle w:val="s2"/>
          <w:rFonts w:ascii="Arial" w:hAnsi="Arial" w:cs="Arial"/>
          <w:sz w:val="22"/>
          <w:szCs w:val="22"/>
        </w:rPr>
        <w:t>Biological Psychiatry</w:t>
      </w:r>
      <w:r w:rsidRPr="004E3184">
        <w:rPr>
          <w:rStyle w:val="s1"/>
          <w:rFonts w:ascii="Arial" w:hAnsi="Arial" w:cs="Arial"/>
          <w:sz w:val="22"/>
          <w:szCs w:val="22"/>
        </w:rPr>
        <w:t>, 83(7), pp. 531–541. https://doi.org/10.1016/j.biopsych.2017.09.016</w:t>
      </w:r>
    </w:p>
    <w:p w14:paraId="5EEC51ED" w14:textId="77777777" w:rsidR="00511605" w:rsidRPr="004E3184" w:rsidRDefault="00511605" w:rsidP="004E3184">
      <w:pPr>
        <w:pStyle w:val="p2"/>
        <w:spacing w:line="360" w:lineRule="auto"/>
        <w:divId w:val="1083651214"/>
        <w:rPr>
          <w:rFonts w:ascii="Arial" w:hAnsi="Arial" w:cs="Arial"/>
          <w:sz w:val="22"/>
          <w:szCs w:val="22"/>
        </w:rPr>
      </w:pPr>
    </w:p>
    <w:p w14:paraId="2B0FEAA2" w14:textId="54BEBAC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lang w:val="fr-FR"/>
        </w:rPr>
        <w:t xml:space="preserve">Murray, S.B. </w:t>
      </w:r>
      <w:r w:rsidRPr="004E3184">
        <w:rPr>
          <w:rStyle w:val="s2"/>
          <w:rFonts w:ascii="Arial" w:hAnsi="Arial" w:cs="Arial"/>
          <w:sz w:val="22"/>
          <w:szCs w:val="22"/>
          <w:lang w:val="fr-FR"/>
        </w:rPr>
        <w:t>et al.</w:t>
      </w:r>
      <w:r w:rsidRPr="004E3184">
        <w:rPr>
          <w:rStyle w:val="s1"/>
          <w:rFonts w:ascii="Arial" w:hAnsi="Arial" w:cs="Arial"/>
          <w:sz w:val="22"/>
          <w:szCs w:val="22"/>
          <w:lang w:val="fr-FR"/>
        </w:rPr>
        <w:t xml:space="preserve"> </w:t>
      </w:r>
      <w:r w:rsidRPr="004E3184">
        <w:rPr>
          <w:rStyle w:val="s1"/>
          <w:rFonts w:ascii="Arial" w:hAnsi="Arial" w:cs="Arial"/>
          <w:sz w:val="22"/>
          <w:szCs w:val="22"/>
        </w:rPr>
        <w:t xml:space="preserve">(2019) </w:t>
      </w:r>
      <w:r w:rsidRPr="004E3184">
        <w:rPr>
          <w:rStyle w:val="s2"/>
          <w:rFonts w:ascii="Arial" w:hAnsi="Arial" w:cs="Arial"/>
          <w:sz w:val="22"/>
          <w:szCs w:val="22"/>
        </w:rPr>
        <w:t>‘</w:t>
      </w:r>
      <w:r w:rsidR="00756298" w:rsidRPr="004E3184">
        <w:rPr>
          <w:rStyle w:val="s2"/>
          <w:rFonts w:ascii="Arial" w:hAnsi="Arial" w:cs="Arial"/>
          <w:sz w:val="22"/>
          <w:szCs w:val="22"/>
        </w:rPr>
        <w:t>eating</w:t>
      </w:r>
      <w:r w:rsidRPr="004E3184">
        <w:rPr>
          <w:rStyle w:val="s2"/>
          <w:rFonts w:ascii="Arial" w:hAnsi="Arial" w:cs="Arial"/>
          <w:sz w:val="22"/>
          <w:szCs w:val="22"/>
        </w:rPr>
        <w:t xml:space="preserve"> disorders in males: Clinical characteristics and treatment’</w:t>
      </w:r>
      <w:r w:rsidRPr="004E3184">
        <w:rPr>
          <w:rStyle w:val="s1"/>
          <w:rFonts w:ascii="Arial" w:hAnsi="Arial" w:cs="Arial"/>
          <w:sz w:val="22"/>
          <w:szCs w:val="22"/>
        </w:rPr>
        <w:t xml:space="preserve">, </w:t>
      </w:r>
      <w:r w:rsidR="00756298" w:rsidRPr="004E3184">
        <w:rPr>
          <w:rStyle w:val="s2"/>
          <w:rFonts w:ascii="Arial" w:hAnsi="Arial" w:cs="Arial"/>
          <w:sz w:val="22"/>
          <w:szCs w:val="22"/>
        </w:rPr>
        <w:t>eating disorders</w:t>
      </w:r>
      <w:r w:rsidRPr="004E3184">
        <w:rPr>
          <w:rStyle w:val="s1"/>
          <w:rFonts w:ascii="Arial" w:hAnsi="Arial" w:cs="Arial"/>
          <w:sz w:val="22"/>
          <w:szCs w:val="22"/>
        </w:rPr>
        <w:t>, 27(4), pp. 346–358. https://doi.org/10.1080/10640266.2019.1601446</w:t>
      </w:r>
    </w:p>
    <w:p w14:paraId="1CA91428" w14:textId="77777777" w:rsidR="00511605" w:rsidRPr="004E3184" w:rsidRDefault="00511605" w:rsidP="004E3184">
      <w:pPr>
        <w:pStyle w:val="p2"/>
        <w:spacing w:line="360" w:lineRule="auto"/>
        <w:divId w:val="1083651214"/>
        <w:rPr>
          <w:rFonts w:ascii="Arial" w:hAnsi="Arial" w:cs="Arial"/>
          <w:sz w:val="22"/>
          <w:szCs w:val="22"/>
        </w:rPr>
      </w:pPr>
    </w:p>
    <w:p w14:paraId="1D770B10"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Smink, F.R. E., van Hoeken, D. and Hoek, H.W. (2012) </w:t>
      </w:r>
      <w:r w:rsidRPr="004E3184">
        <w:rPr>
          <w:rStyle w:val="s2"/>
          <w:rFonts w:ascii="Arial" w:hAnsi="Arial" w:cs="Arial"/>
          <w:sz w:val="22"/>
          <w:szCs w:val="22"/>
        </w:rPr>
        <w:t>‘Epidemiology of eating disorders: incidence, prevalence and mortality rates’</w:t>
      </w:r>
      <w:r w:rsidRPr="004E3184">
        <w:rPr>
          <w:rStyle w:val="s1"/>
          <w:rFonts w:ascii="Arial" w:hAnsi="Arial" w:cs="Arial"/>
          <w:sz w:val="22"/>
          <w:szCs w:val="22"/>
        </w:rPr>
        <w:t xml:space="preserve">, </w:t>
      </w:r>
      <w:r w:rsidRPr="004E3184">
        <w:rPr>
          <w:rStyle w:val="s2"/>
          <w:rFonts w:ascii="Arial" w:hAnsi="Arial" w:cs="Arial"/>
          <w:sz w:val="22"/>
          <w:szCs w:val="22"/>
        </w:rPr>
        <w:t>Current Psychiatry Reports</w:t>
      </w:r>
      <w:r w:rsidRPr="004E3184">
        <w:rPr>
          <w:rStyle w:val="s1"/>
          <w:rFonts w:ascii="Arial" w:hAnsi="Arial" w:cs="Arial"/>
          <w:sz w:val="22"/>
          <w:szCs w:val="22"/>
        </w:rPr>
        <w:t>, 14(4), pp. 406–414.</w:t>
      </w:r>
    </w:p>
    <w:p w14:paraId="541BA29E" w14:textId="77777777" w:rsidR="00511605" w:rsidRPr="004E3184" w:rsidRDefault="00511605" w:rsidP="004E3184">
      <w:pPr>
        <w:pStyle w:val="p2"/>
        <w:spacing w:line="360" w:lineRule="auto"/>
        <w:divId w:val="1083651214"/>
        <w:rPr>
          <w:rFonts w:ascii="Arial" w:hAnsi="Arial" w:cs="Arial"/>
          <w:sz w:val="22"/>
          <w:szCs w:val="22"/>
        </w:rPr>
      </w:pPr>
    </w:p>
    <w:p w14:paraId="433A5B18"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Tan, J.O.A., Stewart, A. and Fitzpatrick, R. (2020) </w:t>
      </w:r>
      <w:r w:rsidRPr="004E3184">
        <w:rPr>
          <w:rStyle w:val="s2"/>
          <w:rFonts w:ascii="Arial" w:hAnsi="Arial" w:cs="Arial"/>
          <w:sz w:val="22"/>
          <w:szCs w:val="22"/>
        </w:rPr>
        <w:t>‘Compulsory treatment in anorexia nervosa: Balancing autonomy and care’</w:t>
      </w:r>
      <w:r w:rsidRPr="004E3184">
        <w:rPr>
          <w:rStyle w:val="s1"/>
          <w:rFonts w:ascii="Arial" w:hAnsi="Arial" w:cs="Arial"/>
          <w:sz w:val="22"/>
          <w:szCs w:val="22"/>
        </w:rPr>
        <w:t xml:space="preserve">, </w:t>
      </w:r>
      <w:r w:rsidRPr="004E3184">
        <w:rPr>
          <w:rStyle w:val="s2"/>
          <w:rFonts w:ascii="Arial" w:hAnsi="Arial" w:cs="Arial"/>
          <w:sz w:val="22"/>
          <w:szCs w:val="22"/>
        </w:rPr>
        <w:t>The Lancet Psychiatry</w:t>
      </w:r>
      <w:r w:rsidRPr="004E3184">
        <w:rPr>
          <w:rStyle w:val="s1"/>
          <w:rFonts w:ascii="Arial" w:hAnsi="Arial" w:cs="Arial"/>
          <w:sz w:val="22"/>
          <w:szCs w:val="22"/>
        </w:rPr>
        <w:t>, 7(3), pp. 231–240. https://doi.org/10.1016/S2215-0366(19)30415-8</w:t>
      </w:r>
    </w:p>
    <w:p w14:paraId="30C57D70" w14:textId="77777777" w:rsidR="00511605" w:rsidRPr="004E3184" w:rsidRDefault="00511605" w:rsidP="004E3184">
      <w:pPr>
        <w:pStyle w:val="p2"/>
        <w:spacing w:line="360" w:lineRule="auto"/>
        <w:divId w:val="1083651214"/>
        <w:rPr>
          <w:rFonts w:ascii="Arial" w:hAnsi="Arial" w:cs="Arial"/>
          <w:sz w:val="22"/>
          <w:szCs w:val="22"/>
        </w:rPr>
      </w:pPr>
    </w:p>
    <w:p w14:paraId="236A03BC"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Treasure, J., Duarte, T.A. and Schmidt, U. (2020) </w:t>
      </w:r>
      <w:r w:rsidRPr="004E3184">
        <w:rPr>
          <w:rStyle w:val="s2"/>
          <w:rFonts w:ascii="Arial" w:hAnsi="Arial" w:cs="Arial"/>
          <w:sz w:val="22"/>
          <w:szCs w:val="22"/>
        </w:rPr>
        <w:t>‘Eating disorders’</w:t>
      </w:r>
      <w:r w:rsidRPr="004E3184">
        <w:rPr>
          <w:rStyle w:val="s1"/>
          <w:rFonts w:ascii="Arial" w:hAnsi="Arial" w:cs="Arial"/>
          <w:sz w:val="22"/>
          <w:szCs w:val="22"/>
        </w:rPr>
        <w:t xml:space="preserve">, </w:t>
      </w:r>
      <w:r w:rsidRPr="004E3184">
        <w:rPr>
          <w:rStyle w:val="s2"/>
          <w:rFonts w:ascii="Arial" w:hAnsi="Arial" w:cs="Arial"/>
          <w:sz w:val="22"/>
          <w:szCs w:val="22"/>
        </w:rPr>
        <w:t>The Lancet</w:t>
      </w:r>
      <w:r w:rsidRPr="004E3184">
        <w:rPr>
          <w:rStyle w:val="s1"/>
          <w:rFonts w:ascii="Arial" w:hAnsi="Arial" w:cs="Arial"/>
          <w:sz w:val="22"/>
          <w:szCs w:val="22"/>
        </w:rPr>
        <w:t>, 395(10227), pp. 899–911. https://doi.org/10.1016/S0140-6736(20)30059-3</w:t>
      </w:r>
    </w:p>
    <w:p w14:paraId="351E192A" w14:textId="77777777" w:rsidR="00511605" w:rsidRPr="004E3184" w:rsidRDefault="00511605" w:rsidP="004E3184">
      <w:pPr>
        <w:pStyle w:val="p2"/>
        <w:spacing w:line="360" w:lineRule="auto"/>
        <w:divId w:val="1083651214"/>
        <w:rPr>
          <w:rFonts w:ascii="Arial" w:hAnsi="Arial" w:cs="Arial"/>
          <w:sz w:val="22"/>
          <w:szCs w:val="22"/>
        </w:rPr>
      </w:pPr>
    </w:p>
    <w:p w14:paraId="5EB8403D"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Turner, H., Marshall, E., Wood, F., </w:t>
      </w:r>
      <w:proofErr w:type="spellStart"/>
      <w:r w:rsidRPr="004E3184">
        <w:rPr>
          <w:rStyle w:val="s1"/>
          <w:rFonts w:ascii="Arial" w:hAnsi="Arial" w:cs="Arial"/>
          <w:sz w:val="22"/>
          <w:szCs w:val="22"/>
        </w:rPr>
        <w:t>Stopa</w:t>
      </w:r>
      <w:proofErr w:type="spellEnd"/>
      <w:r w:rsidRPr="004E3184">
        <w:rPr>
          <w:rStyle w:val="s1"/>
          <w:rFonts w:ascii="Arial" w:hAnsi="Arial" w:cs="Arial"/>
          <w:sz w:val="22"/>
          <w:szCs w:val="22"/>
        </w:rPr>
        <w:t xml:space="preserve">, L. and Waller, G. (2016) </w:t>
      </w:r>
      <w:r w:rsidRPr="004E3184">
        <w:rPr>
          <w:rStyle w:val="s2"/>
          <w:rFonts w:ascii="Arial" w:hAnsi="Arial" w:cs="Arial"/>
          <w:sz w:val="22"/>
          <w:szCs w:val="22"/>
        </w:rPr>
        <w:t>‘CBT for eating disorders: The impact of early changes in eating pathology on later changes in personality pathology, anxiety and depression’</w:t>
      </w:r>
      <w:r w:rsidRPr="004E3184">
        <w:rPr>
          <w:rStyle w:val="s1"/>
          <w:rFonts w:ascii="Arial" w:hAnsi="Arial" w:cs="Arial"/>
          <w:sz w:val="22"/>
          <w:szCs w:val="22"/>
        </w:rPr>
        <w:t xml:space="preserve">, </w:t>
      </w:r>
      <w:r w:rsidRPr="004E3184">
        <w:rPr>
          <w:rStyle w:val="s2"/>
          <w:rFonts w:ascii="Arial" w:hAnsi="Arial" w:cs="Arial"/>
          <w:sz w:val="22"/>
          <w:szCs w:val="22"/>
        </w:rPr>
        <w:t>Behaviour Research and Therapy</w:t>
      </w:r>
      <w:r w:rsidRPr="004E3184">
        <w:rPr>
          <w:rStyle w:val="s1"/>
          <w:rFonts w:ascii="Arial" w:hAnsi="Arial" w:cs="Arial"/>
          <w:sz w:val="22"/>
          <w:szCs w:val="22"/>
        </w:rPr>
        <w:t>, 77, pp. 1–6. https://doi.org/10.1016/j.brat.2015.11.011</w:t>
      </w:r>
    </w:p>
    <w:p w14:paraId="5D855826" w14:textId="77777777" w:rsidR="00511605" w:rsidRPr="004E3184" w:rsidRDefault="00511605" w:rsidP="004E3184">
      <w:pPr>
        <w:pStyle w:val="p2"/>
        <w:spacing w:line="360" w:lineRule="auto"/>
        <w:divId w:val="1083651214"/>
        <w:rPr>
          <w:rFonts w:ascii="Arial" w:hAnsi="Arial" w:cs="Arial"/>
          <w:sz w:val="22"/>
          <w:szCs w:val="22"/>
        </w:rPr>
      </w:pPr>
    </w:p>
    <w:p w14:paraId="5F938A89"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University of Rochester Medical Center (n.d.) </w:t>
      </w:r>
      <w:r w:rsidRPr="004E3184">
        <w:rPr>
          <w:rStyle w:val="s2"/>
          <w:rFonts w:ascii="Arial" w:hAnsi="Arial" w:cs="Arial"/>
          <w:sz w:val="22"/>
          <w:szCs w:val="22"/>
        </w:rPr>
        <w:t>‘Feeding and Eating Disorders in ICD-11: A critical examination’ [Figure 1]</w:t>
      </w:r>
      <w:r w:rsidRPr="004E3184">
        <w:rPr>
          <w:rStyle w:val="s1"/>
          <w:rFonts w:ascii="Arial" w:hAnsi="Arial" w:cs="Arial"/>
          <w:sz w:val="22"/>
          <w:szCs w:val="22"/>
        </w:rPr>
        <w:t xml:space="preserve">. Available at: </w:t>
      </w:r>
      <w:hyperlink r:id="rId12" w:history="1">
        <w:r w:rsidRPr="004E3184">
          <w:rPr>
            <w:rStyle w:val="Hyperlink"/>
            <w:rFonts w:ascii="Arial" w:hAnsi="Arial" w:cs="Arial"/>
            <w:sz w:val="22"/>
            <w:szCs w:val="22"/>
          </w:rPr>
          <w:t>https://www.urmc.rochester.edu</w:t>
        </w:r>
      </w:hyperlink>
      <w:r w:rsidRPr="004E3184">
        <w:rPr>
          <w:rFonts w:ascii="Arial" w:hAnsi="Arial" w:cs="Arial"/>
          <w:sz w:val="22"/>
          <w:szCs w:val="22"/>
        </w:rPr>
        <mc:AlternateContent>
          <mc:Choice Requires="wps">
            <w:drawing>
              <wp:inline distT="0" distB="0" distL="0" distR="0" wp14:anchorId="6FCC09DD" wp14:editId="01A35C99">
                <wp:extent cx="300355" cy="300355"/>
                <wp:effectExtent l="0" t="0" r="0" b="0"/>
                <wp:docPr id="1980819090"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C2D569" id="Rectangle 3"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Pr="004E3184">
        <w:rPr>
          <w:rStyle w:val="s1"/>
          <w:rFonts w:ascii="Arial" w:hAnsi="Arial" w:cs="Arial"/>
          <w:sz w:val="22"/>
          <w:szCs w:val="22"/>
        </w:rPr>
        <w:t xml:space="preserve"> (Accessed: 3 November 2025).</w:t>
      </w:r>
    </w:p>
    <w:p w14:paraId="3A3696B7" w14:textId="77777777" w:rsidR="00511605" w:rsidRPr="004E3184" w:rsidRDefault="00511605" w:rsidP="004E3184">
      <w:pPr>
        <w:pStyle w:val="p2"/>
        <w:spacing w:line="360" w:lineRule="auto"/>
        <w:divId w:val="1083651214"/>
        <w:rPr>
          <w:rFonts w:ascii="Arial" w:hAnsi="Arial" w:cs="Arial"/>
          <w:sz w:val="22"/>
          <w:szCs w:val="22"/>
        </w:rPr>
      </w:pPr>
    </w:p>
    <w:p w14:paraId="5B40C85D" w14:textId="5CD19E63" w:rsidR="00511605" w:rsidRPr="004E3184" w:rsidRDefault="00B45301"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Very well</w:t>
      </w:r>
      <w:r w:rsidR="00511605" w:rsidRPr="004E3184">
        <w:rPr>
          <w:rStyle w:val="s1"/>
          <w:rFonts w:ascii="Arial" w:hAnsi="Arial" w:cs="Arial"/>
          <w:sz w:val="22"/>
          <w:szCs w:val="22"/>
        </w:rPr>
        <w:t xml:space="preserve"> Health (n.d.) </w:t>
      </w:r>
      <w:r w:rsidR="00511605" w:rsidRPr="004E3184">
        <w:rPr>
          <w:rStyle w:val="s2"/>
          <w:rFonts w:ascii="Arial" w:hAnsi="Arial" w:cs="Arial"/>
          <w:sz w:val="22"/>
          <w:szCs w:val="22"/>
        </w:rPr>
        <w:t>‘Psychological Therapies’ [Figure 3]</w:t>
      </w:r>
      <w:r w:rsidR="00511605" w:rsidRPr="004E3184">
        <w:rPr>
          <w:rStyle w:val="s1"/>
          <w:rFonts w:ascii="Arial" w:hAnsi="Arial" w:cs="Arial"/>
          <w:sz w:val="22"/>
          <w:szCs w:val="22"/>
        </w:rPr>
        <w:t xml:space="preserve">. Available at: </w:t>
      </w:r>
      <w:hyperlink r:id="rId13" w:history="1">
        <w:r w:rsidR="00511605" w:rsidRPr="004E3184">
          <w:rPr>
            <w:rStyle w:val="Hyperlink"/>
            <w:rFonts w:ascii="Arial" w:hAnsi="Arial" w:cs="Arial"/>
            <w:sz w:val="22"/>
            <w:szCs w:val="22"/>
          </w:rPr>
          <w:t>https://www.verywellhealth.com</w:t>
        </w:r>
      </w:hyperlink>
      <w:r w:rsidR="00511605" w:rsidRPr="004E3184">
        <w:rPr>
          <w:rFonts w:ascii="Arial" w:hAnsi="Arial" w:cs="Arial"/>
          <w:sz w:val="22"/>
          <w:szCs w:val="22"/>
        </w:rPr>
        <mc:AlternateContent>
          <mc:Choice Requires="wps">
            <w:drawing>
              <wp:inline distT="0" distB="0" distL="0" distR="0" wp14:anchorId="7324100D" wp14:editId="4988C4F3">
                <wp:extent cx="300355" cy="300355"/>
                <wp:effectExtent l="0" t="0" r="0" b="0"/>
                <wp:docPr id="152820147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5A8763" id="Rectangle 2"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00511605" w:rsidRPr="004E3184">
        <w:rPr>
          <w:rStyle w:val="s1"/>
          <w:rFonts w:ascii="Arial" w:hAnsi="Arial" w:cs="Arial"/>
          <w:sz w:val="22"/>
          <w:szCs w:val="22"/>
        </w:rPr>
        <w:t xml:space="preserve"> (Accessed: 3 November 2025).</w:t>
      </w:r>
    </w:p>
    <w:p w14:paraId="5F53887A" w14:textId="77777777" w:rsidR="00511605" w:rsidRPr="004E3184" w:rsidRDefault="00511605" w:rsidP="004E3184">
      <w:pPr>
        <w:pStyle w:val="p2"/>
        <w:spacing w:line="360" w:lineRule="auto"/>
        <w:divId w:val="1083651214"/>
        <w:rPr>
          <w:rFonts w:ascii="Arial" w:hAnsi="Arial" w:cs="Arial"/>
          <w:sz w:val="22"/>
          <w:szCs w:val="22"/>
        </w:rPr>
      </w:pPr>
    </w:p>
    <w:p w14:paraId="22A7915B"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World Health Organization (WHO) (2019) </w:t>
      </w:r>
      <w:r w:rsidRPr="004E3184">
        <w:rPr>
          <w:rStyle w:val="s2"/>
          <w:rFonts w:ascii="Arial" w:hAnsi="Arial" w:cs="Arial"/>
          <w:sz w:val="22"/>
          <w:szCs w:val="22"/>
        </w:rPr>
        <w:t>International Classification of Diseases 11th Revision (ICD-11): Mental, behavioural, and neurodevelopment disorders</w:t>
      </w:r>
      <w:r w:rsidRPr="004E3184">
        <w:rPr>
          <w:rStyle w:val="s1"/>
          <w:rFonts w:ascii="Arial" w:hAnsi="Arial" w:cs="Arial"/>
          <w:sz w:val="22"/>
          <w:szCs w:val="22"/>
        </w:rPr>
        <w:t xml:space="preserve">. Geneva: WHO. Available at: </w:t>
      </w:r>
      <w:hyperlink r:id="rId14" w:history="1">
        <w:r w:rsidRPr="004E3184">
          <w:rPr>
            <w:rStyle w:val="Hyperlink"/>
            <w:rFonts w:ascii="Arial" w:hAnsi="Arial" w:cs="Arial"/>
            <w:sz w:val="22"/>
            <w:szCs w:val="22"/>
          </w:rPr>
          <w:t>https://icd.who.int/</w:t>
        </w:r>
      </w:hyperlink>
      <w:r w:rsidRPr="004E3184">
        <w:rPr>
          <w:rFonts w:ascii="Arial" w:hAnsi="Arial" w:cs="Arial"/>
          <w:sz w:val="22"/>
          <w:szCs w:val="22"/>
        </w:rPr>
        <mc:AlternateContent>
          <mc:Choice Requires="wps">
            <w:drawing>
              <wp:inline distT="0" distB="0" distL="0" distR="0" wp14:anchorId="1EF877D2" wp14:editId="3D196917">
                <wp:extent cx="300355" cy="300355"/>
                <wp:effectExtent l="0" t="0" r="0" b="0"/>
                <wp:docPr id="95302188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432C23" id="Rectangle 1"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Pr="004E3184">
        <w:rPr>
          <w:rStyle w:val="s1"/>
          <w:rFonts w:ascii="Arial" w:hAnsi="Arial" w:cs="Arial"/>
          <w:sz w:val="22"/>
          <w:szCs w:val="22"/>
        </w:rPr>
        <w:t xml:space="preserve"> (Accessed: 3 November 2025).</w:t>
      </w:r>
    </w:p>
    <w:p w14:paraId="52C35F24" w14:textId="77777777" w:rsidR="00511605" w:rsidRPr="00D24E98" w:rsidRDefault="00511605" w:rsidP="00A710C0">
      <w:pPr>
        <w:pStyle w:val="ListParagraph"/>
        <w:spacing w:before="100" w:beforeAutospacing="1" w:after="100" w:afterAutospacing="1" w:line="360" w:lineRule="auto"/>
        <w:outlineLvl w:val="1"/>
        <w:rPr>
          <w:rFonts w:ascii="Arial" w:hAnsi="Arial" w:cs="Arial"/>
          <w:b/>
          <w:bCs/>
          <w:kern w:val="0"/>
          <w:sz w:val="22"/>
          <w:szCs w:val="22"/>
          <w14:ligatures w14:val="none"/>
        </w:rPr>
      </w:pPr>
    </w:p>
    <w:sectPr w:rsidR="00511605" w:rsidRPr="00D24E98" w:rsidSect="005B63FE">
      <w:footerReference w:type="default" r:id="rId15"/>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BA16B" w14:textId="77777777" w:rsidR="00CB7AC2" w:rsidRDefault="00CB7AC2" w:rsidP="00207A73">
      <w:pPr>
        <w:spacing w:after="0" w:line="240" w:lineRule="auto"/>
      </w:pPr>
      <w:r>
        <w:separator/>
      </w:r>
    </w:p>
  </w:endnote>
  <w:endnote w:type="continuationSeparator" w:id="0">
    <w:p w14:paraId="5691069D" w14:textId="77777777" w:rsidR="00CB7AC2" w:rsidRDefault="00CB7AC2" w:rsidP="00207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8217166"/>
      <w:docPartObj>
        <w:docPartGallery w:val="Page Numbers (Bottom of Page)"/>
        <w:docPartUnique/>
      </w:docPartObj>
    </w:sdtPr>
    <w:sdtContent>
      <w:p w14:paraId="5A00D5AE" w14:textId="50324EBF" w:rsidR="00915286" w:rsidRDefault="00915286">
        <w:pPr>
          <w:pStyle w:val="Footer"/>
          <w:jc w:val="right"/>
        </w:pPr>
        <w:r>
          <w:fldChar w:fldCharType="begin"/>
        </w:r>
        <w:r>
          <w:instrText>PAGE   \* MERGEFORMAT</w:instrText>
        </w:r>
        <w:r>
          <w:fldChar w:fldCharType="separate"/>
        </w:r>
        <w:r>
          <w:t>2</w:t>
        </w:r>
        <w:r>
          <w:fldChar w:fldCharType="end"/>
        </w:r>
      </w:p>
    </w:sdtContent>
  </w:sdt>
  <w:p w14:paraId="4AD6DE0F" w14:textId="77777777" w:rsidR="00915286" w:rsidRDefault="00915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37C2CB" w14:textId="77777777" w:rsidR="00CB7AC2" w:rsidRDefault="00CB7AC2" w:rsidP="00207A73">
      <w:pPr>
        <w:spacing w:after="0" w:line="240" w:lineRule="auto"/>
      </w:pPr>
      <w:r>
        <w:separator/>
      </w:r>
    </w:p>
  </w:footnote>
  <w:footnote w:type="continuationSeparator" w:id="0">
    <w:p w14:paraId="15A7B457" w14:textId="77777777" w:rsidR="00CB7AC2" w:rsidRDefault="00CB7AC2" w:rsidP="00207A7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BjIxZmC" int2:invalidationBookmarkName="" int2:hashCode="GL+4HMNLb1Y3Nc" int2:id="1yPlzjqv">
      <int2:state int2:value="Rejected" int2:type="style"/>
    </int2:bookmark>
    <int2:bookmark int2:bookmarkName="_Int_DWz69UH4" int2:invalidationBookmarkName="" int2:hashCode="ER60HNrEeOFckS" int2:id="3Qff4Xgf">
      <int2:state int2:value="Rejected" int2:type="style"/>
    </int2:bookmark>
    <int2:bookmark int2:bookmarkName="_Int_tmkJQPz5" int2:invalidationBookmarkName="" int2:hashCode="2i9M6eDcqD4Mt6" int2:id="3VsZreoD">
      <int2:state int2:value="Rejected" int2:type="style"/>
    </int2:bookmark>
    <int2:bookmark int2:bookmarkName="_Int_zdOr4yn5" int2:invalidationBookmarkName="" int2:hashCode="vBddOXx++lWyLv" int2:id="3kdHxJgf">
      <int2:state int2:value="Rejected" int2:type="style"/>
    </int2:bookmark>
    <int2:bookmark int2:bookmarkName="_Int_rDv6ds9k" int2:invalidationBookmarkName="" int2:hashCode="xj4krTRmI7sTtj" int2:id="9nx2mjVr">
      <int2:state int2:value="Rejected" int2:type="style"/>
    </int2:bookmark>
    <int2:bookmark int2:bookmarkName="_Int_Ja07rBdW" int2:invalidationBookmarkName="" int2:hashCode="gu3ZbP9s/qfw4v" int2:id="B37dr9MD">
      <int2:state int2:value="Rejected" int2:type="style"/>
    </int2:bookmark>
    <int2:bookmark int2:bookmarkName="_Int_n09WoMM2" int2:invalidationBookmarkName="" int2:hashCode="SLGLFARhzcGrh6" int2:id="BLRk4HFX">
      <int2:state int2:value="Rejected" int2:type="style"/>
    </int2:bookmark>
    <int2:bookmark int2:bookmarkName="_Int_Xm2IBAsR" int2:invalidationBookmarkName="" int2:hashCode="Yj52w2qiqIZUIB" int2:id="EMv7xeqI">
      <int2:state int2:value="Rejected" int2:type="style"/>
    </int2:bookmark>
    <int2:bookmark int2:bookmarkName="_Int_aHKBW1KG" int2:invalidationBookmarkName="" int2:hashCode="dkmkRuVDysnpuX" int2:id="EYo1rWE2">
      <int2:state int2:value="Rejected" int2:type="style"/>
    </int2:bookmark>
    <int2:bookmark int2:bookmarkName="_Int_XdZ6YaFB" int2:invalidationBookmarkName="" int2:hashCode="43K/JlIt1QZTyM" int2:id="Ew1juf37">
      <int2:state int2:value="Rejected" int2:type="style"/>
    </int2:bookmark>
    <int2:bookmark int2:bookmarkName="_Int_JEKAEOiE" int2:invalidationBookmarkName="" int2:hashCode="gsyWmnIDLGyIRD" int2:id="EznbyqeP">
      <int2:state int2:value="Rejected" int2:type="style"/>
    </int2:bookmark>
    <int2:bookmark int2:bookmarkName="_Int_Q44G7TpS" int2:invalidationBookmarkName="" int2:hashCode="yEuNNnCfzg/Khq" int2:id="F7lGOqhA">
      <int2:state int2:value="Rejected" int2:type="style"/>
    </int2:bookmark>
    <int2:bookmark int2:bookmarkName="_Int_CAinDPrP" int2:invalidationBookmarkName="" int2:hashCode="dkmkRuVDysnpuX" int2:id="FIAwBdLV">
      <int2:state int2:value="Rejected" int2:type="style"/>
    </int2:bookmark>
    <int2:bookmark int2:bookmarkName="_Int_88c52acH" int2:invalidationBookmarkName="" int2:hashCode="PitjGySAHaEqkU" int2:id="HEREqqBP">
      <int2:state int2:value="Rejected" int2:type="style"/>
    </int2:bookmark>
    <int2:bookmark int2:bookmarkName="_Int_rm7Z8eUR" int2:invalidationBookmarkName="" int2:hashCode="DnR6rb/5UFqJjU" int2:id="HYUF888s">
      <int2:state int2:value="Rejected" int2:type="style"/>
    </int2:bookmark>
    <int2:bookmark int2:bookmarkName="_Int_aPeCQwxW" int2:invalidationBookmarkName="" int2:hashCode="w+DsQc1TDhzK4z" int2:id="Lgid3flh">
      <int2:state int2:value="Rejected" int2:type="style"/>
    </int2:bookmark>
    <int2:bookmark int2:bookmarkName="_Int_Upt1GyhR" int2:invalidationBookmarkName="" int2:hashCode="xhKzW50/O76H3Z" int2:id="LofxaFBT">
      <int2:state int2:value="Rejected" int2:type="style"/>
    </int2:bookmark>
    <int2:bookmark int2:bookmarkName="_Int_Gtgv1VPM" int2:invalidationBookmarkName="" int2:hashCode="Bc+c6whRh4QWn6" int2:id="MiYKWOSm">
      <int2:state int2:value="Rejected" int2:type="style"/>
    </int2:bookmark>
    <int2:bookmark int2:bookmarkName="_Int_y88pJtWd" int2:invalidationBookmarkName="" int2:hashCode="GL705WoEeEQ2Qr" int2:id="NLkfsTK3">
      <int2:state int2:value="Rejected" int2:type="style"/>
    </int2:bookmark>
    <int2:bookmark int2:bookmarkName="_Int_ssw7XbIm" int2:invalidationBookmarkName="" int2:hashCode="yrndGsw8GjX3L/" int2:id="Oytpc1nb">
      <int2:state int2:value="Rejected" int2:type="style"/>
    </int2:bookmark>
    <int2:bookmark int2:bookmarkName="_Int_ifdgOTGz" int2:invalidationBookmarkName="" int2:hashCode="xhKzW50/O76H3Z" int2:id="VoF89QpY">
      <int2:state int2:value="Rejected" int2:type="style"/>
    </int2:bookmark>
    <int2:bookmark int2:bookmarkName="_Int_e4AHylga" int2:invalidationBookmarkName="" int2:hashCode="ySxSngcxxX79dV" int2:id="Vp82z4ha">
      <int2:state int2:value="Rejected" int2:type="style"/>
    </int2:bookmark>
    <int2:bookmark int2:bookmarkName="_Int_Yntq7ffY" int2:invalidationBookmarkName="" int2:hashCode="dkmkRuVDysnpuX" int2:id="Wpg7PZyy">
      <int2:state int2:value="Rejected" int2:type="style"/>
    </int2:bookmark>
    <int2:bookmark int2:bookmarkName="_Int_LkZc9qHu" int2:invalidationBookmarkName="" int2:hashCode="822G2YT1BzW/KR" int2:id="YO9BXqpY">
      <int2:state int2:value="Rejected" int2:type="style"/>
    </int2:bookmark>
    <int2:bookmark int2:bookmarkName="_Int_HM3LRpiU" int2:invalidationBookmarkName="" int2:hashCode="6250ymz+lgWVoO" int2:id="csTJsTaM">
      <int2:state int2:value="Rejected" int2:type="style"/>
    </int2:bookmark>
    <int2:bookmark int2:bookmarkName="_Int_PF2uOKJM" int2:invalidationBookmarkName="" int2:hashCode="dkmkRuVDysnpuX" int2:id="dOyG7iPi">
      <int2:state int2:value="Rejected" int2:type="style"/>
    </int2:bookmark>
    <int2:bookmark int2:bookmarkName="_Int_hUIC7u4j" int2:invalidationBookmarkName="" int2:hashCode="KZGY5CMB4sKeEr" int2:id="g0oh8B7B">
      <int2:state int2:value="Rejected" int2:type="style"/>
    </int2:bookmark>
    <int2:bookmark int2:bookmarkName="_Int_jHn4be7X" int2:invalidationBookmarkName="" int2:hashCode="dalNooyseA++F1" int2:id="iHAIEiVi">
      <int2:state int2:value="Rejected" int2:type="style"/>
    </int2:bookmark>
    <int2:bookmark int2:bookmarkName="_Int_FzWkDpx1" int2:invalidationBookmarkName="" int2:hashCode="xpdeUJ/ontbKot" int2:id="l4d8lu7d">
      <int2:state int2:value="Rejected" int2:type="style"/>
    </int2:bookmark>
    <int2:bookmark int2:bookmarkName="_Int_ddkXk2yc" int2:invalidationBookmarkName="" int2:hashCode="XQjJKHTQuFGdwc" int2:id="lrvpKxK4">
      <int2:state int2:value="Rejected" int2:type="style"/>
    </int2:bookmark>
    <int2:bookmark int2:bookmarkName="_Int_ZyVxave5" int2:invalidationBookmarkName="" int2:hashCode="dkmkRuVDysnpuX" int2:id="mjxC11XL">
      <int2:state int2:value="Rejected" int2:type="style"/>
    </int2:bookmark>
    <int2:bookmark int2:bookmarkName="_Int_AxC6XURX" int2:invalidationBookmarkName="" int2:hashCode="5REDhXTu2EAQNs" int2:id="nHwQjldC">
      <int2:state int2:value="Rejected" int2:type="style"/>
    </int2:bookmark>
    <int2:bookmark int2:bookmarkName="_Int_FxlMNXEK" int2:invalidationBookmarkName="" int2:hashCode="csj3W2JXL1myG9" int2:id="nYhhsY1r">
      <int2:state int2:value="Rejected" int2:type="style"/>
    </int2:bookmark>
    <int2:bookmark int2:bookmarkName="_Int_RLoS7jDN" int2:invalidationBookmarkName="" int2:hashCode="dkmkRuVDysnpuX" int2:id="swzz5UJr">
      <int2:state int2:value="Rejected" int2:type="style"/>
    </int2:bookmark>
    <int2:bookmark int2:bookmarkName="_Int_sdNBt9em" int2:invalidationBookmarkName="" int2:hashCode="2i9M6eDcqD4Mt6" int2:id="tPTJzwek">
      <int2:state int2:value="Rejected" int2:type="style"/>
    </int2:bookmark>
    <int2:bookmark int2:bookmarkName="_Int_PJu0dy4i" int2:invalidationBookmarkName="" int2:hashCode="W1kgGo583E2D5L" int2:id="uPVUza3U">
      <int2:state int2:value="Rejected" int2:type="style"/>
    </int2:bookmark>
    <int2:bookmark int2:bookmarkName="_Int_8lgn1nLq" int2:invalidationBookmarkName="" int2:hashCode="43K/JlIt1QZTyM" int2:id="vPU8wgL1">
      <int2:state int2:value="Rejected" int2:type="style"/>
    </int2:bookmark>
    <int2:bookmark int2:bookmarkName="_Int_2bGzMLZa" int2:invalidationBookmarkName="" int2:hashCode="bBgOXEuhBCOzPg" int2:id="z5yakE0j">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F0C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E03F7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470CAC"/>
    <w:multiLevelType w:val="multilevel"/>
    <w:tmpl w:val="9C82C76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76E5B7B"/>
    <w:multiLevelType w:val="hybridMultilevel"/>
    <w:tmpl w:val="796CA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CA694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CE06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4741672">
    <w:abstractNumId w:val="0"/>
  </w:num>
  <w:num w:numId="2" w16cid:durableId="1595551946">
    <w:abstractNumId w:val="1"/>
  </w:num>
  <w:num w:numId="3" w16cid:durableId="813332130">
    <w:abstractNumId w:val="4"/>
  </w:num>
  <w:num w:numId="4" w16cid:durableId="1968782171">
    <w:abstractNumId w:val="5"/>
  </w:num>
  <w:num w:numId="5" w16cid:durableId="1363431901">
    <w:abstractNumId w:val="3"/>
  </w:num>
  <w:num w:numId="6" w16cid:durableId="12183203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FAA"/>
    <w:rsid w:val="00000E69"/>
    <w:rsid w:val="000018BA"/>
    <w:rsid w:val="00006B8A"/>
    <w:rsid w:val="0001212A"/>
    <w:rsid w:val="0001778E"/>
    <w:rsid w:val="00020D1C"/>
    <w:rsid w:val="00026588"/>
    <w:rsid w:val="0003575A"/>
    <w:rsid w:val="00036099"/>
    <w:rsid w:val="000444EB"/>
    <w:rsid w:val="0004686A"/>
    <w:rsid w:val="00050A92"/>
    <w:rsid w:val="00052602"/>
    <w:rsid w:val="00053A55"/>
    <w:rsid w:val="00055405"/>
    <w:rsid w:val="000575C0"/>
    <w:rsid w:val="00071E30"/>
    <w:rsid w:val="00075328"/>
    <w:rsid w:val="0007541B"/>
    <w:rsid w:val="00077682"/>
    <w:rsid w:val="000830B7"/>
    <w:rsid w:val="00085D23"/>
    <w:rsid w:val="00087731"/>
    <w:rsid w:val="000912DE"/>
    <w:rsid w:val="00093D12"/>
    <w:rsid w:val="000A310F"/>
    <w:rsid w:val="000A742B"/>
    <w:rsid w:val="000B30EF"/>
    <w:rsid w:val="000B383B"/>
    <w:rsid w:val="000B47CE"/>
    <w:rsid w:val="000C018E"/>
    <w:rsid w:val="000C1829"/>
    <w:rsid w:val="000C45AA"/>
    <w:rsid w:val="000C58A8"/>
    <w:rsid w:val="000C73EA"/>
    <w:rsid w:val="000E0FE2"/>
    <w:rsid w:val="000E2C36"/>
    <w:rsid w:val="000F35E1"/>
    <w:rsid w:val="000F3746"/>
    <w:rsid w:val="000F5868"/>
    <w:rsid w:val="000F7BDD"/>
    <w:rsid w:val="00107BA9"/>
    <w:rsid w:val="00110117"/>
    <w:rsid w:val="00113D9C"/>
    <w:rsid w:val="00116AB5"/>
    <w:rsid w:val="0011708D"/>
    <w:rsid w:val="00117F50"/>
    <w:rsid w:val="00127411"/>
    <w:rsid w:val="0013115A"/>
    <w:rsid w:val="0013115F"/>
    <w:rsid w:val="00132219"/>
    <w:rsid w:val="001337DB"/>
    <w:rsid w:val="001341B1"/>
    <w:rsid w:val="001408D3"/>
    <w:rsid w:val="00141AD6"/>
    <w:rsid w:val="00142AF9"/>
    <w:rsid w:val="00143981"/>
    <w:rsid w:val="00144DBD"/>
    <w:rsid w:val="00150590"/>
    <w:rsid w:val="001515ED"/>
    <w:rsid w:val="001535DC"/>
    <w:rsid w:val="00162CB9"/>
    <w:rsid w:val="001659F9"/>
    <w:rsid w:val="00167687"/>
    <w:rsid w:val="00167BF1"/>
    <w:rsid w:val="00167FAD"/>
    <w:rsid w:val="001715E0"/>
    <w:rsid w:val="00174310"/>
    <w:rsid w:val="0017511F"/>
    <w:rsid w:val="00180D91"/>
    <w:rsid w:val="001813B8"/>
    <w:rsid w:val="001827CE"/>
    <w:rsid w:val="00184446"/>
    <w:rsid w:val="00185557"/>
    <w:rsid w:val="00185C9C"/>
    <w:rsid w:val="00190970"/>
    <w:rsid w:val="001934E1"/>
    <w:rsid w:val="001964AF"/>
    <w:rsid w:val="001966F0"/>
    <w:rsid w:val="00196A50"/>
    <w:rsid w:val="00197593"/>
    <w:rsid w:val="001B5D62"/>
    <w:rsid w:val="001B71EB"/>
    <w:rsid w:val="001C039F"/>
    <w:rsid w:val="001C1394"/>
    <w:rsid w:val="001C2E90"/>
    <w:rsid w:val="001D079C"/>
    <w:rsid w:val="001D094C"/>
    <w:rsid w:val="001D0F6A"/>
    <w:rsid w:val="001D1E11"/>
    <w:rsid w:val="001D23A4"/>
    <w:rsid w:val="001D748E"/>
    <w:rsid w:val="001E0F40"/>
    <w:rsid w:val="001F024C"/>
    <w:rsid w:val="001F19B1"/>
    <w:rsid w:val="001F323F"/>
    <w:rsid w:val="001F5301"/>
    <w:rsid w:val="001F781B"/>
    <w:rsid w:val="00207A73"/>
    <w:rsid w:val="0021449C"/>
    <w:rsid w:val="0021466A"/>
    <w:rsid w:val="00215D89"/>
    <w:rsid w:val="00226239"/>
    <w:rsid w:val="00231137"/>
    <w:rsid w:val="00232303"/>
    <w:rsid w:val="00232ABA"/>
    <w:rsid w:val="002330E3"/>
    <w:rsid w:val="00234D9D"/>
    <w:rsid w:val="0023766D"/>
    <w:rsid w:val="00240355"/>
    <w:rsid w:val="00240F7B"/>
    <w:rsid w:val="002422FA"/>
    <w:rsid w:val="002477CF"/>
    <w:rsid w:val="00247D15"/>
    <w:rsid w:val="0025040F"/>
    <w:rsid w:val="00252113"/>
    <w:rsid w:val="002554DE"/>
    <w:rsid w:val="00262379"/>
    <w:rsid w:val="002642CE"/>
    <w:rsid w:val="00265184"/>
    <w:rsid w:val="00270D3F"/>
    <w:rsid w:val="00272418"/>
    <w:rsid w:val="00272A07"/>
    <w:rsid w:val="00272D8B"/>
    <w:rsid w:val="00273D3D"/>
    <w:rsid w:val="00277DED"/>
    <w:rsid w:val="00280290"/>
    <w:rsid w:val="00287FD0"/>
    <w:rsid w:val="002916C9"/>
    <w:rsid w:val="00295088"/>
    <w:rsid w:val="00295321"/>
    <w:rsid w:val="002A09A9"/>
    <w:rsid w:val="002A232E"/>
    <w:rsid w:val="002A7E5C"/>
    <w:rsid w:val="002B0E30"/>
    <w:rsid w:val="002C1A5E"/>
    <w:rsid w:val="002C2455"/>
    <w:rsid w:val="002C266E"/>
    <w:rsid w:val="002C267F"/>
    <w:rsid w:val="002C2A90"/>
    <w:rsid w:val="002C4B3B"/>
    <w:rsid w:val="002D1449"/>
    <w:rsid w:val="002D4683"/>
    <w:rsid w:val="002E30D8"/>
    <w:rsid w:val="002E3532"/>
    <w:rsid w:val="002E4A5B"/>
    <w:rsid w:val="002F0DE3"/>
    <w:rsid w:val="002F3F4C"/>
    <w:rsid w:val="00300BF1"/>
    <w:rsid w:val="00302471"/>
    <w:rsid w:val="00303F5B"/>
    <w:rsid w:val="003075CA"/>
    <w:rsid w:val="00314C14"/>
    <w:rsid w:val="003166CF"/>
    <w:rsid w:val="00320109"/>
    <w:rsid w:val="0032764A"/>
    <w:rsid w:val="003309FD"/>
    <w:rsid w:val="00332BE7"/>
    <w:rsid w:val="0034114B"/>
    <w:rsid w:val="00341AF1"/>
    <w:rsid w:val="00343ECF"/>
    <w:rsid w:val="00345555"/>
    <w:rsid w:val="00345E18"/>
    <w:rsid w:val="0034645D"/>
    <w:rsid w:val="00347E97"/>
    <w:rsid w:val="00352246"/>
    <w:rsid w:val="00356725"/>
    <w:rsid w:val="00356A40"/>
    <w:rsid w:val="00363483"/>
    <w:rsid w:val="00363737"/>
    <w:rsid w:val="003639A4"/>
    <w:rsid w:val="00364C7D"/>
    <w:rsid w:val="00365725"/>
    <w:rsid w:val="00372A97"/>
    <w:rsid w:val="00374C7F"/>
    <w:rsid w:val="00386F15"/>
    <w:rsid w:val="00390247"/>
    <w:rsid w:val="00390EBA"/>
    <w:rsid w:val="00391FA8"/>
    <w:rsid w:val="0039578D"/>
    <w:rsid w:val="0039734F"/>
    <w:rsid w:val="003A5C9C"/>
    <w:rsid w:val="003A5E09"/>
    <w:rsid w:val="003B3ABE"/>
    <w:rsid w:val="003B62B2"/>
    <w:rsid w:val="003B6A48"/>
    <w:rsid w:val="003B73A6"/>
    <w:rsid w:val="003B74AD"/>
    <w:rsid w:val="003B7CFF"/>
    <w:rsid w:val="003C2C7A"/>
    <w:rsid w:val="003C5BDC"/>
    <w:rsid w:val="003D3435"/>
    <w:rsid w:val="003D47A9"/>
    <w:rsid w:val="003D6709"/>
    <w:rsid w:val="003D6EE8"/>
    <w:rsid w:val="003E31E5"/>
    <w:rsid w:val="003E4918"/>
    <w:rsid w:val="003E4E7E"/>
    <w:rsid w:val="003E56AF"/>
    <w:rsid w:val="003E5F90"/>
    <w:rsid w:val="003E68C3"/>
    <w:rsid w:val="003F332B"/>
    <w:rsid w:val="003F5389"/>
    <w:rsid w:val="003F61DA"/>
    <w:rsid w:val="004022D5"/>
    <w:rsid w:val="00403A5E"/>
    <w:rsid w:val="00406E4E"/>
    <w:rsid w:val="00407FD4"/>
    <w:rsid w:val="00415E80"/>
    <w:rsid w:val="004169E3"/>
    <w:rsid w:val="004210D5"/>
    <w:rsid w:val="00421BCF"/>
    <w:rsid w:val="004268F4"/>
    <w:rsid w:val="004315AD"/>
    <w:rsid w:val="00435653"/>
    <w:rsid w:val="004412F1"/>
    <w:rsid w:val="00442359"/>
    <w:rsid w:val="00446D5E"/>
    <w:rsid w:val="00451DFF"/>
    <w:rsid w:val="00457965"/>
    <w:rsid w:val="00462F92"/>
    <w:rsid w:val="00464674"/>
    <w:rsid w:val="00475EB7"/>
    <w:rsid w:val="00481292"/>
    <w:rsid w:val="00485641"/>
    <w:rsid w:val="00493576"/>
    <w:rsid w:val="004938E6"/>
    <w:rsid w:val="0049390B"/>
    <w:rsid w:val="00495D02"/>
    <w:rsid w:val="0049653A"/>
    <w:rsid w:val="00497891"/>
    <w:rsid w:val="004A3804"/>
    <w:rsid w:val="004A55E4"/>
    <w:rsid w:val="004A7DCA"/>
    <w:rsid w:val="004B1EFF"/>
    <w:rsid w:val="004B3972"/>
    <w:rsid w:val="004B46B5"/>
    <w:rsid w:val="004C24FD"/>
    <w:rsid w:val="004C4F57"/>
    <w:rsid w:val="004C5152"/>
    <w:rsid w:val="004D0F7C"/>
    <w:rsid w:val="004D3FD9"/>
    <w:rsid w:val="004E2364"/>
    <w:rsid w:val="004E3098"/>
    <w:rsid w:val="004E3184"/>
    <w:rsid w:val="004E39A1"/>
    <w:rsid w:val="004F2844"/>
    <w:rsid w:val="004F34C8"/>
    <w:rsid w:val="00500958"/>
    <w:rsid w:val="00506614"/>
    <w:rsid w:val="00506AFC"/>
    <w:rsid w:val="00507224"/>
    <w:rsid w:val="00511605"/>
    <w:rsid w:val="00512499"/>
    <w:rsid w:val="00512FB5"/>
    <w:rsid w:val="005137F2"/>
    <w:rsid w:val="00517F0A"/>
    <w:rsid w:val="00524450"/>
    <w:rsid w:val="00531B9C"/>
    <w:rsid w:val="00534329"/>
    <w:rsid w:val="0054247F"/>
    <w:rsid w:val="00544692"/>
    <w:rsid w:val="005519DB"/>
    <w:rsid w:val="005527B7"/>
    <w:rsid w:val="00553FBB"/>
    <w:rsid w:val="00566026"/>
    <w:rsid w:val="005667A9"/>
    <w:rsid w:val="00567727"/>
    <w:rsid w:val="00572E9D"/>
    <w:rsid w:val="00573001"/>
    <w:rsid w:val="005859C2"/>
    <w:rsid w:val="0058731E"/>
    <w:rsid w:val="00595428"/>
    <w:rsid w:val="005979D8"/>
    <w:rsid w:val="005A3FA6"/>
    <w:rsid w:val="005B1BE6"/>
    <w:rsid w:val="005B3BDE"/>
    <w:rsid w:val="005B63FE"/>
    <w:rsid w:val="005B72C9"/>
    <w:rsid w:val="005C0207"/>
    <w:rsid w:val="005C07BE"/>
    <w:rsid w:val="005C256B"/>
    <w:rsid w:val="005C5283"/>
    <w:rsid w:val="005D127F"/>
    <w:rsid w:val="005D29AF"/>
    <w:rsid w:val="005D3386"/>
    <w:rsid w:val="005D3D21"/>
    <w:rsid w:val="005D4509"/>
    <w:rsid w:val="005E4001"/>
    <w:rsid w:val="005F4F58"/>
    <w:rsid w:val="005F5402"/>
    <w:rsid w:val="00602024"/>
    <w:rsid w:val="00603F25"/>
    <w:rsid w:val="0060438F"/>
    <w:rsid w:val="0060467B"/>
    <w:rsid w:val="006046DD"/>
    <w:rsid w:val="00606578"/>
    <w:rsid w:val="0061106F"/>
    <w:rsid w:val="00614446"/>
    <w:rsid w:val="00616CD7"/>
    <w:rsid w:val="0062305D"/>
    <w:rsid w:val="006240D4"/>
    <w:rsid w:val="00624819"/>
    <w:rsid w:val="0062692F"/>
    <w:rsid w:val="0063055C"/>
    <w:rsid w:val="00634CDC"/>
    <w:rsid w:val="00635E21"/>
    <w:rsid w:val="00640A69"/>
    <w:rsid w:val="00641A3E"/>
    <w:rsid w:val="00645876"/>
    <w:rsid w:val="0065249C"/>
    <w:rsid w:val="00652B1F"/>
    <w:rsid w:val="00656350"/>
    <w:rsid w:val="00657CC7"/>
    <w:rsid w:val="00661779"/>
    <w:rsid w:val="006631BD"/>
    <w:rsid w:val="00665513"/>
    <w:rsid w:val="00667529"/>
    <w:rsid w:val="006700F8"/>
    <w:rsid w:val="00672763"/>
    <w:rsid w:val="00676314"/>
    <w:rsid w:val="00682A5A"/>
    <w:rsid w:val="006921BC"/>
    <w:rsid w:val="00692683"/>
    <w:rsid w:val="00692A8B"/>
    <w:rsid w:val="00693A15"/>
    <w:rsid w:val="006A26FA"/>
    <w:rsid w:val="006A472D"/>
    <w:rsid w:val="006A551F"/>
    <w:rsid w:val="006A5567"/>
    <w:rsid w:val="006B00C2"/>
    <w:rsid w:val="006B0FC4"/>
    <w:rsid w:val="006B4B42"/>
    <w:rsid w:val="006B587A"/>
    <w:rsid w:val="006C2800"/>
    <w:rsid w:val="006C3840"/>
    <w:rsid w:val="006C6071"/>
    <w:rsid w:val="006C7D72"/>
    <w:rsid w:val="006D2DCD"/>
    <w:rsid w:val="006D6A2D"/>
    <w:rsid w:val="006E1B65"/>
    <w:rsid w:val="006E2ECE"/>
    <w:rsid w:val="006E60CC"/>
    <w:rsid w:val="006F10AF"/>
    <w:rsid w:val="006F27CD"/>
    <w:rsid w:val="006F53B6"/>
    <w:rsid w:val="00701556"/>
    <w:rsid w:val="00705081"/>
    <w:rsid w:val="007160FE"/>
    <w:rsid w:val="0071771D"/>
    <w:rsid w:val="00720CD1"/>
    <w:rsid w:val="007233D6"/>
    <w:rsid w:val="00723BCD"/>
    <w:rsid w:val="007241A2"/>
    <w:rsid w:val="00727037"/>
    <w:rsid w:val="00731D67"/>
    <w:rsid w:val="0073222F"/>
    <w:rsid w:val="0073254C"/>
    <w:rsid w:val="007332BF"/>
    <w:rsid w:val="00735522"/>
    <w:rsid w:val="007410D0"/>
    <w:rsid w:val="00744ADE"/>
    <w:rsid w:val="00745A88"/>
    <w:rsid w:val="00755847"/>
    <w:rsid w:val="00756298"/>
    <w:rsid w:val="00764A1C"/>
    <w:rsid w:val="007700BD"/>
    <w:rsid w:val="007737FF"/>
    <w:rsid w:val="0077779C"/>
    <w:rsid w:val="0077798A"/>
    <w:rsid w:val="007805A2"/>
    <w:rsid w:val="00784410"/>
    <w:rsid w:val="00785B21"/>
    <w:rsid w:val="007861BD"/>
    <w:rsid w:val="0078774B"/>
    <w:rsid w:val="00787E3E"/>
    <w:rsid w:val="00790CD4"/>
    <w:rsid w:val="00791FA0"/>
    <w:rsid w:val="007923FC"/>
    <w:rsid w:val="007A25CF"/>
    <w:rsid w:val="007A2EED"/>
    <w:rsid w:val="007A565C"/>
    <w:rsid w:val="007C293A"/>
    <w:rsid w:val="007C32BA"/>
    <w:rsid w:val="007D01DF"/>
    <w:rsid w:val="007D5530"/>
    <w:rsid w:val="007D6080"/>
    <w:rsid w:val="007D75AC"/>
    <w:rsid w:val="007E03EF"/>
    <w:rsid w:val="007E3659"/>
    <w:rsid w:val="007E3B9B"/>
    <w:rsid w:val="007F13F2"/>
    <w:rsid w:val="007F4410"/>
    <w:rsid w:val="007F5C7C"/>
    <w:rsid w:val="007F7A81"/>
    <w:rsid w:val="0080162E"/>
    <w:rsid w:val="008031ED"/>
    <w:rsid w:val="0080462D"/>
    <w:rsid w:val="00804A26"/>
    <w:rsid w:val="008052A0"/>
    <w:rsid w:val="00807B40"/>
    <w:rsid w:val="008132FB"/>
    <w:rsid w:val="008137D0"/>
    <w:rsid w:val="00814BF6"/>
    <w:rsid w:val="008156CC"/>
    <w:rsid w:val="0081648B"/>
    <w:rsid w:val="008255F0"/>
    <w:rsid w:val="0082753F"/>
    <w:rsid w:val="00831938"/>
    <w:rsid w:val="008323CD"/>
    <w:rsid w:val="008349C0"/>
    <w:rsid w:val="008372F4"/>
    <w:rsid w:val="0084144E"/>
    <w:rsid w:val="0085463E"/>
    <w:rsid w:val="00855501"/>
    <w:rsid w:val="00863567"/>
    <w:rsid w:val="008638E7"/>
    <w:rsid w:val="008678D2"/>
    <w:rsid w:val="00872783"/>
    <w:rsid w:val="00874BA0"/>
    <w:rsid w:val="00875A5D"/>
    <w:rsid w:val="008764C0"/>
    <w:rsid w:val="008766EE"/>
    <w:rsid w:val="00885267"/>
    <w:rsid w:val="00885575"/>
    <w:rsid w:val="00887B37"/>
    <w:rsid w:val="00891576"/>
    <w:rsid w:val="00892794"/>
    <w:rsid w:val="00896EF0"/>
    <w:rsid w:val="008B209C"/>
    <w:rsid w:val="008B4945"/>
    <w:rsid w:val="008B7500"/>
    <w:rsid w:val="008B7CD3"/>
    <w:rsid w:val="008E61FF"/>
    <w:rsid w:val="008F3A70"/>
    <w:rsid w:val="008F3BA0"/>
    <w:rsid w:val="008F527D"/>
    <w:rsid w:val="008F6E05"/>
    <w:rsid w:val="00903CD2"/>
    <w:rsid w:val="0091277E"/>
    <w:rsid w:val="00915286"/>
    <w:rsid w:val="00921FE3"/>
    <w:rsid w:val="0092763E"/>
    <w:rsid w:val="009354D2"/>
    <w:rsid w:val="009415A7"/>
    <w:rsid w:val="00941687"/>
    <w:rsid w:val="00942A02"/>
    <w:rsid w:val="00954425"/>
    <w:rsid w:val="00964472"/>
    <w:rsid w:val="0096457E"/>
    <w:rsid w:val="0096604E"/>
    <w:rsid w:val="00971BC3"/>
    <w:rsid w:val="0097252D"/>
    <w:rsid w:val="00973060"/>
    <w:rsid w:val="009744C1"/>
    <w:rsid w:val="00975C27"/>
    <w:rsid w:val="00981DDC"/>
    <w:rsid w:val="009831BC"/>
    <w:rsid w:val="00990B4C"/>
    <w:rsid w:val="009918A5"/>
    <w:rsid w:val="00991D59"/>
    <w:rsid w:val="00993CEF"/>
    <w:rsid w:val="009957A6"/>
    <w:rsid w:val="009A000F"/>
    <w:rsid w:val="009A34C9"/>
    <w:rsid w:val="009A41B4"/>
    <w:rsid w:val="009B6A58"/>
    <w:rsid w:val="009C2802"/>
    <w:rsid w:val="009C3921"/>
    <w:rsid w:val="009C48A7"/>
    <w:rsid w:val="009C5CE0"/>
    <w:rsid w:val="009D0406"/>
    <w:rsid w:val="009D2278"/>
    <w:rsid w:val="009E4E88"/>
    <w:rsid w:val="009F1E00"/>
    <w:rsid w:val="00A01F40"/>
    <w:rsid w:val="00A052A2"/>
    <w:rsid w:val="00A05EB8"/>
    <w:rsid w:val="00A11828"/>
    <w:rsid w:val="00A14BAA"/>
    <w:rsid w:val="00A16F97"/>
    <w:rsid w:val="00A21219"/>
    <w:rsid w:val="00A23BC0"/>
    <w:rsid w:val="00A260C7"/>
    <w:rsid w:val="00A3102E"/>
    <w:rsid w:val="00A324A8"/>
    <w:rsid w:val="00A338FC"/>
    <w:rsid w:val="00A37274"/>
    <w:rsid w:val="00A40FF6"/>
    <w:rsid w:val="00A44F7E"/>
    <w:rsid w:val="00A46828"/>
    <w:rsid w:val="00A4797E"/>
    <w:rsid w:val="00A52EFA"/>
    <w:rsid w:val="00A57BA7"/>
    <w:rsid w:val="00A601F4"/>
    <w:rsid w:val="00A61D49"/>
    <w:rsid w:val="00A62B0E"/>
    <w:rsid w:val="00A64BB8"/>
    <w:rsid w:val="00A661F6"/>
    <w:rsid w:val="00A710C0"/>
    <w:rsid w:val="00A73822"/>
    <w:rsid w:val="00A73F3D"/>
    <w:rsid w:val="00A747AF"/>
    <w:rsid w:val="00A756EE"/>
    <w:rsid w:val="00A759E0"/>
    <w:rsid w:val="00A76733"/>
    <w:rsid w:val="00A77170"/>
    <w:rsid w:val="00A81467"/>
    <w:rsid w:val="00A832EF"/>
    <w:rsid w:val="00A8683B"/>
    <w:rsid w:val="00A91EFF"/>
    <w:rsid w:val="00A967D8"/>
    <w:rsid w:val="00A969E3"/>
    <w:rsid w:val="00AA0D8F"/>
    <w:rsid w:val="00AA5ADB"/>
    <w:rsid w:val="00AA6D97"/>
    <w:rsid w:val="00AB1084"/>
    <w:rsid w:val="00AB4140"/>
    <w:rsid w:val="00AB4468"/>
    <w:rsid w:val="00AB6858"/>
    <w:rsid w:val="00AB7EF8"/>
    <w:rsid w:val="00AC60FD"/>
    <w:rsid w:val="00AC7A35"/>
    <w:rsid w:val="00AE1871"/>
    <w:rsid w:val="00AE5E5A"/>
    <w:rsid w:val="00AF07E9"/>
    <w:rsid w:val="00AF0EAF"/>
    <w:rsid w:val="00AF34C9"/>
    <w:rsid w:val="00AF3729"/>
    <w:rsid w:val="00AF3B66"/>
    <w:rsid w:val="00B0145E"/>
    <w:rsid w:val="00B01EBA"/>
    <w:rsid w:val="00B03D7C"/>
    <w:rsid w:val="00B069E2"/>
    <w:rsid w:val="00B077C7"/>
    <w:rsid w:val="00B10745"/>
    <w:rsid w:val="00B10A05"/>
    <w:rsid w:val="00B1226C"/>
    <w:rsid w:val="00B14591"/>
    <w:rsid w:val="00B213DD"/>
    <w:rsid w:val="00B229D0"/>
    <w:rsid w:val="00B24883"/>
    <w:rsid w:val="00B30DA3"/>
    <w:rsid w:val="00B311C8"/>
    <w:rsid w:val="00B312A8"/>
    <w:rsid w:val="00B34EA2"/>
    <w:rsid w:val="00B35D0A"/>
    <w:rsid w:val="00B36BEE"/>
    <w:rsid w:val="00B36E6E"/>
    <w:rsid w:val="00B45301"/>
    <w:rsid w:val="00B473B4"/>
    <w:rsid w:val="00B5038D"/>
    <w:rsid w:val="00B51507"/>
    <w:rsid w:val="00B53783"/>
    <w:rsid w:val="00B54985"/>
    <w:rsid w:val="00B551D1"/>
    <w:rsid w:val="00B55806"/>
    <w:rsid w:val="00B72E7B"/>
    <w:rsid w:val="00B83868"/>
    <w:rsid w:val="00B866E0"/>
    <w:rsid w:val="00B87DE3"/>
    <w:rsid w:val="00B91DFE"/>
    <w:rsid w:val="00B92B8E"/>
    <w:rsid w:val="00B93DD2"/>
    <w:rsid w:val="00B956F1"/>
    <w:rsid w:val="00BA6AF5"/>
    <w:rsid w:val="00BA6E58"/>
    <w:rsid w:val="00BA750B"/>
    <w:rsid w:val="00BB0776"/>
    <w:rsid w:val="00BB2668"/>
    <w:rsid w:val="00BB311D"/>
    <w:rsid w:val="00BB3E40"/>
    <w:rsid w:val="00BD1208"/>
    <w:rsid w:val="00BD3D65"/>
    <w:rsid w:val="00BE2344"/>
    <w:rsid w:val="00BE2817"/>
    <w:rsid w:val="00BF145E"/>
    <w:rsid w:val="00BF236A"/>
    <w:rsid w:val="00BF6E44"/>
    <w:rsid w:val="00C00CF2"/>
    <w:rsid w:val="00C02B08"/>
    <w:rsid w:val="00C06FAB"/>
    <w:rsid w:val="00C144E4"/>
    <w:rsid w:val="00C3389F"/>
    <w:rsid w:val="00C35AE5"/>
    <w:rsid w:val="00C42A36"/>
    <w:rsid w:val="00C44CFF"/>
    <w:rsid w:val="00C4528F"/>
    <w:rsid w:val="00C4593F"/>
    <w:rsid w:val="00C51765"/>
    <w:rsid w:val="00C51BB3"/>
    <w:rsid w:val="00C53001"/>
    <w:rsid w:val="00C5369C"/>
    <w:rsid w:val="00C57654"/>
    <w:rsid w:val="00C57824"/>
    <w:rsid w:val="00C631B5"/>
    <w:rsid w:val="00C646CC"/>
    <w:rsid w:val="00C66C49"/>
    <w:rsid w:val="00C67747"/>
    <w:rsid w:val="00C70019"/>
    <w:rsid w:val="00C777B7"/>
    <w:rsid w:val="00C800F4"/>
    <w:rsid w:val="00C85F89"/>
    <w:rsid w:val="00C90A2E"/>
    <w:rsid w:val="00C97387"/>
    <w:rsid w:val="00CA2981"/>
    <w:rsid w:val="00CA7BB7"/>
    <w:rsid w:val="00CB7AC2"/>
    <w:rsid w:val="00CC544C"/>
    <w:rsid w:val="00CD38D5"/>
    <w:rsid w:val="00CD6867"/>
    <w:rsid w:val="00CE076C"/>
    <w:rsid w:val="00CE088F"/>
    <w:rsid w:val="00CE1B62"/>
    <w:rsid w:val="00CE3328"/>
    <w:rsid w:val="00CE3C63"/>
    <w:rsid w:val="00CE6417"/>
    <w:rsid w:val="00CF1303"/>
    <w:rsid w:val="00CF1C64"/>
    <w:rsid w:val="00CF57CC"/>
    <w:rsid w:val="00CF7BB3"/>
    <w:rsid w:val="00D01606"/>
    <w:rsid w:val="00D017ED"/>
    <w:rsid w:val="00D05E13"/>
    <w:rsid w:val="00D147CD"/>
    <w:rsid w:val="00D14ACA"/>
    <w:rsid w:val="00D1705C"/>
    <w:rsid w:val="00D171AE"/>
    <w:rsid w:val="00D17856"/>
    <w:rsid w:val="00D17FEF"/>
    <w:rsid w:val="00D20DF0"/>
    <w:rsid w:val="00D24E98"/>
    <w:rsid w:val="00D27F44"/>
    <w:rsid w:val="00D3329C"/>
    <w:rsid w:val="00D42AA7"/>
    <w:rsid w:val="00D456FE"/>
    <w:rsid w:val="00D50959"/>
    <w:rsid w:val="00D52630"/>
    <w:rsid w:val="00D60FDD"/>
    <w:rsid w:val="00D64603"/>
    <w:rsid w:val="00D65323"/>
    <w:rsid w:val="00D65C4D"/>
    <w:rsid w:val="00D737EC"/>
    <w:rsid w:val="00D7526A"/>
    <w:rsid w:val="00D76129"/>
    <w:rsid w:val="00D77274"/>
    <w:rsid w:val="00D775C2"/>
    <w:rsid w:val="00D86913"/>
    <w:rsid w:val="00D87C64"/>
    <w:rsid w:val="00D94ED3"/>
    <w:rsid w:val="00DA0057"/>
    <w:rsid w:val="00DA1251"/>
    <w:rsid w:val="00DA3555"/>
    <w:rsid w:val="00DA4D4F"/>
    <w:rsid w:val="00DA58E6"/>
    <w:rsid w:val="00DA652D"/>
    <w:rsid w:val="00DA78DA"/>
    <w:rsid w:val="00DA7A6B"/>
    <w:rsid w:val="00DB2282"/>
    <w:rsid w:val="00DB465A"/>
    <w:rsid w:val="00DB4767"/>
    <w:rsid w:val="00DB501C"/>
    <w:rsid w:val="00DB5A37"/>
    <w:rsid w:val="00DB6925"/>
    <w:rsid w:val="00DB6C98"/>
    <w:rsid w:val="00DB6D72"/>
    <w:rsid w:val="00DB7847"/>
    <w:rsid w:val="00DC0C0D"/>
    <w:rsid w:val="00DC2C96"/>
    <w:rsid w:val="00DE0B93"/>
    <w:rsid w:val="00DE62F5"/>
    <w:rsid w:val="00DE716D"/>
    <w:rsid w:val="00DF0DE5"/>
    <w:rsid w:val="00DF4ADC"/>
    <w:rsid w:val="00DF4E50"/>
    <w:rsid w:val="00DF6E30"/>
    <w:rsid w:val="00E00AD8"/>
    <w:rsid w:val="00E011A0"/>
    <w:rsid w:val="00E02E9C"/>
    <w:rsid w:val="00E03EA2"/>
    <w:rsid w:val="00E07000"/>
    <w:rsid w:val="00E118AD"/>
    <w:rsid w:val="00E11EDA"/>
    <w:rsid w:val="00E159F2"/>
    <w:rsid w:val="00E163FE"/>
    <w:rsid w:val="00E200CF"/>
    <w:rsid w:val="00E24F23"/>
    <w:rsid w:val="00E25F9B"/>
    <w:rsid w:val="00E26465"/>
    <w:rsid w:val="00E27D83"/>
    <w:rsid w:val="00E33FAA"/>
    <w:rsid w:val="00E41C86"/>
    <w:rsid w:val="00E42C67"/>
    <w:rsid w:val="00E43B57"/>
    <w:rsid w:val="00E478B9"/>
    <w:rsid w:val="00E509A3"/>
    <w:rsid w:val="00E51B65"/>
    <w:rsid w:val="00E57FB8"/>
    <w:rsid w:val="00E65B35"/>
    <w:rsid w:val="00E72D71"/>
    <w:rsid w:val="00E85896"/>
    <w:rsid w:val="00E8599F"/>
    <w:rsid w:val="00E92B4C"/>
    <w:rsid w:val="00E961A7"/>
    <w:rsid w:val="00E96B43"/>
    <w:rsid w:val="00E97F89"/>
    <w:rsid w:val="00EA24BA"/>
    <w:rsid w:val="00EB12A5"/>
    <w:rsid w:val="00EB4438"/>
    <w:rsid w:val="00EB7385"/>
    <w:rsid w:val="00EC32A6"/>
    <w:rsid w:val="00EC3FBF"/>
    <w:rsid w:val="00ED6E60"/>
    <w:rsid w:val="00EE0855"/>
    <w:rsid w:val="00EE0A1E"/>
    <w:rsid w:val="00EE2580"/>
    <w:rsid w:val="00EE329E"/>
    <w:rsid w:val="00EE6F49"/>
    <w:rsid w:val="00EF2A30"/>
    <w:rsid w:val="00EF4985"/>
    <w:rsid w:val="00EF673D"/>
    <w:rsid w:val="00F00BDE"/>
    <w:rsid w:val="00F01EB6"/>
    <w:rsid w:val="00F03020"/>
    <w:rsid w:val="00F03A8E"/>
    <w:rsid w:val="00F0637A"/>
    <w:rsid w:val="00F07662"/>
    <w:rsid w:val="00F10B8C"/>
    <w:rsid w:val="00F12E36"/>
    <w:rsid w:val="00F145BE"/>
    <w:rsid w:val="00F155C5"/>
    <w:rsid w:val="00F16879"/>
    <w:rsid w:val="00F2139C"/>
    <w:rsid w:val="00F23E7C"/>
    <w:rsid w:val="00F23F0E"/>
    <w:rsid w:val="00F27DDF"/>
    <w:rsid w:val="00F31C90"/>
    <w:rsid w:val="00F31DDC"/>
    <w:rsid w:val="00F32930"/>
    <w:rsid w:val="00F33F7F"/>
    <w:rsid w:val="00F35452"/>
    <w:rsid w:val="00F3691C"/>
    <w:rsid w:val="00F37AA4"/>
    <w:rsid w:val="00F41A08"/>
    <w:rsid w:val="00F4632A"/>
    <w:rsid w:val="00F5249F"/>
    <w:rsid w:val="00F52D3A"/>
    <w:rsid w:val="00F5452B"/>
    <w:rsid w:val="00F54AC3"/>
    <w:rsid w:val="00F54F15"/>
    <w:rsid w:val="00F566C7"/>
    <w:rsid w:val="00F610D1"/>
    <w:rsid w:val="00F64A0B"/>
    <w:rsid w:val="00F64A3E"/>
    <w:rsid w:val="00F6671D"/>
    <w:rsid w:val="00F70773"/>
    <w:rsid w:val="00F768CA"/>
    <w:rsid w:val="00F77471"/>
    <w:rsid w:val="00F80CAC"/>
    <w:rsid w:val="00F847F6"/>
    <w:rsid w:val="00F86BCF"/>
    <w:rsid w:val="00F9691C"/>
    <w:rsid w:val="00FA1142"/>
    <w:rsid w:val="00FA27EE"/>
    <w:rsid w:val="00FA28DF"/>
    <w:rsid w:val="00FA49A6"/>
    <w:rsid w:val="00FA59A9"/>
    <w:rsid w:val="00FA74FC"/>
    <w:rsid w:val="00FB45CF"/>
    <w:rsid w:val="00FB5F66"/>
    <w:rsid w:val="00FC727E"/>
    <w:rsid w:val="00FD215C"/>
    <w:rsid w:val="00FD23E7"/>
    <w:rsid w:val="00FD7C30"/>
    <w:rsid w:val="00FE08D1"/>
    <w:rsid w:val="00FE5F0B"/>
    <w:rsid w:val="00FF2B0C"/>
    <w:rsid w:val="00FF2DE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7EE3B"/>
  <w15:chartTrackingRefBased/>
  <w15:docId w15:val="{2B0CACA6-8631-421A-868A-BED66A5A4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3F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3F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3F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3F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3F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3F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3F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3F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3F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F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3F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3F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3F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3F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3F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3F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3F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3FAA"/>
    <w:rPr>
      <w:rFonts w:eastAsiaTheme="majorEastAsia" w:cstheme="majorBidi"/>
      <w:color w:val="272727" w:themeColor="text1" w:themeTint="D8"/>
    </w:rPr>
  </w:style>
  <w:style w:type="paragraph" w:styleId="Title">
    <w:name w:val="Title"/>
    <w:basedOn w:val="Normal"/>
    <w:next w:val="Normal"/>
    <w:link w:val="TitleChar"/>
    <w:uiPriority w:val="10"/>
    <w:qFormat/>
    <w:rsid w:val="00E33F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F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3F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3F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3FAA"/>
    <w:pPr>
      <w:spacing w:before="160"/>
      <w:jc w:val="center"/>
    </w:pPr>
    <w:rPr>
      <w:i/>
      <w:iCs/>
      <w:color w:val="404040" w:themeColor="text1" w:themeTint="BF"/>
    </w:rPr>
  </w:style>
  <w:style w:type="character" w:customStyle="1" w:styleId="QuoteChar">
    <w:name w:val="Quote Char"/>
    <w:basedOn w:val="DefaultParagraphFont"/>
    <w:link w:val="Quote"/>
    <w:uiPriority w:val="29"/>
    <w:rsid w:val="00E33FAA"/>
    <w:rPr>
      <w:i/>
      <w:iCs/>
      <w:color w:val="404040" w:themeColor="text1" w:themeTint="BF"/>
    </w:rPr>
  </w:style>
  <w:style w:type="paragraph" w:styleId="ListParagraph">
    <w:name w:val="List Paragraph"/>
    <w:basedOn w:val="Normal"/>
    <w:uiPriority w:val="34"/>
    <w:qFormat/>
    <w:rsid w:val="00E33FAA"/>
    <w:pPr>
      <w:ind w:left="720"/>
      <w:contextualSpacing/>
    </w:pPr>
  </w:style>
  <w:style w:type="character" w:styleId="IntenseEmphasis">
    <w:name w:val="Intense Emphasis"/>
    <w:basedOn w:val="DefaultParagraphFont"/>
    <w:uiPriority w:val="21"/>
    <w:qFormat/>
    <w:rsid w:val="00E33FAA"/>
    <w:rPr>
      <w:i/>
      <w:iCs/>
      <w:color w:val="0F4761" w:themeColor="accent1" w:themeShade="BF"/>
    </w:rPr>
  </w:style>
  <w:style w:type="paragraph" w:styleId="IntenseQuote">
    <w:name w:val="Intense Quote"/>
    <w:basedOn w:val="Normal"/>
    <w:next w:val="Normal"/>
    <w:link w:val="IntenseQuoteChar"/>
    <w:uiPriority w:val="30"/>
    <w:qFormat/>
    <w:rsid w:val="00E33F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3FAA"/>
    <w:rPr>
      <w:i/>
      <w:iCs/>
      <w:color w:val="0F4761" w:themeColor="accent1" w:themeShade="BF"/>
    </w:rPr>
  </w:style>
  <w:style w:type="character" w:styleId="IntenseReference">
    <w:name w:val="Intense Reference"/>
    <w:basedOn w:val="DefaultParagraphFont"/>
    <w:uiPriority w:val="32"/>
    <w:qFormat/>
    <w:rsid w:val="00E33FAA"/>
    <w:rPr>
      <w:b/>
      <w:bCs/>
      <w:smallCaps/>
      <w:color w:val="0F4761" w:themeColor="accent1" w:themeShade="BF"/>
      <w:spacing w:val="5"/>
    </w:rPr>
  </w:style>
  <w:style w:type="paragraph" w:customStyle="1" w:styleId="p1">
    <w:name w:val="p1"/>
    <w:basedOn w:val="Normal"/>
    <w:rsid w:val="00E33FAA"/>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33FAA"/>
  </w:style>
  <w:style w:type="paragraph" w:customStyle="1" w:styleId="p2">
    <w:name w:val="p2"/>
    <w:basedOn w:val="Normal"/>
    <w:rsid w:val="00E33FA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33FAA"/>
  </w:style>
  <w:style w:type="paragraph" w:customStyle="1" w:styleId="p3">
    <w:name w:val="p3"/>
    <w:basedOn w:val="Normal"/>
    <w:rsid w:val="00E33FAA"/>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E33FAA"/>
  </w:style>
  <w:style w:type="character" w:customStyle="1" w:styleId="s4">
    <w:name w:val="s4"/>
    <w:basedOn w:val="DefaultParagraphFont"/>
    <w:rsid w:val="00E33FAA"/>
  </w:style>
  <w:style w:type="paragraph" w:styleId="Header">
    <w:name w:val="header"/>
    <w:basedOn w:val="Normal"/>
    <w:link w:val="HeaderChar"/>
    <w:uiPriority w:val="99"/>
    <w:unhideWhenUsed/>
    <w:rsid w:val="00207A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A73"/>
  </w:style>
  <w:style w:type="paragraph" w:styleId="Footer">
    <w:name w:val="footer"/>
    <w:basedOn w:val="Normal"/>
    <w:link w:val="FooterChar"/>
    <w:uiPriority w:val="99"/>
    <w:unhideWhenUsed/>
    <w:rsid w:val="00207A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A73"/>
  </w:style>
  <w:style w:type="table" w:styleId="TableGrid">
    <w:name w:val="Table Grid"/>
    <w:basedOn w:val="TableNormal"/>
    <w:uiPriority w:val="39"/>
    <w:rsid w:val="00403A5E"/>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Hyperlink">
    <w:name w:val="Hyperlink"/>
    <w:basedOn w:val="DefaultParagraphFont"/>
    <w:uiPriority w:val="99"/>
    <w:semiHidden/>
    <w:unhideWhenUsed/>
    <w:rsid w:val="00744ADE"/>
    <w:rPr>
      <w:color w:val="0000FF"/>
      <w:u w:val="single"/>
    </w:rPr>
  </w:style>
  <w:style w:type="character" w:customStyle="1" w:styleId="apple-converted-space">
    <w:name w:val="apple-converted-space"/>
    <w:basedOn w:val="DefaultParagraphFont"/>
    <w:rsid w:val="00E72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362940">
      <w:bodyDiv w:val="1"/>
      <w:marLeft w:val="0"/>
      <w:marRight w:val="0"/>
      <w:marTop w:val="0"/>
      <w:marBottom w:val="0"/>
      <w:divBdr>
        <w:top w:val="none" w:sz="0" w:space="0" w:color="auto"/>
        <w:left w:val="none" w:sz="0" w:space="0" w:color="auto"/>
        <w:bottom w:val="none" w:sz="0" w:space="0" w:color="auto"/>
        <w:right w:val="none" w:sz="0" w:space="0" w:color="auto"/>
      </w:divBdr>
    </w:div>
    <w:div w:id="1083651214">
      <w:bodyDiv w:val="1"/>
      <w:marLeft w:val="0"/>
      <w:marRight w:val="0"/>
      <w:marTop w:val="0"/>
      <w:marBottom w:val="0"/>
      <w:divBdr>
        <w:top w:val="none" w:sz="0" w:space="0" w:color="auto"/>
        <w:left w:val="none" w:sz="0" w:space="0" w:color="auto"/>
        <w:bottom w:val="none" w:sz="0" w:space="0" w:color="auto"/>
        <w:right w:val="none" w:sz="0" w:space="0" w:color="auto"/>
      </w:divBdr>
    </w:div>
    <w:div w:id="1275867063">
      <w:bodyDiv w:val="1"/>
      <w:marLeft w:val="0"/>
      <w:marRight w:val="0"/>
      <w:marTop w:val="0"/>
      <w:marBottom w:val="0"/>
      <w:divBdr>
        <w:top w:val="none" w:sz="0" w:space="0" w:color="auto"/>
        <w:left w:val="none" w:sz="0" w:space="0" w:color="auto"/>
        <w:bottom w:val="none" w:sz="0" w:space="0" w:color="auto"/>
        <w:right w:val="none" w:sz="0" w:space="0" w:color="auto"/>
      </w:divBdr>
    </w:div>
    <w:div w:id="1753889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verywellhealth.com"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rmc.rochester.edu"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cd.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77</TotalTime>
  <Pages>1</Pages>
  <Words>3584</Words>
  <Characters>20435</Characters>
  <Application>Microsoft Office Word</Application>
  <DocSecurity>4</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Shamaila Sakhawat (2309140)</cp:lastModifiedBy>
  <cp:revision>217</cp:revision>
  <dcterms:created xsi:type="dcterms:W3CDTF">2025-09-26T07:50:00Z</dcterms:created>
  <dcterms:modified xsi:type="dcterms:W3CDTF">2025-11-03T21:34:00Z</dcterms:modified>
</cp:coreProperties>
</file>