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99931" w14:textId="77777777" w:rsidR="00FE0E23" w:rsidRDefault="006427CE">
      <w:pPr>
        <w:pStyle w:val="NoSpacing"/>
        <w:spacing w:before="1540" w:after="240"/>
        <w:jc w:val="center"/>
      </w:pPr>
      <w:r>
        <w:rPr>
          <w:noProof/>
          <w:color w:val="4472C4"/>
        </w:rPr>
        <w:drawing>
          <wp:inline distT="0" distB="0" distL="0" distR="0" wp14:anchorId="0AE99931" wp14:editId="0AE99932">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14:paraId="0AE99932" w14:textId="77777777" w:rsidR="00FE0E23" w:rsidRDefault="006427CE">
      <w:pPr>
        <w:pStyle w:val="NoSpacing"/>
        <w:pBdr>
          <w:top w:val="single" w:sz="6" w:space="6" w:color="4472C4"/>
          <w:bottom w:val="single" w:sz="6" w:space="6" w:color="4472C4"/>
        </w:pBdr>
        <w:spacing w:after="240"/>
        <w:jc w:val="center"/>
      </w:pPr>
      <w:r>
        <w:rPr>
          <w:rFonts w:ascii="Arial" w:hAnsi="Arial" w:cs="Arial"/>
          <w:caps/>
          <w:color w:val="4472C4"/>
          <w:lang w:val="en-GB"/>
        </w:rPr>
        <w:t>Digital Skills and Research Methods</w:t>
      </w:r>
    </w:p>
    <w:p w14:paraId="0AE99933" w14:textId="77777777" w:rsidR="00FE0E23" w:rsidRDefault="006427CE">
      <w:pPr>
        <w:pStyle w:val="NoSpacing"/>
        <w:jc w:val="center"/>
      </w:pPr>
      <w:r>
        <w:rPr>
          <w:color w:val="4472C4"/>
          <w:sz w:val="28"/>
          <w:szCs w:val="28"/>
        </w:rPr>
        <w:t>Report</w:t>
      </w:r>
    </w:p>
    <w:p w14:paraId="0AE99934" w14:textId="77777777" w:rsidR="00FE0E23" w:rsidRDefault="006427CE">
      <w:pPr>
        <w:pStyle w:val="NoSpacing"/>
        <w:spacing w:before="480"/>
        <w:jc w:val="center"/>
      </w:pPr>
      <w:r>
        <w:rPr>
          <w:noProof/>
          <w:color w:val="4472C4"/>
        </w:rPr>
        <w:drawing>
          <wp:inline distT="0" distB="0" distL="0" distR="0" wp14:anchorId="0AE99933" wp14:editId="0AE99934">
            <wp:extent cx="758952" cy="478935"/>
            <wp:effectExtent l="0" t="0" r="3048" b="0"/>
            <wp:docPr id="2" name="Picture 144" descr="Ic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 cy="478935"/>
                    </a:xfrm>
                    <a:prstGeom prst="rect">
                      <a:avLst/>
                    </a:prstGeom>
                    <a:noFill/>
                    <a:ln>
                      <a:noFill/>
                      <a:prstDash/>
                    </a:ln>
                  </pic:spPr>
                </pic:pic>
              </a:graphicData>
            </a:graphic>
          </wp:inline>
        </w:drawing>
      </w:r>
      <w:r>
        <w:rPr>
          <w:noProof/>
        </w:rPr>
        <w:drawing>
          <wp:inline distT="0" distB="0" distL="0" distR="0" wp14:anchorId="0AE99935" wp14:editId="0AE99936">
            <wp:extent cx="5327587" cy="2997083"/>
            <wp:effectExtent l="0" t="0" r="6413" b="0"/>
            <wp:docPr id="3"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327587" cy="2997083"/>
                    </a:xfrm>
                    <a:prstGeom prst="rect">
                      <a:avLst/>
                    </a:prstGeom>
                    <a:noFill/>
                    <a:ln>
                      <a:noFill/>
                      <a:prstDash/>
                    </a:ln>
                  </pic:spPr>
                </pic:pic>
              </a:graphicData>
            </a:graphic>
          </wp:inline>
        </w:drawing>
      </w:r>
    </w:p>
    <w:p w14:paraId="0AE99935" w14:textId="77777777" w:rsidR="00FE0E23" w:rsidRDefault="00FE0E23">
      <w:pPr>
        <w:pageBreakBefore/>
      </w:pPr>
    </w:p>
    <w:p w14:paraId="0AE99936" w14:textId="77777777" w:rsidR="00FE0E23" w:rsidRDefault="006427CE">
      <w:pPr>
        <w:jc w:val="center"/>
      </w:pPr>
      <w:r>
        <w:rPr>
          <w:noProof/>
        </w:rPr>
        <w:drawing>
          <wp:inline distT="0" distB="0" distL="0" distR="0" wp14:anchorId="0AE99937" wp14:editId="0AE99938">
            <wp:extent cx="5400044" cy="3037837"/>
            <wp:effectExtent l="0" t="0" r="0" b="0"/>
            <wp:docPr id="4" name="Graphic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400044" cy="3037837"/>
                    </a:xfrm>
                    <a:prstGeom prst="rect">
                      <a:avLst/>
                    </a:prstGeom>
                    <a:noFill/>
                    <a:ln>
                      <a:noFill/>
                      <a:prstDash/>
                    </a:ln>
                  </pic:spPr>
                </pic:pic>
              </a:graphicData>
            </a:graphic>
          </wp:inline>
        </w:drawing>
      </w:r>
    </w:p>
    <w:p w14:paraId="0AE99937" w14:textId="77777777" w:rsidR="00FE0E23" w:rsidRDefault="00FE0E23">
      <w:pPr>
        <w:jc w:val="center"/>
      </w:pPr>
    </w:p>
    <w:p w14:paraId="0AE99938" w14:textId="77777777" w:rsidR="00FE0E23" w:rsidRDefault="00FE0E23">
      <w:pPr>
        <w:jc w:val="center"/>
      </w:pPr>
    </w:p>
    <w:p w14:paraId="0AE99939" w14:textId="77777777" w:rsidR="00FE0E23" w:rsidRDefault="006427CE">
      <w:pPr>
        <w:pStyle w:val="TOC1"/>
      </w:pPr>
      <w:r>
        <w:fldChar w:fldCharType="begin"/>
      </w:r>
      <w:r>
        <w:instrText xml:space="preserve"> TOC \o "1-3" \u \h </w:instrText>
      </w:r>
      <w:r>
        <w:fldChar w:fldCharType="separate"/>
      </w:r>
    </w:p>
    <w:p w14:paraId="0AE9993A" w14:textId="77777777" w:rsidR="00FE0E23" w:rsidRPr="008C0BE0" w:rsidRDefault="006427CE" w:rsidP="008C0BE0">
      <w:pPr>
        <w:pStyle w:val="TOCHeading"/>
        <w:tabs>
          <w:tab w:val="right" w:leader="dot" w:pos="8838"/>
        </w:tabs>
        <w:spacing w:line="360" w:lineRule="auto"/>
        <w:rPr>
          <w:rFonts w:ascii="Arial" w:hAnsi="Arial" w:cs="Arial"/>
          <w:sz w:val="22"/>
          <w:szCs w:val="22"/>
        </w:rPr>
      </w:pPr>
      <w:r>
        <w:t>Table of Contents</w:t>
      </w:r>
    </w:p>
    <w:p w14:paraId="0AE9993B" w14:textId="77777777" w:rsidR="00FE0E23" w:rsidRPr="008C0BE0" w:rsidRDefault="006427CE" w:rsidP="008C0BE0">
      <w:pPr>
        <w:pStyle w:val="TOC1"/>
        <w:rPr>
          <w:rFonts w:ascii="Arial" w:hAnsi="Arial" w:cs="Arial"/>
        </w:rPr>
      </w:pPr>
      <w:r w:rsidRPr="008C0BE0">
        <w:rPr>
          <w:rFonts w:ascii="Arial" w:eastAsia="Times New Roman" w:hAnsi="Arial" w:cs="Arial"/>
          <w:color w:val="2F5496"/>
          <w:lang w:val="en-US"/>
        </w:rPr>
        <w:fldChar w:fldCharType="begin"/>
      </w:r>
      <w:r w:rsidRPr="008C0BE0">
        <w:rPr>
          <w:rFonts w:ascii="Arial" w:hAnsi="Arial" w:cs="Arial"/>
        </w:rPr>
        <w:instrText xml:space="preserve"> TOC \o "1-3" \u \h </w:instrText>
      </w:r>
      <w:r w:rsidRPr="008C0BE0">
        <w:rPr>
          <w:rFonts w:ascii="Arial" w:eastAsia="Times New Roman" w:hAnsi="Arial" w:cs="Arial"/>
          <w:color w:val="2F5496"/>
          <w:lang w:val="en-US"/>
        </w:rPr>
        <w:fldChar w:fldCharType="separate"/>
      </w:r>
      <w:hyperlink r:id="rId13" w:history="1">
        <w:r w:rsidRPr="008C0BE0">
          <w:rPr>
            <w:rStyle w:val="Hyperlink"/>
            <w:rFonts w:ascii="Arial" w:hAnsi="Arial" w:cs="Arial"/>
          </w:rPr>
          <w:t>Table of Contents</w:t>
        </w:r>
        <w:r w:rsidRPr="008C0BE0">
          <w:rPr>
            <w:rFonts w:ascii="Arial" w:hAnsi="Arial" w:cs="Arial"/>
          </w:rPr>
          <w:tab/>
          <w:t>1</w:t>
        </w:r>
      </w:hyperlink>
    </w:p>
    <w:p w14:paraId="0AE9993C" w14:textId="77777777" w:rsidR="00FE0E23" w:rsidRPr="008C0BE0" w:rsidRDefault="006427CE" w:rsidP="008C0BE0">
      <w:pPr>
        <w:pStyle w:val="TOC1"/>
        <w:rPr>
          <w:rFonts w:ascii="Arial" w:hAnsi="Arial" w:cs="Arial"/>
        </w:rPr>
      </w:pPr>
      <w:hyperlink r:id="rId14" w:history="1">
        <w:r w:rsidRPr="008C0BE0">
          <w:rPr>
            <w:rStyle w:val="Hyperlink"/>
            <w:rFonts w:ascii="Arial" w:hAnsi="Arial" w:cs="Arial"/>
          </w:rPr>
          <w:t>Introduction slide</w:t>
        </w:r>
        <w:r w:rsidRPr="008C0BE0">
          <w:rPr>
            <w:rFonts w:ascii="Arial" w:hAnsi="Arial" w:cs="Arial"/>
          </w:rPr>
          <w:tab/>
          <w:t>2</w:t>
        </w:r>
      </w:hyperlink>
    </w:p>
    <w:p w14:paraId="0AE9993D" w14:textId="77777777" w:rsidR="00FE0E23" w:rsidRPr="008C0BE0" w:rsidRDefault="006427CE" w:rsidP="008C0BE0">
      <w:pPr>
        <w:pStyle w:val="TOC1"/>
        <w:rPr>
          <w:rFonts w:ascii="Arial" w:hAnsi="Arial" w:cs="Arial"/>
        </w:rPr>
      </w:pPr>
      <w:hyperlink r:id="rId15" w:history="1">
        <w:r w:rsidRPr="008C0BE0">
          <w:rPr>
            <w:rStyle w:val="Hyperlink"/>
            <w:rFonts w:ascii="Arial" w:hAnsi="Arial" w:cs="Arial"/>
          </w:rPr>
          <w:t>Objectives</w:t>
        </w:r>
        <w:r w:rsidRPr="008C0BE0">
          <w:rPr>
            <w:rFonts w:ascii="Arial" w:hAnsi="Arial" w:cs="Arial"/>
          </w:rPr>
          <w:tab/>
          <w:t>2</w:t>
        </w:r>
      </w:hyperlink>
    </w:p>
    <w:p w14:paraId="0AE9993E" w14:textId="77777777" w:rsidR="00FE0E23" w:rsidRPr="008C0BE0" w:rsidRDefault="006427CE" w:rsidP="008C0BE0">
      <w:pPr>
        <w:pStyle w:val="TOC1"/>
        <w:rPr>
          <w:rFonts w:ascii="Arial" w:hAnsi="Arial" w:cs="Arial"/>
        </w:rPr>
      </w:pPr>
      <w:hyperlink r:id="rId16" w:history="1">
        <w:r w:rsidRPr="008C0BE0">
          <w:rPr>
            <w:rStyle w:val="Hyperlink"/>
            <w:rFonts w:ascii="Arial" w:hAnsi="Arial" w:cs="Arial"/>
          </w:rPr>
          <w:t>Academic Grit</w:t>
        </w:r>
        <w:r w:rsidRPr="008C0BE0">
          <w:rPr>
            <w:rFonts w:ascii="Arial" w:hAnsi="Arial" w:cs="Arial"/>
          </w:rPr>
          <w:tab/>
          <w:t>3</w:t>
        </w:r>
      </w:hyperlink>
    </w:p>
    <w:p w14:paraId="0AE9993F" w14:textId="77777777" w:rsidR="00FE0E23" w:rsidRPr="008C0BE0" w:rsidRDefault="006427CE" w:rsidP="008C0BE0">
      <w:pPr>
        <w:pStyle w:val="TOC1"/>
        <w:rPr>
          <w:rFonts w:ascii="Arial" w:hAnsi="Arial" w:cs="Arial"/>
        </w:rPr>
      </w:pPr>
      <w:hyperlink r:id="rId17" w:history="1">
        <w:r w:rsidRPr="008C0BE0">
          <w:rPr>
            <w:rStyle w:val="Hyperlink"/>
            <w:rFonts w:ascii="Arial" w:hAnsi="Arial" w:cs="Arial"/>
          </w:rPr>
          <w:t>Survey Analysis and Primary Data</w:t>
        </w:r>
        <w:r w:rsidRPr="008C0BE0">
          <w:rPr>
            <w:rFonts w:ascii="Arial" w:hAnsi="Arial" w:cs="Arial"/>
          </w:rPr>
          <w:tab/>
          <w:t>4</w:t>
        </w:r>
      </w:hyperlink>
    </w:p>
    <w:p w14:paraId="0AE99940" w14:textId="77777777" w:rsidR="00FE0E23" w:rsidRPr="008C0BE0" w:rsidRDefault="006427CE" w:rsidP="008C0BE0">
      <w:pPr>
        <w:pStyle w:val="TOC1"/>
        <w:rPr>
          <w:rFonts w:ascii="Arial" w:hAnsi="Arial" w:cs="Arial"/>
        </w:rPr>
      </w:pPr>
      <w:hyperlink r:id="rId18" w:history="1">
        <w:r w:rsidRPr="008C0BE0">
          <w:rPr>
            <w:rStyle w:val="Hyperlink"/>
            <w:rFonts w:ascii="Arial" w:hAnsi="Arial" w:cs="Arial"/>
          </w:rPr>
          <w:t>Survey Analysis and Secondary Data</w:t>
        </w:r>
        <w:r w:rsidRPr="008C0BE0">
          <w:rPr>
            <w:rFonts w:ascii="Arial" w:hAnsi="Arial" w:cs="Arial"/>
          </w:rPr>
          <w:tab/>
          <w:t>6</w:t>
        </w:r>
      </w:hyperlink>
    </w:p>
    <w:p w14:paraId="0AE99941" w14:textId="77777777" w:rsidR="00FE0E23" w:rsidRPr="008C0BE0" w:rsidRDefault="006427CE" w:rsidP="008C0BE0">
      <w:pPr>
        <w:pStyle w:val="TOC1"/>
        <w:rPr>
          <w:rFonts w:ascii="Arial" w:hAnsi="Arial" w:cs="Arial"/>
        </w:rPr>
      </w:pPr>
      <w:hyperlink r:id="rId19" w:history="1">
        <w:r w:rsidRPr="008C0BE0">
          <w:rPr>
            <w:rStyle w:val="Hyperlink"/>
            <w:rFonts w:ascii="Arial" w:hAnsi="Arial" w:cs="Arial"/>
          </w:rPr>
          <w:t>DI</w:t>
        </w:r>
        <w:r w:rsidRPr="008C0BE0">
          <w:rPr>
            <w:rStyle w:val="Hyperlink"/>
            <w:rFonts w:ascii="Arial" w:hAnsi="Arial" w:cs="Arial"/>
          </w:rPr>
          <w:t>KW Framework to know Grit</w:t>
        </w:r>
        <w:r w:rsidRPr="008C0BE0">
          <w:rPr>
            <w:rFonts w:ascii="Arial" w:hAnsi="Arial" w:cs="Arial"/>
          </w:rPr>
          <w:tab/>
          <w:t>7</w:t>
        </w:r>
      </w:hyperlink>
    </w:p>
    <w:p w14:paraId="0AE99942" w14:textId="77777777" w:rsidR="00FE0E23" w:rsidRPr="008C0BE0" w:rsidRDefault="006427CE" w:rsidP="008C0BE0">
      <w:pPr>
        <w:pStyle w:val="TOC1"/>
        <w:rPr>
          <w:rFonts w:ascii="Arial" w:hAnsi="Arial" w:cs="Arial"/>
        </w:rPr>
      </w:pPr>
      <w:hyperlink r:id="rId20" w:history="1">
        <w:r w:rsidRPr="008C0BE0">
          <w:rPr>
            <w:rStyle w:val="Hyperlink"/>
            <w:rFonts w:ascii="Arial" w:hAnsi="Arial" w:cs="Arial"/>
          </w:rPr>
          <w:t>CRAAP Test</w:t>
        </w:r>
        <w:r w:rsidRPr="008C0BE0">
          <w:rPr>
            <w:rFonts w:ascii="Arial" w:hAnsi="Arial" w:cs="Arial"/>
          </w:rPr>
          <w:tab/>
          <w:t>12</w:t>
        </w:r>
      </w:hyperlink>
    </w:p>
    <w:p w14:paraId="0AE99943" w14:textId="77777777" w:rsidR="00FE0E23" w:rsidRPr="008C0BE0" w:rsidRDefault="006427CE" w:rsidP="008C0BE0">
      <w:pPr>
        <w:pStyle w:val="TOC1"/>
        <w:rPr>
          <w:rFonts w:ascii="Arial" w:hAnsi="Arial" w:cs="Arial"/>
        </w:rPr>
      </w:pPr>
      <w:hyperlink r:id="rId21" w:history="1">
        <w:r w:rsidRPr="008C0BE0">
          <w:rPr>
            <w:rStyle w:val="Hyperlink"/>
            <w:rFonts w:ascii="Arial" w:hAnsi="Arial" w:cs="Arial"/>
          </w:rPr>
          <w:t>Conclusion</w:t>
        </w:r>
        <w:r w:rsidRPr="008C0BE0">
          <w:rPr>
            <w:rFonts w:ascii="Arial" w:hAnsi="Arial" w:cs="Arial"/>
          </w:rPr>
          <w:tab/>
          <w:t>13</w:t>
        </w:r>
      </w:hyperlink>
    </w:p>
    <w:p w14:paraId="0AE99944" w14:textId="77777777" w:rsidR="00FE0E23" w:rsidRPr="008C0BE0" w:rsidRDefault="006427CE" w:rsidP="008C0BE0">
      <w:pPr>
        <w:pStyle w:val="TOC1"/>
        <w:rPr>
          <w:rFonts w:ascii="Arial" w:hAnsi="Arial" w:cs="Arial"/>
        </w:rPr>
      </w:pPr>
      <w:hyperlink r:id="rId22" w:history="1">
        <w:r w:rsidRPr="008C0BE0">
          <w:rPr>
            <w:rStyle w:val="Hyperlink"/>
            <w:rFonts w:ascii="Arial" w:hAnsi="Arial" w:cs="Arial"/>
          </w:rPr>
          <w:t>References</w:t>
        </w:r>
        <w:r w:rsidRPr="008C0BE0">
          <w:rPr>
            <w:rFonts w:ascii="Arial" w:hAnsi="Arial" w:cs="Arial"/>
          </w:rPr>
          <w:tab/>
          <w:t>14</w:t>
        </w:r>
      </w:hyperlink>
    </w:p>
    <w:p w14:paraId="0AE99945" w14:textId="77777777" w:rsidR="00FE0E23" w:rsidRDefault="006427CE" w:rsidP="008C0BE0">
      <w:pPr>
        <w:spacing w:line="360" w:lineRule="auto"/>
      </w:pPr>
      <w:r w:rsidRPr="008C0BE0">
        <w:rPr>
          <w:rFonts w:ascii="Arial" w:hAnsi="Arial" w:cs="Arial"/>
        </w:rPr>
        <w:fldChar w:fldCharType="end"/>
      </w:r>
    </w:p>
    <w:p w14:paraId="0AE99946" w14:textId="77777777" w:rsidR="00FE0E23" w:rsidRDefault="00FE0E23">
      <w:pPr>
        <w:pStyle w:val="TOC1"/>
      </w:pPr>
    </w:p>
    <w:p w14:paraId="0AE99947" w14:textId="77777777" w:rsidR="00FE0E23" w:rsidRDefault="006427CE">
      <w:pPr>
        <w:spacing w:line="360" w:lineRule="auto"/>
      </w:pPr>
      <w:r>
        <w:fldChar w:fldCharType="end"/>
      </w:r>
    </w:p>
    <w:p w14:paraId="0AE99948" w14:textId="77777777" w:rsidR="00FE0E23" w:rsidRDefault="00FE0E23">
      <w:pPr>
        <w:jc w:val="center"/>
        <w:rPr>
          <w:rFonts w:ascii="Arial" w:hAnsi="Arial" w:cs="Arial"/>
          <w:lang w:val="en-GB"/>
        </w:rPr>
      </w:pPr>
    </w:p>
    <w:p w14:paraId="0AE99949" w14:textId="77777777" w:rsidR="00FE0E23" w:rsidRDefault="00FE0E23">
      <w:pPr>
        <w:jc w:val="center"/>
        <w:rPr>
          <w:rFonts w:ascii="Arial" w:hAnsi="Arial" w:cs="Arial"/>
          <w:lang w:val="en-GB"/>
        </w:rPr>
      </w:pPr>
    </w:p>
    <w:p w14:paraId="0AE9994A" w14:textId="77777777" w:rsidR="00FE0E23" w:rsidRDefault="00FE0E23"/>
    <w:p w14:paraId="0AE9994B" w14:textId="77777777" w:rsidR="00FE0E23" w:rsidRDefault="00FE0E23">
      <w:pPr>
        <w:jc w:val="center"/>
        <w:rPr>
          <w:rFonts w:ascii="Arial" w:hAnsi="Arial" w:cs="Arial"/>
          <w:lang w:val="en-GB"/>
        </w:rPr>
      </w:pPr>
    </w:p>
    <w:p w14:paraId="0AE9994C" w14:textId="77777777" w:rsidR="00FE0E23" w:rsidRDefault="006427CE">
      <w:pPr>
        <w:pStyle w:val="Heading1"/>
      </w:pPr>
      <w:bookmarkStart w:id="0" w:name="_Toc89908043"/>
      <w:bookmarkStart w:id="1" w:name="_Toc89991671"/>
      <w:r>
        <w:t>Introduction slide</w:t>
      </w:r>
      <w:bookmarkEnd w:id="0"/>
      <w:bookmarkEnd w:id="1"/>
    </w:p>
    <w:p w14:paraId="0AE9994D" w14:textId="77777777" w:rsidR="00FE0E23" w:rsidRDefault="00FE0E23">
      <w:pPr>
        <w:pStyle w:val="Heading1"/>
      </w:pPr>
    </w:p>
    <w:p w14:paraId="0AE9994E" w14:textId="77777777" w:rsidR="00FE0E23" w:rsidRDefault="006427CE">
      <w:r>
        <w:rPr>
          <w:noProof/>
        </w:rPr>
        <w:drawing>
          <wp:inline distT="0" distB="0" distL="0" distR="0" wp14:anchorId="0AE99939" wp14:editId="0AE9993A">
            <wp:extent cx="5400044" cy="3037837"/>
            <wp:effectExtent l="0" t="0" r="0" b="0"/>
            <wp:docPr id="5" name="Graphic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400044" cy="3037837"/>
                    </a:xfrm>
                    <a:prstGeom prst="rect">
                      <a:avLst/>
                    </a:prstGeom>
                    <a:noFill/>
                    <a:ln>
                      <a:noFill/>
                      <a:prstDash/>
                    </a:ln>
                  </pic:spPr>
                </pic:pic>
              </a:graphicData>
            </a:graphic>
          </wp:inline>
        </w:drawing>
      </w:r>
    </w:p>
    <w:p w14:paraId="0AE9994F" w14:textId="77777777" w:rsidR="00FE0E23" w:rsidRDefault="00FE0E23">
      <w:pPr>
        <w:pStyle w:val="Heading1"/>
      </w:pPr>
    </w:p>
    <w:p w14:paraId="0AE99950" w14:textId="77777777" w:rsidR="00FE0E23" w:rsidRDefault="00FE0E23">
      <w:pPr>
        <w:pStyle w:val="Heading1"/>
      </w:pPr>
    </w:p>
    <w:p w14:paraId="0AE99951" w14:textId="77777777" w:rsidR="00FE0E23" w:rsidRDefault="006427CE">
      <w:pPr>
        <w:pStyle w:val="Heading1"/>
      </w:pPr>
      <w:bookmarkStart w:id="2" w:name="_Toc89645952"/>
      <w:bookmarkStart w:id="3" w:name="_Toc89908044"/>
      <w:bookmarkStart w:id="4" w:name="_Toc89991672"/>
      <w:r>
        <w:t>Objectives</w:t>
      </w:r>
      <w:bookmarkEnd w:id="2"/>
      <w:bookmarkEnd w:id="3"/>
      <w:bookmarkEnd w:id="4"/>
    </w:p>
    <w:p w14:paraId="0AE99952" w14:textId="77777777" w:rsidR="00FE0E23" w:rsidRDefault="006427CE">
      <w:r>
        <w:rPr>
          <w:noProof/>
        </w:rPr>
        <w:drawing>
          <wp:inline distT="0" distB="0" distL="0" distR="0" wp14:anchorId="0AE9993B" wp14:editId="0AE9993C">
            <wp:extent cx="5400044" cy="3037837"/>
            <wp:effectExtent l="0" t="0" r="0" b="0"/>
            <wp:docPr id="6" name="Graphic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400044" cy="3037837"/>
                    </a:xfrm>
                    <a:prstGeom prst="rect">
                      <a:avLst/>
                    </a:prstGeom>
                    <a:noFill/>
                    <a:ln>
                      <a:noFill/>
                      <a:prstDash/>
                    </a:ln>
                  </pic:spPr>
                </pic:pic>
              </a:graphicData>
            </a:graphic>
          </wp:inline>
        </w:drawing>
      </w:r>
    </w:p>
    <w:p w14:paraId="0AE99953" w14:textId="77777777" w:rsidR="00FE0E23" w:rsidRDefault="00FE0E23">
      <w:pPr>
        <w:pStyle w:val="Heading1"/>
      </w:pPr>
    </w:p>
    <w:p w14:paraId="0AE99954" w14:textId="77777777" w:rsidR="00FE0E23" w:rsidRDefault="00FE0E23">
      <w:pPr>
        <w:pStyle w:val="Heading1"/>
      </w:pPr>
    </w:p>
    <w:p w14:paraId="0AE99955" w14:textId="77777777" w:rsidR="00FE0E23" w:rsidRDefault="00FE0E23">
      <w:pPr>
        <w:pStyle w:val="Heading1"/>
      </w:pPr>
      <w:bookmarkStart w:id="5" w:name="_Toc89645953"/>
    </w:p>
    <w:p w14:paraId="0AE99956" w14:textId="77777777" w:rsidR="00FE0E23" w:rsidRDefault="00FE0E23">
      <w:pPr>
        <w:pStyle w:val="Heading1"/>
      </w:pPr>
    </w:p>
    <w:p w14:paraId="0AE99957" w14:textId="77777777" w:rsidR="00FE0E23" w:rsidRDefault="00FE0E23">
      <w:pPr>
        <w:pStyle w:val="Heading1"/>
      </w:pPr>
    </w:p>
    <w:p w14:paraId="0AE99958" w14:textId="77777777" w:rsidR="00FE0E23" w:rsidRDefault="006427CE">
      <w:pPr>
        <w:pStyle w:val="Heading1"/>
      </w:pPr>
      <w:bookmarkStart w:id="6" w:name="_Toc89908045"/>
      <w:bookmarkStart w:id="7" w:name="_Toc89991673"/>
      <w:r>
        <w:t>Academic Grit</w:t>
      </w:r>
      <w:bookmarkEnd w:id="5"/>
      <w:bookmarkEnd w:id="6"/>
      <w:bookmarkEnd w:id="7"/>
    </w:p>
    <w:p w14:paraId="0AE99959" w14:textId="77777777" w:rsidR="00FE0E23" w:rsidRDefault="006427CE">
      <w:r>
        <w:rPr>
          <w:noProof/>
        </w:rPr>
        <w:drawing>
          <wp:inline distT="0" distB="0" distL="0" distR="0" wp14:anchorId="0AE9993D" wp14:editId="0AE9993E">
            <wp:extent cx="5400044" cy="3037837"/>
            <wp:effectExtent l="0" t="0" r="0" b="0"/>
            <wp:docPr id="7" name="Graphic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400044" cy="3037837"/>
                    </a:xfrm>
                    <a:prstGeom prst="rect">
                      <a:avLst/>
                    </a:prstGeom>
                    <a:noFill/>
                    <a:ln>
                      <a:noFill/>
                      <a:prstDash/>
                    </a:ln>
                  </pic:spPr>
                </pic:pic>
              </a:graphicData>
            </a:graphic>
          </wp:inline>
        </w:drawing>
      </w:r>
      <w:r>
        <w:rPr>
          <w:lang w:val="en-GB"/>
        </w:rPr>
        <w:t xml:space="preserve"> </w:t>
      </w:r>
    </w:p>
    <w:p w14:paraId="0AE9995A" w14:textId="77777777" w:rsidR="00FE0E23" w:rsidRPr="008C0BE0" w:rsidRDefault="006427CE">
      <w:pPr>
        <w:spacing w:line="360" w:lineRule="auto"/>
        <w:jc w:val="both"/>
        <w:rPr>
          <w:lang w:val="en-GB"/>
        </w:rPr>
      </w:pPr>
      <w:r>
        <w:rPr>
          <w:rFonts w:ascii="Arial" w:hAnsi="Arial" w:cs="Arial"/>
          <w:lang w:val="en-GB"/>
        </w:rPr>
        <w:t xml:space="preserve">Sources: </w:t>
      </w:r>
      <w:r>
        <w:rPr>
          <w:rFonts w:ascii="Arial" w:hAnsi="Arial" w:cs="Arial"/>
          <w:lang w:val="en-GB"/>
        </w:rPr>
        <w:t>(Duckworth, et al., 2007).</w:t>
      </w:r>
    </w:p>
    <w:p w14:paraId="0AE9995B" w14:textId="77777777" w:rsidR="00FE0E23" w:rsidRDefault="00FE0E23">
      <w:pPr>
        <w:pStyle w:val="Heading1"/>
        <w:spacing w:line="360" w:lineRule="auto"/>
        <w:jc w:val="both"/>
        <w:rPr>
          <w:rFonts w:cs="Arial"/>
          <w:lang w:val="en-GB"/>
        </w:rPr>
      </w:pPr>
    </w:p>
    <w:p w14:paraId="0AE9995C" w14:textId="77777777" w:rsidR="00FE0E23" w:rsidRDefault="006427CE">
      <w:pPr>
        <w:pStyle w:val="NoSpacing"/>
        <w:spacing w:line="360" w:lineRule="auto"/>
        <w:jc w:val="both"/>
      </w:pPr>
      <w:r>
        <w:rPr>
          <w:rFonts w:ascii="Arial" w:hAnsi="Arial" w:cs="Arial"/>
        </w:rPr>
        <w:t xml:space="preserve">Passion and endurance, following psychology Angela Duckworth, were two crucial components of successful in history's academic and employment environments. </w:t>
      </w:r>
      <w:r>
        <w:rPr>
          <w:rFonts w:ascii="Arial" w:hAnsi="Arial" w:cs="Arial"/>
          <w:lang w:val="en-GB"/>
        </w:rPr>
        <w:t>Duckworth</w:t>
      </w:r>
      <w:r>
        <w:rPr>
          <w:rFonts w:ascii="Arial" w:hAnsi="Arial" w:cs="Arial"/>
        </w:rPr>
        <w:t xml:space="preserve"> believes on this characteristic, so instead of intrinsic abilit</w:t>
      </w:r>
      <w:r>
        <w:rPr>
          <w:rFonts w:ascii="Arial" w:hAnsi="Arial" w:cs="Arial"/>
        </w:rPr>
        <w:t>y, are the true foundation of accomplishment, allowing people of diverse geographical origins and capacities to flourish. She refers to these characteristics as "Grit" when they are together.</w:t>
      </w:r>
    </w:p>
    <w:p w14:paraId="0AE9995D" w14:textId="77777777" w:rsidR="00FE0E23" w:rsidRPr="008C0BE0" w:rsidRDefault="006427CE">
      <w:pPr>
        <w:spacing w:line="360" w:lineRule="auto"/>
        <w:jc w:val="both"/>
        <w:rPr>
          <w:lang w:val="en-GB"/>
        </w:rPr>
      </w:pPr>
      <w:r>
        <w:rPr>
          <w:rFonts w:ascii="Arial" w:hAnsi="Arial" w:cs="Arial"/>
          <w:lang w:val="en-GB"/>
        </w:rPr>
        <w:t>Duckworth discusses what grit is, how to than obtain it, and how</w:t>
      </w:r>
      <w:r>
        <w:rPr>
          <w:rFonts w:ascii="Arial" w:hAnsi="Arial" w:cs="Arial"/>
          <w:lang w:val="en-GB"/>
        </w:rPr>
        <w:t xml:space="preserve"> to share it. The author studies based on her publications and TED Talks. She contends that the characteristics she considers to be Grit, such as drive, resilience, passion, and tenacity, may be more important in determining a person's career or academic s</w:t>
      </w:r>
      <w:r>
        <w:rPr>
          <w:rFonts w:ascii="Arial" w:hAnsi="Arial" w:cs="Arial"/>
          <w:lang w:val="en-GB"/>
        </w:rPr>
        <w:t>uccess than IQ or skill. Grit is defined by two important characteristics: passion and perseverance. Persistence is fuelled by a drive to continue, whereas passion is fuelled by a desire to achieve. In her words, we must choose a few exciting interests and</w:t>
      </w:r>
      <w:r>
        <w:rPr>
          <w:rFonts w:ascii="Arial" w:hAnsi="Arial" w:cs="Arial"/>
          <w:lang w:val="en-GB"/>
        </w:rPr>
        <w:t xml:space="preserve"> goals, reframe difficulties, promote development, and practice new thing (Harms, 2016).</w:t>
      </w:r>
    </w:p>
    <w:p w14:paraId="0AE9995E" w14:textId="77777777" w:rsidR="00FE0E23" w:rsidRDefault="00FE0E23">
      <w:pPr>
        <w:pStyle w:val="NoSpacing"/>
        <w:spacing w:line="360" w:lineRule="auto"/>
        <w:jc w:val="both"/>
        <w:rPr>
          <w:rFonts w:ascii="Arial" w:hAnsi="Arial" w:cs="Arial"/>
        </w:rPr>
      </w:pPr>
    </w:p>
    <w:p w14:paraId="0AE9995F" w14:textId="77777777" w:rsidR="00FE0E23" w:rsidRDefault="006427CE">
      <w:pPr>
        <w:pStyle w:val="NoSpacing"/>
        <w:spacing w:line="360" w:lineRule="auto"/>
        <w:jc w:val="both"/>
      </w:pPr>
      <w:r>
        <w:rPr>
          <w:rFonts w:ascii="Arial" w:hAnsi="Arial" w:cs="Arial"/>
        </w:rPr>
        <w:lastRenderedPageBreak/>
        <w:t xml:space="preserve">The author study aimed to answer. Can Duckworth's powder thesis boost educational outcomes? She assumes that her perseverance level predicts academic achievement. To </w:t>
      </w:r>
      <w:r>
        <w:rPr>
          <w:rFonts w:ascii="Arial" w:hAnsi="Arial" w:cs="Arial"/>
        </w:rPr>
        <w:t xml:space="preserve">collect everyone's Grit score and educational qualifications, the author </w:t>
      </w:r>
      <w:r>
        <w:rPr>
          <w:rFonts w:ascii="Arial" w:hAnsi="Arial" w:cs="Arial"/>
          <w:lang w:val="en-GB"/>
        </w:rPr>
        <w:t>utilised</w:t>
      </w:r>
      <w:r>
        <w:rPr>
          <w:rFonts w:ascii="Arial" w:hAnsi="Arial" w:cs="Arial"/>
        </w:rPr>
        <w:t xml:space="preserve"> Russel Ackoff's research approach (DIKW) and Microsoft Forms. Finally, the author transformed this information into knowledge by creating a trend line chart </w:t>
      </w:r>
      <w:r>
        <w:rPr>
          <w:rFonts w:ascii="Arial" w:hAnsi="Arial" w:cs="Arial"/>
          <w:lang w:val="en-GB"/>
        </w:rPr>
        <w:t>(Rowley, 2007)</w:t>
      </w:r>
      <w:r>
        <w:rPr>
          <w:rFonts w:ascii="Arial" w:hAnsi="Arial" w:cs="Arial"/>
        </w:rPr>
        <w:t>.</w:t>
      </w:r>
    </w:p>
    <w:p w14:paraId="0AE99960" w14:textId="77777777" w:rsidR="00FE0E23" w:rsidRDefault="006427CE">
      <w:pPr>
        <w:pStyle w:val="Heading1"/>
      </w:pPr>
      <w:bookmarkStart w:id="8" w:name="_Toc89645954"/>
      <w:bookmarkStart w:id="9" w:name="_Toc89908046"/>
      <w:bookmarkStart w:id="10" w:name="_Toc89991674"/>
      <w:r>
        <w:t>S</w:t>
      </w:r>
      <w:r>
        <w:t xml:space="preserve">urvey Analysis and </w:t>
      </w:r>
      <w:r>
        <w:rPr>
          <w:color w:val="000000"/>
        </w:rPr>
        <w:t>Primary Data</w:t>
      </w:r>
      <w:bookmarkEnd w:id="8"/>
      <w:bookmarkEnd w:id="9"/>
      <w:bookmarkEnd w:id="10"/>
    </w:p>
    <w:p w14:paraId="0AE99961" w14:textId="77777777" w:rsidR="00FE0E23" w:rsidRDefault="006427CE">
      <w:r>
        <w:rPr>
          <w:noProof/>
        </w:rPr>
        <w:drawing>
          <wp:inline distT="0" distB="0" distL="0" distR="0" wp14:anchorId="0AE9993F" wp14:editId="0AE99940">
            <wp:extent cx="5400044" cy="3037837"/>
            <wp:effectExtent l="0" t="0" r="0" b="0"/>
            <wp:docPr id="8" name="Graphic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400044" cy="3037837"/>
                    </a:xfrm>
                    <a:prstGeom prst="rect">
                      <a:avLst/>
                    </a:prstGeom>
                    <a:noFill/>
                    <a:ln>
                      <a:noFill/>
                      <a:prstDash/>
                    </a:ln>
                  </pic:spPr>
                </pic:pic>
              </a:graphicData>
            </a:graphic>
          </wp:inline>
        </w:drawing>
      </w:r>
    </w:p>
    <w:p w14:paraId="0AE99962" w14:textId="77777777" w:rsidR="00FE0E23" w:rsidRDefault="00FE0E23">
      <w:pPr>
        <w:pStyle w:val="Heading1"/>
      </w:pPr>
    </w:p>
    <w:p w14:paraId="0AE99963" w14:textId="77777777" w:rsidR="00FE0E23" w:rsidRDefault="006427CE">
      <w:pPr>
        <w:pStyle w:val="NoSpacing"/>
        <w:spacing w:line="360" w:lineRule="auto"/>
        <w:jc w:val="both"/>
        <w:rPr>
          <w:rFonts w:ascii="Arial" w:hAnsi="Arial" w:cs="Arial"/>
        </w:rPr>
      </w:pPr>
      <w:r>
        <w:rPr>
          <w:rFonts w:ascii="Arial" w:hAnsi="Arial" w:cs="Arial"/>
        </w:rPr>
        <w:t>Quantitative Analysis</w:t>
      </w:r>
    </w:p>
    <w:p w14:paraId="0AE99964" w14:textId="77777777" w:rsidR="00FE0E23" w:rsidRDefault="006427CE">
      <w:pPr>
        <w:pStyle w:val="NoSpacing"/>
        <w:numPr>
          <w:ilvl w:val="0"/>
          <w:numId w:val="1"/>
        </w:numPr>
        <w:spacing w:line="360" w:lineRule="auto"/>
        <w:jc w:val="both"/>
        <w:rPr>
          <w:rFonts w:ascii="Arial" w:hAnsi="Arial" w:cs="Arial"/>
        </w:rPr>
      </w:pPr>
      <w:r>
        <w:rPr>
          <w:rFonts w:ascii="Arial" w:hAnsi="Arial" w:cs="Arial"/>
        </w:rPr>
        <w:t>This was the sort of study carried out to demonstrate the findings of this investigation.</w:t>
      </w:r>
    </w:p>
    <w:p w14:paraId="0AE99965" w14:textId="77777777" w:rsidR="00FE0E23" w:rsidRDefault="006427CE">
      <w:pPr>
        <w:pStyle w:val="NoSpacing"/>
        <w:numPr>
          <w:ilvl w:val="0"/>
          <w:numId w:val="1"/>
        </w:numPr>
        <w:spacing w:line="360" w:lineRule="auto"/>
        <w:jc w:val="both"/>
        <w:rPr>
          <w:rFonts w:ascii="Arial" w:hAnsi="Arial" w:cs="Arial"/>
        </w:rPr>
      </w:pPr>
      <w:r>
        <w:rPr>
          <w:rFonts w:ascii="Arial" w:hAnsi="Arial" w:cs="Arial"/>
        </w:rPr>
        <w:t>Predictions were made in that criterion information as well as evidence demonstrated center mostly on data.</w:t>
      </w:r>
    </w:p>
    <w:p w14:paraId="0AE99966" w14:textId="77777777" w:rsidR="00FE0E23" w:rsidRDefault="006427CE">
      <w:pPr>
        <w:pStyle w:val="NoSpacing"/>
        <w:numPr>
          <w:ilvl w:val="0"/>
          <w:numId w:val="1"/>
        </w:numPr>
        <w:spacing w:line="360" w:lineRule="auto"/>
        <w:jc w:val="both"/>
        <w:rPr>
          <w:rFonts w:ascii="Arial" w:hAnsi="Arial" w:cs="Arial"/>
        </w:rPr>
      </w:pPr>
      <w:r>
        <w:rPr>
          <w:rFonts w:ascii="Arial" w:hAnsi="Arial" w:cs="Arial"/>
        </w:rPr>
        <w:t>F</w:t>
      </w:r>
      <w:r>
        <w:rPr>
          <w:rFonts w:ascii="Arial" w:hAnsi="Arial" w:cs="Arial"/>
        </w:rPr>
        <w:t>rom the beginning of our research, participants rated the technical level and Grit score predicated to Angela Duckworth analysis.</w:t>
      </w:r>
    </w:p>
    <w:p w14:paraId="0AE99967" w14:textId="77777777" w:rsidR="00FE0E23" w:rsidRDefault="006427CE">
      <w:pPr>
        <w:pStyle w:val="NoSpacing"/>
        <w:numPr>
          <w:ilvl w:val="0"/>
          <w:numId w:val="1"/>
        </w:numPr>
        <w:spacing w:line="360" w:lineRule="auto"/>
        <w:jc w:val="both"/>
      </w:pPr>
      <w:r>
        <w:rPr>
          <w:rFonts w:ascii="Arial" w:hAnsi="Arial" w:cs="Arial"/>
        </w:rPr>
        <w:t>The author shows in percentages from these statistics and determined that even if you have a low academic level,</w:t>
      </w:r>
      <w:r>
        <w:t xml:space="preserve"> </w:t>
      </w:r>
      <w:r>
        <w:rPr>
          <w:rFonts w:ascii="Arial" w:hAnsi="Arial" w:cs="Arial"/>
        </w:rPr>
        <w:t>on Angela's D</w:t>
      </w:r>
      <w:r>
        <w:rPr>
          <w:rFonts w:ascii="Arial" w:hAnsi="Arial" w:cs="Arial"/>
        </w:rPr>
        <w:t>uckworth rating scale, anybody may still have a high Grit grade.</w:t>
      </w:r>
    </w:p>
    <w:p w14:paraId="0AE99968" w14:textId="77777777" w:rsidR="00FE0E23" w:rsidRDefault="006427CE">
      <w:pPr>
        <w:pStyle w:val="NoSpacing"/>
        <w:spacing w:line="360" w:lineRule="auto"/>
        <w:jc w:val="both"/>
        <w:rPr>
          <w:rFonts w:ascii="Arial" w:hAnsi="Arial" w:cs="Arial"/>
        </w:rPr>
      </w:pPr>
      <w:r>
        <w:rPr>
          <w:rFonts w:ascii="Arial" w:hAnsi="Arial" w:cs="Arial"/>
        </w:rPr>
        <w:t>Qualitative Information</w:t>
      </w:r>
    </w:p>
    <w:p w14:paraId="0AE99969" w14:textId="77777777" w:rsidR="00FE0E23" w:rsidRDefault="006427CE">
      <w:pPr>
        <w:pStyle w:val="NoSpacing"/>
        <w:numPr>
          <w:ilvl w:val="0"/>
          <w:numId w:val="2"/>
        </w:numPr>
        <w:spacing w:line="360" w:lineRule="auto"/>
        <w:jc w:val="both"/>
        <w:rPr>
          <w:rFonts w:ascii="Arial" w:hAnsi="Arial" w:cs="Arial"/>
        </w:rPr>
      </w:pPr>
      <w:r>
        <w:rPr>
          <w:rFonts w:ascii="Arial" w:hAnsi="Arial" w:cs="Arial"/>
        </w:rPr>
        <w:t>There seem to be no numbers or figures to be found.</w:t>
      </w:r>
    </w:p>
    <w:p w14:paraId="0AE9996A" w14:textId="77777777" w:rsidR="00FE0E23" w:rsidRDefault="006427CE">
      <w:pPr>
        <w:pStyle w:val="NoSpacing"/>
        <w:numPr>
          <w:ilvl w:val="0"/>
          <w:numId w:val="2"/>
        </w:numPr>
        <w:spacing w:line="360" w:lineRule="auto"/>
        <w:jc w:val="both"/>
        <w:rPr>
          <w:rFonts w:ascii="Arial" w:hAnsi="Arial" w:cs="Arial"/>
        </w:rPr>
      </w:pPr>
      <w:r>
        <w:rPr>
          <w:rFonts w:ascii="Arial" w:hAnsi="Arial" w:cs="Arial"/>
        </w:rPr>
        <w:t>Usually, this must be studied through written responses.</w:t>
      </w:r>
    </w:p>
    <w:p w14:paraId="0AE9996B" w14:textId="77777777" w:rsidR="00FE0E23" w:rsidRDefault="006427CE">
      <w:pPr>
        <w:pStyle w:val="NoSpacing"/>
        <w:numPr>
          <w:ilvl w:val="0"/>
          <w:numId w:val="2"/>
        </w:numPr>
        <w:spacing w:line="360" w:lineRule="auto"/>
        <w:jc w:val="both"/>
        <w:rPr>
          <w:rFonts w:ascii="Arial" w:hAnsi="Arial" w:cs="Arial"/>
        </w:rPr>
      </w:pPr>
      <w:r>
        <w:rPr>
          <w:rFonts w:ascii="Arial" w:hAnsi="Arial" w:cs="Arial"/>
        </w:rPr>
        <w:t xml:space="preserve">Primary data gives the knowledge on the problems </w:t>
      </w:r>
      <w:r>
        <w:rPr>
          <w:rFonts w:ascii="Arial" w:hAnsi="Arial" w:cs="Arial"/>
        </w:rPr>
        <w:t>investigated and other more responses.</w:t>
      </w:r>
    </w:p>
    <w:p w14:paraId="0AE9996C" w14:textId="77777777" w:rsidR="00FE0E23" w:rsidRDefault="006427CE">
      <w:pPr>
        <w:pStyle w:val="NoSpacing"/>
        <w:numPr>
          <w:ilvl w:val="0"/>
          <w:numId w:val="3"/>
        </w:numPr>
        <w:spacing w:line="360" w:lineRule="auto"/>
        <w:jc w:val="both"/>
        <w:rPr>
          <w:rFonts w:ascii="Arial" w:hAnsi="Arial" w:cs="Arial"/>
        </w:rPr>
      </w:pPr>
      <w:r>
        <w:rPr>
          <w:rFonts w:ascii="Arial" w:hAnsi="Arial" w:cs="Arial"/>
        </w:rPr>
        <w:lastRenderedPageBreak/>
        <w:t>Investigators define quality of research technique as a tool for looking at nearly everything.</w:t>
      </w:r>
    </w:p>
    <w:p w14:paraId="0AE9996D" w14:textId="77777777" w:rsidR="00FE0E23" w:rsidRDefault="006427CE">
      <w:pPr>
        <w:pStyle w:val="NoSpacing"/>
        <w:numPr>
          <w:ilvl w:val="0"/>
          <w:numId w:val="3"/>
        </w:numPr>
        <w:spacing w:line="360" w:lineRule="auto"/>
        <w:jc w:val="both"/>
        <w:rPr>
          <w:rFonts w:ascii="Arial" w:hAnsi="Arial" w:cs="Arial"/>
        </w:rPr>
      </w:pPr>
      <w:r>
        <w:rPr>
          <w:rFonts w:ascii="Arial" w:hAnsi="Arial" w:cs="Arial"/>
        </w:rPr>
        <w:t>This is not always the case; candidates may respond based on what they perceive the other person wants to hear.</w:t>
      </w:r>
    </w:p>
    <w:p w14:paraId="0AE9996E" w14:textId="77777777" w:rsidR="00FE0E23" w:rsidRDefault="006427CE">
      <w:pPr>
        <w:pStyle w:val="NoSpacing"/>
        <w:numPr>
          <w:ilvl w:val="0"/>
          <w:numId w:val="3"/>
        </w:numPr>
        <w:spacing w:line="360" w:lineRule="auto"/>
        <w:jc w:val="both"/>
      </w:pPr>
      <w:r>
        <w:rPr>
          <w:rFonts w:ascii="Arial" w:hAnsi="Arial" w:cs="Arial"/>
        </w:rPr>
        <w:t xml:space="preserve">More </w:t>
      </w:r>
      <w:r>
        <w:rPr>
          <w:rFonts w:ascii="Arial" w:hAnsi="Arial" w:cs="Arial"/>
        </w:rPr>
        <w:t xml:space="preserve">time is required to build a connection with the group being researched to avoid wrong replies </w:t>
      </w:r>
      <w:r>
        <w:rPr>
          <w:rFonts w:ascii="Arial" w:hAnsi="Arial" w:cs="Arial"/>
          <w:lang w:val="en-GB"/>
        </w:rPr>
        <w:t>(Saunders, et al., 2015)</w:t>
      </w:r>
      <w:r>
        <w:rPr>
          <w:rFonts w:ascii="Arial" w:hAnsi="Arial" w:cs="Arial"/>
        </w:rPr>
        <w:t>.</w:t>
      </w:r>
    </w:p>
    <w:p w14:paraId="0AE9996F" w14:textId="77777777" w:rsidR="00FE0E23" w:rsidRDefault="00FE0E23">
      <w:pPr>
        <w:pStyle w:val="NoSpacing"/>
        <w:spacing w:line="360" w:lineRule="auto"/>
        <w:jc w:val="both"/>
        <w:rPr>
          <w:rFonts w:ascii="Arial" w:hAnsi="Arial" w:cs="Arial"/>
        </w:rPr>
      </w:pPr>
    </w:p>
    <w:p w14:paraId="0AE99970" w14:textId="77777777" w:rsidR="00FE0E23" w:rsidRDefault="006427CE">
      <w:pPr>
        <w:pStyle w:val="NoSpacing"/>
        <w:numPr>
          <w:ilvl w:val="0"/>
          <w:numId w:val="4"/>
        </w:numPr>
        <w:spacing w:line="360" w:lineRule="auto"/>
        <w:jc w:val="both"/>
      </w:pPr>
      <w:r>
        <w:rPr>
          <w:rFonts w:ascii="Arial" w:hAnsi="Arial" w:cs="Arial"/>
        </w:rPr>
        <w:t>The 27 students that responded to the poll are in Advanced Education Level 3. (</w:t>
      </w:r>
      <w:r>
        <w:rPr>
          <w:rFonts w:ascii="Arial" w:hAnsi="Arial" w:cs="Arial"/>
          <w:lang w:val="en-GB"/>
        </w:rPr>
        <w:t>Specialised</w:t>
      </w:r>
      <w:r>
        <w:rPr>
          <w:rFonts w:ascii="Arial" w:hAnsi="Arial" w:cs="Arial"/>
        </w:rPr>
        <w:t xml:space="preserve"> education and training). This is true for mo</w:t>
      </w:r>
      <w:r>
        <w:rPr>
          <w:rFonts w:ascii="Arial" w:hAnsi="Arial" w:cs="Arial"/>
        </w:rPr>
        <w:t>st people.</w:t>
      </w:r>
    </w:p>
    <w:p w14:paraId="0AE99971" w14:textId="77777777" w:rsidR="00FE0E23" w:rsidRDefault="006427CE">
      <w:pPr>
        <w:pStyle w:val="NoSpacing"/>
        <w:numPr>
          <w:ilvl w:val="0"/>
          <w:numId w:val="4"/>
        </w:numPr>
        <w:spacing w:line="360" w:lineRule="auto"/>
        <w:jc w:val="both"/>
        <w:rPr>
          <w:rFonts w:ascii="Arial" w:hAnsi="Arial" w:cs="Arial"/>
        </w:rPr>
      </w:pPr>
      <w:r>
        <w:rPr>
          <w:rFonts w:ascii="Arial" w:hAnsi="Arial" w:cs="Arial"/>
        </w:rPr>
        <w:t>The second most significant number is for Academic Level 2, with 9 persons responding secondary education first entrance into job.</w:t>
      </w:r>
    </w:p>
    <w:p w14:paraId="0AE99972" w14:textId="77777777" w:rsidR="00FE0E23" w:rsidRDefault="006427CE">
      <w:pPr>
        <w:pStyle w:val="NoSpacing"/>
        <w:numPr>
          <w:ilvl w:val="0"/>
          <w:numId w:val="4"/>
        </w:numPr>
        <w:spacing w:line="360" w:lineRule="auto"/>
        <w:jc w:val="both"/>
        <w:rPr>
          <w:rFonts w:ascii="Arial" w:hAnsi="Arial" w:cs="Arial"/>
        </w:rPr>
      </w:pPr>
      <w:r>
        <w:rPr>
          <w:rFonts w:ascii="Arial" w:hAnsi="Arial" w:cs="Arial"/>
        </w:rPr>
        <w:t>Furthermore, 9 of the participants are enrolled in pedagogical level two, advancement into qualified job and under</w:t>
      </w:r>
      <w:r>
        <w:rPr>
          <w:rFonts w:ascii="Arial" w:hAnsi="Arial" w:cs="Arial"/>
        </w:rPr>
        <w:t>graduate extension.</w:t>
      </w:r>
    </w:p>
    <w:p w14:paraId="0AE99973" w14:textId="77777777" w:rsidR="00FE0E23" w:rsidRDefault="006427CE">
      <w:pPr>
        <w:pStyle w:val="NoSpacing"/>
        <w:numPr>
          <w:ilvl w:val="0"/>
          <w:numId w:val="4"/>
        </w:numPr>
        <w:spacing w:line="360" w:lineRule="auto"/>
        <w:jc w:val="both"/>
        <w:rPr>
          <w:rFonts w:ascii="Arial" w:hAnsi="Arial" w:cs="Arial"/>
        </w:rPr>
      </w:pPr>
      <w:r>
        <w:rPr>
          <w:rFonts w:ascii="Arial" w:hAnsi="Arial" w:cs="Arial"/>
        </w:rPr>
        <w:t>Students, the majority, whom are in the 3 level of study, are among the ten who participated in the survey: qualified and skilled worker, admission learners trying to pursue and achieving advanced learning.</w:t>
      </w:r>
    </w:p>
    <w:p w14:paraId="0AE99974" w14:textId="77777777" w:rsidR="00FE0E23" w:rsidRDefault="006427CE">
      <w:pPr>
        <w:pStyle w:val="NoSpacing"/>
        <w:numPr>
          <w:ilvl w:val="0"/>
          <w:numId w:val="4"/>
        </w:numPr>
        <w:spacing w:line="360" w:lineRule="auto"/>
        <w:jc w:val="both"/>
        <w:rPr>
          <w:rFonts w:ascii="Arial" w:hAnsi="Arial" w:cs="Arial"/>
        </w:rPr>
      </w:pPr>
      <w:r>
        <w:rPr>
          <w:rFonts w:ascii="Arial" w:hAnsi="Arial" w:cs="Arial"/>
        </w:rPr>
        <w:t>Moreover, respondents in belo</w:t>
      </w:r>
      <w:r>
        <w:rPr>
          <w:rFonts w:ascii="Arial" w:hAnsi="Arial" w:cs="Arial"/>
        </w:rPr>
        <w:t>w and academic level one class, which is exhibited by eight, are the fewest in number; just three of the total responses in this lesson show that minority groups are well below.</w:t>
      </w:r>
    </w:p>
    <w:p w14:paraId="0AE99975" w14:textId="77777777" w:rsidR="00FE0E23" w:rsidRDefault="00FE0E23">
      <w:pPr>
        <w:pStyle w:val="NoSpacing"/>
        <w:spacing w:line="360" w:lineRule="auto"/>
        <w:jc w:val="both"/>
        <w:rPr>
          <w:rFonts w:ascii="Arial" w:hAnsi="Arial" w:cs="Arial"/>
        </w:rPr>
      </w:pPr>
    </w:p>
    <w:p w14:paraId="0AE99976" w14:textId="77777777" w:rsidR="00FE0E23" w:rsidRDefault="006427CE">
      <w:pPr>
        <w:pStyle w:val="NoSpacing"/>
        <w:spacing w:line="360" w:lineRule="auto"/>
        <w:rPr>
          <w:rFonts w:ascii="Arial" w:hAnsi="Arial" w:cs="Arial"/>
        </w:rPr>
      </w:pPr>
      <w:bookmarkStart w:id="11" w:name="_Toc89645955"/>
      <w:r>
        <w:rPr>
          <w:rFonts w:ascii="Arial" w:hAnsi="Arial" w:cs="Arial"/>
        </w:rPr>
        <w:t>Grit mean score was two, with a mode was three and a median was two. Grit lev</w:t>
      </w:r>
      <w:r>
        <w:rPr>
          <w:rFonts w:ascii="Arial" w:hAnsi="Arial" w:cs="Arial"/>
        </w:rPr>
        <w:t>el is not reliant on Academic Level, so verifying Angela's Grit Theory. The author used data from 27 students using the data from the academic level one and three.</w:t>
      </w:r>
    </w:p>
    <w:p w14:paraId="0AE99977" w14:textId="77777777" w:rsidR="00FE0E23" w:rsidRDefault="00FE0E23">
      <w:pPr>
        <w:pStyle w:val="NoSpacing"/>
      </w:pPr>
    </w:p>
    <w:p w14:paraId="0AE99978" w14:textId="77777777" w:rsidR="00FE0E23" w:rsidRDefault="00FE0E23">
      <w:pPr>
        <w:pStyle w:val="NoSpacing"/>
      </w:pPr>
    </w:p>
    <w:p w14:paraId="0AE99979" w14:textId="77777777" w:rsidR="00FE0E23" w:rsidRDefault="00FE0E23">
      <w:pPr>
        <w:pStyle w:val="NoSpacing"/>
      </w:pPr>
    </w:p>
    <w:p w14:paraId="0AE9997A" w14:textId="77777777" w:rsidR="00FE0E23" w:rsidRDefault="00FE0E23">
      <w:pPr>
        <w:pStyle w:val="NoSpacing"/>
      </w:pPr>
    </w:p>
    <w:p w14:paraId="0AE9997B" w14:textId="77777777" w:rsidR="00FE0E23" w:rsidRDefault="00FE0E23">
      <w:pPr>
        <w:pStyle w:val="NoSpacing"/>
      </w:pPr>
    </w:p>
    <w:p w14:paraId="0AE9997C" w14:textId="77777777" w:rsidR="00FE0E23" w:rsidRDefault="00FE0E23">
      <w:pPr>
        <w:pStyle w:val="NoSpacing"/>
      </w:pPr>
    </w:p>
    <w:p w14:paraId="0AE9997D" w14:textId="77777777" w:rsidR="00FE0E23" w:rsidRDefault="00FE0E23">
      <w:pPr>
        <w:pStyle w:val="NoSpacing"/>
      </w:pPr>
    </w:p>
    <w:p w14:paraId="0AE9997E" w14:textId="77777777" w:rsidR="00FE0E23" w:rsidRDefault="00FE0E23">
      <w:pPr>
        <w:pStyle w:val="NoSpacing"/>
      </w:pPr>
    </w:p>
    <w:p w14:paraId="0AE9997F" w14:textId="77777777" w:rsidR="00FE0E23" w:rsidRDefault="00FE0E23">
      <w:pPr>
        <w:pStyle w:val="NoSpacing"/>
      </w:pPr>
    </w:p>
    <w:p w14:paraId="0AE99980" w14:textId="77777777" w:rsidR="00FE0E23" w:rsidRDefault="00FE0E23">
      <w:pPr>
        <w:pStyle w:val="NoSpacing"/>
      </w:pPr>
    </w:p>
    <w:p w14:paraId="0AE99981" w14:textId="77777777" w:rsidR="00FE0E23" w:rsidRDefault="00FE0E23">
      <w:pPr>
        <w:pStyle w:val="NoSpacing"/>
      </w:pPr>
    </w:p>
    <w:p w14:paraId="0AE99982" w14:textId="77777777" w:rsidR="00FE0E23" w:rsidRDefault="00FE0E23">
      <w:pPr>
        <w:pStyle w:val="NoSpacing"/>
      </w:pPr>
    </w:p>
    <w:p w14:paraId="0AE99983" w14:textId="77777777" w:rsidR="00FE0E23" w:rsidRDefault="00FE0E23">
      <w:pPr>
        <w:pStyle w:val="NoSpacing"/>
      </w:pPr>
    </w:p>
    <w:p w14:paraId="0AE99984" w14:textId="77777777" w:rsidR="00FE0E23" w:rsidRDefault="00FE0E23">
      <w:pPr>
        <w:pStyle w:val="NoSpacing"/>
      </w:pPr>
    </w:p>
    <w:p w14:paraId="0AE99985" w14:textId="77777777" w:rsidR="00FE0E23" w:rsidRDefault="00FE0E23">
      <w:pPr>
        <w:pStyle w:val="NoSpacing"/>
      </w:pPr>
    </w:p>
    <w:p w14:paraId="0AE99986" w14:textId="77777777" w:rsidR="00FE0E23" w:rsidRDefault="00FE0E23">
      <w:pPr>
        <w:pStyle w:val="NoSpacing"/>
      </w:pPr>
    </w:p>
    <w:p w14:paraId="0AE99987" w14:textId="77777777" w:rsidR="00FE0E23" w:rsidRDefault="00FE0E23">
      <w:pPr>
        <w:pStyle w:val="NoSpacing"/>
      </w:pPr>
    </w:p>
    <w:p w14:paraId="0AE99988" w14:textId="77777777" w:rsidR="00FE0E23" w:rsidRDefault="00FE0E23">
      <w:pPr>
        <w:pStyle w:val="NoSpacing"/>
      </w:pPr>
    </w:p>
    <w:p w14:paraId="0AE99989" w14:textId="77777777" w:rsidR="00FE0E23" w:rsidRDefault="00FE0E23">
      <w:pPr>
        <w:pStyle w:val="NoSpacing"/>
      </w:pPr>
    </w:p>
    <w:p w14:paraId="0AE9998A" w14:textId="77777777" w:rsidR="00FE0E23" w:rsidRDefault="006427CE">
      <w:pPr>
        <w:pStyle w:val="Heading1"/>
      </w:pPr>
      <w:bookmarkStart w:id="12" w:name="_Toc89908047"/>
      <w:bookmarkStart w:id="13" w:name="_Toc89991675"/>
      <w:r>
        <w:lastRenderedPageBreak/>
        <w:t>Survey Analysis and Secondary Data</w:t>
      </w:r>
      <w:bookmarkEnd w:id="11"/>
      <w:bookmarkEnd w:id="12"/>
      <w:bookmarkEnd w:id="13"/>
    </w:p>
    <w:p w14:paraId="0AE9998B" w14:textId="77777777" w:rsidR="00FE0E23" w:rsidRDefault="006427CE">
      <w:r>
        <w:rPr>
          <w:noProof/>
        </w:rPr>
        <w:drawing>
          <wp:inline distT="0" distB="0" distL="0" distR="0" wp14:anchorId="0AE99941" wp14:editId="0AE99942">
            <wp:extent cx="5400044" cy="3037837"/>
            <wp:effectExtent l="0" t="0" r="0" b="0"/>
            <wp:docPr id="9" name="Graphic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400044" cy="3037837"/>
                    </a:xfrm>
                    <a:prstGeom prst="rect">
                      <a:avLst/>
                    </a:prstGeom>
                    <a:noFill/>
                    <a:ln>
                      <a:noFill/>
                      <a:prstDash/>
                    </a:ln>
                  </pic:spPr>
                </pic:pic>
              </a:graphicData>
            </a:graphic>
          </wp:inline>
        </w:drawing>
      </w:r>
    </w:p>
    <w:p w14:paraId="0AE9998C" w14:textId="77777777" w:rsidR="00FE0E23" w:rsidRDefault="00FE0E23">
      <w:pPr>
        <w:pStyle w:val="Heading1"/>
      </w:pPr>
    </w:p>
    <w:p w14:paraId="0AE9998D" w14:textId="77777777" w:rsidR="00FE0E23" w:rsidRDefault="006427CE">
      <w:pPr>
        <w:pStyle w:val="NoSpacing"/>
        <w:spacing w:line="360" w:lineRule="auto"/>
        <w:jc w:val="both"/>
        <w:rPr>
          <w:rFonts w:ascii="Arial" w:hAnsi="Arial" w:cs="Arial"/>
        </w:rPr>
      </w:pPr>
      <w:r>
        <w:rPr>
          <w:rFonts w:ascii="Arial" w:hAnsi="Arial" w:cs="Arial"/>
        </w:rPr>
        <w:t xml:space="preserve">Based on secondary data, the </w:t>
      </w:r>
      <w:r>
        <w:rPr>
          <w:rFonts w:ascii="Arial" w:hAnsi="Arial" w:cs="Arial"/>
        </w:rPr>
        <w:t>author calculated the number of participants at each level. Layer two had four students engage in the census, Level 3 may have the most was 126, Level 4 got 27, and Level 5 got 14.</w:t>
      </w:r>
    </w:p>
    <w:p w14:paraId="0AE9998E" w14:textId="77777777" w:rsidR="00FE0E23" w:rsidRDefault="00FE0E23">
      <w:pPr>
        <w:pStyle w:val="NoSpacing"/>
        <w:spacing w:line="360" w:lineRule="auto"/>
        <w:jc w:val="both"/>
        <w:rPr>
          <w:rFonts w:ascii="Arial" w:hAnsi="Arial" w:cs="Arial"/>
        </w:rPr>
      </w:pPr>
    </w:p>
    <w:p w14:paraId="0AE9998F" w14:textId="77777777" w:rsidR="00FE0E23" w:rsidRDefault="006427CE">
      <w:pPr>
        <w:pStyle w:val="NoSpacing"/>
        <w:spacing w:line="360" w:lineRule="auto"/>
        <w:jc w:val="both"/>
      </w:pPr>
      <w:r>
        <w:rPr>
          <w:rFonts w:ascii="Arial" w:hAnsi="Arial" w:cs="Arial"/>
        </w:rPr>
        <w:t>Second findings of the study and provided to me for intellectual areas two</w:t>
      </w:r>
      <w:r>
        <w:rPr>
          <w:rFonts w:ascii="Arial" w:hAnsi="Arial" w:cs="Arial"/>
        </w:rPr>
        <w:t xml:space="preserve"> and five secondary data is pass the information from a source besides the main customer, the author determined also that Scholarly Levels Standard by average, Mode, and Median were all three. Nevertheless, upon measuring the abrasives scores, the author d</w:t>
      </w:r>
      <w:r>
        <w:rPr>
          <w:rFonts w:ascii="Arial" w:hAnsi="Arial" w:cs="Arial"/>
        </w:rPr>
        <w:t xml:space="preserve">iscovered that such average is three, the median is three, and the mode is three </w:t>
      </w:r>
      <w:r>
        <w:rPr>
          <w:rFonts w:ascii="Arial" w:hAnsi="Arial" w:cs="Arial"/>
          <w:lang w:val="en-GB"/>
        </w:rPr>
        <w:t>(Donnellan &amp; Lucas, 2021)</w:t>
      </w:r>
      <w:r>
        <w:rPr>
          <w:rFonts w:ascii="Arial" w:hAnsi="Arial" w:cs="Arial"/>
        </w:rPr>
        <w:t>.</w:t>
      </w:r>
      <w:bookmarkStart w:id="14" w:name="_Toc89645956"/>
      <w:r>
        <w:t xml:space="preserve"> </w:t>
      </w:r>
    </w:p>
    <w:p w14:paraId="0AE99990" w14:textId="77777777" w:rsidR="00FE0E23" w:rsidRDefault="006427CE">
      <w:pPr>
        <w:pStyle w:val="NoSpacing"/>
        <w:spacing w:line="360" w:lineRule="auto"/>
        <w:jc w:val="both"/>
        <w:rPr>
          <w:rFonts w:ascii="Arial" w:hAnsi="Arial" w:cs="Arial"/>
        </w:rPr>
      </w:pPr>
      <w:r>
        <w:rPr>
          <w:rFonts w:ascii="Arial" w:hAnsi="Arial" w:cs="Arial"/>
        </w:rPr>
        <w:t>The intensity of grit is orthogonal to intellectual level and can be more dependent on the theory test motivation and determination to achieve goal</w:t>
      </w:r>
      <w:r>
        <w:rPr>
          <w:rFonts w:ascii="Arial" w:hAnsi="Arial" w:cs="Arial"/>
        </w:rPr>
        <w:t>s. The data in our data chart had a far lesser number of responses but was still relatively comparable to Angela's Duckworth survey findings. Based on the total number of pupils in the class (171).</w:t>
      </w:r>
    </w:p>
    <w:p w14:paraId="0AE99991" w14:textId="77777777" w:rsidR="00FE0E23" w:rsidRDefault="006427CE">
      <w:pPr>
        <w:pStyle w:val="Heading1"/>
      </w:pPr>
      <w:bookmarkStart w:id="15" w:name="_Toc89908048"/>
      <w:bookmarkStart w:id="16" w:name="_Toc89991676"/>
      <w:r>
        <w:lastRenderedPageBreak/>
        <w:t>DIKW Framework to know Grit</w:t>
      </w:r>
      <w:bookmarkEnd w:id="14"/>
      <w:bookmarkEnd w:id="15"/>
      <w:bookmarkEnd w:id="16"/>
    </w:p>
    <w:p w14:paraId="0AE99992" w14:textId="77777777" w:rsidR="00FE0E23" w:rsidRPr="008C0BE0" w:rsidRDefault="006427CE">
      <w:pPr>
        <w:rPr>
          <w:lang w:val="en-GB"/>
        </w:rPr>
      </w:pPr>
      <w:r>
        <w:rPr>
          <w:noProof/>
        </w:rPr>
        <w:drawing>
          <wp:inline distT="0" distB="0" distL="0" distR="0" wp14:anchorId="0AE99943" wp14:editId="0AE99944">
            <wp:extent cx="5400044" cy="3037837"/>
            <wp:effectExtent l="0" t="0" r="0" b="0"/>
            <wp:docPr id="10" name="Graphic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400044" cy="3037837"/>
                    </a:xfrm>
                    <a:prstGeom prst="rect">
                      <a:avLst/>
                    </a:prstGeom>
                    <a:noFill/>
                    <a:ln>
                      <a:noFill/>
                      <a:prstDash/>
                    </a:ln>
                  </pic:spPr>
                </pic:pic>
              </a:graphicData>
            </a:graphic>
          </wp:inline>
        </w:drawing>
      </w:r>
      <w:r>
        <w:rPr>
          <w:lang w:val="en-GB"/>
        </w:rPr>
        <w:t xml:space="preserve"> </w:t>
      </w:r>
    </w:p>
    <w:p w14:paraId="0AE99993" w14:textId="77777777" w:rsidR="00FE0E23" w:rsidRPr="008C0BE0" w:rsidRDefault="006427CE">
      <w:pPr>
        <w:spacing w:line="360" w:lineRule="auto"/>
        <w:jc w:val="both"/>
        <w:rPr>
          <w:lang w:val="en-GB"/>
        </w:rPr>
      </w:pPr>
      <w:r>
        <w:rPr>
          <w:rFonts w:ascii="Arial" w:hAnsi="Arial" w:cs="Arial"/>
          <w:lang w:val="en-GB"/>
        </w:rPr>
        <w:t>Sources: (Ackoff, 1999) and</w:t>
      </w:r>
      <w:r>
        <w:rPr>
          <w:rFonts w:ascii="Arial" w:hAnsi="Arial" w:cs="Arial"/>
          <w:lang w:val="en-GB"/>
        </w:rPr>
        <w:t xml:space="preserve"> (Ahsan &amp; Shah, 2006).</w:t>
      </w:r>
    </w:p>
    <w:p w14:paraId="0AE99994" w14:textId="77777777" w:rsidR="00FE0E23" w:rsidRDefault="006427CE">
      <w:pPr>
        <w:pStyle w:val="NoSpacing"/>
        <w:spacing w:line="360" w:lineRule="auto"/>
        <w:jc w:val="both"/>
      </w:pPr>
      <w:r>
        <w:rPr>
          <w:rFonts w:ascii="Arial" w:hAnsi="Arial" w:cs="Arial"/>
        </w:rPr>
        <w:t>DIKW hierarchy is a term that refers to a set designs which act as structural and operational connections among facts, insight, understanding, and intelligence. Questions are addressed and value is added at each level of the hierarch</w:t>
      </w:r>
      <w:r>
        <w:rPr>
          <w:rFonts w:ascii="Arial" w:hAnsi="Arial" w:cs="Arial"/>
        </w:rPr>
        <w:t xml:space="preserve">y. It is founded on the principles of filtering, reduction, and transformation </w:t>
      </w:r>
      <w:r>
        <w:rPr>
          <w:rFonts w:ascii="Arial" w:hAnsi="Arial" w:cs="Arial"/>
          <w:lang w:val="en-GB"/>
        </w:rPr>
        <w:t>(Rowley, 2007)</w:t>
      </w:r>
      <w:r>
        <w:rPr>
          <w:rFonts w:ascii="Arial" w:hAnsi="Arial" w:cs="Arial"/>
        </w:rPr>
        <w:t>.</w:t>
      </w:r>
    </w:p>
    <w:p w14:paraId="0AE99995" w14:textId="77777777" w:rsidR="00FE0E23" w:rsidRDefault="006427CE">
      <w:pPr>
        <w:pStyle w:val="NoSpacing"/>
        <w:spacing w:line="360" w:lineRule="auto"/>
        <w:jc w:val="both"/>
      </w:pPr>
      <w:r>
        <w:rPr>
          <w:rFonts w:ascii="Arial" w:hAnsi="Arial" w:cs="Arial"/>
        </w:rPr>
        <w:t>The DIKW pyramid is a framework for understanding, when evidence as data becomes information, knowledge, and wisdom. We discover the structural and functional li</w:t>
      </w:r>
      <w:r>
        <w:rPr>
          <w:rFonts w:ascii="Arial" w:hAnsi="Arial" w:cs="Arial"/>
        </w:rPr>
        <w:t xml:space="preserve">nks which emerge across wisdom and data </w:t>
      </w:r>
      <w:r>
        <w:rPr>
          <w:rFonts w:ascii="Arial" w:hAnsi="Arial" w:cs="Arial"/>
          <w:lang w:val="en-GB"/>
        </w:rPr>
        <w:t>(Dweck, 2006)</w:t>
      </w:r>
      <w:r>
        <w:rPr>
          <w:rFonts w:ascii="Arial" w:hAnsi="Arial" w:cs="Arial"/>
        </w:rPr>
        <w:t>.</w:t>
      </w:r>
    </w:p>
    <w:p w14:paraId="0AE99996" w14:textId="77777777" w:rsidR="00FE0E23" w:rsidRDefault="006427CE">
      <w:pPr>
        <w:pStyle w:val="NoSpacing"/>
        <w:spacing w:line="360" w:lineRule="auto"/>
        <w:jc w:val="both"/>
      </w:pPr>
      <w:r>
        <w:rPr>
          <w:rFonts w:ascii="Arial" w:hAnsi="Arial" w:cs="Arial"/>
          <w:lang w:val="en-GB"/>
        </w:rPr>
        <w:t>Data become Information, Knowledge, and Wisdom. the author reveals the micromorphological relations that exist across Data and Wisdom (Rowley, 2007)</w:t>
      </w:r>
      <w:r>
        <w:rPr>
          <w:rFonts w:ascii="Arial" w:hAnsi="Arial" w:cs="Arial"/>
        </w:rPr>
        <w:t xml:space="preserve">. </w:t>
      </w:r>
    </w:p>
    <w:p w14:paraId="0AE99997" w14:textId="77777777" w:rsidR="00FE0E23" w:rsidRDefault="00FE0E23">
      <w:pPr>
        <w:pStyle w:val="NoSpacing"/>
        <w:spacing w:line="360" w:lineRule="auto"/>
        <w:jc w:val="both"/>
      </w:pPr>
    </w:p>
    <w:p w14:paraId="0AE99998" w14:textId="77777777" w:rsidR="00FE0E23" w:rsidRDefault="006427CE">
      <w:pPr>
        <w:pStyle w:val="NoSpacing"/>
        <w:spacing w:line="360" w:lineRule="auto"/>
        <w:jc w:val="both"/>
      </w:pPr>
      <w:r>
        <w:rPr>
          <w:rFonts w:ascii="Arial" w:hAnsi="Arial" w:cs="Arial"/>
        </w:rPr>
        <w:t>Statistics is a basic component that may be arran</w:t>
      </w:r>
      <w:r>
        <w:rPr>
          <w:rFonts w:ascii="Arial" w:hAnsi="Arial" w:cs="Arial"/>
        </w:rPr>
        <w:t xml:space="preserve">ged as content. Adding meaning to information results in the creation of knowledge. Facts may be transformed into information by </w:t>
      </w:r>
      <w:r>
        <w:rPr>
          <w:rFonts w:ascii="Arial" w:hAnsi="Arial" w:cs="Arial"/>
          <w:lang w:val="en-GB"/>
        </w:rPr>
        <w:t>contextualising</w:t>
      </w:r>
      <w:r>
        <w:rPr>
          <w:rFonts w:ascii="Arial" w:hAnsi="Arial" w:cs="Arial"/>
        </w:rPr>
        <w:t xml:space="preserve"> them, structuring them into framework, and turning them into expertise whenever they are understood.</w:t>
      </w:r>
    </w:p>
    <w:p w14:paraId="0AE99999" w14:textId="77777777" w:rsidR="00FE0E23" w:rsidRDefault="00FE0E23">
      <w:pPr>
        <w:pStyle w:val="NoSpacing"/>
        <w:spacing w:line="360" w:lineRule="auto"/>
        <w:jc w:val="both"/>
        <w:rPr>
          <w:rFonts w:ascii="Arial" w:hAnsi="Arial" w:cs="Arial"/>
        </w:rPr>
      </w:pPr>
    </w:p>
    <w:p w14:paraId="0AE9999A" w14:textId="77777777" w:rsidR="00FE0E23" w:rsidRDefault="006427CE">
      <w:pPr>
        <w:pStyle w:val="NoSpacing"/>
        <w:spacing w:line="360" w:lineRule="auto"/>
        <w:jc w:val="both"/>
      </w:pPr>
      <w:r>
        <w:rPr>
          <w:rFonts w:ascii="Arial" w:hAnsi="Arial" w:cs="Arial"/>
        </w:rPr>
        <w:t xml:space="preserve">When the </w:t>
      </w:r>
      <w:r>
        <w:rPr>
          <w:rFonts w:ascii="Arial" w:hAnsi="Arial" w:cs="Arial"/>
        </w:rPr>
        <w:t xml:space="preserve">human mind uses this knowledge to choose from a few possibilities, action becomes more complex. Eventually, one might be able to declare that one's behaviour are prudent </w:t>
      </w:r>
      <w:r>
        <w:rPr>
          <w:rFonts w:ascii="Arial" w:hAnsi="Arial" w:cs="Arial"/>
          <w:lang w:val="en-GB"/>
        </w:rPr>
        <w:t>(Ahsan &amp; Shah, 2006)</w:t>
      </w:r>
      <w:r>
        <w:rPr>
          <w:rFonts w:ascii="Arial" w:hAnsi="Arial" w:cs="Arial"/>
        </w:rPr>
        <w:t>.</w:t>
      </w:r>
    </w:p>
    <w:p w14:paraId="0AE9999B" w14:textId="77777777" w:rsidR="00FE0E23" w:rsidRDefault="006427CE">
      <w:pPr>
        <w:pStyle w:val="NoSpacing"/>
        <w:numPr>
          <w:ilvl w:val="0"/>
          <w:numId w:val="5"/>
        </w:numPr>
        <w:spacing w:line="360" w:lineRule="auto"/>
        <w:jc w:val="both"/>
      </w:pPr>
      <w:r>
        <w:rPr>
          <w:rFonts w:ascii="Arial" w:hAnsi="Arial" w:cs="Arial"/>
          <w:b/>
          <w:bCs/>
        </w:rPr>
        <w:t>Data</w:t>
      </w:r>
      <w:r>
        <w:rPr>
          <w:rFonts w:ascii="Arial" w:hAnsi="Arial" w:cs="Arial"/>
        </w:rPr>
        <w:t xml:space="preserve"> is responses or numbers collected on forms inside of the </w:t>
      </w:r>
      <w:r>
        <w:rPr>
          <w:rFonts w:ascii="Arial" w:hAnsi="Arial" w:cs="Arial"/>
        </w:rPr>
        <w:t>questionnaire. Regarding two research topics concerning grit score and degree of student achievement.</w:t>
      </w:r>
    </w:p>
    <w:p w14:paraId="0AE9999C" w14:textId="77777777" w:rsidR="00FE0E23" w:rsidRDefault="006427CE">
      <w:pPr>
        <w:pStyle w:val="NoSpacing"/>
        <w:numPr>
          <w:ilvl w:val="0"/>
          <w:numId w:val="5"/>
        </w:numPr>
        <w:spacing w:line="360" w:lineRule="auto"/>
        <w:jc w:val="both"/>
      </w:pPr>
      <w:r>
        <w:rPr>
          <w:rFonts w:ascii="Arial" w:hAnsi="Arial" w:cs="Arial"/>
        </w:rPr>
        <w:lastRenderedPageBreak/>
        <w:t xml:space="preserve">The poll findings have been converted to numbers as </w:t>
      </w:r>
      <w:r>
        <w:rPr>
          <w:rFonts w:ascii="Arial" w:hAnsi="Arial" w:cs="Arial"/>
          <w:b/>
          <w:bCs/>
        </w:rPr>
        <w:t>information</w:t>
      </w:r>
      <w:r>
        <w:rPr>
          <w:rFonts w:ascii="Arial" w:hAnsi="Arial" w:cs="Arial"/>
        </w:rPr>
        <w:t>, with just the most important data retained in an excel file. The data is then transformed</w:t>
      </w:r>
      <w:r>
        <w:rPr>
          <w:rFonts w:ascii="Arial" w:hAnsi="Arial" w:cs="Arial"/>
        </w:rPr>
        <w:t xml:space="preserve"> into a graph.</w:t>
      </w:r>
    </w:p>
    <w:p w14:paraId="0AE9999D" w14:textId="77777777" w:rsidR="00FE0E23" w:rsidRDefault="006427CE">
      <w:pPr>
        <w:pStyle w:val="NoSpacing"/>
        <w:numPr>
          <w:ilvl w:val="0"/>
          <w:numId w:val="5"/>
        </w:numPr>
        <w:spacing w:line="360" w:lineRule="auto"/>
        <w:jc w:val="both"/>
      </w:pPr>
      <w:r>
        <w:rPr>
          <w:rFonts w:ascii="Arial" w:hAnsi="Arial" w:cs="Arial"/>
        </w:rPr>
        <w:t xml:space="preserve">What has been learnt and how it has been </w:t>
      </w:r>
      <w:r>
        <w:rPr>
          <w:rFonts w:ascii="Arial" w:hAnsi="Arial" w:cs="Arial"/>
          <w:lang w:val="en-GB"/>
        </w:rPr>
        <w:t>utilised</w:t>
      </w:r>
      <w:r>
        <w:rPr>
          <w:rFonts w:ascii="Arial" w:hAnsi="Arial" w:cs="Arial"/>
        </w:rPr>
        <w:t xml:space="preserve"> is referred to as </w:t>
      </w:r>
      <w:r>
        <w:rPr>
          <w:rFonts w:ascii="Arial" w:hAnsi="Arial" w:cs="Arial"/>
          <w:b/>
          <w:bCs/>
        </w:rPr>
        <w:t>knowledge</w:t>
      </w:r>
      <w:r>
        <w:rPr>
          <w:rFonts w:ascii="Arial" w:hAnsi="Arial" w:cs="Arial"/>
        </w:rPr>
        <w:t>. It will then be able to assist me in making a rational decision.</w:t>
      </w:r>
    </w:p>
    <w:p w14:paraId="0AE9999E" w14:textId="77777777" w:rsidR="00FE0E23" w:rsidRDefault="006427CE">
      <w:pPr>
        <w:pStyle w:val="NoSpacing"/>
        <w:numPr>
          <w:ilvl w:val="0"/>
          <w:numId w:val="5"/>
        </w:numPr>
        <w:spacing w:line="360" w:lineRule="auto"/>
        <w:jc w:val="both"/>
      </w:pPr>
      <w:r>
        <w:rPr>
          <w:rFonts w:ascii="Arial" w:hAnsi="Arial" w:cs="Arial"/>
        </w:rPr>
        <w:t xml:space="preserve">Awareness is the ability to make wise conclusions right now, mainly reliant across all </w:t>
      </w:r>
      <w:r>
        <w:rPr>
          <w:rFonts w:ascii="Arial" w:hAnsi="Arial" w:cs="Arial"/>
        </w:rPr>
        <w:t xml:space="preserve">available data to determine </w:t>
      </w:r>
      <w:r>
        <w:rPr>
          <w:rFonts w:ascii="Arial" w:hAnsi="Arial" w:cs="Arial"/>
          <w:b/>
          <w:bCs/>
        </w:rPr>
        <w:t>Wisdom</w:t>
      </w:r>
      <w:r>
        <w:rPr>
          <w:rFonts w:ascii="Arial" w:hAnsi="Arial" w:cs="Arial"/>
        </w:rPr>
        <w:t xml:space="preserve">, if Angela Duckworth's argument is correct pass or fail </w:t>
      </w:r>
      <w:r>
        <w:rPr>
          <w:rFonts w:ascii="Arial" w:hAnsi="Arial" w:cs="Arial"/>
          <w:lang w:val="en-GB"/>
        </w:rPr>
        <w:t>(Ackoff, 1989)</w:t>
      </w:r>
      <w:r>
        <w:rPr>
          <w:rFonts w:ascii="Arial" w:hAnsi="Arial" w:cs="Arial"/>
        </w:rPr>
        <w:t>.</w:t>
      </w:r>
    </w:p>
    <w:p w14:paraId="0AE9999F" w14:textId="77777777" w:rsidR="00FE0E23" w:rsidRDefault="00FE0E23">
      <w:pPr>
        <w:pStyle w:val="NoSpacing"/>
      </w:pPr>
    </w:p>
    <w:p w14:paraId="0AE999A0" w14:textId="77777777" w:rsidR="00FE0E23" w:rsidRDefault="006427CE">
      <w:r>
        <w:rPr>
          <w:noProof/>
        </w:rPr>
        <w:drawing>
          <wp:inline distT="0" distB="0" distL="0" distR="0" wp14:anchorId="0AE99945" wp14:editId="0AE99946">
            <wp:extent cx="5400044" cy="3037837"/>
            <wp:effectExtent l="0" t="0" r="0" b="0"/>
            <wp:docPr id="11" name="Graphic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400044" cy="3037837"/>
                    </a:xfrm>
                    <a:prstGeom prst="rect">
                      <a:avLst/>
                    </a:prstGeom>
                    <a:noFill/>
                    <a:ln>
                      <a:noFill/>
                      <a:prstDash/>
                    </a:ln>
                  </pic:spPr>
                </pic:pic>
              </a:graphicData>
            </a:graphic>
          </wp:inline>
        </w:drawing>
      </w:r>
    </w:p>
    <w:p w14:paraId="0AE999A1" w14:textId="77777777" w:rsidR="00FE0E23" w:rsidRDefault="00FE0E23">
      <w:pPr>
        <w:pStyle w:val="NoSpacing"/>
      </w:pPr>
    </w:p>
    <w:p w14:paraId="0AE999A2" w14:textId="77777777" w:rsidR="00FE0E23" w:rsidRDefault="00FE0E23">
      <w:pPr>
        <w:pStyle w:val="NoSpacing"/>
      </w:pPr>
    </w:p>
    <w:p w14:paraId="0AE999A3" w14:textId="77777777" w:rsidR="00FE0E23" w:rsidRDefault="00FE0E23">
      <w:pPr>
        <w:pStyle w:val="NoSpacing"/>
        <w:spacing w:line="360" w:lineRule="auto"/>
        <w:jc w:val="both"/>
        <w:rPr>
          <w:rFonts w:ascii="Arial" w:hAnsi="Arial" w:cs="Arial"/>
        </w:rPr>
      </w:pPr>
    </w:p>
    <w:p w14:paraId="0AE999A4" w14:textId="77777777" w:rsidR="00FE0E23" w:rsidRPr="008C0BE0" w:rsidRDefault="006427CE">
      <w:pPr>
        <w:spacing w:line="360" w:lineRule="auto"/>
        <w:jc w:val="both"/>
        <w:rPr>
          <w:lang w:val="en-GB"/>
        </w:rPr>
      </w:pPr>
      <w:r>
        <w:rPr>
          <w:rFonts w:ascii="Arial" w:hAnsi="Arial" w:cs="Arial"/>
          <w:lang w:val="en-GB"/>
        </w:rPr>
        <w:t>Rowley defines data as independent, factual assertions, Informal, uncontrolled experiences with no purpose or value because of failed of data i</w:t>
      </w:r>
      <w:r>
        <w:rPr>
          <w:rFonts w:ascii="Arial" w:hAnsi="Arial" w:cs="Arial"/>
          <w:lang w:val="en-GB"/>
        </w:rPr>
        <w:t>nterpretation (Rowley &amp; Hartley, 2006).</w:t>
      </w:r>
    </w:p>
    <w:p w14:paraId="0AE999A5" w14:textId="77777777" w:rsidR="00FE0E23" w:rsidRDefault="006427CE">
      <w:pPr>
        <w:pStyle w:val="NoSpacing"/>
        <w:spacing w:line="360" w:lineRule="auto"/>
        <w:jc w:val="both"/>
        <w:rPr>
          <w:rFonts w:ascii="Arial" w:hAnsi="Arial" w:cs="Arial"/>
        </w:rPr>
      </w:pPr>
      <w:r>
        <w:rPr>
          <w:rFonts w:ascii="Arial" w:hAnsi="Arial" w:cs="Arial"/>
        </w:rPr>
        <w:t>He contends the calculated average express the properties of things, events, and complex contexts.</w:t>
      </w:r>
    </w:p>
    <w:p w14:paraId="0AE999A6" w14:textId="77777777" w:rsidR="00FE0E23" w:rsidRDefault="006427CE">
      <w:pPr>
        <w:pStyle w:val="NoSpacing"/>
        <w:spacing w:line="360" w:lineRule="auto"/>
        <w:jc w:val="both"/>
      </w:pPr>
      <w:r>
        <w:rPr>
          <w:rFonts w:ascii="Arial" w:hAnsi="Arial" w:cs="Arial"/>
        </w:rPr>
        <w:t>For other words, they are the result of research. Data should be converted into a readable format before it may be he</w:t>
      </w:r>
      <w:r>
        <w:rPr>
          <w:rFonts w:ascii="Arial" w:hAnsi="Arial" w:cs="Arial"/>
        </w:rPr>
        <w:t xml:space="preserve">lpful. Data and information are separated by functional rather than structural distinction </w:t>
      </w:r>
      <w:r>
        <w:rPr>
          <w:rFonts w:ascii="Arial" w:hAnsi="Arial" w:cs="Arial"/>
          <w:lang w:val="en-GB"/>
        </w:rPr>
        <w:t>(Rowley, 2007)</w:t>
      </w:r>
      <w:r>
        <w:rPr>
          <w:rFonts w:ascii="Arial" w:hAnsi="Arial" w:cs="Arial"/>
        </w:rPr>
        <w:t>.</w:t>
      </w:r>
    </w:p>
    <w:p w14:paraId="0AE999A7" w14:textId="77777777" w:rsidR="00FE0E23" w:rsidRDefault="00FE0E23">
      <w:pPr>
        <w:pStyle w:val="NoSpacing"/>
        <w:spacing w:line="360" w:lineRule="auto"/>
        <w:jc w:val="both"/>
        <w:rPr>
          <w:rFonts w:ascii="Arial" w:hAnsi="Arial" w:cs="Arial"/>
        </w:rPr>
      </w:pPr>
    </w:p>
    <w:p w14:paraId="0AE999A8" w14:textId="77777777" w:rsidR="00FE0E23" w:rsidRDefault="006427CE">
      <w:pPr>
        <w:pStyle w:val="NoSpacing"/>
        <w:spacing w:line="360" w:lineRule="auto"/>
        <w:jc w:val="both"/>
      </w:pPr>
      <w:r>
        <w:rPr>
          <w:rFonts w:ascii="Arial" w:hAnsi="Arial" w:cs="Arial"/>
        </w:rPr>
        <w:t>Raw form information, something simply happens and adds no benefit. It can take any shape. This has no significance by itself. A spreadsheet is inde</w:t>
      </w:r>
      <w:r>
        <w:rPr>
          <w:rFonts w:ascii="Arial" w:hAnsi="Arial" w:cs="Arial"/>
        </w:rPr>
        <w:t xml:space="preserve">ed a data collection tool </w:t>
      </w:r>
      <w:r>
        <w:rPr>
          <w:rFonts w:ascii="Arial" w:hAnsi="Arial" w:cs="Arial"/>
          <w:lang w:val="en-GB"/>
        </w:rPr>
        <w:t>(Ackoff, 1989)</w:t>
      </w:r>
      <w:r>
        <w:rPr>
          <w:rFonts w:ascii="Arial" w:hAnsi="Arial" w:cs="Arial"/>
        </w:rPr>
        <w:t>.</w:t>
      </w:r>
    </w:p>
    <w:p w14:paraId="0AE999A9" w14:textId="77777777" w:rsidR="00FE0E23" w:rsidRDefault="00FE0E23">
      <w:pPr>
        <w:pStyle w:val="NoSpacing"/>
        <w:spacing w:line="360" w:lineRule="auto"/>
        <w:jc w:val="both"/>
        <w:rPr>
          <w:rFonts w:ascii="Arial" w:hAnsi="Arial" w:cs="Arial"/>
        </w:rPr>
      </w:pPr>
    </w:p>
    <w:p w14:paraId="0AE999AA" w14:textId="77777777" w:rsidR="00FE0E23" w:rsidRDefault="006427CE">
      <w:pPr>
        <w:pStyle w:val="NoSpacing"/>
        <w:spacing w:line="360" w:lineRule="auto"/>
        <w:jc w:val="both"/>
      </w:pPr>
      <w:r>
        <w:rPr>
          <w:rFonts w:ascii="Arial" w:hAnsi="Arial" w:cs="Arial"/>
        </w:rPr>
        <w:t>Whenever its aggregation and analysis, Doctor Ackoff had developed a basic set of criteria to interpret why the occurrences we observe occur action. When people comprehend how it is that situations process of shif</w:t>
      </w:r>
      <w:r>
        <w:rPr>
          <w:rFonts w:ascii="Arial" w:hAnsi="Arial" w:cs="Arial"/>
        </w:rPr>
        <w:t>ting things did, we can make better decisions., we can make better decisions. Data from the real world is collected and analyses to determine why something is happening</w:t>
      </w:r>
      <w:r>
        <w:rPr>
          <w:rFonts w:ascii="Arial" w:hAnsi="Arial" w:cs="Arial"/>
          <w:lang w:val="en-GB"/>
        </w:rPr>
        <w:t xml:space="preserve"> </w:t>
      </w:r>
      <w:r>
        <w:rPr>
          <w:rFonts w:ascii="Arial" w:eastAsia="Calibri" w:hAnsi="Arial" w:cs="Arial"/>
          <w:lang w:val="en-GB"/>
        </w:rPr>
        <w:t>(Liew, 2007)</w:t>
      </w:r>
      <w:r>
        <w:rPr>
          <w:rFonts w:ascii="Arial" w:hAnsi="Arial" w:cs="Arial"/>
        </w:rPr>
        <w:t>.</w:t>
      </w:r>
    </w:p>
    <w:p w14:paraId="0AE999AB" w14:textId="77777777" w:rsidR="00FE0E23" w:rsidRDefault="00FE0E23">
      <w:pPr>
        <w:pStyle w:val="NoSpacing"/>
        <w:spacing w:line="360" w:lineRule="auto"/>
        <w:jc w:val="both"/>
        <w:rPr>
          <w:rFonts w:ascii="Arial" w:hAnsi="Arial" w:cs="Arial"/>
        </w:rPr>
      </w:pPr>
    </w:p>
    <w:p w14:paraId="0AE999AC" w14:textId="77777777" w:rsidR="00FE0E23" w:rsidRDefault="006427CE">
      <w:pPr>
        <w:pStyle w:val="NoSpacing"/>
        <w:spacing w:line="360" w:lineRule="auto"/>
        <w:jc w:val="both"/>
        <w:rPr>
          <w:rFonts w:ascii="Arial" w:hAnsi="Arial" w:cs="Arial"/>
        </w:rPr>
      </w:pPr>
      <w:r>
        <w:rPr>
          <w:rFonts w:ascii="Arial" w:hAnsi="Arial" w:cs="Arial"/>
        </w:rPr>
        <w:t>.</w:t>
      </w:r>
    </w:p>
    <w:p w14:paraId="0AE999AD" w14:textId="77777777" w:rsidR="00FE0E23" w:rsidRDefault="006427CE">
      <w:r>
        <w:rPr>
          <w:noProof/>
        </w:rPr>
        <w:drawing>
          <wp:inline distT="0" distB="0" distL="0" distR="0" wp14:anchorId="0AE99947" wp14:editId="0AE99948">
            <wp:extent cx="5400044" cy="3037837"/>
            <wp:effectExtent l="0" t="0" r="0" b="0"/>
            <wp:docPr id="12" name="Graphic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400044" cy="3037837"/>
                    </a:xfrm>
                    <a:prstGeom prst="rect">
                      <a:avLst/>
                    </a:prstGeom>
                    <a:noFill/>
                    <a:ln>
                      <a:noFill/>
                      <a:prstDash/>
                    </a:ln>
                  </pic:spPr>
                </pic:pic>
              </a:graphicData>
            </a:graphic>
          </wp:inline>
        </w:drawing>
      </w:r>
    </w:p>
    <w:p w14:paraId="0AE999AE" w14:textId="77777777" w:rsidR="00FE0E23" w:rsidRDefault="006427CE">
      <w:pPr>
        <w:pStyle w:val="NoSpacing"/>
        <w:spacing w:line="360" w:lineRule="auto"/>
        <w:jc w:val="both"/>
      </w:pPr>
      <w:r>
        <w:rPr>
          <w:rFonts w:ascii="Arial" w:hAnsi="Arial" w:cs="Arial"/>
        </w:rPr>
        <w:t>Characteristics give information and answers to questions such as "w</w:t>
      </w:r>
      <w:r>
        <w:rPr>
          <w:rFonts w:ascii="Arial" w:hAnsi="Arial" w:cs="Arial"/>
        </w:rPr>
        <w:t>ho, what, when, where, and how many?". Information is provided via directions and responses to queries, understanding is demonstrated by an explanation or answer to why inquiries are asked. The efficacy of an action or deed is determined by calculating the</w:t>
      </w:r>
      <w:r>
        <w:rPr>
          <w:rFonts w:ascii="Arial" w:hAnsi="Arial" w:cs="Arial"/>
        </w:rPr>
        <w:t xml:space="preserve"> number of materials necessary to achieve a goal or the likelihood of getting a given number of assets </w:t>
      </w:r>
      <w:r>
        <w:rPr>
          <w:rFonts w:ascii="Arial" w:hAnsi="Arial" w:cs="Arial"/>
          <w:lang w:val="en-GB"/>
        </w:rPr>
        <w:t>(Ackoff, 1989)</w:t>
      </w:r>
      <w:r>
        <w:rPr>
          <w:rFonts w:ascii="Arial" w:hAnsi="Arial" w:cs="Arial"/>
        </w:rPr>
        <w:t>.</w:t>
      </w:r>
    </w:p>
    <w:p w14:paraId="0AE999AF" w14:textId="77777777" w:rsidR="00FE0E23" w:rsidRDefault="006427CE">
      <w:pPr>
        <w:pStyle w:val="NoSpacing"/>
        <w:spacing w:line="360" w:lineRule="auto"/>
        <w:jc w:val="both"/>
      </w:pPr>
      <w:r>
        <w:rPr>
          <w:rFonts w:ascii="Arial" w:hAnsi="Arial" w:cs="Arial"/>
        </w:rPr>
        <w:t>According to Rowley, descriptions, and responses to questions like Information is conveyed through who, where, when also how many what`s.</w:t>
      </w:r>
      <w:r>
        <w:rPr>
          <w:rFonts w:ascii="Arial" w:hAnsi="Arial" w:cs="Arial"/>
        </w:rPr>
        <w:t xml:space="preserve"> In the end, it all comes down to data </w:t>
      </w:r>
      <w:r>
        <w:rPr>
          <w:rFonts w:ascii="Arial" w:hAnsi="Arial" w:cs="Arial"/>
          <w:lang w:val="en-GB"/>
        </w:rPr>
        <w:t>(Rowley, 2007)</w:t>
      </w:r>
      <w:r>
        <w:rPr>
          <w:rFonts w:ascii="Arial" w:hAnsi="Arial" w:cs="Arial"/>
        </w:rPr>
        <w:t xml:space="preserve">. </w:t>
      </w:r>
    </w:p>
    <w:p w14:paraId="0AE999B0" w14:textId="77777777" w:rsidR="00FE0E23" w:rsidRDefault="00FE0E23">
      <w:pPr>
        <w:rPr>
          <w:lang w:val="en-US"/>
        </w:rPr>
      </w:pPr>
    </w:p>
    <w:p w14:paraId="0AE999B1" w14:textId="77777777" w:rsidR="00FE0E23" w:rsidRDefault="006427CE">
      <w:r>
        <w:rPr>
          <w:noProof/>
        </w:rPr>
        <w:lastRenderedPageBreak/>
        <w:drawing>
          <wp:inline distT="0" distB="0" distL="0" distR="0" wp14:anchorId="0AE99949" wp14:editId="0AE9994A">
            <wp:extent cx="5400044" cy="3037837"/>
            <wp:effectExtent l="0" t="0" r="0" b="0"/>
            <wp:docPr id="13" name="Graphic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400044" cy="3037837"/>
                    </a:xfrm>
                    <a:prstGeom prst="rect">
                      <a:avLst/>
                    </a:prstGeom>
                    <a:noFill/>
                    <a:ln>
                      <a:noFill/>
                      <a:prstDash/>
                    </a:ln>
                  </pic:spPr>
                </pic:pic>
              </a:graphicData>
            </a:graphic>
          </wp:inline>
        </w:drawing>
      </w:r>
    </w:p>
    <w:p w14:paraId="0AE999B2" w14:textId="77777777" w:rsidR="00FE0E23" w:rsidRDefault="00FE0E23">
      <w:pPr>
        <w:pStyle w:val="NoSpacing"/>
      </w:pPr>
    </w:p>
    <w:p w14:paraId="0AE999B3" w14:textId="04E437A8" w:rsidR="00FE0E23" w:rsidRPr="008C0BE0" w:rsidRDefault="006427CE">
      <w:pPr>
        <w:spacing w:line="360" w:lineRule="auto"/>
        <w:jc w:val="both"/>
        <w:rPr>
          <w:lang w:val="en-GB"/>
        </w:rPr>
      </w:pPr>
      <w:r>
        <w:rPr>
          <w:rFonts w:ascii="Arial" w:hAnsi="Arial" w:cs="Arial"/>
          <w:lang w:val="en-GB"/>
        </w:rPr>
        <w:t xml:space="preserve">Knowledge is neither facts nor information, the authors Davenport and Prusak argue, but the discrepancies of these classifications were often a question of degree. Substantial resources have only </w:t>
      </w:r>
      <w:r>
        <w:rPr>
          <w:rFonts w:ascii="Arial" w:hAnsi="Arial" w:cs="Arial"/>
          <w:lang w:val="en-GB"/>
        </w:rPr>
        <w:t xml:space="preserve">been invested in terms of technology endeavours rarely generate, how much </w:t>
      </w:r>
      <w:r w:rsidR="00012E5D" w:rsidRPr="00012E5D">
        <w:rPr>
          <w:rFonts w:ascii="Arial" w:hAnsi="Arial" w:cs="Arial"/>
          <w:lang w:val="en-GB"/>
        </w:rPr>
        <w:t xml:space="preserve">companies that spent excessive amounts of </w:t>
      </w:r>
      <w:r w:rsidR="00CD697C" w:rsidRPr="00012E5D">
        <w:rPr>
          <w:rFonts w:ascii="Arial" w:hAnsi="Arial" w:cs="Arial"/>
          <w:lang w:val="en-GB"/>
        </w:rPr>
        <w:t>cash,</w:t>
      </w:r>
      <w:r w:rsidR="00012E5D" w:rsidRPr="00012E5D">
        <w:rPr>
          <w:rFonts w:ascii="Arial" w:hAnsi="Arial" w:cs="Arial"/>
          <w:lang w:val="en-GB"/>
        </w:rPr>
        <w:t> so they imagined they were forced to do otherwise</w:t>
      </w:r>
      <w:r w:rsidR="00012E5D" w:rsidRPr="00012E5D">
        <w:rPr>
          <w:rFonts w:ascii="Arial" w:hAnsi="Arial" w:cs="Arial"/>
          <w:lang w:val="en-GB"/>
        </w:rPr>
        <w:t xml:space="preserve"> </w:t>
      </w:r>
      <w:r>
        <w:rPr>
          <w:rFonts w:ascii="Arial" w:hAnsi="Arial" w:cs="Arial"/>
          <w:lang w:val="en-GB"/>
        </w:rPr>
        <w:t>getting due to uncertainties about which knowledge in fact differ (Davenport &amp; Prusak, 1998).</w:t>
      </w:r>
    </w:p>
    <w:p w14:paraId="0AE999B4" w14:textId="77777777" w:rsidR="00FE0E23" w:rsidRDefault="00FE0E23">
      <w:pPr>
        <w:pStyle w:val="NoSpacing"/>
        <w:spacing w:line="360" w:lineRule="auto"/>
        <w:jc w:val="both"/>
        <w:rPr>
          <w:rFonts w:ascii="Arial" w:hAnsi="Arial" w:cs="Arial"/>
        </w:rPr>
      </w:pPr>
    </w:p>
    <w:p w14:paraId="0AE999B5" w14:textId="77777777" w:rsidR="00FE0E23" w:rsidRDefault="006427CE">
      <w:pPr>
        <w:pStyle w:val="NoSpacing"/>
        <w:spacing w:line="360" w:lineRule="auto"/>
        <w:jc w:val="both"/>
      </w:pPr>
      <w:r>
        <w:rPr>
          <w:rFonts w:ascii="Arial" w:hAnsi="Arial" w:cs="Arial"/>
        </w:rPr>
        <w:t>The acquisition of rele</w:t>
      </w:r>
      <w:r>
        <w:rPr>
          <w:rFonts w:ascii="Arial" w:hAnsi="Arial" w:cs="Arial"/>
        </w:rPr>
        <w:t>vant information is referred to as knowledge.</w:t>
      </w:r>
      <w:r>
        <w:t xml:space="preserve"> </w:t>
      </w:r>
      <w:r>
        <w:rPr>
          <w:rFonts w:ascii="Arial" w:hAnsi="Arial" w:cs="Arial"/>
        </w:rPr>
        <w:t>There is no place for ambiguity when it comes to learning. Test takers usually recall things, implying that they have gained knowledge. People will benefit from this information, even though it is valuable. Thi</w:t>
      </w:r>
      <w:r>
        <w:rPr>
          <w:rFonts w:ascii="Arial" w:hAnsi="Arial" w:cs="Arial"/>
        </w:rPr>
        <w:t>s results an integration that leads to increasing knowledge.</w:t>
      </w:r>
    </w:p>
    <w:p w14:paraId="0AE999B6" w14:textId="77777777" w:rsidR="00FE0E23" w:rsidRDefault="006427CE">
      <w:pPr>
        <w:pStyle w:val="NoSpacing"/>
        <w:spacing w:line="360" w:lineRule="auto"/>
        <w:jc w:val="both"/>
      </w:pPr>
      <w:r>
        <w:rPr>
          <w:rFonts w:ascii="Arial" w:hAnsi="Arial" w:cs="Arial"/>
        </w:rPr>
        <w:t>According to Ackoff, comprehension is interpolative. logical and intuitive,</w:t>
      </w:r>
      <w:r>
        <w:t xml:space="preserve"> </w:t>
      </w:r>
      <w:r>
        <w:rPr>
          <w:rFonts w:ascii="Arial" w:hAnsi="Arial" w:cs="Arial"/>
        </w:rPr>
        <w:t xml:space="preserve">it is the practice of creating fresh insights from raw knowledge. Knowing and </w:t>
      </w:r>
      <w:r>
        <w:rPr>
          <w:rFonts w:ascii="Arial" w:hAnsi="Arial" w:cs="Arial"/>
          <w:lang w:val="en-GB"/>
        </w:rPr>
        <w:t>memorisation</w:t>
      </w:r>
      <w:r>
        <w:rPr>
          <w:rFonts w:ascii="Arial" w:hAnsi="Arial" w:cs="Arial"/>
        </w:rPr>
        <w:t xml:space="preserve"> are just not </w:t>
      </w:r>
      <w:r>
        <w:rPr>
          <w:rFonts w:ascii="Arial" w:hAnsi="Arial" w:cs="Arial"/>
        </w:rPr>
        <w:t xml:space="preserve">synonymous. Humans may react erratically since they are capable of </w:t>
      </w:r>
      <w:r>
        <w:rPr>
          <w:rFonts w:ascii="Arial" w:hAnsi="Arial" w:cs="Arial"/>
          <w:lang w:val="en-GB"/>
        </w:rPr>
        <w:t>synthesising</w:t>
      </w:r>
      <w:r>
        <w:rPr>
          <w:rFonts w:ascii="Arial" w:hAnsi="Arial" w:cs="Arial"/>
        </w:rPr>
        <w:t xml:space="preserve"> better understanding of the material from what people understand. That is correct. previously acquired knowledge and understanding can aid comprehension </w:t>
      </w:r>
      <w:r>
        <w:rPr>
          <w:rFonts w:ascii="Arial" w:hAnsi="Arial" w:cs="Arial"/>
          <w:lang w:val="en-GB"/>
        </w:rPr>
        <w:t>(Ackoff, 1989)</w:t>
      </w:r>
      <w:r>
        <w:rPr>
          <w:rFonts w:ascii="Arial" w:hAnsi="Arial" w:cs="Arial"/>
        </w:rPr>
        <w:t>.</w:t>
      </w:r>
    </w:p>
    <w:p w14:paraId="0AE999B7" w14:textId="77777777" w:rsidR="00FE0E23" w:rsidRDefault="006427CE">
      <w:pPr>
        <w:pStyle w:val="NoSpacing"/>
        <w:spacing w:line="360" w:lineRule="auto"/>
        <w:jc w:val="both"/>
        <w:rPr>
          <w:rFonts w:ascii="Arial" w:hAnsi="Arial" w:cs="Arial"/>
        </w:rPr>
      </w:pPr>
      <w:r>
        <w:rPr>
          <w:rFonts w:ascii="Arial" w:hAnsi="Arial" w:cs="Arial"/>
        </w:rPr>
        <w:t>The cap</w:t>
      </w:r>
      <w:r>
        <w:rPr>
          <w:rFonts w:ascii="Arial" w:hAnsi="Arial" w:cs="Arial"/>
        </w:rPr>
        <w:t>acity towards using content is defined as knowledge sensibly to achieve one's goals.</w:t>
      </w:r>
    </w:p>
    <w:p w14:paraId="0AE999B8" w14:textId="77777777" w:rsidR="00FE0E23" w:rsidRDefault="00FE0E23">
      <w:pPr>
        <w:pStyle w:val="Heading1"/>
      </w:pPr>
    </w:p>
    <w:p w14:paraId="0AE999B9" w14:textId="77777777" w:rsidR="00FE0E23" w:rsidRDefault="006427CE">
      <w:r>
        <w:rPr>
          <w:noProof/>
        </w:rPr>
        <w:drawing>
          <wp:inline distT="0" distB="0" distL="0" distR="0" wp14:anchorId="0AE9994B" wp14:editId="0AE9994C">
            <wp:extent cx="5400044" cy="3037837"/>
            <wp:effectExtent l="0" t="0" r="0" b="0"/>
            <wp:docPr id="14" name="Graphic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400044" cy="3037837"/>
                    </a:xfrm>
                    <a:prstGeom prst="rect">
                      <a:avLst/>
                    </a:prstGeom>
                    <a:noFill/>
                    <a:ln>
                      <a:noFill/>
                      <a:prstDash/>
                    </a:ln>
                  </pic:spPr>
                </pic:pic>
              </a:graphicData>
            </a:graphic>
          </wp:inline>
        </w:drawing>
      </w:r>
    </w:p>
    <w:p w14:paraId="0AE999BA" w14:textId="77777777" w:rsidR="00FE0E23" w:rsidRDefault="00FE0E23">
      <w:pPr>
        <w:pStyle w:val="Heading1"/>
      </w:pPr>
    </w:p>
    <w:p w14:paraId="0AE999BB" w14:textId="77777777" w:rsidR="00FE0E23" w:rsidRDefault="006427CE">
      <w:pPr>
        <w:pStyle w:val="NoSpacing"/>
        <w:spacing w:line="360" w:lineRule="auto"/>
        <w:jc w:val="both"/>
      </w:pPr>
      <w:r>
        <w:rPr>
          <w:rFonts w:ascii="Arial" w:hAnsi="Arial" w:cs="Arial"/>
        </w:rPr>
        <w:t xml:space="preserve">Knowledge is rarely acknowledged, despite its inclusion in DIKW. Rowley claims that Boiko (2005) dismisses knowledge as non-material </w:t>
      </w:r>
      <w:r>
        <w:rPr>
          <w:rFonts w:ascii="Arial" w:hAnsi="Arial" w:cs="Arial"/>
          <w:lang w:val="en-GB"/>
        </w:rPr>
        <w:t>(Rowley, 2007).</w:t>
      </w:r>
      <w:r>
        <w:rPr>
          <w:rFonts w:ascii="Arial" w:hAnsi="Arial" w:cs="Arial"/>
        </w:rPr>
        <w:t xml:space="preserve"> </w:t>
      </w:r>
    </w:p>
    <w:p w14:paraId="0AE999BC" w14:textId="77777777" w:rsidR="00FE0E23" w:rsidRDefault="006427CE">
      <w:pPr>
        <w:pStyle w:val="NoSpacing"/>
        <w:spacing w:line="360" w:lineRule="auto"/>
        <w:jc w:val="both"/>
      </w:pPr>
      <w:r>
        <w:rPr>
          <w:rFonts w:ascii="Arial" w:hAnsi="Arial" w:cs="Arial"/>
        </w:rPr>
        <w:t xml:space="preserve">Understanding, according to Ackoff, is respect for the reason, whereas Wisdom is defined as valued interpretation </w:t>
      </w:r>
      <w:r>
        <w:rPr>
          <w:rFonts w:ascii="Arial" w:hAnsi="Arial" w:cs="Arial"/>
          <w:lang w:val="en-GB"/>
        </w:rPr>
        <w:t>(Ackoff, 1989)</w:t>
      </w:r>
      <w:r>
        <w:rPr>
          <w:rFonts w:ascii="Arial" w:hAnsi="Arial" w:cs="Arial"/>
        </w:rPr>
        <w:t xml:space="preserve">. </w:t>
      </w:r>
    </w:p>
    <w:p w14:paraId="0AE999BD" w14:textId="77777777" w:rsidR="00FE0E23" w:rsidRDefault="006427CE">
      <w:pPr>
        <w:pStyle w:val="NoSpacing"/>
        <w:spacing w:line="360" w:lineRule="auto"/>
        <w:jc w:val="both"/>
        <w:rPr>
          <w:rFonts w:ascii="Arial" w:hAnsi="Arial" w:cs="Arial"/>
        </w:rPr>
      </w:pPr>
      <w:r>
        <w:rPr>
          <w:rFonts w:ascii="Arial" w:hAnsi="Arial" w:cs="Arial"/>
        </w:rPr>
        <w:t>Values are important to wisdom. Making decisions is a part of it. Because they all follow the same logic, automated efficienc</w:t>
      </w:r>
      <w:r>
        <w:rPr>
          <w:rFonts w:ascii="Arial" w:hAnsi="Arial" w:cs="Arial"/>
        </w:rPr>
        <w:t>y evaluations are feasible.</w:t>
      </w:r>
    </w:p>
    <w:p w14:paraId="0AE999BE" w14:textId="77777777" w:rsidR="00FE0E23" w:rsidRDefault="006427CE">
      <w:pPr>
        <w:pStyle w:val="NoSpacing"/>
        <w:spacing w:line="360" w:lineRule="auto"/>
        <w:jc w:val="both"/>
      </w:pPr>
      <w:r>
        <w:rPr>
          <w:rFonts w:ascii="Arial" w:hAnsi="Arial" w:cs="Arial"/>
        </w:rPr>
        <w:t xml:space="preserve">We can construct </w:t>
      </w:r>
      <w:r>
        <w:rPr>
          <w:rFonts w:ascii="Arial" w:hAnsi="Arial" w:cs="Arial"/>
          <w:lang w:val="en-GB"/>
        </w:rPr>
        <w:t>computerised</w:t>
      </w:r>
      <w:r>
        <w:rPr>
          <w:rFonts w:ascii="Arial" w:hAnsi="Arial" w:cs="Arial"/>
        </w:rPr>
        <w:t xml:space="preserve"> information, knowledge, and understanding systems, but we can never produce wisdom through them, according to Ackoff. Wisdom differentiates man from robots since it is required for achieving ideals </w:t>
      </w:r>
      <w:r>
        <w:rPr>
          <w:rFonts w:ascii="Arial" w:hAnsi="Arial" w:cs="Arial"/>
        </w:rPr>
        <w:t>or ultimate desired outcomes.</w:t>
      </w:r>
    </w:p>
    <w:p w14:paraId="0AE999BF" w14:textId="77777777" w:rsidR="00FE0E23" w:rsidRDefault="00FE0E23">
      <w:pPr>
        <w:pStyle w:val="NoSpacing"/>
        <w:spacing w:line="360" w:lineRule="auto"/>
        <w:jc w:val="both"/>
        <w:rPr>
          <w:rFonts w:ascii="Arial" w:hAnsi="Arial" w:cs="Arial"/>
        </w:rPr>
      </w:pPr>
    </w:p>
    <w:p w14:paraId="0AE999C0" w14:textId="77777777" w:rsidR="00FE0E23" w:rsidRDefault="006427CE">
      <w:pPr>
        <w:pStyle w:val="NoSpacing"/>
        <w:spacing w:line="360" w:lineRule="auto"/>
        <w:jc w:val="both"/>
      </w:pPr>
      <w:r>
        <w:rPr>
          <w:rFonts w:ascii="Arial" w:hAnsi="Arial" w:cs="Arial"/>
        </w:rPr>
        <w:t>Schooling accomplishes little or nothing in terms of generating insight and wisdom, as well as little or nothing in terms of generating facts and knowledge. Data gathering and conversion into information is a complicated proc</w:t>
      </w:r>
      <w:r>
        <w:rPr>
          <w:rFonts w:ascii="Arial" w:hAnsi="Arial" w:cs="Arial"/>
        </w:rPr>
        <w:t xml:space="preserve">ess. Most of these details are kept buried throughout education. These teachings are frequently difficult to grasp </w:t>
      </w:r>
      <w:r>
        <w:rPr>
          <w:rFonts w:ascii="Arial" w:hAnsi="Arial" w:cs="Arial"/>
          <w:lang w:val="en-GB"/>
        </w:rPr>
        <w:t>(Ackoff, 1999)</w:t>
      </w:r>
      <w:r>
        <w:rPr>
          <w:rFonts w:ascii="Arial" w:hAnsi="Arial" w:cs="Arial"/>
        </w:rPr>
        <w:t>.</w:t>
      </w:r>
    </w:p>
    <w:p w14:paraId="0AE999C1" w14:textId="77777777" w:rsidR="00FE0E23" w:rsidRDefault="00FE0E23">
      <w:pPr>
        <w:pStyle w:val="NoSpacing"/>
        <w:spacing w:line="360" w:lineRule="auto"/>
        <w:jc w:val="both"/>
        <w:rPr>
          <w:rFonts w:ascii="Arial" w:hAnsi="Arial" w:cs="Arial"/>
        </w:rPr>
      </w:pPr>
    </w:p>
    <w:p w14:paraId="0AE999C2" w14:textId="77777777" w:rsidR="00FE0E23" w:rsidRDefault="006427CE">
      <w:pPr>
        <w:pStyle w:val="NoSpacing"/>
        <w:spacing w:line="360" w:lineRule="auto"/>
        <w:jc w:val="both"/>
      </w:pPr>
      <w:r>
        <w:rPr>
          <w:rFonts w:ascii="Arial" w:hAnsi="Arial" w:cs="Arial"/>
        </w:rPr>
        <w:t>To put it another way, knowledge would be the capacity to improve one’s personal competence. Whenever people talk to value a</w:t>
      </w:r>
      <w:r>
        <w:rPr>
          <w:rFonts w:ascii="Arial" w:hAnsi="Arial" w:cs="Arial"/>
        </w:rPr>
        <w:t xml:space="preserve">dding, we're talking to the ability to make decisions. As either a consequence, the legal and intellectual ideals of the actor were separate </w:t>
      </w:r>
      <w:r>
        <w:rPr>
          <w:rFonts w:ascii="Arial" w:hAnsi="Arial" w:cs="Arial"/>
          <w:lang w:val="en-GB"/>
        </w:rPr>
        <w:t>(Rowley, 2007)</w:t>
      </w:r>
      <w:r>
        <w:rPr>
          <w:rFonts w:ascii="Arial" w:hAnsi="Arial" w:cs="Arial"/>
        </w:rPr>
        <w:t xml:space="preserve">. </w:t>
      </w:r>
      <w:bookmarkStart w:id="17" w:name="_Toc89645957"/>
    </w:p>
    <w:p w14:paraId="0AE999C3" w14:textId="77777777" w:rsidR="00FE0E23" w:rsidRDefault="006427CE">
      <w:pPr>
        <w:pStyle w:val="Heading1"/>
      </w:pPr>
      <w:bookmarkStart w:id="18" w:name="_Toc89908049"/>
      <w:bookmarkStart w:id="19" w:name="_Toc89991677"/>
      <w:r>
        <w:lastRenderedPageBreak/>
        <w:t>CRAAP Test</w:t>
      </w:r>
      <w:bookmarkEnd w:id="17"/>
      <w:bookmarkEnd w:id="18"/>
      <w:bookmarkEnd w:id="19"/>
    </w:p>
    <w:p w14:paraId="0AE999C4" w14:textId="77777777" w:rsidR="00FE0E23" w:rsidRDefault="006427CE">
      <w:r>
        <w:rPr>
          <w:noProof/>
        </w:rPr>
        <w:drawing>
          <wp:inline distT="0" distB="0" distL="0" distR="0" wp14:anchorId="0AE9994D" wp14:editId="0AE9994E">
            <wp:extent cx="5366192" cy="2511710"/>
            <wp:effectExtent l="0" t="0" r="5908" b="2890"/>
            <wp:docPr id="15" name="Graphic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366192" cy="2511710"/>
                    </a:xfrm>
                    <a:prstGeom prst="rect">
                      <a:avLst/>
                    </a:prstGeom>
                    <a:noFill/>
                    <a:ln>
                      <a:noFill/>
                      <a:prstDash/>
                    </a:ln>
                  </pic:spPr>
                </pic:pic>
              </a:graphicData>
            </a:graphic>
          </wp:inline>
        </w:drawing>
      </w:r>
    </w:p>
    <w:p w14:paraId="0AE999C5" w14:textId="77777777" w:rsidR="00FE0E23" w:rsidRDefault="006427CE">
      <w:pPr>
        <w:pStyle w:val="NoSpacing"/>
        <w:spacing w:line="360" w:lineRule="auto"/>
        <w:jc w:val="both"/>
      </w:pPr>
      <w:r>
        <w:rPr>
          <w:rFonts w:ascii="Arial" w:hAnsi="Arial" w:cs="Arial"/>
          <w:b/>
          <w:bCs/>
        </w:rPr>
        <w:t>Currency</w:t>
      </w:r>
      <w:r>
        <w:rPr>
          <w:rFonts w:ascii="Arial" w:hAnsi="Arial" w:cs="Arial"/>
        </w:rPr>
        <w:t xml:space="preserve">: </w:t>
      </w:r>
    </w:p>
    <w:p w14:paraId="0AE999C6" w14:textId="77777777" w:rsidR="00FE0E23" w:rsidRDefault="006427CE">
      <w:pPr>
        <w:pStyle w:val="NoSpacing"/>
        <w:spacing w:line="360" w:lineRule="auto"/>
        <w:jc w:val="both"/>
      </w:pPr>
      <w:r>
        <w:rPr>
          <w:rFonts w:ascii="Arial" w:hAnsi="Arial" w:cs="Arial"/>
        </w:rPr>
        <w:t>Throughout my investigation, the author made certain that all the material</w:t>
      </w:r>
      <w:r>
        <w:rPr>
          <w:rFonts w:ascii="Arial" w:hAnsi="Arial" w:cs="Arial"/>
        </w:rPr>
        <w:t xml:space="preserve">, and </w:t>
      </w:r>
      <w:r>
        <w:rPr>
          <w:rFonts w:ascii="Arial" w:hAnsi="Arial" w:cs="Arial"/>
          <w:lang w:val="en-GB"/>
        </w:rPr>
        <w:t>utilised</w:t>
      </w:r>
      <w:r>
        <w:rPr>
          <w:rFonts w:ascii="Arial" w:hAnsi="Arial" w:cs="Arial"/>
        </w:rPr>
        <w:t xml:space="preserve"> in his project was right. As instance, the data described by everyone learners must equal the number of replies, social background, and, finally, a Grit score, and must be relevant.</w:t>
      </w:r>
    </w:p>
    <w:p w14:paraId="0AE999C7" w14:textId="77777777" w:rsidR="00FE0E23" w:rsidRDefault="006427CE">
      <w:pPr>
        <w:pStyle w:val="NoSpacing"/>
        <w:spacing w:line="360" w:lineRule="auto"/>
        <w:jc w:val="both"/>
      </w:pPr>
      <w:r>
        <w:rPr>
          <w:rFonts w:ascii="Arial" w:hAnsi="Arial" w:cs="Arial"/>
        </w:rPr>
        <w:t xml:space="preserve"> </w:t>
      </w:r>
      <w:r>
        <w:rPr>
          <w:rFonts w:ascii="Arial" w:hAnsi="Arial" w:cs="Arial"/>
          <w:lang w:val="en-GB"/>
        </w:rPr>
        <w:t>(Fielding, 2019).</w:t>
      </w:r>
      <w:r>
        <w:rPr>
          <w:rFonts w:ascii="Arial" w:hAnsi="Arial" w:cs="Arial"/>
        </w:rPr>
        <w:t xml:space="preserve"> </w:t>
      </w:r>
      <w:bookmarkStart w:id="20" w:name="_Toc89645958"/>
    </w:p>
    <w:p w14:paraId="0AE999C8" w14:textId="77777777" w:rsidR="00FE0E23" w:rsidRDefault="006427CE">
      <w:pPr>
        <w:pStyle w:val="NoSpacing"/>
        <w:spacing w:line="360" w:lineRule="auto"/>
        <w:jc w:val="both"/>
      </w:pPr>
      <w:r>
        <w:rPr>
          <w:rFonts w:ascii="Arial" w:hAnsi="Arial" w:cs="Arial"/>
          <w:b/>
          <w:bCs/>
        </w:rPr>
        <w:t>Appropriateness</w:t>
      </w:r>
      <w:r>
        <w:rPr>
          <w:rFonts w:ascii="Arial" w:hAnsi="Arial" w:cs="Arial"/>
        </w:rPr>
        <w:t>:</w:t>
      </w:r>
    </w:p>
    <w:p w14:paraId="0AE999C9" w14:textId="77777777" w:rsidR="00FE0E23" w:rsidRDefault="006427CE">
      <w:pPr>
        <w:pStyle w:val="NoSpacing"/>
        <w:spacing w:line="360" w:lineRule="auto"/>
        <w:jc w:val="both"/>
      </w:pPr>
      <w:r>
        <w:rPr>
          <w:rFonts w:ascii="Arial" w:hAnsi="Arial" w:cs="Arial"/>
        </w:rPr>
        <w:t>Several of the materia</w:t>
      </w:r>
      <w:r>
        <w:rPr>
          <w:rFonts w:ascii="Arial" w:hAnsi="Arial" w:cs="Arial"/>
        </w:rPr>
        <w:t xml:space="preserve">l was backed up by evidence, such as secondary data obtained from a credible source. University, as well as original reflected by Angela's Duckworth Perseverance validation set, colleagues completed with support by </w:t>
      </w:r>
      <w:r>
        <w:rPr>
          <w:rFonts w:ascii="Arial" w:hAnsi="Arial" w:cs="Arial"/>
          <w:spacing w:val="-6"/>
          <w:sz w:val="21"/>
          <w:szCs w:val="21"/>
          <w:shd w:val="clear" w:color="auto" w:fill="FFFFFF"/>
        </w:rPr>
        <w:t>teacher</w:t>
      </w:r>
      <w:r>
        <w:rPr>
          <w:rFonts w:ascii="Helvetica" w:hAnsi="Helvetica"/>
          <w:spacing w:val="-6"/>
          <w:sz w:val="21"/>
          <w:szCs w:val="21"/>
          <w:shd w:val="clear" w:color="auto" w:fill="FFFFFF"/>
        </w:rPr>
        <w:t xml:space="preserve"> </w:t>
      </w:r>
      <w:r>
        <w:rPr>
          <w:rFonts w:ascii="Arial" w:hAnsi="Arial" w:cs="Arial"/>
        </w:rPr>
        <w:t>Carol Dweck.</w:t>
      </w:r>
    </w:p>
    <w:p w14:paraId="0AE999CA" w14:textId="77777777" w:rsidR="00FE0E23" w:rsidRDefault="006427CE">
      <w:pPr>
        <w:pStyle w:val="NoSpacing"/>
        <w:spacing w:line="360" w:lineRule="auto"/>
        <w:jc w:val="both"/>
      </w:pPr>
      <w:r>
        <w:rPr>
          <w:rFonts w:ascii="Arial" w:hAnsi="Arial" w:cs="Arial"/>
          <w:b/>
          <w:bCs/>
        </w:rPr>
        <w:t>Validity</w:t>
      </w:r>
      <w:r>
        <w:rPr>
          <w:rFonts w:ascii="Arial" w:hAnsi="Arial" w:cs="Arial"/>
        </w:rPr>
        <w:t xml:space="preserve">: </w:t>
      </w:r>
    </w:p>
    <w:p w14:paraId="0AE999CB" w14:textId="77777777" w:rsidR="00FE0E23" w:rsidRDefault="006427CE">
      <w:pPr>
        <w:pStyle w:val="NoSpacing"/>
        <w:spacing w:line="360" w:lineRule="auto"/>
        <w:jc w:val="both"/>
      </w:pPr>
      <w:r>
        <w:rPr>
          <w:rFonts w:ascii="Arial" w:hAnsi="Arial" w:cs="Arial"/>
        </w:rPr>
        <w:t xml:space="preserve">The </w:t>
      </w:r>
      <w:r>
        <w:rPr>
          <w:rFonts w:ascii="Arial" w:hAnsi="Arial" w:cs="Arial"/>
        </w:rPr>
        <w:t xml:space="preserve">authorities are the University, Angela Duckworth, the author, and colleagues from the University, as well as </w:t>
      </w:r>
      <w:r>
        <w:rPr>
          <w:rFonts w:ascii="Arial" w:hAnsi="Arial" w:cs="Arial"/>
          <w:spacing w:val="-6"/>
          <w:sz w:val="21"/>
          <w:szCs w:val="21"/>
          <w:shd w:val="clear" w:color="auto" w:fill="FFFFFF"/>
        </w:rPr>
        <w:t>teacher</w:t>
      </w:r>
      <w:r>
        <w:rPr>
          <w:rFonts w:ascii="Helvetica" w:hAnsi="Helvetica"/>
          <w:spacing w:val="-6"/>
          <w:sz w:val="21"/>
          <w:szCs w:val="21"/>
          <w:shd w:val="clear" w:color="auto" w:fill="FFFFFF"/>
        </w:rPr>
        <w:t xml:space="preserve"> </w:t>
      </w:r>
      <w:r>
        <w:rPr>
          <w:rFonts w:ascii="Arial" w:hAnsi="Arial" w:cs="Arial"/>
        </w:rPr>
        <w:t>Carol Dweck.</w:t>
      </w:r>
      <w:r>
        <w:t xml:space="preserve"> </w:t>
      </w:r>
      <w:r>
        <w:rPr>
          <w:rFonts w:ascii="Arial" w:hAnsi="Arial" w:cs="Arial"/>
        </w:rPr>
        <w:t>Dweck is a university lecturer and the creator of Mindset, a seminal study on incentive and the "proactive attitude." Her work</w:t>
      </w:r>
      <w:r>
        <w:rPr>
          <w:rFonts w:ascii="Arial" w:hAnsi="Arial" w:cs="Arial"/>
        </w:rPr>
        <w:t xml:space="preserve"> has a strong following across teachers as well as, gradually, with top management </w:t>
      </w:r>
      <w:r>
        <w:rPr>
          <w:rFonts w:ascii="Arial" w:hAnsi="Arial" w:cs="Arial"/>
          <w:lang w:val="en-GB"/>
        </w:rPr>
        <w:t>(Dweck, 2006)</w:t>
      </w:r>
      <w:r>
        <w:rPr>
          <w:rFonts w:ascii="Arial" w:hAnsi="Arial" w:cs="Arial"/>
        </w:rPr>
        <w:t>.</w:t>
      </w:r>
    </w:p>
    <w:p w14:paraId="0AE999CC" w14:textId="77777777" w:rsidR="00FE0E23" w:rsidRDefault="00FE0E23">
      <w:pPr>
        <w:pStyle w:val="NoSpacing"/>
        <w:spacing w:line="360" w:lineRule="auto"/>
        <w:jc w:val="both"/>
        <w:rPr>
          <w:rFonts w:ascii="Arial" w:hAnsi="Arial" w:cs="Arial"/>
        </w:rPr>
      </w:pPr>
    </w:p>
    <w:p w14:paraId="0AE999CD" w14:textId="77777777" w:rsidR="00FE0E23" w:rsidRDefault="006427CE">
      <w:pPr>
        <w:pStyle w:val="NoSpacing"/>
        <w:spacing w:line="360" w:lineRule="auto"/>
        <w:jc w:val="both"/>
        <w:rPr>
          <w:rFonts w:ascii="Arial" w:hAnsi="Arial" w:cs="Arial"/>
        </w:rPr>
      </w:pPr>
      <w:r>
        <w:rPr>
          <w:rFonts w:ascii="Arial" w:hAnsi="Arial" w:cs="Arial"/>
        </w:rPr>
        <w:t>The purpose is simple: to confirm or deny Angela's Duckworth Grit Model.</w:t>
      </w:r>
    </w:p>
    <w:p w14:paraId="0AE999CE" w14:textId="77777777" w:rsidR="00FE0E23" w:rsidRDefault="00FE0E23">
      <w:pPr>
        <w:pStyle w:val="NoSpacing"/>
        <w:spacing w:line="360" w:lineRule="auto"/>
        <w:jc w:val="both"/>
        <w:rPr>
          <w:rFonts w:ascii="Arial" w:hAnsi="Arial" w:cs="Arial"/>
        </w:rPr>
      </w:pPr>
    </w:p>
    <w:p w14:paraId="0AE999CF" w14:textId="77777777" w:rsidR="00FE0E23" w:rsidRDefault="00FE0E23">
      <w:pPr>
        <w:pStyle w:val="NoSpacing"/>
        <w:spacing w:line="360" w:lineRule="auto"/>
        <w:jc w:val="both"/>
        <w:rPr>
          <w:rFonts w:ascii="Arial" w:hAnsi="Arial" w:cs="Arial"/>
        </w:rPr>
      </w:pPr>
    </w:p>
    <w:p w14:paraId="0AE999D0" w14:textId="77777777" w:rsidR="00FE0E23" w:rsidRDefault="00FE0E23">
      <w:pPr>
        <w:pStyle w:val="NoSpacing"/>
        <w:spacing w:line="360" w:lineRule="auto"/>
        <w:jc w:val="both"/>
        <w:rPr>
          <w:rFonts w:ascii="Arial" w:hAnsi="Arial" w:cs="Arial"/>
        </w:rPr>
      </w:pPr>
    </w:p>
    <w:p w14:paraId="0AE999D1" w14:textId="77777777" w:rsidR="00FE0E23" w:rsidRDefault="006427CE">
      <w:pPr>
        <w:pStyle w:val="Heading1"/>
      </w:pPr>
      <w:bookmarkStart w:id="21" w:name="_Toc89908050"/>
      <w:bookmarkStart w:id="22" w:name="_Toc89991678"/>
      <w:r>
        <w:lastRenderedPageBreak/>
        <w:t>Conclusion</w:t>
      </w:r>
      <w:bookmarkEnd w:id="20"/>
      <w:bookmarkEnd w:id="21"/>
      <w:bookmarkEnd w:id="22"/>
    </w:p>
    <w:p w14:paraId="0AE999D2" w14:textId="77777777" w:rsidR="00FE0E23" w:rsidRDefault="006427CE">
      <w:r>
        <w:rPr>
          <w:noProof/>
        </w:rPr>
        <w:drawing>
          <wp:inline distT="0" distB="0" distL="0" distR="0" wp14:anchorId="0AE9994F" wp14:editId="0AE99950">
            <wp:extent cx="5405009" cy="2264895"/>
            <wp:effectExtent l="0" t="0" r="5191" b="2055"/>
            <wp:docPr id="16" name="Graphic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405009" cy="2264895"/>
                    </a:xfrm>
                    <a:prstGeom prst="rect">
                      <a:avLst/>
                    </a:prstGeom>
                    <a:noFill/>
                    <a:ln>
                      <a:noFill/>
                      <a:prstDash/>
                    </a:ln>
                  </pic:spPr>
                </pic:pic>
              </a:graphicData>
            </a:graphic>
          </wp:inline>
        </w:drawing>
      </w:r>
    </w:p>
    <w:p w14:paraId="0AE999D3" w14:textId="77777777" w:rsidR="00FE0E23" w:rsidRDefault="006427CE">
      <w:pPr>
        <w:pStyle w:val="NoSpacing"/>
        <w:spacing w:line="360" w:lineRule="auto"/>
        <w:jc w:val="both"/>
      </w:pPr>
      <w:r>
        <w:rPr>
          <w:rStyle w:val="NoSpacingChar"/>
          <w:rFonts w:ascii="Arial" w:hAnsi="Arial" w:cs="Arial"/>
        </w:rPr>
        <w:t>When exploring a variety of tools on various kinds of studies, Grit,</w:t>
      </w:r>
      <w:r>
        <w:rPr>
          <w:rStyle w:val="NoSpacingChar"/>
          <w:rFonts w:ascii="Arial" w:hAnsi="Arial" w:cs="Arial"/>
        </w:rPr>
        <w:t xml:space="preserve"> DIKW, CRAAP exam, and Digital Skills, the author would advise everyone, learner, or expert, to always analyses the problem more completely before agreeing or disagreeing. In your future study, make sure to use every available technological platform.</w:t>
      </w:r>
      <w:r>
        <w:t xml:space="preserve"> </w:t>
      </w:r>
      <w:r>
        <w:rPr>
          <w:rStyle w:val="NoSpacingChar"/>
          <w:rFonts w:ascii="Arial" w:hAnsi="Arial" w:cs="Arial"/>
        </w:rPr>
        <w:t>Spend</w:t>
      </w:r>
      <w:r>
        <w:rPr>
          <w:rStyle w:val="NoSpacingChar"/>
          <w:rFonts w:ascii="Arial" w:hAnsi="Arial" w:cs="Arial"/>
        </w:rPr>
        <w:t xml:space="preserve"> some time learning about the subject from a variety of views and trustworthy resources. When you're really on the fence, seek out other people's perspectives and based on my study with primary and secondary data. Angela's </w:t>
      </w:r>
      <w:r>
        <w:rPr>
          <w:rStyle w:val="NoSpacingChar"/>
          <w:rFonts w:ascii="Arial" w:hAnsi="Arial" w:cs="Arial"/>
          <w:lang w:val="en-GB"/>
        </w:rPr>
        <w:t>Duckworth</w:t>
      </w:r>
      <w:r>
        <w:rPr>
          <w:rStyle w:val="NoSpacingChar"/>
          <w:rFonts w:ascii="Arial" w:hAnsi="Arial" w:cs="Arial"/>
        </w:rPr>
        <w:t xml:space="preserve"> Grit theory</w:t>
      </w:r>
      <w:r>
        <w:rPr>
          <w:rFonts w:ascii="Arial" w:hAnsi="Arial" w:cs="Arial"/>
        </w:rPr>
        <w:t xml:space="preserve"> is exactly </w:t>
      </w:r>
      <w:r>
        <w:rPr>
          <w:rFonts w:ascii="Arial" w:hAnsi="Arial" w:cs="Arial"/>
        </w:rPr>
        <w:t>what the author looking for. The fantastic thing we adjust to reality's great experiences is strength. As students, people can use grit to improve our academic performance by reacting to adversity and establishing a store with protective features to preven</w:t>
      </w:r>
      <w:r>
        <w:rPr>
          <w:rFonts w:ascii="Arial" w:hAnsi="Arial" w:cs="Arial"/>
        </w:rPr>
        <w:t>t potential hazards.</w:t>
      </w:r>
      <w:r>
        <w:rPr>
          <w:rStyle w:val="NoSpacingChar"/>
          <w:rFonts w:ascii="Arial" w:hAnsi="Arial" w:cs="Arial"/>
        </w:rPr>
        <w:t xml:space="preserve"> Consider them all together to choose if you should forward with establishing your case or option. The writer began to realize where the more Grit you possess, the further certain someone must be to succeed academically.</w:t>
      </w:r>
    </w:p>
    <w:p w14:paraId="0AE999D4" w14:textId="77777777" w:rsidR="00FE0E23" w:rsidRDefault="00FE0E23">
      <w:pPr>
        <w:pStyle w:val="NoSpacing"/>
        <w:spacing w:line="360" w:lineRule="auto"/>
        <w:jc w:val="both"/>
      </w:pPr>
    </w:p>
    <w:p w14:paraId="0AE999D5" w14:textId="77777777" w:rsidR="00FE0E23" w:rsidRDefault="00FE0E23">
      <w:pPr>
        <w:pStyle w:val="NoSpacing"/>
        <w:spacing w:line="360" w:lineRule="auto"/>
        <w:jc w:val="both"/>
      </w:pPr>
    </w:p>
    <w:p w14:paraId="0AE999D6" w14:textId="77777777" w:rsidR="00FE0E23" w:rsidRDefault="00FE0E23">
      <w:pPr>
        <w:pStyle w:val="NoSpacing"/>
        <w:spacing w:line="360" w:lineRule="auto"/>
        <w:jc w:val="both"/>
      </w:pPr>
    </w:p>
    <w:p w14:paraId="0AE999D7" w14:textId="77777777" w:rsidR="00FE0E23" w:rsidRDefault="00FE0E23">
      <w:pPr>
        <w:pStyle w:val="NoSpacing"/>
        <w:spacing w:line="360" w:lineRule="auto"/>
        <w:jc w:val="both"/>
      </w:pPr>
    </w:p>
    <w:p w14:paraId="0AE999D8" w14:textId="77777777" w:rsidR="00FE0E23" w:rsidRDefault="00FE0E23">
      <w:pPr>
        <w:pStyle w:val="NoSpacing"/>
        <w:spacing w:line="360" w:lineRule="auto"/>
        <w:jc w:val="both"/>
      </w:pPr>
    </w:p>
    <w:p w14:paraId="0AE999D9" w14:textId="77777777" w:rsidR="00FE0E23" w:rsidRDefault="00FE0E23">
      <w:pPr>
        <w:pStyle w:val="NoSpacing"/>
        <w:spacing w:line="360" w:lineRule="auto"/>
        <w:jc w:val="both"/>
      </w:pPr>
    </w:p>
    <w:p w14:paraId="0AE999DA" w14:textId="77777777" w:rsidR="00FE0E23" w:rsidRDefault="00FE0E23">
      <w:pPr>
        <w:pStyle w:val="NoSpacing"/>
        <w:spacing w:line="360" w:lineRule="auto"/>
        <w:jc w:val="both"/>
      </w:pPr>
    </w:p>
    <w:p w14:paraId="0AE999DB" w14:textId="77777777" w:rsidR="00FE0E23" w:rsidRDefault="00FE0E23">
      <w:pPr>
        <w:pStyle w:val="NoSpacing"/>
        <w:spacing w:line="360" w:lineRule="auto"/>
        <w:jc w:val="both"/>
      </w:pPr>
    </w:p>
    <w:p w14:paraId="0AE999DC" w14:textId="77777777" w:rsidR="00FE0E23" w:rsidRDefault="00FE0E23">
      <w:pPr>
        <w:pStyle w:val="NoSpacing"/>
        <w:spacing w:line="360" w:lineRule="auto"/>
        <w:jc w:val="both"/>
      </w:pPr>
    </w:p>
    <w:p w14:paraId="0AE999DD" w14:textId="77777777" w:rsidR="00FE0E23" w:rsidRDefault="00FE0E23">
      <w:pPr>
        <w:pStyle w:val="NoSpacing"/>
        <w:spacing w:line="360" w:lineRule="auto"/>
        <w:jc w:val="both"/>
      </w:pPr>
    </w:p>
    <w:p w14:paraId="0AE999DE" w14:textId="77777777" w:rsidR="00FE0E23" w:rsidRDefault="00FE0E23">
      <w:pPr>
        <w:pStyle w:val="NoSpacing"/>
        <w:spacing w:line="360" w:lineRule="auto"/>
        <w:jc w:val="both"/>
      </w:pPr>
    </w:p>
    <w:p w14:paraId="0AE999DF" w14:textId="77777777" w:rsidR="00FE0E23" w:rsidRDefault="006427CE">
      <w:pPr>
        <w:pStyle w:val="Heading1"/>
      </w:pPr>
      <w:bookmarkStart w:id="23" w:name="_Toc89908051"/>
      <w:bookmarkStart w:id="24" w:name="_Toc89991679"/>
      <w:r>
        <w:lastRenderedPageBreak/>
        <w:t>References</w:t>
      </w:r>
      <w:bookmarkEnd w:id="23"/>
      <w:bookmarkEnd w:id="24"/>
    </w:p>
    <w:p w14:paraId="0AE999E0" w14:textId="77777777" w:rsidR="00FE0E23" w:rsidRPr="008C0BE0" w:rsidRDefault="006427CE">
      <w:pPr>
        <w:pStyle w:val="Bibliography"/>
        <w:spacing w:line="360" w:lineRule="auto"/>
        <w:rPr>
          <w:lang w:val="en-GB"/>
        </w:rPr>
      </w:pPr>
      <w:r>
        <w:rPr>
          <w:rFonts w:ascii="Arial" w:hAnsi="Arial" w:cs="Arial"/>
          <w:lang w:val="en-US"/>
        </w:rPr>
        <w:t xml:space="preserve">Ackoff, R. L., 1989. From data to wisdom. </w:t>
      </w:r>
      <w:r>
        <w:rPr>
          <w:rFonts w:ascii="Arial" w:hAnsi="Arial" w:cs="Arial"/>
          <w:i/>
          <w:iCs/>
          <w:lang w:val="en-US"/>
        </w:rPr>
        <w:t xml:space="preserve">Journal of applied systems analysis, </w:t>
      </w:r>
      <w:r>
        <w:rPr>
          <w:rFonts w:ascii="Arial" w:hAnsi="Arial" w:cs="Arial"/>
          <w:lang w:val="en-US"/>
        </w:rPr>
        <w:t>pp. 3-9.</w:t>
      </w:r>
    </w:p>
    <w:p w14:paraId="0AE999E1" w14:textId="77777777" w:rsidR="00FE0E23" w:rsidRPr="008C0BE0" w:rsidRDefault="006427CE">
      <w:pPr>
        <w:pStyle w:val="Bibliography"/>
        <w:spacing w:line="360" w:lineRule="auto"/>
        <w:rPr>
          <w:lang w:val="en-GB"/>
        </w:rPr>
      </w:pPr>
      <w:r>
        <w:rPr>
          <w:rFonts w:ascii="Arial" w:hAnsi="Arial" w:cs="Arial"/>
          <w:lang w:val="en-US"/>
        </w:rPr>
        <w:t xml:space="preserve">Ackoff, R. L., 1999. Ackoff's Best. In: </w:t>
      </w:r>
      <w:r>
        <w:rPr>
          <w:rFonts w:ascii="Arial" w:hAnsi="Arial" w:cs="Arial"/>
          <w:i/>
          <w:iCs/>
          <w:lang w:val="en-US"/>
        </w:rPr>
        <w:t xml:space="preserve">His classic writings on management. </w:t>
      </w:r>
      <w:r>
        <w:rPr>
          <w:rFonts w:ascii="Arial" w:hAnsi="Arial" w:cs="Arial"/>
          <w:lang w:val="en-US"/>
        </w:rPr>
        <w:t>New York: John Wiley &amp; Son, p. 170 – 172.</w:t>
      </w:r>
    </w:p>
    <w:p w14:paraId="0AE999E2" w14:textId="77777777" w:rsidR="00FE0E23" w:rsidRPr="008C0BE0" w:rsidRDefault="006427CE">
      <w:pPr>
        <w:pStyle w:val="Bibliography"/>
        <w:spacing w:line="360" w:lineRule="auto"/>
        <w:rPr>
          <w:lang w:val="en-GB"/>
        </w:rPr>
      </w:pPr>
      <w:r>
        <w:rPr>
          <w:rFonts w:ascii="Arial" w:hAnsi="Arial" w:cs="Arial"/>
          <w:lang w:val="en-US"/>
        </w:rPr>
        <w:t xml:space="preserve">Ahsan, S. &amp; Shah, A., 2006. </w:t>
      </w:r>
      <w:r>
        <w:rPr>
          <w:rFonts w:ascii="Arial" w:hAnsi="Arial" w:cs="Arial"/>
          <w:i/>
          <w:iCs/>
          <w:lang w:val="en-US"/>
        </w:rPr>
        <w:t>Data, Infor</w:t>
      </w:r>
      <w:r>
        <w:rPr>
          <w:rFonts w:ascii="Arial" w:hAnsi="Arial" w:cs="Arial"/>
          <w:i/>
          <w:iCs/>
          <w:lang w:val="en-US"/>
        </w:rPr>
        <w:t xml:space="preserve">mation, Knowledge, Wisdom: A Doubly Linked Chain? </w:t>
      </w:r>
      <w:r>
        <w:rPr>
          <w:rFonts w:ascii="Arial" w:hAnsi="Arial" w:cs="Arial"/>
          <w:lang w:val="en-US"/>
        </w:rPr>
        <w:t>Research and Development Center of Computer Science: Citeseer.</w:t>
      </w:r>
    </w:p>
    <w:p w14:paraId="0AE999E3" w14:textId="77777777" w:rsidR="00FE0E23" w:rsidRPr="008C0BE0" w:rsidRDefault="006427CE">
      <w:pPr>
        <w:pStyle w:val="Bibliography"/>
        <w:spacing w:line="360" w:lineRule="auto"/>
        <w:rPr>
          <w:lang w:val="en-GB"/>
        </w:rPr>
      </w:pPr>
      <w:r>
        <w:rPr>
          <w:rFonts w:ascii="Arial" w:hAnsi="Arial" w:cs="Arial"/>
          <w:lang w:val="en-US"/>
        </w:rPr>
        <w:t xml:space="preserve">Davenport, T. H. &amp; Prusak, L., 1998. </w:t>
      </w:r>
      <w:r>
        <w:rPr>
          <w:rFonts w:ascii="Arial" w:hAnsi="Arial" w:cs="Arial"/>
          <w:i/>
          <w:iCs/>
          <w:lang w:val="en-US"/>
        </w:rPr>
        <w:t xml:space="preserve">Working Knowledge: How Organizations Manage What They Know, </w:t>
      </w:r>
      <w:r>
        <w:rPr>
          <w:rFonts w:ascii="Arial" w:hAnsi="Arial" w:cs="Arial"/>
          <w:lang w:val="en-US"/>
        </w:rPr>
        <w:t>Boston: Harvard Business School Press.</w:t>
      </w:r>
    </w:p>
    <w:p w14:paraId="0AE999E4" w14:textId="77777777" w:rsidR="00FE0E23" w:rsidRPr="008C0BE0" w:rsidRDefault="006427CE">
      <w:pPr>
        <w:pStyle w:val="Bibliography"/>
        <w:spacing w:line="360" w:lineRule="auto"/>
        <w:rPr>
          <w:lang w:val="en-GB"/>
        </w:rPr>
      </w:pPr>
      <w:r>
        <w:rPr>
          <w:rFonts w:ascii="Arial" w:hAnsi="Arial" w:cs="Arial"/>
          <w:lang w:val="en-US"/>
        </w:rPr>
        <w:t>Donnell</w:t>
      </w:r>
      <w:r>
        <w:rPr>
          <w:rFonts w:ascii="Arial" w:hAnsi="Arial" w:cs="Arial"/>
          <w:lang w:val="en-US"/>
        </w:rPr>
        <w:t xml:space="preserve">an, M. B. &amp; Lucas, R. E., 2021. </w:t>
      </w:r>
      <w:r>
        <w:rPr>
          <w:rFonts w:ascii="Arial" w:hAnsi="Arial" w:cs="Arial"/>
          <w:i/>
          <w:iCs/>
          <w:lang w:val="en-US"/>
        </w:rPr>
        <w:t xml:space="preserve">The Oxford Handbook of Quantitative Methods in Psychology. </w:t>
      </w:r>
      <w:r>
        <w:rPr>
          <w:rFonts w:ascii="Arial" w:hAnsi="Arial" w:cs="Arial"/>
          <w:lang w:val="en-US"/>
        </w:rPr>
        <w:t xml:space="preserve">[Online] </w:t>
      </w:r>
      <w:r>
        <w:rPr>
          <w:rFonts w:ascii="Arial" w:hAnsi="Arial" w:cs="Arial"/>
          <w:lang w:val="en-US"/>
        </w:rPr>
        <w:br/>
      </w:r>
      <w:r>
        <w:rPr>
          <w:rFonts w:ascii="Arial" w:hAnsi="Arial" w:cs="Arial"/>
          <w:lang w:val="en-US"/>
        </w:rPr>
        <w:t xml:space="preserve">Available at: </w:t>
      </w:r>
      <w:r>
        <w:rPr>
          <w:rFonts w:ascii="Arial" w:hAnsi="Arial" w:cs="Arial"/>
          <w:u w:val="single"/>
          <w:lang w:val="en-US"/>
        </w:rPr>
        <w:t>https://www.oxfordhandbooks.com/view/10.1093/oxfordhb/9780199934898.001.0001/oxfordhb-9780199934898-e-028</w:t>
      </w:r>
    </w:p>
    <w:p w14:paraId="0AE999E5" w14:textId="77777777" w:rsidR="00FE0E23" w:rsidRPr="008C0BE0" w:rsidRDefault="006427CE">
      <w:pPr>
        <w:pStyle w:val="Bibliography"/>
        <w:spacing w:line="360" w:lineRule="auto"/>
        <w:rPr>
          <w:lang w:val="en-GB"/>
        </w:rPr>
      </w:pPr>
      <w:r>
        <w:rPr>
          <w:rFonts w:ascii="Arial" w:hAnsi="Arial" w:cs="Arial"/>
          <w:lang w:val="en-US"/>
        </w:rPr>
        <w:t xml:space="preserve">Duckworth, A. L., </w:t>
      </w:r>
      <w:r>
        <w:rPr>
          <w:rFonts w:ascii="Arial" w:hAnsi="Arial" w:cs="Arial"/>
          <w:lang w:val="en-US"/>
        </w:rPr>
        <w:t xml:space="preserve">Peterson, C., Matthews, M. D. &amp; Kelly, D. R., 2007. Grit: Perseverance and Passion for Long-Term Goals. </w:t>
      </w:r>
      <w:r>
        <w:rPr>
          <w:rFonts w:ascii="Arial" w:hAnsi="Arial" w:cs="Arial"/>
          <w:i/>
          <w:iCs/>
          <w:lang w:val="en-US"/>
        </w:rPr>
        <w:t xml:space="preserve">Journal of personality and social psychology, </w:t>
      </w:r>
      <w:r>
        <w:rPr>
          <w:rFonts w:ascii="Arial" w:hAnsi="Arial" w:cs="Arial"/>
          <w:lang w:val="en-US"/>
        </w:rPr>
        <w:t>pp. 1087-1101.</w:t>
      </w:r>
    </w:p>
    <w:p w14:paraId="0AE999E6" w14:textId="77777777" w:rsidR="00FE0E23" w:rsidRPr="008C0BE0" w:rsidRDefault="006427CE">
      <w:pPr>
        <w:pStyle w:val="Bibliography"/>
        <w:spacing w:line="360" w:lineRule="auto"/>
        <w:rPr>
          <w:lang w:val="en-GB"/>
        </w:rPr>
      </w:pPr>
      <w:r>
        <w:rPr>
          <w:rFonts w:ascii="Arial" w:hAnsi="Arial" w:cs="Arial"/>
          <w:lang w:val="en-US"/>
        </w:rPr>
        <w:t xml:space="preserve">Dweck, C. S., 2006. Mindset: The new psychology of success. </w:t>
      </w:r>
      <w:r>
        <w:rPr>
          <w:rFonts w:ascii="Arial" w:hAnsi="Arial" w:cs="Arial"/>
          <w:i/>
          <w:iCs/>
          <w:lang w:val="en-US"/>
        </w:rPr>
        <w:t xml:space="preserve">Little, Brown Book Group, </w:t>
      </w:r>
      <w:r>
        <w:rPr>
          <w:rFonts w:ascii="Arial" w:hAnsi="Arial" w:cs="Arial"/>
          <w:lang w:val="en-US"/>
        </w:rPr>
        <w:t>p. ht</w:t>
      </w:r>
      <w:r>
        <w:rPr>
          <w:rFonts w:ascii="Arial" w:hAnsi="Arial" w:cs="Arial"/>
          <w:lang w:val="en-US"/>
        </w:rPr>
        <w:t>tps://www.google.co.uk/books/edition/Mindset_Updated_Edition/ckoKDQAAQBAJ?hl=en&amp;sa=X&amp;ved=2ahUKEwjQ3P2xiNP0AhXSOcAKHYoqC74QiqUDegQIJxAM.</w:t>
      </w:r>
    </w:p>
    <w:p w14:paraId="0AE999E7" w14:textId="77777777" w:rsidR="00FE0E23" w:rsidRPr="008C0BE0" w:rsidRDefault="006427CE">
      <w:pPr>
        <w:pStyle w:val="Bibliography"/>
        <w:spacing w:line="360" w:lineRule="auto"/>
        <w:rPr>
          <w:lang w:val="en-GB"/>
        </w:rPr>
      </w:pPr>
      <w:r>
        <w:rPr>
          <w:rFonts w:ascii="Arial" w:hAnsi="Arial" w:cs="Arial"/>
          <w:lang w:val="en-US"/>
        </w:rPr>
        <w:t xml:space="preserve">Fielding, J. A., 2019. Rethinking CRAAP: Getting students thinking like fact-checkers in evaluating web sources. </w:t>
      </w:r>
      <w:r>
        <w:rPr>
          <w:rFonts w:ascii="Arial" w:hAnsi="Arial" w:cs="Arial"/>
          <w:i/>
          <w:iCs/>
          <w:lang w:val="en-US"/>
        </w:rPr>
        <w:t>Associa</w:t>
      </w:r>
      <w:r>
        <w:rPr>
          <w:rFonts w:ascii="Arial" w:hAnsi="Arial" w:cs="Arial"/>
          <w:i/>
          <w:iCs/>
          <w:lang w:val="en-US"/>
        </w:rPr>
        <w:t xml:space="preserve">tion of College and Research Libraries, </w:t>
      </w:r>
      <w:r>
        <w:rPr>
          <w:rFonts w:ascii="Arial" w:hAnsi="Arial" w:cs="Arial"/>
          <w:lang w:val="en-US"/>
        </w:rPr>
        <w:t>pp. 620-623.</w:t>
      </w:r>
    </w:p>
    <w:p w14:paraId="0AE999E8" w14:textId="77777777" w:rsidR="00FE0E23" w:rsidRPr="008C0BE0" w:rsidRDefault="006427CE">
      <w:pPr>
        <w:pStyle w:val="Bibliography"/>
        <w:spacing w:line="360" w:lineRule="auto"/>
        <w:rPr>
          <w:lang w:val="en-GB"/>
        </w:rPr>
      </w:pPr>
      <w:r>
        <w:rPr>
          <w:rFonts w:ascii="Arial" w:hAnsi="Arial" w:cs="Arial"/>
          <w:lang w:val="en-US"/>
        </w:rPr>
        <w:t xml:space="preserve">Harms, P. D., 2016. Angela Duckworth. Grit: The Power of Passion and Perseverance. </w:t>
      </w:r>
      <w:r>
        <w:rPr>
          <w:rFonts w:ascii="Arial" w:hAnsi="Arial" w:cs="Arial"/>
          <w:i/>
          <w:iCs/>
          <w:lang w:val="en-US"/>
        </w:rPr>
        <w:t xml:space="preserve">Personnel psychology, </w:t>
      </w:r>
      <w:r>
        <w:rPr>
          <w:rFonts w:ascii="Arial" w:hAnsi="Arial" w:cs="Arial"/>
          <w:lang w:val="en-US"/>
        </w:rPr>
        <w:t>pp. 1021-1024.</w:t>
      </w:r>
    </w:p>
    <w:p w14:paraId="0AE999E9" w14:textId="77777777" w:rsidR="00FE0E23" w:rsidRPr="008C0BE0" w:rsidRDefault="006427CE">
      <w:pPr>
        <w:pStyle w:val="Bibliography"/>
        <w:spacing w:line="360" w:lineRule="auto"/>
        <w:rPr>
          <w:lang w:val="en-GB"/>
        </w:rPr>
      </w:pPr>
      <w:r>
        <w:rPr>
          <w:rFonts w:ascii="Arial" w:hAnsi="Arial" w:cs="Arial"/>
          <w:lang w:val="en-US"/>
        </w:rPr>
        <w:t>Liew, A., 2007. Understanding Data, Information, Knowledge and Their Inter-Relation</w:t>
      </w:r>
      <w:r>
        <w:rPr>
          <w:rFonts w:ascii="Arial" w:hAnsi="Arial" w:cs="Arial"/>
          <w:lang w:val="en-US"/>
        </w:rPr>
        <w:t xml:space="preserve">ships. </w:t>
      </w:r>
      <w:r>
        <w:rPr>
          <w:rFonts w:ascii="Arial" w:hAnsi="Arial" w:cs="Arial"/>
          <w:i/>
          <w:iCs/>
          <w:lang w:val="en-US"/>
        </w:rPr>
        <w:t>Journal of Knowledge Management Practice.</w:t>
      </w:r>
    </w:p>
    <w:p w14:paraId="0AE999EA" w14:textId="77777777" w:rsidR="00FE0E23" w:rsidRPr="008C0BE0" w:rsidRDefault="006427CE">
      <w:pPr>
        <w:pStyle w:val="Bibliography"/>
        <w:spacing w:line="360" w:lineRule="auto"/>
        <w:rPr>
          <w:lang w:val="en-GB"/>
        </w:rPr>
      </w:pPr>
      <w:r>
        <w:rPr>
          <w:rFonts w:ascii="Arial" w:hAnsi="Arial" w:cs="Arial"/>
          <w:lang w:val="en-US"/>
        </w:rPr>
        <w:t xml:space="preserve">Rowley, J., 2007. The wisdom hierarchy: representations of the DIKW hierarchy. </w:t>
      </w:r>
      <w:r>
        <w:rPr>
          <w:rFonts w:ascii="Arial" w:hAnsi="Arial" w:cs="Arial"/>
          <w:i/>
          <w:iCs/>
          <w:lang w:val="en-US"/>
        </w:rPr>
        <w:t xml:space="preserve">Journal of Information and Communication Science, </w:t>
      </w:r>
      <w:r>
        <w:rPr>
          <w:rFonts w:ascii="Arial" w:hAnsi="Arial" w:cs="Arial"/>
          <w:lang w:val="en-US"/>
        </w:rPr>
        <w:t>pp. 163-180.</w:t>
      </w:r>
    </w:p>
    <w:p w14:paraId="0AE999EB" w14:textId="77777777" w:rsidR="00FE0E23" w:rsidRPr="008C0BE0" w:rsidRDefault="006427CE">
      <w:pPr>
        <w:pStyle w:val="Bibliography"/>
        <w:spacing w:line="360" w:lineRule="auto"/>
        <w:rPr>
          <w:lang w:val="en-GB"/>
        </w:rPr>
      </w:pPr>
      <w:r>
        <w:rPr>
          <w:rFonts w:ascii="Arial" w:hAnsi="Arial" w:cs="Arial"/>
          <w:lang w:val="en-US"/>
        </w:rPr>
        <w:t xml:space="preserve">Rowley, J. &amp; Hartley, R., 2006. </w:t>
      </w:r>
      <w:r>
        <w:rPr>
          <w:rFonts w:ascii="Arial" w:hAnsi="Arial" w:cs="Arial"/>
          <w:i/>
          <w:iCs/>
          <w:lang w:val="en-US"/>
        </w:rPr>
        <w:t xml:space="preserve">Organizing Knowledge. </w:t>
      </w:r>
      <w:r>
        <w:rPr>
          <w:rFonts w:ascii="Arial" w:hAnsi="Arial" w:cs="Arial"/>
          <w:lang w:val="en-US"/>
        </w:rPr>
        <w:t>London: Ash</w:t>
      </w:r>
      <w:r>
        <w:rPr>
          <w:rFonts w:ascii="Arial" w:hAnsi="Arial" w:cs="Arial"/>
          <w:lang w:val="en-US"/>
        </w:rPr>
        <w:t>gate Publishing, Ltd.</w:t>
      </w:r>
    </w:p>
    <w:p w14:paraId="0AE999EC" w14:textId="77777777" w:rsidR="00FE0E23" w:rsidRDefault="006427CE">
      <w:pPr>
        <w:pStyle w:val="Bibliography"/>
        <w:spacing w:line="360" w:lineRule="auto"/>
      </w:pPr>
      <w:r>
        <w:rPr>
          <w:rFonts w:ascii="Arial" w:hAnsi="Arial" w:cs="Arial"/>
          <w:lang w:val="en-US"/>
        </w:rPr>
        <w:t xml:space="preserve">Saunders, M., Lewis, P. &amp; Thornhill, A., 2015. </w:t>
      </w:r>
      <w:r>
        <w:rPr>
          <w:rFonts w:ascii="Arial" w:hAnsi="Arial" w:cs="Arial"/>
          <w:i/>
          <w:iCs/>
          <w:lang w:val="en-US"/>
        </w:rPr>
        <w:t xml:space="preserve">Research Methods for business students. </w:t>
      </w:r>
      <w:r>
        <w:rPr>
          <w:rFonts w:ascii="Arial" w:hAnsi="Arial" w:cs="Arial"/>
          <w:lang w:val="en-US"/>
        </w:rPr>
        <w:t>New York: Seventh ed. Pearson Education.</w:t>
      </w:r>
    </w:p>
    <w:p w14:paraId="0AE999ED" w14:textId="77777777" w:rsidR="00FE0E23" w:rsidRDefault="00FE0E23">
      <w:pPr>
        <w:spacing w:line="360" w:lineRule="auto"/>
      </w:pPr>
    </w:p>
    <w:p w14:paraId="0AE999EE" w14:textId="77777777" w:rsidR="00FE0E23" w:rsidRDefault="00FE0E23"/>
    <w:p w14:paraId="0AE999EF" w14:textId="77777777" w:rsidR="00FE0E23" w:rsidRDefault="00FE0E23">
      <w:pPr>
        <w:pStyle w:val="NoSpacing"/>
        <w:spacing w:line="360" w:lineRule="auto"/>
        <w:jc w:val="both"/>
        <w:rPr>
          <w:rFonts w:ascii="Arial" w:hAnsi="Arial" w:cs="Arial"/>
        </w:rPr>
      </w:pPr>
    </w:p>
    <w:p w14:paraId="0AE999F0" w14:textId="77777777" w:rsidR="00FE0E23" w:rsidRDefault="00FE0E23">
      <w:pPr>
        <w:pStyle w:val="NoSpacing"/>
        <w:spacing w:line="360" w:lineRule="auto"/>
        <w:jc w:val="both"/>
        <w:rPr>
          <w:rFonts w:ascii="Arial" w:hAnsi="Arial" w:cs="Arial"/>
        </w:rPr>
      </w:pPr>
    </w:p>
    <w:p w14:paraId="0AE999F1" w14:textId="77777777" w:rsidR="00FE0E23" w:rsidRDefault="00FE0E23">
      <w:pPr>
        <w:pStyle w:val="NoSpacing"/>
        <w:spacing w:line="360" w:lineRule="auto"/>
        <w:jc w:val="both"/>
      </w:pPr>
    </w:p>
    <w:p w14:paraId="0AE999F2" w14:textId="77777777" w:rsidR="00FE0E23" w:rsidRDefault="006427CE">
      <w:r>
        <w:rPr>
          <w:noProof/>
        </w:rPr>
        <w:drawing>
          <wp:inline distT="0" distB="0" distL="0" distR="0" wp14:anchorId="0AE99951" wp14:editId="0AE99952">
            <wp:extent cx="5540815" cy="3937891"/>
            <wp:effectExtent l="0" t="0" r="2735" b="5459"/>
            <wp:docPr id="17" name="Graphic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540815" cy="3937891"/>
                    </a:xfrm>
                    <a:prstGeom prst="rect">
                      <a:avLst/>
                    </a:prstGeom>
                    <a:noFill/>
                    <a:ln>
                      <a:noFill/>
                      <a:prstDash/>
                    </a:ln>
                  </pic:spPr>
                </pic:pic>
              </a:graphicData>
            </a:graphic>
          </wp:inline>
        </w:drawing>
      </w:r>
    </w:p>
    <w:sectPr w:rsidR="00FE0E23">
      <w:footerReference w:type="default" r:id="rId49"/>
      <w:pgSz w:w="11906" w:h="16838"/>
      <w:pgMar w:top="1417" w:right="1701" w:bottom="1417" w:left="1701"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308ED" w14:textId="77777777" w:rsidR="006427CE" w:rsidRDefault="006427CE">
      <w:pPr>
        <w:spacing w:after="0" w:line="240" w:lineRule="auto"/>
      </w:pPr>
      <w:r>
        <w:separator/>
      </w:r>
    </w:p>
  </w:endnote>
  <w:endnote w:type="continuationSeparator" w:id="0">
    <w:p w14:paraId="6F17A1E0" w14:textId="77777777" w:rsidR="006427CE" w:rsidRDefault="00642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9995B" w14:textId="77777777" w:rsidR="00F05631" w:rsidRDefault="006427CE">
    <w:pPr>
      <w:pStyle w:val="Footer"/>
      <w:jc w:val="right"/>
    </w:pPr>
    <w:r>
      <w:fldChar w:fldCharType="begin"/>
    </w:r>
    <w:r>
      <w:instrText xml:space="preserve"> PAGE </w:instrText>
    </w:r>
    <w:r>
      <w:fldChar w:fldCharType="separate"/>
    </w:r>
    <w:r>
      <w:t>2</w:t>
    </w:r>
    <w:r>
      <w:fldChar w:fldCharType="end"/>
    </w:r>
  </w:p>
  <w:p w14:paraId="0AE9995C" w14:textId="77777777" w:rsidR="00F05631" w:rsidRDefault="006427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A4B1B" w14:textId="77777777" w:rsidR="006427CE" w:rsidRDefault="006427CE">
      <w:pPr>
        <w:spacing w:after="0" w:line="240" w:lineRule="auto"/>
      </w:pPr>
      <w:r>
        <w:rPr>
          <w:color w:val="000000"/>
        </w:rPr>
        <w:separator/>
      </w:r>
    </w:p>
  </w:footnote>
  <w:footnote w:type="continuationSeparator" w:id="0">
    <w:p w14:paraId="26C10219" w14:textId="77777777" w:rsidR="006427CE" w:rsidRDefault="006427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263B"/>
    <w:multiLevelType w:val="multilevel"/>
    <w:tmpl w:val="B712B6E2"/>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E113335"/>
    <w:multiLevelType w:val="multilevel"/>
    <w:tmpl w:val="5C78BE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01B40A1"/>
    <w:multiLevelType w:val="multilevel"/>
    <w:tmpl w:val="61DC9C5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079779C"/>
    <w:multiLevelType w:val="multilevel"/>
    <w:tmpl w:val="CB7853D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E022FE7"/>
    <w:multiLevelType w:val="multilevel"/>
    <w:tmpl w:val="EC52A8C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FE0E23"/>
    <w:rsid w:val="00012E5D"/>
    <w:rsid w:val="006427CE"/>
    <w:rsid w:val="008C0BE0"/>
    <w:rsid w:val="00CD697C"/>
    <w:rsid w:val="00FE0E2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99931"/>
  <w15:docId w15:val="{811F2C78-066E-48D4-8240-781E51B0B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t-PT" w:eastAsia="en-US" w:bidi="ar-SA"/>
      </w:rPr>
    </w:rPrDefault>
    <w:pPrDefault>
      <w:pPr>
        <w:autoSpaceDN w:val="0"/>
        <w:spacing w:after="160" w:line="24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uiPriority w:val="9"/>
    <w:qFormat/>
    <w:pPr>
      <w:keepNext/>
      <w:spacing w:before="120" w:after="120" w:line="276" w:lineRule="auto"/>
      <w:outlineLvl w:val="0"/>
    </w:pPr>
    <w:rPr>
      <w:rFonts w:ascii="Arial" w:eastAsia="Times New Roman" w:hAnsi="Arial"/>
      <w:color w:val="323E4F"/>
      <w:kern w:val="3"/>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rial" w:eastAsia="Times New Roman" w:hAnsi="Arial" w:cs="Times New Roman"/>
      <w:color w:val="323E4F"/>
      <w:kern w:val="3"/>
      <w:szCs w:val="32"/>
      <w:lang w:val="en-US"/>
    </w:r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TOCHeading">
    <w:name w:val="TOC Heading"/>
    <w:basedOn w:val="Heading1"/>
    <w:next w:val="Normal"/>
    <w:pPr>
      <w:keepLines/>
      <w:spacing w:before="240" w:after="0" w:line="242" w:lineRule="auto"/>
    </w:pPr>
    <w:rPr>
      <w:rFonts w:ascii="Calibri Light" w:hAnsi="Calibri Light"/>
      <w:color w:val="2F5496"/>
      <w:kern w:val="0"/>
      <w:sz w:val="32"/>
    </w:rPr>
  </w:style>
  <w:style w:type="paragraph" w:styleId="TOC1">
    <w:name w:val="toc 1"/>
    <w:basedOn w:val="Normal"/>
    <w:next w:val="Normal"/>
    <w:autoRedefine/>
    <w:pPr>
      <w:tabs>
        <w:tab w:val="right" w:leader="dot" w:pos="8494"/>
      </w:tabs>
      <w:spacing w:after="100" w:line="360" w:lineRule="auto"/>
    </w:pPr>
  </w:style>
  <w:style w:type="character" w:styleId="Hyperlink">
    <w:name w:val="Hyperlink"/>
    <w:basedOn w:val="DefaultParagraphFont"/>
    <w:rPr>
      <w:color w:val="0563C1"/>
      <w:u w:val="single"/>
    </w:rPr>
  </w:style>
  <w:style w:type="paragraph" w:styleId="Header">
    <w:name w:val="header"/>
    <w:basedOn w:val="Normal"/>
    <w:pPr>
      <w:tabs>
        <w:tab w:val="center" w:pos="4252"/>
        <w:tab w:val="right" w:pos="8504"/>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252"/>
        <w:tab w:val="right" w:pos="8504"/>
      </w:tabs>
      <w:spacing w:after="0" w:line="240" w:lineRule="auto"/>
    </w:pPr>
  </w:style>
  <w:style w:type="character" w:customStyle="1" w:styleId="FooterChar">
    <w:name w:val="Footer Char"/>
    <w:basedOn w:val="DefaultParagraphFont"/>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_Toc89991670" TargetMode="External"/><Relationship Id="rId18" Type="http://schemas.openxmlformats.org/officeDocument/2006/relationships/hyperlink" Target="#_Toc89991675" TargetMode="External"/><Relationship Id="rId26" Type="http://schemas.openxmlformats.org/officeDocument/2006/relationships/image" Target="media/image10.svg"/><Relationship Id="rId39" Type="http://schemas.openxmlformats.org/officeDocument/2006/relationships/image" Target="media/image23.png"/><Relationship Id="rId21" Type="http://schemas.openxmlformats.org/officeDocument/2006/relationships/hyperlink" Target="#_Toc89991678" TargetMode="External"/><Relationship Id="rId34" Type="http://schemas.openxmlformats.org/officeDocument/2006/relationships/image" Target="media/image18.svg"/><Relationship Id="rId42" Type="http://schemas.openxmlformats.org/officeDocument/2006/relationships/image" Target="media/image26.svg"/><Relationship Id="rId47" Type="http://schemas.openxmlformats.org/officeDocument/2006/relationships/image" Target="media/image31.png"/><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_Toc89991673" TargetMode="External"/><Relationship Id="rId29" Type="http://schemas.openxmlformats.org/officeDocument/2006/relationships/image" Target="media/image13.png"/><Relationship Id="rId11" Type="http://schemas.openxmlformats.org/officeDocument/2006/relationships/image" Target="media/image5.png"/><Relationship Id="rId24" Type="http://schemas.openxmlformats.org/officeDocument/2006/relationships/image" Target="media/image8.svg"/><Relationship Id="rId32" Type="http://schemas.openxmlformats.org/officeDocument/2006/relationships/image" Target="media/image16.svg"/><Relationship Id="rId37" Type="http://schemas.openxmlformats.org/officeDocument/2006/relationships/image" Target="media/image21.png"/><Relationship Id="rId40" Type="http://schemas.openxmlformats.org/officeDocument/2006/relationships/image" Target="media/image24.svg"/><Relationship Id="rId45" Type="http://schemas.openxmlformats.org/officeDocument/2006/relationships/image" Target="media/image29.png"/><Relationship Id="rId5" Type="http://schemas.openxmlformats.org/officeDocument/2006/relationships/footnotes" Target="footnotes.xml"/><Relationship Id="rId15" Type="http://schemas.openxmlformats.org/officeDocument/2006/relationships/hyperlink" Target="#_Toc89991672" TargetMode="External"/><Relationship Id="rId23" Type="http://schemas.openxmlformats.org/officeDocument/2006/relationships/image" Target="media/image7.png"/><Relationship Id="rId28" Type="http://schemas.openxmlformats.org/officeDocument/2006/relationships/image" Target="media/image12.svg"/><Relationship Id="rId36" Type="http://schemas.openxmlformats.org/officeDocument/2006/relationships/image" Target="media/image20.svg"/><Relationship Id="rId49" Type="http://schemas.openxmlformats.org/officeDocument/2006/relationships/footer" Target="footer1.xml"/><Relationship Id="rId10" Type="http://schemas.openxmlformats.org/officeDocument/2006/relationships/image" Target="media/image4.svg"/><Relationship Id="rId19" Type="http://schemas.openxmlformats.org/officeDocument/2006/relationships/hyperlink" Target="#_Toc89991676" TargetMode="External"/><Relationship Id="rId31" Type="http://schemas.openxmlformats.org/officeDocument/2006/relationships/image" Target="media/image15.png"/><Relationship Id="rId44" Type="http://schemas.openxmlformats.org/officeDocument/2006/relationships/image" Target="media/image28.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_Toc89991671" TargetMode="External"/><Relationship Id="rId22" Type="http://schemas.openxmlformats.org/officeDocument/2006/relationships/hyperlink" Target="#_Toc89991679" TargetMode="External"/><Relationship Id="rId27" Type="http://schemas.openxmlformats.org/officeDocument/2006/relationships/image" Target="media/image11.png"/><Relationship Id="rId30" Type="http://schemas.openxmlformats.org/officeDocument/2006/relationships/image" Target="media/image14.sv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svg"/><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svg"/><Relationship Id="rId17" Type="http://schemas.openxmlformats.org/officeDocument/2006/relationships/hyperlink" Target="#_Toc89991674"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svg"/><Relationship Id="rId46" Type="http://schemas.openxmlformats.org/officeDocument/2006/relationships/image" Target="media/image30.svg"/><Relationship Id="rId20" Type="http://schemas.openxmlformats.org/officeDocument/2006/relationships/hyperlink" Target="#_Toc89991677" TargetMode="External"/><Relationship Id="rId41"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2487</Words>
  <Characters>13435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dc:subject>
  <dc:creator>Ricardo José Alexandre (2025546)</dc:creator>
  <dc:description/>
  <cp:lastModifiedBy>Ricardo José Alexandre (2025546)</cp:lastModifiedBy>
  <cp:revision>3</cp:revision>
  <dcterms:created xsi:type="dcterms:W3CDTF">2021-12-10T01:31:00Z</dcterms:created>
  <dcterms:modified xsi:type="dcterms:W3CDTF">2021-12-10T01:32:00Z</dcterms:modified>
</cp:coreProperties>
</file>