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C8080" w14:textId="77777777" w:rsidR="00DA7009" w:rsidRPr="00DA7009" w:rsidRDefault="00DA7009" w:rsidP="00DA7009">
      <w:pPr>
        <w:spacing w:line="360" w:lineRule="auto"/>
        <w:jc w:val="center"/>
        <w:rPr>
          <w:rFonts w:ascii="Arial" w:hAnsi="Arial" w:cs="Arial"/>
          <w:sz w:val="22"/>
          <w:szCs w:val="22"/>
        </w:rPr>
      </w:pPr>
      <w:r w:rsidRPr="00DA7009">
        <w:rPr>
          <w:rFonts w:ascii="Arial" w:hAnsi="Arial" w:cs="Arial"/>
          <w:sz w:val="36"/>
          <w:szCs w:val="36"/>
        </w:rPr>
        <w:t>University of Wales Trinity Saint David</w:t>
      </w:r>
      <w:r w:rsidRPr="00DA7009">
        <w:rPr>
          <w:rFonts w:ascii="Arial" w:hAnsi="Arial" w:cs="Arial"/>
          <w:sz w:val="36"/>
          <w:szCs w:val="36"/>
        </w:rPr>
        <w:br/>
      </w:r>
      <w:r w:rsidRPr="00DA7009">
        <w:rPr>
          <w:rFonts w:ascii="Arial" w:hAnsi="Arial" w:cs="Arial"/>
          <w:sz w:val="22"/>
          <w:szCs w:val="22"/>
        </w:rPr>
        <w:t>London Campus</w:t>
      </w:r>
    </w:p>
    <w:p w14:paraId="5EA583FC" w14:textId="77777777" w:rsidR="00DA7009" w:rsidRPr="00DA7009" w:rsidRDefault="00DA7009" w:rsidP="00DA7009">
      <w:pPr>
        <w:spacing w:line="360" w:lineRule="auto"/>
        <w:jc w:val="center"/>
        <w:rPr>
          <w:rFonts w:ascii="Arial" w:hAnsi="Arial" w:cs="Arial"/>
          <w:sz w:val="22"/>
          <w:szCs w:val="22"/>
        </w:rPr>
      </w:pPr>
    </w:p>
    <w:p w14:paraId="4240400E" w14:textId="77777777" w:rsidR="00DA7009" w:rsidRPr="00DA7009" w:rsidRDefault="00DA7009" w:rsidP="00DA7009">
      <w:pPr>
        <w:spacing w:line="360" w:lineRule="auto"/>
        <w:jc w:val="center"/>
        <w:rPr>
          <w:rFonts w:ascii="Arial" w:hAnsi="Arial" w:cs="Arial"/>
          <w:sz w:val="22"/>
          <w:szCs w:val="22"/>
        </w:rPr>
      </w:pPr>
    </w:p>
    <w:p w14:paraId="5A032DDD" w14:textId="77777777" w:rsidR="00DA7009" w:rsidRPr="00DA7009" w:rsidRDefault="00DA7009" w:rsidP="00DA7009">
      <w:pPr>
        <w:spacing w:line="360" w:lineRule="auto"/>
        <w:jc w:val="center"/>
        <w:rPr>
          <w:rFonts w:ascii="Arial" w:hAnsi="Arial" w:cs="Arial"/>
          <w:sz w:val="22"/>
          <w:szCs w:val="22"/>
        </w:rPr>
      </w:pPr>
    </w:p>
    <w:p w14:paraId="694E3C20" w14:textId="77777777" w:rsidR="00DA7009" w:rsidRPr="00DA7009" w:rsidRDefault="00DA7009" w:rsidP="00DA7009">
      <w:pPr>
        <w:spacing w:line="360" w:lineRule="auto"/>
        <w:jc w:val="center"/>
        <w:rPr>
          <w:rFonts w:ascii="Arial" w:hAnsi="Arial" w:cs="Arial"/>
          <w:sz w:val="22"/>
          <w:szCs w:val="22"/>
        </w:rPr>
      </w:pPr>
    </w:p>
    <w:p w14:paraId="476AA99D" w14:textId="77777777" w:rsidR="00DA7009" w:rsidRPr="00DA7009" w:rsidRDefault="00DA7009" w:rsidP="00DA7009">
      <w:pPr>
        <w:spacing w:line="360" w:lineRule="auto"/>
        <w:jc w:val="center"/>
        <w:rPr>
          <w:rFonts w:ascii="Arial" w:hAnsi="Arial" w:cs="Arial"/>
          <w:sz w:val="22"/>
          <w:szCs w:val="22"/>
        </w:rPr>
      </w:pPr>
    </w:p>
    <w:p w14:paraId="455FBD1A" w14:textId="77777777" w:rsidR="00DA7009" w:rsidRPr="00DA7009" w:rsidRDefault="00DA7009" w:rsidP="00DA7009">
      <w:pPr>
        <w:spacing w:line="360" w:lineRule="auto"/>
        <w:jc w:val="center"/>
        <w:rPr>
          <w:rFonts w:ascii="Arial" w:hAnsi="Arial" w:cs="Arial"/>
          <w:sz w:val="22"/>
          <w:szCs w:val="22"/>
        </w:rPr>
      </w:pPr>
    </w:p>
    <w:p w14:paraId="13672AC9" w14:textId="77777777" w:rsidR="00DA7009" w:rsidRPr="00DA7009" w:rsidRDefault="00DA7009" w:rsidP="00DA7009">
      <w:pPr>
        <w:spacing w:line="360" w:lineRule="auto"/>
        <w:jc w:val="center"/>
        <w:rPr>
          <w:rFonts w:ascii="Arial" w:hAnsi="Arial" w:cs="Arial"/>
          <w:sz w:val="36"/>
          <w:szCs w:val="36"/>
        </w:rPr>
      </w:pPr>
    </w:p>
    <w:p w14:paraId="113259EF" w14:textId="6E3E43B6" w:rsidR="00DA7009" w:rsidRPr="00DA7009" w:rsidRDefault="00DA7009" w:rsidP="00DA7009">
      <w:pPr>
        <w:spacing w:line="360" w:lineRule="auto"/>
        <w:jc w:val="center"/>
        <w:rPr>
          <w:rFonts w:ascii="Arial" w:hAnsi="Arial" w:cs="Arial"/>
          <w:i/>
          <w:iCs/>
          <w:sz w:val="36"/>
          <w:szCs w:val="36"/>
        </w:rPr>
      </w:pPr>
      <w:r w:rsidRPr="00DA7009">
        <w:rPr>
          <w:rFonts w:ascii="Arial" w:hAnsi="Arial" w:cs="Arial"/>
          <w:i/>
          <w:iCs/>
          <w:sz w:val="36"/>
          <w:szCs w:val="36"/>
        </w:rPr>
        <w:t xml:space="preserve">Evaluation and Improvement of Information Systems for </w:t>
      </w:r>
      <w:proofErr w:type="spellStart"/>
      <w:r w:rsidRPr="00DA7009">
        <w:rPr>
          <w:rFonts w:ascii="Arial" w:hAnsi="Arial" w:cs="Arial"/>
          <w:i/>
          <w:iCs/>
          <w:sz w:val="36"/>
          <w:szCs w:val="36"/>
        </w:rPr>
        <w:t>AKPerog</w:t>
      </w:r>
      <w:proofErr w:type="spellEnd"/>
      <w:r w:rsidRPr="00DA7009">
        <w:rPr>
          <w:rFonts w:ascii="Arial" w:hAnsi="Arial" w:cs="Arial"/>
          <w:i/>
          <w:iCs/>
          <w:sz w:val="36"/>
          <w:szCs w:val="36"/>
        </w:rPr>
        <w:t xml:space="preserve"> Ltd</w:t>
      </w:r>
    </w:p>
    <w:p w14:paraId="78BB2A49" w14:textId="77777777" w:rsidR="00DA7009" w:rsidRPr="00DA7009" w:rsidRDefault="00DA7009" w:rsidP="00DA7009">
      <w:pPr>
        <w:spacing w:line="360" w:lineRule="auto"/>
        <w:jc w:val="center"/>
        <w:rPr>
          <w:rFonts w:ascii="Arial" w:hAnsi="Arial" w:cs="Arial"/>
          <w:i/>
          <w:iCs/>
          <w:sz w:val="36"/>
          <w:szCs w:val="36"/>
        </w:rPr>
      </w:pPr>
    </w:p>
    <w:p w14:paraId="4F933367" w14:textId="77777777" w:rsidR="00DA7009" w:rsidRPr="00DA7009" w:rsidRDefault="00DA7009" w:rsidP="00DA7009">
      <w:pPr>
        <w:spacing w:line="360" w:lineRule="auto"/>
        <w:jc w:val="center"/>
        <w:rPr>
          <w:rFonts w:ascii="Arial" w:hAnsi="Arial" w:cs="Arial"/>
          <w:i/>
          <w:iCs/>
          <w:sz w:val="36"/>
          <w:szCs w:val="36"/>
        </w:rPr>
      </w:pPr>
    </w:p>
    <w:p w14:paraId="570D525C" w14:textId="77777777" w:rsidR="00DA7009" w:rsidRPr="00DA7009" w:rsidRDefault="00DA7009" w:rsidP="00DA7009">
      <w:pPr>
        <w:spacing w:line="360" w:lineRule="auto"/>
        <w:jc w:val="center"/>
        <w:rPr>
          <w:rFonts w:ascii="Arial" w:hAnsi="Arial" w:cs="Arial"/>
          <w:i/>
          <w:iCs/>
          <w:sz w:val="36"/>
          <w:szCs w:val="36"/>
        </w:rPr>
      </w:pPr>
    </w:p>
    <w:p w14:paraId="4939C3DE" w14:textId="77777777" w:rsidR="00DA7009" w:rsidRPr="00DA7009" w:rsidRDefault="00DA7009" w:rsidP="00DA7009">
      <w:pPr>
        <w:spacing w:line="360" w:lineRule="auto"/>
        <w:jc w:val="center"/>
        <w:rPr>
          <w:rFonts w:ascii="Arial" w:hAnsi="Arial" w:cs="Arial"/>
          <w:i/>
          <w:iCs/>
          <w:sz w:val="36"/>
          <w:szCs w:val="36"/>
        </w:rPr>
      </w:pPr>
    </w:p>
    <w:p w14:paraId="749CC2F5" w14:textId="77777777" w:rsidR="00DA7009" w:rsidRPr="00DA7009" w:rsidRDefault="00DA7009" w:rsidP="00DA7009">
      <w:pPr>
        <w:spacing w:line="360" w:lineRule="auto"/>
        <w:jc w:val="center"/>
        <w:rPr>
          <w:rFonts w:ascii="Arial" w:hAnsi="Arial" w:cs="Arial"/>
          <w:i/>
          <w:iCs/>
          <w:sz w:val="36"/>
          <w:szCs w:val="36"/>
        </w:rPr>
      </w:pPr>
    </w:p>
    <w:p w14:paraId="2F2B5572" w14:textId="77777777" w:rsidR="00DA7009" w:rsidRPr="00DA7009" w:rsidRDefault="00DA7009" w:rsidP="00DA7009">
      <w:pPr>
        <w:spacing w:line="360" w:lineRule="auto"/>
        <w:jc w:val="center"/>
        <w:rPr>
          <w:rFonts w:ascii="Arial" w:hAnsi="Arial" w:cs="Arial"/>
          <w:sz w:val="36"/>
          <w:szCs w:val="36"/>
        </w:rPr>
      </w:pPr>
    </w:p>
    <w:p w14:paraId="73E95E58" w14:textId="548849B4" w:rsidR="00DA7009" w:rsidRPr="00DA7009" w:rsidRDefault="00DA7009" w:rsidP="00DA7009">
      <w:pPr>
        <w:spacing w:line="360" w:lineRule="auto"/>
        <w:rPr>
          <w:rFonts w:ascii="Arial" w:hAnsi="Arial" w:cs="Arial"/>
          <w:sz w:val="22"/>
          <w:szCs w:val="22"/>
        </w:rPr>
      </w:pPr>
      <w:r w:rsidRPr="00DA7009">
        <w:rPr>
          <w:rFonts w:ascii="Arial" w:hAnsi="Arial" w:cs="Arial"/>
          <w:sz w:val="22"/>
          <w:szCs w:val="22"/>
        </w:rPr>
        <w:t>Module: LCLM5004 – Business Information Systems</w:t>
      </w:r>
      <w:r w:rsidRPr="00DA7009">
        <w:rPr>
          <w:rFonts w:ascii="Arial" w:hAnsi="Arial" w:cs="Arial"/>
          <w:sz w:val="22"/>
          <w:szCs w:val="22"/>
        </w:rPr>
        <w:br/>
        <w:t>Assessment: Component 2 – Individual Report</w:t>
      </w:r>
      <w:r w:rsidRPr="00DA7009">
        <w:rPr>
          <w:rFonts w:ascii="Arial" w:hAnsi="Arial" w:cs="Arial"/>
          <w:sz w:val="22"/>
          <w:szCs w:val="22"/>
        </w:rPr>
        <w:br/>
        <w:t>Student Name: </w:t>
      </w:r>
      <w:proofErr w:type="spellStart"/>
      <w:r w:rsidRPr="00DA7009">
        <w:rPr>
          <w:rFonts w:ascii="Arial" w:hAnsi="Arial" w:cs="Arial"/>
          <w:sz w:val="22"/>
          <w:szCs w:val="22"/>
        </w:rPr>
        <w:t>Galyna</w:t>
      </w:r>
      <w:proofErr w:type="spellEnd"/>
      <w:r w:rsidRPr="00DA7009">
        <w:rPr>
          <w:rFonts w:ascii="Arial" w:hAnsi="Arial" w:cs="Arial"/>
          <w:sz w:val="22"/>
          <w:szCs w:val="22"/>
        </w:rPr>
        <w:t xml:space="preserve"> Vovk</w:t>
      </w:r>
      <w:r w:rsidRPr="00DA7009">
        <w:rPr>
          <w:rFonts w:ascii="Arial" w:hAnsi="Arial" w:cs="Arial"/>
          <w:sz w:val="22"/>
          <w:szCs w:val="22"/>
        </w:rPr>
        <w:br/>
        <w:t>Student ID: 2337083</w:t>
      </w:r>
    </w:p>
    <w:p w14:paraId="2DCC528B" w14:textId="77777777" w:rsidR="00AD4A45" w:rsidRPr="00DA7009" w:rsidRDefault="00AD4A45" w:rsidP="00DA7009">
      <w:pPr>
        <w:spacing w:line="360" w:lineRule="auto"/>
        <w:rPr>
          <w:rFonts w:ascii="Arial" w:hAnsi="Arial" w:cs="Arial"/>
          <w:sz w:val="22"/>
          <w:szCs w:val="22"/>
        </w:rPr>
      </w:pPr>
    </w:p>
    <w:p w14:paraId="642CA08D" w14:textId="77777777" w:rsidR="00DA7009" w:rsidRPr="00DA7009" w:rsidRDefault="00DA7009" w:rsidP="00DA7009">
      <w:pPr>
        <w:spacing w:line="360" w:lineRule="auto"/>
        <w:rPr>
          <w:rFonts w:ascii="Arial" w:hAnsi="Arial" w:cs="Arial"/>
          <w:sz w:val="22"/>
          <w:szCs w:val="22"/>
        </w:rPr>
      </w:pPr>
    </w:p>
    <w:p w14:paraId="19E46430" w14:textId="3CF0279E" w:rsidR="00DA7009" w:rsidRPr="00DA7009" w:rsidRDefault="00DA7009" w:rsidP="00DA7009">
      <w:pPr>
        <w:spacing w:line="360" w:lineRule="auto"/>
        <w:rPr>
          <w:rFonts w:ascii="Arial" w:hAnsi="Arial" w:cs="Arial"/>
          <w:sz w:val="22"/>
          <w:szCs w:val="22"/>
        </w:rPr>
      </w:pPr>
      <w:r w:rsidRPr="00DA7009">
        <w:rPr>
          <w:rFonts w:ascii="Arial" w:hAnsi="Arial" w:cs="Arial"/>
          <w:sz w:val="22"/>
          <w:szCs w:val="22"/>
        </w:rPr>
        <w:lastRenderedPageBreak/>
        <w:t>TABLE OF CONTENTS</w:t>
      </w:r>
    </w:p>
    <w:p w14:paraId="69E43B29" w14:textId="77777777"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Introduction .............................................................. 3</w:t>
      </w:r>
    </w:p>
    <w:p w14:paraId="73BE76CC" w14:textId="58CC9400"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Evaluation of Existing Systems ...................................... 4</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2.1 Analysis of Current Information Systems ............................ 4</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2.2 Identification of Inefficiencies and Gaps ............................ </w:t>
      </w:r>
      <w:r w:rsidR="00F47EF3">
        <w:rPr>
          <w:rFonts w:ascii="Arial" w:hAnsi="Arial" w:cs="Arial"/>
          <w:sz w:val="22"/>
          <w:szCs w:val="22"/>
        </w:rPr>
        <w:t>.4</w:t>
      </w:r>
    </w:p>
    <w:p w14:paraId="6CE06751" w14:textId="4EA8D83A"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Recommended Solution ............................................... 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3.1 Proposal of New/Upgraded Information Systems .................. </w:t>
      </w:r>
      <w:r w:rsidR="002E3F82">
        <w:rPr>
          <w:rFonts w:ascii="Arial" w:hAnsi="Arial" w:cs="Arial"/>
          <w:sz w:val="22"/>
          <w:szCs w:val="22"/>
        </w:rPr>
        <w:t>5</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3.2 Justification Based on Needs, Cost, Scalability .................... </w:t>
      </w:r>
      <w:r w:rsidR="002E3F82">
        <w:rPr>
          <w:rFonts w:ascii="Arial" w:hAnsi="Arial" w:cs="Arial"/>
          <w:sz w:val="22"/>
          <w:szCs w:val="22"/>
        </w:rPr>
        <w:t>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3.3 Impact on Operations, Data Management and Decision-Making .... </w:t>
      </w:r>
      <w:r w:rsidR="002E3F82">
        <w:rPr>
          <w:rFonts w:ascii="Arial" w:hAnsi="Arial" w:cs="Arial"/>
          <w:sz w:val="22"/>
          <w:szCs w:val="22"/>
        </w:rPr>
        <w:t>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3.4 VRIN Framework Analysis ............................................... </w:t>
      </w:r>
      <w:r w:rsidR="002E3F82">
        <w:rPr>
          <w:rFonts w:ascii="Arial" w:hAnsi="Arial" w:cs="Arial"/>
          <w:sz w:val="22"/>
          <w:szCs w:val="22"/>
        </w:rPr>
        <w:t>7</w:t>
      </w:r>
    </w:p>
    <w:p w14:paraId="77E88E53" w14:textId="547B1250"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Implementation Plan .....................................................</w:t>
      </w:r>
      <w:r w:rsidR="002E3F82">
        <w:rPr>
          <w:rFonts w:ascii="Arial" w:hAnsi="Arial" w:cs="Arial"/>
          <w:sz w:val="22"/>
          <w:szCs w:val="22"/>
        </w:rPr>
        <w:t>7</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4.1 Phased Rollout Approach .................................................</w:t>
      </w:r>
      <w:r w:rsidR="002E3F82">
        <w:rPr>
          <w:rFonts w:ascii="Arial" w:hAnsi="Arial" w:cs="Arial"/>
          <w:sz w:val="22"/>
          <w:szCs w:val="22"/>
        </w:rPr>
        <w:t>7</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4.2 Training, Integration and Challenges ....................................</w:t>
      </w:r>
      <w:r w:rsidR="002E3F82">
        <w:rPr>
          <w:rFonts w:ascii="Arial" w:hAnsi="Arial" w:cs="Arial"/>
          <w:sz w:val="22"/>
          <w:szCs w:val="22"/>
        </w:rPr>
        <w:t>8</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4.3 Cost Overview and Return on Investment (ROI) ....................1</w:t>
      </w:r>
      <w:r w:rsidR="002E3F82">
        <w:rPr>
          <w:rFonts w:ascii="Arial" w:hAnsi="Arial" w:cs="Arial"/>
          <w:sz w:val="22"/>
          <w:szCs w:val="22"/>
        </w:rPr>
        <w:t>0</w:t>
      </w:r>
    </w:p>
    <w:p w14:paraId="2FA908C1" w14:textId="4279C8DD"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Conclusion .....................................................................1</w:t>
      </w:r>
      <w:r w:rsidR="002E3F82">
        <w:rPr>
          <w:rFonts w:ascii="Arial" w:hAnsi="Arial" w:cs="Arial"/>
          <w:sz w:val="22"/>
          <w:szCs w:val="22"/>
        </w:rPr>
        <w:t>1</w:t>
      </w:r>
    </w:p>
    <w:p w14:paraId="02C19EAC" w14:textId="222AE2A8"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References .....................................................................1</w:t>
      </w:r>
      <w:r w:rsidR="002E3F82">
        <w:rPr>
          <w:rFonts w:ascii="Arial" w:hAnsi="Arial" w:cs="Arial"/>
          <w:sz w:val="22"/>
          <w:szCs w:val="22"/>
        </w:rPr>
        <w:t>2</w:t>
      </w:r>
    </w:p>
    <w:p w14:paraId="18620F9C" w14:textId="77777777" w:rsidR="00AD4A45" w:rsidRPr="00DA7009" w:rsidRDefault="00AD4A45" w:rsidP="00DA7009">
      <w:pPr>
        <w:spacing w:line="360" w:lineRule="auto"/>
        <w:rPr>
          <w:rFonts w:ascii="Arial" w:hAnsi="Arial" w:cs="Arial"/>
          <w:sz w:val="22"/>
          <w:szCs w:val="22"/>
        </w:rPr>
      </w:pPr>
    </w:p>
    <w:p w14:paraId="0D141008" w14:textId="77777777" w:rsidR="00AD4A45" w:rsidRPr="00DA7009" w:rsidRDefault="00AD4A45" w:rsidP="00DA7009">
      <w:pPr>
        <w:spacing w:line="360" w:lineRule="auto"/>
        <w:rPr>
          <w:rFonts w:ascii="Arial" w:hAnsi="Arial" w:cs="Arial"/>
          <w:sz w:val="22"/>
          <w:szCs w:val="22"/>
        </w:rPr>
      </w:pPr>
    </w:p>
    <w:p w14:paraId="0574CCEA" w14:textId="77777777" w:rsidR="00AD4A45" w:rsidRPr="00DA7009" w:rsidRDefault="00AD4A45" w:rsidP="00DA7009">
      <w:pPr>
        <w:spacing w:line="360" w:lineRule="auto"/>
        <w:rPr>
          <w:rFonts w:ascii="Arial" w:hAnsi="Arial" w:cs="Arial"/>
          <w:sz w:val="22"/>
          <w:szCs w:val="22"/>
        </w:rPr>
      </w:pPr>
    </w:p>
    <w:p w14:paraId="485AD84F" w14:textId="77777777" w:rsidR="00AD4A45" w:rsidRPr="00DA7009" w:rsidRDefault="00AD4A45" w:rsidP="00DA7009">
      <w:pPr>
        <w:spacing w:line="360" w:lineRule="auto"/>
        <w:rPr>
          <w:rFonts w:ascii="Arial" w:hAnsi="Arial" w:cs="Arial"/>
          <w:sz w:val="22"/>
          <w:szCs w:val="22"/>
        </w:rPr>
      </w:pPr>
    </w:p>
    <w:p w14:paraId="23BAA230" w14:textId="77777777" w:rsidR="00AD4A45" w:rsidRPr="00DA7009" w:rsidRDefault="00AD4A45" w:rsidP="00DA7009">
      <w:pPr>
        <w:spacing w:line="360" w:lineRule="auto"/>
        <w:rPr>
          <w:rFonts w:ascii="Arial" w:hAnsi="Arial" w:cs="Arial"/>
          <w:sz w:val="22"/>
          <w:szCs w:val="22"/>
        </w:rPr>
      </w:pPr>
    </w:p>
    <w:p w14:paraId="1F94ECEF" w14:textId="77777777" w:rsidR="00AD4A45" w:rsidRPr="00DA7009" w:rsidRDefault="00AD4A45" w:rsidP="00DA7009">
      <w:pPr>
        <w:spacing w:line="360" w:lineRule="auto"/>
        <w:rPr>
          <w:rFonts w:ascii="Arial" w:hAnsi="Arial" w:cs="Arial"/>
          <w:sz w:val="22"/>
          <w:szCs w:val="22"/>
        </w:rPr>
      </w:pPr>
    </w:p>
    <w:p w14:paraId="038A83DA" w14:textId="77777777" w:rsidR="00AD4A45" w:rsidRPr="00DA7009" w:rsidRDefault="00AD4A45" w:rsidP="00DA7009">
      <w:pPr>
        <w:spacing w:line="360" w:lineRule="auto"/>
        <w:rPr>
          <w:rFonts w:ascii="Arial" w:hAnsi="Arial" w:cs="Arial"/>
          <w:sz w:val="22"/>
          <w:szCs w:val="22"/>
        </w:rPr>
      </w:pPr>
    </w:p>
    <w:p w14:paraId="7F554A69" w14:textId="77777777" w:rsidR="00AD4A45" w:rsidRPr="00DA7009" w:rsidRDefault="00AD4A45" w:rsidP="00DA7009">
      <w:pPr>
        <w:spacing w:line="360" w:lineRule="auto"/>
        <w:rPr>
          <w:rFonts w:ascii="Arial" w:hAnsi="Arial" w:cs="Arial"/>
          <w:sz w:val="22"/>
          <w:szCs w:val="22"/>
        </w:rPr>
      </w:pPr>
    </w:p>
    <w:p w14:paraId="5E901F26" w14:textId="77777777" w:rsidR="00AD4A45" w:rsidRPr="00DA7009" w:rsidRDefault="00AD4A45" w:rsidP="00DA7009">
      <w:pPr>
        <w:spacing w:line="360" w:lineRule="auto"/>
        <w:rPr>
          <w:rFonts w:ascii="Arial" w:hAnsi="Arial" w:cs="Arial"/>
          <w:sz w:val="22"/>
          <w:szCs w:val="22"/>
        </w:rPr>
      </w:pPr>
    </w:p>
    <w:p w14:paraId="7A91EA76" w14:textId="77777777" w:rsidR="00AD4A45" w:rsidRPr="00DA7009" w:rsidRDefault="00AD4A45" w:rsidP="00DA7009">
      <w:pPr>
        <w:spacing w:line="360" w:lineRule="auto"/>
        <w:rPr>
          <w:rFonts w:ascii="Arial" w:hAnsi="Arial" w:cs="Arial"/>
          <w:sz w:val="22"/>
          <w:szCs w:val="22"/>
        </w:rPr>
      </w:pPr>
    </w:p>
    <w:p w14:paraId="0E20411F" w14:textId="77777777" w:rsidR="00AD4A45" w:rsidRPr="00DA7009" w:rsidRDefault="00AD4A45" w:rsidP="00DA7009">
      <w:pPr>
        <w:spacing w:line="360" w:lineRule="auto"/>
        <w:rPr>
          <w:rFonts w:ascii="Arial" w:hAnsi="Arial" w:cs="Arial"/>
          <w:sz w:val="22"/>
          <w:szCs w:val="22"/>
        </w:rPr>
      </w:pPr>
    </w:p>
    <w:p w14:paraId="6AFE3802" w14:textId="77777777" w:rsidR="00AD4A45" w:rsidRPr="00DA7009" w:rsidRDefault="00AD4A45" w:rsidP="00DA7009">
      <w:pPr>
        <w:spacing w:line="360" w:lineRule="auto"/>
        <w:rPr>
          <w:rFonts w:ascii="Arial" w:hAnsi="Arial" w:cs="Arial"/>
          <w:sz w:val="22"/>
          <w:szCs w:val="22"/>
        </w:rPr>
      </w:pPr>
    </w:p>
    <w:p w14:paraId="60CEF52D" w14:textId="77777777" w:rsidR="00AD4A45" w:rsidRPr="00DA7009" w:rsidRDefault="00AD4A45" w:rsidP="00DA7009">
      <w:pPr>
        <w:spacing w:line="360" w:lineRule="auto"/>
        <w:rPr>
          <w:rFonts w:ascii="Arial" w:hAnsi="Arial" w:cs="Arial"/>
          <w:sz w:val="22"/>
          <w:szCs w:val="22"/>
        </w:rPr>
      </w:pPr>
    </w:p>
    <w:p w14:paraId="1488871E" w14:textId="0553F3E3" w:rsidR="00F87C27" w:rsidRPr="00723DDC" w:rsidRDefault="00E051A3" w:rsidP="00723DDC">
      <w:pPr>
        <w:spacing w:line="360" w:lineRule="auto"/>
        <w:jc w:val="center"/>
        <w:rPr>
          <w:rFonts w:ascii="Arial" w:hAnsi="Arial" w:cs="Arial"/>
          <w:sz w:val="28"/>
          <w:szCs w:val="28"/>
        </w:rPr>
      </w:pPr>
      <w:r w:rsidRPr="00723DDC">
        <w:rPr>
          <w:rFonts w:ascii="Arial" w:hAnsi="Arial" w:cs="Arial"/>
          <w:sz w:val="28"/>
          <w:szCs w:val="28"/>
        </w:rPr>
        <w:lastRenderedPageBreak/>
        <w:t>I</w:t>
      </w:r>
      <w:r w:rsidR="00F87C27" w:rsidRPr="00723DDC">
        <w:rPr>
          <w:rFonts w:ascii="Arial" w:hAnsi="Arial" w:cs="Arial"/>
          <w:sz w:val="28"/>
          <w:szCs w:val="28"/>
        </w:rPr>
        <w:t>NTRODUCTION</w:t>
      </w:r>
    </w:p>
    <w:p w14:paraId="4BF6F2BC" w14:textId="77777777" w:rsidR="00E051A3" w:rsidRPr="00DA7009" w:rsidRDefault="00E051A3" w:rsidP="007D75E9">
      <w:pPr>
        <w:spacing w:line="360" w:lineRule="auto"/>
        <w:ind w:firstLine="720"/>
        <w:rPr>
          <w:rFonts w:ascii="Arial" w:hAnsi="Arial" w:cs="Arial"/>
          <w:sz w:val="22"/>
          <w:szCs w:val="22"/>
        </w:rPr>
      </w:pP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has grown rapidly in recent years, expanding its network of physical stores while developing a strong online presence. This growth has placed increasing pressure on the company’s ageing information systems, which were never designed to support operations at this scale. Tasks that should be routine—checking stock, confirming orders, or reviewing sales performance—often take longer than they should because information is stored across several disconnected tools. As Laudon and Laudon (2024) note, organisations relying on fragmented systems struggle to maintain accuracy, efficiency and strategic oversight.</w:t>
      </w:r>
    </w:p>
    <w:p w14:paraId="5BCB062A"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These weaknesses are already visible in daily operations. Stock figures frequently fail to match reality, customer information is incomplete or inconsistent, and managers often rely on outdated spreadsheets when making decisions. The lack of secure, centralised data management also raises ethical concerns, particularly around GDPR compliance and the risk of data being mishandled. Moreover, maintaining outdated systems increases the organisation’s digital carbon footprint, which is becoming more important as sustainability expectations rise.</w:t>
      </w:r>
    </w:p>
    <w:p w14:paraId="16B85A5E"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With competition intensifying in the retail electronics sector,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more integrated and reliable information environment to support its future direction. This report therefore evaluates the company’s existing systems, identifies the most significant gaps, compares suitable technological solutions, and recommends a system architecture that can improve efficiency, strengthen governance and enable long-term growth.</w:t>
      </w:r>
    </w:p>
    <w:p w14:paraId="1755E799" w14:textId="77777777" w:rsidR="00E051A3" w:rsidRPr="00DA7009" w:rsidRDefault="00E051A3" w:rsidP="00DA7009">
      <w:pPr>
        <w:spacing w:line="360" w:lineRule="auto"/>
        <w:rPr>
          <w:rFonts w:ascii="Arial" w:hAnsi="Arial" w:cs="Arial"/>
          <w:sz w:val="22"/>
          <w:szCs w:val="22"/>
        </w:rPr>
      </w:pPr>
    </w:p>
    <w:p w14:paraId="26AAC872" w14:textId="77777777" w:rsidR="00E051A3" w:rsidRPr="00DA7009" w:rsidRDefault="00E051A3" w:rsidP="00DA7009">
      <w:pPr>
        <w:spacing w:line="360" w:lineRule="auto"/>
        <w:rPr>
          <w:rFonts w:ascii="Arial" w:hAnsi="Arial" w:cs="Arial"/>
          <w:sz w:val="22"/>
          <w:szCs w:val="22"/>
        </w:rPr>
      </w:pPr>
    </w:p>
    <w:p w14:paraId="0C91D3EE" w14:textId="77777777" w:rsidR="00E051A3" w:rsidRPr="00DA7009" w:rsidRDefault="00E051A3" w:rsidP="00DA7009">
      <w:pPr>
        <w:spacing w:line="360" w:lineRule="auto"/>
        <w:rPr>
          <w:rFonts w:ascii="Arial" w:hAnsi="Arial" w:cs="Arial"/>
          <w:sz w:val="22"/>
          <w:szCs w:val="22"/>
        </w:rPr>
      </w:pPr>
    </w:p>
    <w:p w14:paraId="21292215" w14:textId="77777777" w:rsidR="00E051A3" w:rsidRPr="00DA7009" w:rsidRDefault="00E051A3" w:rsidP="00DA7009">
      <w:pPr>
        <w:spacing w:line="360" w:lineRule="auto"/>
        <w:rPr>
          <w:rFonts w:ascii="Arial" w:hAnsi="Arial" w:cs="Arial"/>
          <w:sz w:val="22"/>
          <w:szCs w:val="22"/>
        </w:rPr>
      </w:pPr>
    </w:p>
    <w:p w14:paraId="12B89E97" w14:textId="77777777" w:rsidR="00E051A3" w:rsidRPr="00DA7009" w:rsidRDefault="00E051A3" w:rsidP="00DA7009">
      <w:pPr>
        <w:spacing w:line="360" w:lineRule="auto"/>
        <w:rPr>
          <w:rFonts w:ascii="Arial" w:hAnsi="Arial" w:cs="Arial"/>
          <w:sz w:val="22"/>
          <w:szCs w:val="22"/>
        </w:rPr>
      </w:pPr>
    </w:p>
    <w:p w14:paraId="19F51E8A" w14:textId="77777777" w:rsidR="00E051A3" w:rsidRPr="00DA7009" w:rsidRDefault="00E051A3" w:rsidP="00DA7009">
      <w:pPr>
        <w:spacing w:line="360" w:lineRule="auto"/>
        <w:rPr>
          <w:rFonts w:ascii="Arial" w:hAnsi="Arial" w:cs="Arial"/>
          <w:sz w:val="22"/>
          <w:szCs w:val="22"/>
        </w:rPr>
      </w:pPr>
    </w:p>
    <w:p w14:paraId="2980AC97" w14:textId="77777777" w:rsidR="00E051A3" w:rsidRPr="00DA7009" w:rsidRDefault="00E051A3" w:rsidP="00DA7009">
      <w:pPr>
        <w:spacing w:line="360" w:lineRule="auto"/>
        <w:rPr>
          <w:rFonts w:ascii="Arial" w:hAnsi="Arial" w:cs="Arial"/>
          <w:sz w:val="22"/>
          <w:szCs w:val="22"/>
        </w:rPr>
      </w:pPr>
    </w:p>
    <w:p w14:paraId="213E7DF6" w14:textId="77777777" w:rsidR="00E051A3" w:rsidRPr="00DA7009" w:rsidRDefault="00E051A3" w:rsidP="00DA7009">
      <w:pPr>
        <w:spacing w:line="360" w:lineRule="auto"/>
        <w:rPr>
          <w:rFonts w:ascii="Arial" w:hAnsi="Arial" w:cs="Arial"/>
          <w:sz w:val="22"/>
          <w:szCs w:val="22"/>
        </w:rPr>
      </w:pPr>
    </w:p>
    <w:p w14:paraId="001CE993" w14:textId="77777777" w:rsidR="00DA7009" w:rsidRPr="00DA7009" w:rsidRDefault="00DA7009" w:rsidP="00DA7009">
      <w:pPr>
        <w:spacing w:line="360" w:lineRule="auto"/>
        <w:rPr>
          <w:rFonts w:ascii="Arial" w:hAnsi="Arial" w:cs="Arial"/>
          <w:sz w:val="22"/>
          <w:szCs w:val="22"/>
        </w:rPr>
      </w:pPr>
    </w:p>
    <w:p w14:paraId="3B9D8FE7" w14:textId="77777777" w:rsidR="00DA7009" w:rsidRDefault="00DA7009" w:rsidP="00DA7009">
      <w:pPr>
        <w:spacing w:line="360" w:lineRule="auto"/>
        <w:rPr>
          <w:rFonts w:ascii="Arial" w:hAnsi="Arial" w:cs="Arial"/>
          <w:sz w:val="22"/>
          <w:szCs w:val="22"/>
        </w:rPr>
      </w:pPr>
    </w:p>
    <w:p w14:paraId="3079AF0A" w14:textId="74960DD5" w:rsidR="00F87C27" w:rsidRPr="00723DDC" w:rsidRDefault="00F87C27" w:rsidP="00723DDC">
      <w:pPr>
        <w:spacing w:line="360" w:lineRule="auto"/>
        <w:jc w:val="center"/>
        <w:rPr>
          <w:rFonts w:ascii="Arial" w:hAnsi="Arial" w:cs="Arial"/>
          <w:sz w:val="28"/>
          <w:szCs w:val="28"/>
        </w:rPr>
      </w:pPr>
      <w:r w:rsidRPr="00723DDC">
        <w:rPr>
          <w:rFonts w:ascii="Arial" w:hAnsi="Arial" w:cs="Arial"/>
          <w:sz w:val="28"/>
          <w:szCs w:val="28"/>
        </w:rPr>
        <w:lastRenderedPageBreak/>
        <w:t>2. Evaluation of Existing Systems</w:t>
      </w:r>
    </w:p>
    <w:p w14:paraId="099E9D31"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2.1 Analysis of the Current Information Systems in Place</w:t>
      </w:r>
    </w:p>
    <w:p w14:paraId="25012058" w14:textId="77777777" w:rsidR="00E051A3" w:rsidRPr="00DA7009" w:rsidRDefault="00E051A3" w:rsidP="007D75E9">
      <w:pPr>
        <w:spacing w:line="360" w:lineRule="auto"/>
        <w:ind w:firstLine="720"/>
        <w:rPr>
          <w:rFonts w:ascii="Arial" w:hAnsi="Arial" w:cs="Arial"/>
          <w:sz w:val="22"/>
          <w:szCs w:val="22"/>
        </w:rPr>
      </w:pP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currently relies on a patchwork of older systems that were suitable when the company operated on a smaller scale but now limit visibility and coordination. Much of the operational work still takes place in spreadsheets or store-level applications, which update inventory manually and often with delays. This creates a situation where the e-commerce platform, physical stores and head office work from data that is not aligned. In terms of the Information Quality Framework, the organisation struggles with three core attributes: accuracy, timeliness, and completeness, all of which directly affect decision-making.</w:t>
      </w:r>
    </w:p>
    <w:p w14:paraId="374284A5"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Customer information is equally fragmented. Data is spread across email tools, in-store notes, and online accounts, with no central system capable of presenting a full customer history. This lack of integration also weakens the company’s ability to evaluate system effectiveness using the </w:t>
      </w:r>
      <w:proofErr w:type="spellStart"/>
      <w:r w:rsidRPr="00DA7009">
        <w:rPr>
          <w:rFonts w:ascii="Arial" w:hAnsi="Arial" w:cs="Arial"/>
          <w:sz w:val="22"/>
          <w:szCs w:val="22"/>
        </w:rPr>
        <w:t>DeLone</w:t>
      </w:r>
      <w:proofErr w:type="spellEnd"/>
      <w:r w:rsidRPr="00DA7009">
        <w:rPr>
          <w:rFonts w:ascii="Arial" w:hAnsi="Arial" w:cs="Arial"/>
          <w:sz w:val="22"/>
          <w:szCs w:val="22"/>
        </w:rPr>
        <w:t xml:space="preserve"> and McLean IS Success Model, particularly in the areas of </w:t>
      </w:r>
      <w:r w:rsidRPr="00DA7009">
        <w:rPr>
          <w:rFonts w:ascii="Arial" w:hAnsi="Arial" w:cs="Arial"/>
          <w:i/>
          <w:iCs/>
          <w:sz w:val="22"/>
          <w:szCs w:val="22"/>
        </w:rPr>
        <w:t>system quality</w:t>
      </w:r>
      <w:r w:rsidRPr="00DA7009">
        <w:rPr>
          <w:rFonts w:ascii="Arial" w:hAnsi="Arial" w:cs="Arial"/>
          <w:sz w:val="22"/>
          <w:szCs w:val="22"/>
        </w:rPr>
        <w:t> and </w:t>
      </w:r>
      <w:r w:rsidRPr="00DA7009">
        <w:rPr>
          <w:rFonts w:ascii="Arial" w:hAnsi="Arial" w:cs="Arial"/>
          <w:i/>
          <w:iCs/>
          <w:sz w:val="22"/>
          <w:szCs w:val="22"/>
        </w:rPr>
        <w:t>information quality</w:t>
      </w:r>
      <w:r w:rsidRPr="00DA7009">
        <w:rPr>
          <w:rFonts w:ascii="Arial" w:hAnsi="Arial" w:cs="Arial"/>
          <w:sz w:val="22"/>
          <w:szCs w:val="22"/>
        </w:rPr>
        <w:t>. Reporting processes add further strain. Managers frequently rely on retrospective spreadsheets that are manually assembled, which slows the pace of decision-making and increases the risk of human error.</w:t>
      </w:r>
    </w:p>
    <w:p w14:paraId="0DE77C05" w14:textId="77777777" w:rsidR="00E051A3" w:rsidRDefault="00E051A3" w:rsidP="007D75E9">
      <w:pPr>
        <w:spacing w:line="360" w:lineRule="auto"/>
        <w:ind w:firstLine="720"/>
        <w:rPr>
          <w:rFonts w:ascii="Arial" w:hAnsi="Arial" w:cs="Arial"/>
          <w:sz w:val="22"/>
          <w:szCs w:val="22"/>
        </w:rPr>
      </w:pPr>
      <w:r w:rsidRPr="00DA7009">
        <w:rPr>
          <w:rFonts w:ascii="Arial" w:hAnsi="Arial" w:cs="Arial"/>
          <w:sz w:val="22"/>
          <w:szCs w:val="22"/>
        </w:rPr>
        <w:t>This disconnected system landscape still functions, but it no longer supports efficient work, collaborative processes or informed managerial oversight. Additionally, outdated systems typically consume more energy and generate more e-waste in the long term, making them less sustainable and cost-efficient.</w:t>
      </w:r>
    </w:p>
    <w:p w14:paraId="6D6BA81C" w14:textId="77777777" w:rsidR="00F47EF3" w:rsidRPr="00DA7009" w:rsidRDefault="00F47EF3" w:rsidP="007D75E9">
      <w:pPr>
        <w:spacing w:line="360" w:lineRule="auto"/>
        <w:ind w:firstLine="720"/>
        <w:rPr>
          <w:rFonts w:ascii="Arial" w:hAnsi="Arial" w:cs="Arial"/>
          <w:sz w:val="22"/>
          <w:szCs w:val="22"/>
        </w:rPr>
      </w:pPr>
    </w:p>
    <w:p w14:paraId="44E5E012"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2.2 Identification of Inefficiencies and Gaps</w:t>
      </w:r>
    </w:p>
    <w:p w14:paraId="41D1F2A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fragmentation described above results in several significant operational and strategic gaps. Most obvious is the limited real-time visibility of stock levels. Without automated inventory synchronisation, stores experience stock discrepancies and delayed fulfilment, both of which damage customer satisfaction and complicate forecasting.</w:t>
      </w:r>
    </w:p>
    <w:p w14:paraId="2E578C0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CRM environment presents another challenge. Because customer information is scattered across different systems, staff cannot access a complete profile or easily track previous interactions. This leads to slower complaint handling, less personalised service and ineffective marketing.</w:t>
      </w:r>
    </w:p>
    <w:p w14:paraId="6FA480D9"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Manual reporting is a third major issue. When key insights depend on human compilation, reports arrive late and sometimes contain errors. Managers therefore work with </w:t>
      </w:r>
      <w:r w:rsidRPr="00DA7009">
        <w:rPr>
          <w:rFonts w:ascii="Arial" w:hAnsi="Arial" w:cs="Arial"/>
          <w:sz w:val="22"/>
          <w:szCs w:val="22"/>
        </w:rPr>
        <w:lastRenderedPageBreak/>
        <w:t>partial or outdated information, which weakens their ability to plan confidently and respond to market changes.</w:t>
      </w:r>
    </w:p>
    <w:p w14:paraId="14EFF28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Finally, the organisation faces ethical and compliance risks. Weak data governance—especially inconsistent retention practices and unclear access controls—creates vulnerabilities under GDPR. Outdated systems may also store data longer than necessary, increasing exposure to breaches.</w:t>
      </w:r>
    </w:p>
    <w:p w14:paraId="5437FBE2"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Taken together, these gaps reduce efficiency, limit strategic clarity and restrict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ability to grow sustainably.</w:t>
      </w:r>
    </w:p>
    <w:p w14:paraId="1BE6F05B" w14:textId="77777777" w:rsidR="00F47EF3" w:rsidRDefault="00F47EF3" w:rsidP="00723DDC">
      <w:pPr>
        <w:spacing w:line="360" w:lineRule="auto"/>
        <w:jc w:val="center"/>
        <w:rPr>
          <w:rFonts w:ascii="Arial" w:hAnsi="Arial" w:cs="Arial"/>
          <w:sz w:val="22"/>
          <w:szCs w:val="22"/>
        </w:rPr>
      </w:pPr>
    </w:p>
    <w:p w14:paraId="0C030BBE" w14:textId="2831DC8E"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t>3</w:t>
      </w:r>
      <w:r w:rsidR="00723DDC">
        <w:rPr>
          <w:rFonts w:ascii="Arial" w:hAnsi="Arial" w:cs="Arial"/>
          <w:sz w:val="28"/>
          <w:szCs w:val="28"/>
        </w:rPr>
        <w:t xml:space="preserve">. </w:t>
      </w:r>
      <w:r w:rsidRPr="00723DDC">
        <w:rPr>
          <w:rFonts w:ascii="Arial" w:hAnsi="Arial" w:cs="Arial"/>
          <w:sz w:val="28"/>
          <w:szCs w:val="28"/>
        </w:rPr>
        <w:t>RECOMMENDED SOLUTION</w:t>
      </w:r>
    </w:p>
    <w:p w14:paraId="75949EDA"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3.1 Proposal of a Suitable New or Upgraded Information System</w:t>
      </w:r>
    </w:p>
    <w:p w14:paraId="619F0DE0"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To overcome its current limitations,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system environment that delivers reliable data, supports quick decision-making and reduces the daily friction caused by fragmented tools. A dual-system architecture—introducing SAP S/4HANA as the organisation’s core ERP and Salesforce as the central CRM—provides a practical and scalable solution. Each platform serves a different set of business needs, yet together they create an integrated digital backbone that removes duplication, improves visibility and supports sustainable growth. The cloud-based nature of both systems also reduces reliance on physical servers, lowering energy consumption and aligning with wider sustainability expectations.</w:t>
      </w:r>
    </w:p>
    <w:p w14:paraId="2DE42DCE"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SAP S/4HANA would replace the company’s manual and inconsistent operational processes. Real-time inventory tracking, automated workflows and integrated financial management would give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a single, trusted picture of stock, sales and operational performance across every store and online channel. At the same time, Salesforce would consolidate scattered customer information into one accessible system, enabling personalised communication, faster customer-service responses and more effective data-driven marketing. By preventing data silos, Salesforce also strengthens GDPR compliance by improving how customer data is stored, accessed and monitored.</w:t>
      </w:r>
    </w:p>
    <w:p w14:paraId="25BE131A" w14:textId="58BA6DF3" w:rsidR="00E051A3" w:rsidRPr="00DA7009" w:rsidRDefault="00E051A3" w:rsidP="00DA7009">
      <w:pPr>
        <w:spacing w:line="360" w:lineRule="auto"/>
        <w:rPr>
          <w:rFonts w:ascii="Arial" w:hAnsi="Arial" w:cs="Arial"/>
          <w:sz w:val="22"/>
          <w:szCs w:val="22"/>
        </w:rPr>
      </w:pPr>
    </w:p>
    <w:p w14:paraId="72797249" w14:textId="77777777" w:rsidR="00F47EF3" w:rsidRDefault="00F47EF3" w:rsidP="00DA7009">
      <w:pPr>
        <w:spacing w:line="360" w:lineRule="auto"/>
        <w:rPr>
          <w:rFonts w:ascii="Arial" w:hAnsi="Arial" w:cs="Arial"/>
          <w:sz w:val="22"/>
          <w:szCs w:val="22"/>
        </w:rPr>
      </w:pPr>
    </w:p>
    <w:p w14:paraId="55C212E1" w14:textId="77777777" w:rsidR="00F47EF3" w:rsidRDefault="00F47EF3" w:rsidP="00DA7009">
      <w:pPr>
        <w:spacing w:line="360" w:lineRule="auto"/>
        <w:rPr>
          <w:rFonts w:ascii="Arial" w:hAnsi="Arial" w:cs="Arial"/>
          <w:sz w:val="22"/>
          <w:szCs w:val="22"/>
        </w:rPr>
      </w:pPr>
    </w:p>
    <w:p w14:paraId="6EB6B483" w14:textId="77777777" w:rsidR="00F47EF3" w:rsidRDefault="00F47EF3" w:rsidP="00DA7009">
      <w:pPr>
        <w:spacing w:line="360" w:lineRule="auto"/>
        <w:rPr>
          <w:rFonts w:ascii="Arial" w:hAnsi="Arial" w:cs="Arial"/>
          <w:sz w:val="22"/>
          <w:szCs w:val="22"/>
        </w:rPr>
      </w:pPr>
    </w:p>
    <w:p w14:paraId="07EF8911" w14:textId="115B180F"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lastRenderedPageBreak/>
        <w:t>3.2 Justification Based on Business Needs, Efficiency, Cost and Scalability</w:t>
      </w:r>
    </w:p>
    <w:p w14:paraId="0B6A02A2"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SAP S/4HANA directly addresses the organisation’s operational challenges by automating repetitive tasks, improving data accuracy and supporting advanced forecasting. Across the retail sector, modern ERP systems have shown measurable benefits: reduced stock losses, more predictable supply-chain planning and lower operational costs. Salesforce complements this by providing a complete customer view that enables stronger retention and more meaningful engagement.</w:t>
      </w:r>
    </w:p>
    <w:p w14:paraId="7CF3AFD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Both platforms scale easily as the company expands stores, product ranges or regions. Although the initial investment is higher than alternatives such as Microsoft Dynamics 365 or Oracle NetSuite, the SAP–Salesforce combination offers deeper analytics capability, stronger integration options and a more secure compliance environment. Because of this, the long-term value outweighs the cost difference. Their combined cloud-based structure also ensures lower maintenance and faster updates, creating a more future-proof solution.</w:t>
      </w:r>
    </w:p>
    <w:p w14:paraId="2BAD53F3"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adoption process aligns well with the Technology Acceptance Model (TAM), as both systems are designed with intuitive interfaces, reducing user resistance and increasing the perceived usefulness and ease of use—two key determinants of successful system adoption.</w:t>
      </w:r>
    </w:p>
    <w:p w14:paraId="773054D0"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3.3 How the System Will Improve Operations, Data Management and Decision-Making</w:t>
      </w:r>
    </w:p>
    <w:p w14:paraId="1432ACE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integration of SAP S/4HANA and Salesforce creates a unified information ecosystem where data flows smoothly between operational and customer-facing functions. Stock updates in SAP appear instantly in Salesforce, enabling service teams to give accurate information without depending on manual checks. Customer insights generated in Salesforce can then feed into SAP’s demand-planning tools, resulting in better forecasting and more efficient stock allocation. This reduces waste, helps prevent over-ordering and contributes to more sustainable inventory management.</w:t>
      </w:r>
    </w:p>
    <w:p w14:paraId="772088D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For decision-makers, the change is substantial. Instead of waiting for manually prepared spreadsheets, managers gain access to live dashboards that display trends in sales, financial performance, operational efficiency and customer behaviour. Decisions that previously required several days of data gathering can now be made quickly and confidently. Beyond the technical improvements, the combined system strengthens organisational capability by clarifying processes, improving accountability and supporting a culture of data-driven practice.</w:t>
      </w:r>
    </w:p>
    <w:p w14:paraId="26848A44" w14:textId="45B92799" w:rsidR="002E3F82" w:rsidRDefault="002E3F82" w:rsidP="002E3F82">
      <w:pPr>
        <w:spacing w:line="360" w:lineRule="auto"/>
        <w:rPr>
          <w:rFonts w:ascii="Arial" w:hAnsi="Arial" w:cs="Arial"/>
          <w:sz w:val="22"/>
          <w:szCs w:val="22"/>
        </w:rPr>
      </w:pPr>
    </w:p>
    <w:p w14:paraId="1CE0AF3B" w14:textId="78887885" w:rsidR="002E3F82" w:rsidRDefault="002E3F82" w:rsidP="007D75E9">
      <w:pPr>
        <w:spacing w:line="360" w:lineRule="auto"/>
        <w:ind w:firstLine="720"/>
        <w:rPr>
          <w:rFonts w:ascii="Arial" w:hAnsi="Arial" w:cs="Arial"/>
          <w:sz w:val="22"/>
          <w:szCs w:val="22"/>
        </w:rPr>
      </w:pPr>
      <w:r w:rsidRPr="00DA7009">
        <w:rPr>
          <w:rFonts w:ascii="Arial" w:hAnsi="Arial" w:cs="Arial"/>
          <w:sz w:val="22"/>
          <w:szCs w:val="22"/>
        </w:rPr>
        <w:lastRenderedPageBreak/>
        <w:t xml:space="preserve">3.4 VRIN Framework Analysis </w:t>
      </w:r>
    </w:p>
    <w:p w14:paraId="362F69CA" w14:textId="2A5F1621"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Over time, the dual-platform environment evolves into a strategic asset. It improves the reliability of information, reduces operational risk and positions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to compete effectively in a sector where responsiveness and customer insight increasingly determine long-term success.</w:t>
      </w:r>
    </w:p>
    <w:p w14:paraId="53FA4C9D" w14:textId="1D1FC35A" w:rsidR="00E051A3" w:rsidRPr="00DA7009" w:rsidRDefault="00E051A3" w:rsidP="00DA7009">
      <w:pPr>
        <w:spacing w:line="360" w:lineRule="auto"/>
        <w:rPr>
          <w:rFonts w:ascii="Arial" w:hAnsi="Arial" w:cs="Arial"/>
          <w:sz w:val="22"/>
          <w:szCs w:val="22"/>
        </w:rPr>
      </w:pPr>
    </w:p>
    <w:p w14:paraId="445A01E5" w14:textId="05BB3FF4" w:rsidR="00E051A3" w:rsidRDefault="00473472" w:rsidP="00DA7009">
      <w:pPr>
        <w:spacing w:line="360" w:lineRule="auto"/>
        <w:rPr>
          <w:rFonts w:ascii="Arial" w:hAnsi="Arial" w:cs="Arial"/>
          <w:sz w:val="22"/>
          <w:szCs w:val="22"/>
        </w:rPr>
      </w:pPr>
      <w:r w:rsidRPr="00473472">
        <w:rPr>
          <w:rFonts w:ascii="Arial" w:hAnsi="Arial" w:cs="Arial"/>
          <w:sz w:val="22"/>
          <w:szCs w:val="22"/>
        </w:rPr>
        <w:t>Table 1. VRIN Analysis</w:t>
      </w:r>
    </w:p>
    <w:tbl>
      <w:tblPr>
        <w:tblStyle w:val="TableGrid"/>
        <w:tblpPr w:leftFromText="180" w:rightFromText="180" w:vertAnchor="text" w:tblpY="-45"/>
        <w:tblW w:w="0" w:type="auto"/>
        <w:tblLook w:val="04A0" w:firstRow="1" w:lastRow="0" w:firstColumn="1" w:lastColumn="0" w:noHBand="0" w:noVBand="1"/>
      </w:tblPr>
      <w:tblGrid>
        <w:gridCol w:w="2122"/>
        <w:gridCol w:w="6894"/>
      </w:tblGrid>
      <w:tr w:rsidR="00A97C63" w14:paraId="20B935B9" w14:textId="77777777" w:rsidTr="00A97C63">
        <w:tc>
          <w:tcPr>
            <w:tcW w:w="2122" w:type="dxa"/>
          </w:tcPr>
          <w:p w14:paraId="6245D3B8"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VRIN Element</w:t>
            </w:r>
          </w:p>
        </w:tc>
        <w:tc>
          <w:tcPr>
            <w:tcW w:w="6894" w:type="dxa"/>
          </w:tcPr>
          <w:p w14:paraId="2BD836C0" w14:textId="781693EE" w:rsidR="00A97C63" w:rsidRDefault="00A97C63" w:rsidP="00A97C63">
            <w:pPr>
              <w:spacing w:line="360" w:lineRule="auto"/>
              <w:rPr>
                <w:rFonts w:ascii="Arial" w:hAnsi="Arial" w:cs="Arial"/>
                <w:sz w:val="22"/>
                <w:szCs w:val="22"/>
              </w:rPr>
            </w:pPr>
            <w:r w:rsidRPr="00DA7009">
              <w:rPr>
                <w:rFonts w:ascii="Arial" w:hAnsi="Arial" w:cs="Arial"/>
                <w:sz w:val="22"/>
                <w:szCs w:val="22"/>
              </w:rPr>
              <w:t>How SAP + Salesforce Supports It</w:t>
            </w:r>
          </w:p>
        </w:tc>
      </w:tr>
      <w:tr w:rsidR="00A97C63" w14:paraId="2F118243" w14:textId="77777777" w:rsidTr="00A97C63">
        <w:tc>
          <w:tcPr>
            <w:tcW w:w="2122" w:type="dxa"/>
          </w:tcPr>
          <w:p w14:paraId="7C4EC91A"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Valuable</w:t>
            </w:r>
          </w:p>
        </w:tc>
        <w:tc>
          <w:tcPr>
            <w:tcW w:w="6894" w:type="dxa"/>
          </w:tcPr>
          <w:p w14:paraId="7585F4E9" w14:textId="3612ADD8" w:rsidR="00A97C63" w:rsidRDefault="00A97C63" w:rsidP="00A97C63">
            <w:pPr>
              <w:spacing w:line="360" w:lineRule="auto"/>
              <w:rPr>
                <w:rFonts w:ascii="Arial" w:hAnsi="Arial" w:cs="Arial"/>
                <w:sz w:val="22"/>
                <w:szCs w:val="22"/>
              </w:rPr>
            </w:pPr>
            <w:r w:rsidRPr="00DA7009">
              <w:rPr>
                <w:rFonts w:ascii="Arial" w:hAnsi="Arial" w:cs="Arial"/>
                <w:sz w:val="22"/>
                <w:szCs w:val="22"/>
              </w:rPr>
              <w:t>Reliable, real-time data enhances decision-making and overall efficiency.</w:t>
            </w:r>
          </w:p>
        </w:tc>
      </w:tr>
      <w:tr w:rsidR="00A97C63" w14:paraId="262B55AB" w14:textId="77777777" w:rsidTr="00A97C63">
        <w:tc>
          <w:tcPr>
            <w:tcW w:w="2122" w:type="dxa"/>
          </w:tcPr>
          <w:p w14:paraId="4DBF024E"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Rare</w:t>
            </w:r>
          </w:p>
        </w:tc>
        <w:tc>
          <w:tcPr>
            <w:tcW w:w="6894" w:type="dxa"/>
          </w:tcPr>
          <w:p w14:paraId="33C84C7E" w14:textId="5F82B23E" w:rsidR="00A97C63" w:rsidRDefault="00A97C63" w:rsidP="00A97C63">
            <w:pPr>
              <w:spacing w:line="360" w:lineRule="auto"/>
              <w:rPr>
                <w:rFonts w:ascii="Arial" w:hAnsi="Arial" w:cs="Arial"/>
                <w:sz w:val="22"/>
                <w:szCs w:val="22"/>
              </w:rPr>
            </w:pPr>
            <w:r w:rsidRPr="00DA7009">
              <w:rPr>
                <w:rFonts w:ascii="Arial" w:hAnsi="Arial" w:cs="Arial"/>
                <w:sz w:val="22"/>
                <w:szCs w:val="22"/>
              </w:rPr>
              <w:t xml:space="preserve">Few mid-market retailers invest in both systems, giving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a differentiation advantage.</w:t>
            </w:r>
          </w:p>
        </w:tc>
      </w:tr>
      <w:tr w:rsidR="00A97C63" w14:paraId="2E1F7465" w14:textId="77777777" w:rsidTr="00A97C63">
        <w:tc>
          <w:tcPr>
            <w:tcW w:w="2122" w:type="dxa"/>
          </w:tcPr>
          <w:p w14:paraId="67823711"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Inimitable</w:t>
            </w:r>
          </w:p>
        </w:tc>
        <w:tc>
          <w:tcPr>
            <w:tcW w:w="6894" w:type="dxa"/>
          </w:tcPr>
          <w:p w14:paraId="09877EFD" w14:textId="6ECC3AD8" w:rsidR="00A97C63" w:rsidRDefault="00A97C63" w:rsidP="00A97C63">
            <w:pPr>
              <w:spacing w:line="360" w:lineRule="auto"/>
              <w:rPr>
                <w:rFonts w:ascii="Arial" w:hAnsi="Arial" w:cs="Arial"/>
                <w:sz w:val="22"/>
                <w:szCs w:val="22"/>
              </w:rPr>
            </w:pPr>
            <w:r w:rsidRPr="00DA7009">
              <w:rPr>
                <w:rFonts w:ascii="Arial" w:hAnsi="Arial" w:cs="Arial"/>
                <w:sz w:val="22"/>
                <w:szCs w:val="22"/>
              </w:rPr>
              <w:t>Custom processes and integrated analytics are difficult for competitors to copy.</w:t>
            </w:r>
          </w:p>
        </w:tc>
      </w:tr>
      <w:tr w:rsidR="00A97C63" w14:paraId="3DB3A290" w14:textId="77777777" w:rsidTr="00B20A08">
        <w:tc>
          <w:tcPr>
            <w:tcW w:w="2122" w:type="dxa"/>
          </w:tcPr>
          <w:p w14:paraId="07C12149"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Non-substitutable</w:t>
            </w:r>
          </w:p>
        </w:tc>
        <w:tc>
          <w:tcPr>
            <w:tcW w:w="6894" w:type="dxa"/>
            <w:vAlign w:val="center"/>
          </w:tcPr>
          <w:p w14:paraId="172691CA" w14:textId="3DE52693" w:rsidR="00A97C63" w:rsidRDefault="00A97C63" w:rsidP="00A97C63">
            <w:pPr>
              <w:spacing w:line="360" w:lineRule="auto"/>
              <w:rPr>
                <w:rFonts w:ascii="Arial" w:hAnsi="Arial" w:cs="Arial"/>
                <w:sz w:val="22"/>
                <w:szCs w:val="22"/>
              </w:rPr>
            </w:pPr>
            <w:r w:rsidRPr="00DA7009">
              <w:rPr>
                <w:rFonts w:ascii="Arial" w:hAnsi="Arial" w:cs="Arial"/>
                <w:sz w:val="22"/>
                <w:szCs w:val="22"/>
              </w:rPr>
              <w:t>No single platform can match the combined operational depth and customer insight offered by both systems.</w:t>
            </w:r>
          </w:p>
        </w:tc>
      </w:tr>
    </w:tbl>
    <w:p w14:paraId="181131A3" w14:textId="77777777" w:rsidR="00A97C63" w:rsidRDefault="00A97C63" w:rsidP="00DA7009">
      <w:pPr>
        <w:spacing w:line="360" w:lineRule="auto"/>
        <w:rPr>
          <w:rFonts w:ascii="Arial" w:hAnsi="Arial" w:cs="Arial"/>
          <w:sz w:val="22"/>
          <w:szCs w:val="22"/>
        </w:rPr>
      </w:pPr>
    </w:p>
    <w:p w14:paraId="415D5532" w14:textId="77777777" w:rsidR="00F47EF3" w:rsidRDefault="00F47EF3" w:rsidP="00723DDC">
      <w:pPr>
        <w:spacing w:line="360" w:lineRule="auto"/>
        <w:jc w:val="center"/>
        <w:rPr>
          <w:rFonts w:ascii="Arial" w:hAnsi="Arial" w:cs="Arial"/>
          <w:sz w:val="22"/>
          <w:szCs w:val="22"/>
        </w:rPr>
      </w:pPr>
    </w:p>
    <w:p w14:paraId="06323558" w14:textId="7F0D6EB7"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t>4</w:t>
      </w:r>
      <w:r w:rsidR="00723DDC" w:rsidRPr="00723DDC">
        <w:rPr>
          <w:rFonts w:ascii="Arial" w:hAnsi="Arial" w:cs="Arial"/>
          <w:sz w:val="28"/>
          <w:szCs w:val="28"/>
        </w:rPr>
        <w:t xml:space="preserve">. </w:t>
      </w:r>
      <w:r w:rsidRPr="00723DDC">
        <w:rPr>
          <w:rFonts w:ascii="Arial" w:hAnsi="Arial" w:cs="Arial"/>
          <w:sz w:val="28"/>
          <w:szCs w:val="28"/>
        </w:rPr>
        <w:t>IMPLEMENTATION PLAN</w:t>
      </w:r>
    </w:p>
    <w:p w14:paraId="774AF9E6"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4.1 Steps for Implementing the New System (Phased Rollout)</w:t>
      </w:r>
    </w:p>
    <w:p w14:paraId="1261F16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Introducing SAP S/4HANA and Salesforce into a fast-paced retail environment like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structured rollout that balances ambition with operational stability. A phased approach—widely recommended in project-management frameworks such as PRINCE2 and the PMBOK Guide (2021)—helps reduce risks, maintain business continuity and give staff time to adapt. The goal is to deliver visible improvements early on, build momentum and gradually transition into deeper organisational change.</w:t>
      </w:r>
    </w:p>
    <w:p w14:paraId="5276D83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Salesforce should be implemented first. Customer-facing processes can be modernised quickly, and early wins—such as faster service responses and cleaner customer data—help build trust in the overall transformation. Once staff feel confident with the CRM and the company has a centralised customer dataset, SAP S/4HANA can follow. Deploying ERP second ensures that operational changes occur on top of a more stable information foundation. This sequencing also supports sustainability: cloud-based systems reduce reliance on older hardware and lower the organisation’s digital energy footprint.</w:t>
      </w:r>
    </w:p>
    <w:p w14:paraId="34513049"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lastRenderedPageBreak/>
        <w:t>The combined approach ensures that momentum is maintained while disruption is kept to a minimum.</w:t>
      </w:r>
    </w:p>
    <w:p w14:paraId="29B641DA" w14:textId="3288A3CF" w:rsidR="00E051A3" w:rsidRPr="00DA7009" w:rsidRDefault="00E051A3" w:rsidP="00DA7009">
      <w:pPr>
        <w:spacing w:line="360" w:lineRule="auto"/>
        <w:rPr>
          <w:rFonts w:ascii="Arial" w:hAnsi="Arial" w:cs="Arial"/>
          <w:sz w:val="22"/>
          <w:szCs w:val="22"/>
        </w:rPr>
      </w:pPr>
    </w:p>
    <w:p w14:paraId="50092029" w14:textId="45FCAA45" w:rsidR="00E051A3" w:rsidRDefault="00473472" w:rsidP="00DA7009">
      <w:pPr>
        <w:spacing w:line="360" w:lineRule="auto"/>
        <w:rPr>
          <w:rFonts w:ascii="Arial" w:hAnsi="Arial" w:cs="Arial"/>
          <w:sz w:val="22"/>
          <w:szCs w:val="22"/>
        </w:rPr>
      </w:pPr>
      <w:r w:rsidRPr="00473472">
        <w:rPr>
          <w:rFonts w:ascii="Arial" w:hAnsi="Arial" w:cs="Arial"/>
          <w:sz w:val="22"/>
          <w:szCs w:val="22"/>
        </w:rPr>
        <w:t>Table 2. Implementation Phases</w:t>
      </w:r>
    </w:p>
    <w:tbl>
      <w:tblPr>
        <w:tblStyle w:val="TableGrid"/>
        <w:tblW w:w="9016" w:type="dxa"/>
        <w:tblLook w:val="04A0" w:firstRow="1" w:lastRow="0" w:firstColumn="1" w:lastColumn="0" w:noHBand="0" w:noVBand="1"/>
      </w:tblPr>
      <w:tblGrid>
        <w:gridCol w:w="2254"/>
        <w:gridCol w:w="1569"/>
        <w:gridCol w:w="2939"/>
        <w:gridCol w:w="2254"/>
      </w:tblGrid>
      <w:tr w:rsidR="00F47EF3" w14:paraId="45779AA9" w14:textId="77777777" w:rsidTr="00F47EF3">
        <w:tc>
          <w:tcPr>
            <w:tcW w:w="2254" w:type="dxa"/>
            <w:vAlign w:val="center"/>
          </w:tcPr>
          <w:p w14:paraId="6F93F1F2" w14:textId="71E4E712" w:rsidR="00F47EF3" w:rsidRDefault="00F47EF3" w:rsidP="00F47EF3">
            <w:pPr>
              <w:spacing w:line="360" w:lineRule="auto"/>
              <w:rPr>
                <w:rFonts w:ascii="Arial" w:hAnsi="Arial" w:cs="Arial"/>
                <w:sz w:val="22"/>
                <w:szCs w:val="22"/>
              </w:rPr>
            </w:pPr>
            <w:r w:rsidRPr="00DA7009">
              <w:rPr>
                <w:rFonts w:ascii="Arial" w:hAnsi="Arial" w:cs="Arial"/>
                <w:sz w:val="22"/>
                <w:szCs w:val="22"/>
              </w:rPr>
              <w:t>Phase</w:t>
            </w:r>
          </w:p>
        </w:tc>
        <w:tc>
          <w:tcPr>
            <w:tcW w:w="1569" w:type="dxa"/>
            <w:vAlign w:val="center"/>
          </w:tcPr>
          <w:p w14:paraId="19B5B1CD" w14:textId="73F07EA4" w:rsidR="00F47EF3" w:rsidRDefault="00F47EF3" w:rsidP="00F47EF3">
            <w:pPr>
              <w:spacing w:line="360" w:lineRule="auto"/>
              <w:rPr>
                <w:rFonts w:ascii="Arial" w:hAnsi="Arial" w:cs="Arial"/>
                <w:sz w:val="22"/>
                <w:szCs w:val="22"/>
              </w:rPr>
            </w:pPr>
            <w:r w:rsidRPr="00DA7009">
              <w:rPr>
                <w:rFonts w:ascii="Arial" w:hAnsi="Arial" w:cs="Arial"/>
                <w:sz w:val="22"/>
                <w:szCs w:val="22"/>
              </w:rPr>
              <w:t>Duration</w:t>
            </w:r>
          </w:p>
        </w:tc>
        <w:tc>
          <w:tcPr>
            <w:tcW w:w="2939" w:type="dxa"/>
            <w:vAlign w:val="center"/>
          </w:tcPr>
          <w:p w14:paraId="6A72B3B3" w14:textId="6C374DCA" w:rsidR="00F47EF3" w:rsidRDefault="00F47EF3" w:rsidP="00F47EF3">
            <w:pPr>
              <w:spacing w:line="360" w:lineRule="auto"/>
              <w:rPr>
                <w:rFonts w:ascii="Arial" w:hAnsi="Arial" w:cs="Arial"/>
                <w:sz w:val="22"/>
                <w:szCs w:val="22"/>
              </w:rPr>
            </w:pPr>
            <w:r w:rsidRPr="00DA7009">
              <w:rPr>
                <w:rFonts w:ascii="Arial" w:hAnsi="Arial" w:cs="Arial"/>
                <w:sz w:val="22"/>
                <w:szCs w:val="22"/>
              </w:rPr>
              <w:t>Key Activities</w:t>
            </w:r>
          </w:p>
        </w:tc>
        <w:tc>
          <w:tcPr>
            <w:tcW w:w="2254" w:type="dxa"/>
            <w:vAlign w:val="center"/>
          </w:tcPr>
          <w:p w14:paraId="4D64DD00" w14:textId="20B03419" w:rsidR="00F47EF3" w:rsidRDefault="00F47EF3" w:rsidP="00F47EF3">
            <w:pPr>
              <w:spacing w:line="360" w:lineRule="auto"/>
              <w:rPr>
                <w:rFonts w:ascii="Arial" w:hAnsi="Arial" w:cs="Arial"/>
                <w:sz w:val="22"/>
                <w:szCs w:val="22"/>
              </w:rPr>
            </w:pPr>
            <w:r w:rsidRPr="00DA7009">
              <w:rPr>
                <w:rFonts w:ascii="Arial" w:hAnsi="Arial" w:cs="Arial"/>
                <w:sz w:val="22"/>
                <w:szCs w:val="22"/>
              </w:rPr>
              <w:t>Responsible Stakeholders</w:t>
            </w:r>
          </w:p>
        </w:tc>
      </w:tr>
      <w:tr w:rsidR="00F47EF3" w14:paraId="0A3B6915" w14:textId="77777777" w:rsidTr="00F47EF3">
        <w:tc>
          <w:tcPr>
            <w:tcW w:w="2254" w:type="dxa"/>
            <w:vAlign w:val="center"/>
          </w:tcPr>
          <w:p w14:paraId="7853C226" w14:textId="22CB6459" w:rsidR="00F47EF3" w:rsidRDefault="00F47EF3" w:rsidP="00F47EF3">
            <w:pPr>
              <w:spacing w:line="360" w:lineRule="auto"/>
              <w:rPr>
                <w:rFonts w:ascii="Arial" w:hAnsi="Arial" w:cs="Arial"/>
                <w:sz w:val="22"/>
                <w:szCs w:val="22"/>
              </w:rPr>
            </w:pPr>
            <w:r w:rsidRPr="00DA7009">
              <w:rPr>
                <w:rFonts w:ascii="Arial" w:hAnsi="Arial" w:cs="Arial"/>
                <w:sz w:val="22"/>
                <w:szCs w:val="22"/>
              </w:rPr>
              <w:t>1. Preparation &amp; Readiness</w:t>
            </w:r>
          </w:p>
        </w:tc>
        <w:tc>
          <w:tcPr>
            <w:tcW w:w="1569" w:type="dxa"/>
            <w:vAlign w:val="center"/>
          </w:tcPr>
          <w:p w14:paraId="404C2E41" w14:textId="6FD565D3" w:rsidR="00F47EF3" w:rsidRDefault="00F47EF3" w:rsidP="00F47EF3">
            <w:pPr>
              <w:spacing w:line="360" w:lineRule="auto"/>
              <w:rPr>
                <w:rFonts w:ascii="Arial" w:hAnsi="Arial" w:cs="Arial"/>
                <w:sz w:val="22"/>
                <w:szCs w:val="22"/>
              </w:rPr>
            </w:pPr>
            <w:r w:rsidRPr="00DA7009">
              <w:rPr>
                <w:rFonts w:ascii="Arial" w:hAnsi="Arial" w:cs="Arial"/>
                <w:sz w:val="22"/>
                <w:szCs w:val="22"/>
              </w:rPr>
              <w:t>Month 1–2</w:t>
            </w:r>
          </w:p>
        </w:tc>
        <w:tc>
          <w:tcPr>
            <w:tcW w:w="2939" w:type="dxa"/>
            <w:vAlign w:val="center"/>
          </w:tcPr>
          <w:p w14:paraId="45975698" w14:textId="68B03208" w:rsidR="00F47EF3" w:rsidRDefault="00F47EF3" w:rsidP="00F47EF3">
            <w:pPr>
              <w:spacing w:line="360" w:lineRule="auto"/>
              <w:rPr>
                <w:rFonts w:ascii="Arial" w:hAnsi="Arial" w:cs="Arial"/>
                <w:sz w:val="22"/>
                <w:szCs w:val="22"/>
              </w:rPr>
            </w:pPr>
            <w:r w:rsidRPr="00DA7009">
              <w:rPr>
                <w:rFonts w:ascii="Arial" w:hAnsi="Arial" w:cs="Arial"/>
                <w:sz w:val="22"/>
                <w:szCs w:val="22"/>
              </w:rPr>
              <w:t>Infrastructure review, data audit, stakeholder workshops</w:t>
            </w:r>
          </w:p>
        </w:tc>
        <w:tc>
          <w:tcPr>
            <w:tcW w:w="2254" w:type="dxa"/>
            <w:vAlign w:val="center"/>
          </w:tcPr>
          <w:p w14:paraId="59E1DD09" w14:textId="4A7C49C7" w:rsidR="00F47EF3" w:rsidRDefault="00F47EF3" w:rsidP="00F47EF3">
            <w:pPr>
              <w:spacing w:line="360" w:lineRule="auto"/>
              <w:rPr>
                <w:rFonts w:ascii="Arial" w:hAnsi="Arial" w:cs="Arial"/>
                <w:sz w:val="22"/>
                <w:szCs w:val="22"/>
              </w:rPr>
            </w:pPr>
            <w:r w:rsidRPr="00DA7009">
              <w:rPr>
                <w:rFonts w:ascii="Arial" w:hAnsi="Arial" w:cs="Arial"/>
                <w:sz w:val="22"/>
                <w:szCs w:val="22"/>
              </w:rPr>
              <w:t>CIO, IT Manager, Change Lead</w:t>
            </w:r>
          </w:p>
        </w:tc>
      </w:tr>
      <w:tr w:rsidR="00F47EF3" w14:paraId="2E59A07B" w14:textId="77777777" w:rsidTr="00F47EF3">
        <w:tc>
          <w:tcPr>
            <w:tcW w:w="2254" w:type="dxa"/>
            <w:vAlign w:val="center"/>
          </w:tcPr>
          <w:p w14:paraId="3F9E979B" w14:textId="1D272E36" w:rsidR="00F47EF3" w:rsidRDefault="00F47EF3" w:rsidP="00F47EF3">
            <w:pPr>
              <w:spacing w:line="360" w:lineRule="auto"/>
              <w:rPr>
                <w:rFonts w:ascii="Arial" w:hAnsi="Arial" w:cs="Arial"/>
                <w:sz w:val="22"/>
                <w:szCs w:val="22"/>
              </w:rPr>
            </w:pPr>
            <w:r w:rsidRPr="00DA7009">
              <w:rPr>
                <w:rFonts w:ascii="Arial" w:hAnsi="Arial" w:cs="Arial"/>
                <w:sz w:val="22"/>
                <w:szCs w:val="22"/>
              </w:rPr>
              <w:t>2. CRM Implementation (Salesforce)</w:t>
            </w:r>
          </w:p>
        </w:tc>
        <w:tc>
          <w:tcPr>
            <w:tcW w:w="1569" w:type="dxa"/>
            <w:vAlign w:val="center"/>
          </w:tcPr>
          <w:p w14:paraId="422AD96B" w14:textId="03249C12" w:rsidR="00F47EF3" w:rsidRDefault="00F47EF3" w:rsidP="00F47EF3">
            <w:pPr>
              <w:spacing w:line="360" w:lineRule="auto"/>
              <w:rPr>
                <w:rFonts w:ascii="Arial" w:hAnsi="Arial" w:cs="Arial"/>
                <w:sz w:val="22"/>
                <w:szCs w:val="22"/>
              </w:rPr>
            </w:pPr>
            <w:r w:rsidRPr="00DA7009">
              <w:rPr>
                <w:rFonts w:ascii="Arial" w:hAnsi="Arial" w:cs="Arial"/>
                <w:sz w:val="22"/>
                <w:szCs w:val="22"/>
              </w:rPr>
              <w:t>Month 3–5</w:t>
            </w:r>
          </w:p>
        </w:tc>
        <w:tc>
          <w:tcPr>
            <w:tcW w:w="2939" w:type="dxa"/>
            <w:vAlign w:val="center"/>
          </w:tcPr>
          <w:p w14:paraId="00E3BBFC" w14:textId="2E8418D6" w:rsidR="00F47EF3" w:rsidRDefault="00F47EF3" w:rsidP="00F47EF3">
            <w:pPr>
              <w:spacing w:line="360" w:lineRule="auto"/>
              <w:rPr>
                <w:rFonts w:ascii="Arial" w:hAnsi="Arial" w:cs="Arial"/>
                <w:sz w:val="22"/>
                <w:szCs w:val="22"/>
              </w:rPr>
            </w:pPr>
            <w:r w:rsidRPr="00DA7009">
              <w:rPr>
                <w:rFonts w:ascii="Arial" w:hAnsi="Arial" w:cs="Arial"/>
                <w:sz w:val="22"/>
                <w:szCs w:val="22"/>
              </w:rPr>
              <w:t>Data migration, system setup, segmentation tools, training, pilot rollout</w:t>
            </w:r>
          </w:p>
        </w:tc>
        <w:tc>
          <w:tcPr>
            <w:tcW w:w="2254" w:type="dxa"/>
            <w:vAlign w:val="center"/>
          </w:tcPr>
          <w:p w14:paraId="3BAF6B6B" w14:textId="1CB9895C" w:rsidR="00F47EF3" w:rsidRDefault="00F47EF3" w:rsidP="00F47EF3">
            <w:pPr>
              <w:spacing w:line="360" w:lineRule="auto"/>
              <w:rPr>
                <w:rFonts w:ascii="Arial" w:hAnsi="Arial" w:cs="Arial"/>
                <w:sz w:val="22"/>
                <w:szCs w:val="22"/>
              </w:rPr>
            </w:pPr>
            <w:r w:rsidRPr="00DA7009">
              <w:rPr>
                <w:rFonts w:ascii="Arial" w:hAnsi="Arial" w:cs="Arial"/>
                <w:sz w:val="22"/>
                <w:szCs w:val="22"/>
              </w:rPr>
              <w:t xml:space="preserve">CRM </w:t>
            </w:r>
            <w:proofErr w:type="gramStart"/>
            <w:r w:rsidRPr="00DA7009">
              <w:rPr>
                <w:rFonts w:ascii="Arial" w:hAnsi="Arial" w:cs="Arial"/>
                <w:sz w:val="22"/>
                <w:szCs w:val="22"/>
              </w:rPr>
              <w:t>Lead</w:t>
            </w:r>
            <w:proofErr w:type="gramEnd"/>
            <w:r w:rsidRPr="00DA7009">
              <w:rPr>
                <w:rFonts w:ascii="Arial" w:hAnsi="Arial" w:cs="Arial"/>
                <w:sz w:val="22"/>
                <w:szCs w:val="22"/>
              </w:rPr>
              <w:t>, Marketing &amp; Sales</w:t>
            </w:r>
          </w:p>
        </w:tc>
      </w:tr>
      <w:tr w:rsidR="00F47EF3" w14:paraId="617B65B6" w14:textId="77777777" w:rsidTr="00F47EF3">
        <w:tc>
          <w:tcPr>
            <w:tcW w:w="2254" w:type="dxa"/>
            <w:vAlign w:val="center"/>
          </w:tcPr>
          <w:p w14:paraId="7125E92D" w14:textId="14D76112" w:rsidR="00F47EF3" w:rsidRDefault="00F47EF3" w:rsidP="00F47EF3">
            <w:pPr>
              <w:spacing w:line="360" w:lineRule="auto"/>
              <w:rPr>
                <w:rFonts w:ascii="Arial" w:hAnsi="Arial" w:cs="Arial"/>
                <w:sz w:val="22"/>
                <w:szCs w:val="22"/>
              </w:rPr>
            </w:pPr>
            <w:r w:rsidRPr="00DA7009">
              <w:rPr>
                <w:rFonts w:ascii="Arial" w:hAnsi="Arial" w:cs="Arial"/>
                <w:sz w:val="22"/>
                <w:szCs w:val="22"/>
              </w:rPr>
              <w:t>3. ERP Implementation (SAP S/4HANA)</w:t>
            </w:r>
          </w:p>
        </w:tc>
        <w:tc>
          <w:tcPr>
            <w:tcW w:w="1569" w:type="dxa"/>
            <w:vAlign w:val="center"/>
          </w:tcPr>
          <w:p w14:paraId="566F4487" w14:textId="25B3B06E" w:rsidR="00F47EF3" w:rsidRDefault="00F47EF3" w:rsidP="00F47EF3">
            <w:pPr>
              <w:spacing w:line="360" w:lineRule="auto"/>
              <w:rPr>
                <w:rFonts w:ascii="Arial" w:hAnsi="Arial" w:cs="Arial"/>
                <w:sz w:val="22"/>
                <w:szCs w:val="22"/>
              </w:rPr>
            </w:pPr>
            <w:r w:rsidRPr="00DA7009">
              <w:rPr>
                <w:rFonts w:ascii="Arial" w:hAnsi="Arial" w:cs="Arial"/>
                <w:sz w:val="22"/>
                <w:szCs w:val="22"/>
              </w:rPr>
              <w:t>Month 6–10</w:t>
            </w:r>
          </w:p>
        </w:tc>
        <w:tc>
          <w:tcPr>
            <w:tcW w:w="2939" w:type="dxa"/>
            <w:vAlign w:val="center"/>
          </w:tcPr>
          <w:p w14:paraId="05A4DF84" w14:textId="79842AF9" w:rsidR="00F47EF3" w:rsidRDefault="00F47EF3" w:rsidP="00F47EF3">
            <w:pPr>
              <w:spacing w:line="360" w:lineRule="auto"/>
              <w:rPr>
                <w:rFonts w:ascii="Arial" w:hAnsi="Arial" w:cs="Arial"/>
                <w:sz w:val="22"/>
                <w:szCs w:val="22"/>
              </w:rPr>
            </w:pPr>
            <w:r w:rsidRPr="00DA7009">
              <w:rPr>
                <w:rFonts w:ascii="Arial" w:hAnsi="Arial" w:cs="Arial"/>
                <w:sz w:val="22"/>
                <w:szCs w:val="22"/>
              </w:rPr>
              <w:t>Supply-chain modules, finance integration, analytics setup</w:t>
            </w:r>
          </w:p>
        </w:tc>
        <w:tc>
          <w:tcPr>
            <w:tcW w:w="2254" w:type="dxa"/>
            <w:vAlign w:val="center"/>
          </w:tcPr>
          <w:p w14:paraId="211F70B8" w14:textId="5E718971" w:rsidR="00F47EF3" w:rsidRDefault="00F47EF3" w:rsidP="00F47EF3">
            <w:pPr>
              <w:spacing w:line="360" w:lineRule="auto"/>
              <w:rPr>
                <w:rFonts w:ascii="Arial" w:hAnsi="Arial" w:cs="Arial"/>
                <w:sz w:val="22"/>
                <w:szCs w:val="22"/>
              </w:rPr>
            </w:pPr>
            <w:r w:rsidRPr="00DA7009">
              <w:rPr>
                <w:rFonts w:ascii="Arial" w:hAnsi="Arial" w:cs="Arial"/>
                <w:sz w:val="22"/>
                <w:szCs w:val="22"/>
              </w:rPr>
              <w:t>ERP Lead, Operations &amp; Finance</w:t>
            </w:r>
          </w:p>
        </w:tc>
      </w:tr>
      <w:tr w:rsidR="00F47EF3" w14:paraId="644C0C88" w14:textId="77777777" w:rsidTr="00F47EF3">
        <w:tc>
          <w:tcPr>
            <w:tcW w:w="2254" w:type="dxa"/>
            <w:vAlign w:val="center"/>
          </w:tcPr>
          <w:p w14:paraId="3DA25540" w14:textId="44B29EF9" w:rsidR="00F47EF3" w:rsidRDefault="00F47EF3" w:rsidP="00F47EF3">
            <w:pPr>
              <w:spacing w:line="360" w:lineRule="auto"/>
              <w:rPr>
                <w:rFonts w:ascii="Arial" w:hAnsi="Arial" w:cs="Arial"/>
                <w:sz w:val="22"/>
                <w:szCs w:val="22"/>
              </w:rPr>
            </w:pPr>
            <w:r w:rsidRPr="00DA7009">
              <w:rPr>
                <w:rFonts w:ascii="Arial" w:hAnsi="Arial" w:cs="Arial"/>
                <w:sz w:val="22"/>
                <w:szCs w:val="22"/>
              </w:rPr>
              <w:t>4. Integration &amp; Testing</w:t>
            </w:r>
          </w:p>
        </w:tc>
        <w:tc>
          <w:tcPr>
            <w:tcW w:w="1569" w:type="dxa"/>
            <w:vAlign w:val="center"/>
          </w:tcPr>
          <w:p w14:paraId="17AD4EA5" w14:textId="13899804" w:rsidR="00F47EF3" w:rsidRDefault="00F47EF3" w:rsidP="00F47EF3">
            <w:pPr>
              <w:spacing w:line="360" w:lineRule="auto"/>
              <w:rPr>
                <w:rFonts w:ascii="Arial" w:hAnsi="Arial" w:cs="Arial"/>
                <w:sz w:val="22"/>
                <w:szCs w:val="22"/>
              </w:rPr>
            </w:pPr>
            <w:r w:rsidRPr="00DA7009">
              <w:rPr>
                <w:rFonts w:ascii="Arial" w:hAnsi="Arial" w:cs="Arial"/>
                <w:sz w:val="22"/>
                <w:szCs w:val="22"/>
              </w:rPr>
              <w:t>Month 11</w:t>
            </w:r>
          </w:p>
        </w:tc>
        <w:tc>
          <w:tcPr>
            <w:tcW w:w="2939" w:type="dxa"/>
            <w:vAlign w:val="center"/>
          </w:tcPr>
          <w:p w14:paraId="6EAED3F9" w14:textId="209997F7" w:rsidR="00F47EF3" w:rsidRDefault="00F47EF3" w:rsidP="00F47EF3">
            <w:pPr>
              <w:spacing w:line="360" w:lineRule="auto"/>
              <w:rPr>
                <w:rFonts w:ascii="Arial" w:hAnsi="Arial" w:cs="Arial"/>
                <w:sz w:val="22"/>
                <w:szCs w:val="22"/>
              </w:rPr>
            </w:pPr>
            <w:r w:rsidRPr="00DA7009">
              <w:rPr>
                <w:rFonts w:ascii="Arial" w:hAnsi="Arial" w:cs="Arial"/>
                <w:sz w:val="22"/>
                <w:szCs w:val="22"/>
              </w:rPr>
              <w:t>Middleware setup, UAT, GDPR/security checks</w:t>
            </w:r>
          </w:p>
        </w:tc>
        <w:tc>
          <w:tcPr>
            <w:tcW w:w="2254" w:type="dxa"/>
            <w:vAlign w:val="center"/>
          </w:tcPr>
          <w:p w14:paraId="4406F4F6" w14:textId="3F678F49" w:rsidR="00F47EF3" w:rsidRDefault="00F47EF3" w:rsidP="00F47EF3">
            <w:pPr>
              <w:spacing w:line="360" w:lineRule="auto"/>
              <w:rPr>
                <w:rFonts w:ascii="Arial" w:hAnsi="Arial" w:cs="Arial"/>
                <w:sz w:val="22"/>
                <w:szCs w:val="22"/>
              </w:rPr>
            </w:pPr>
            <w:r w:rsidRPr="00DA7009">
              <w:rPr>
                <w:rFonts w:ascii="Arial" w:hAnsi="Arial" w:cs="Arial"/>
                <w:sz w:val="22"/>
                <w:szCs w:val="22"/>
              </w:rPr>
              <w:t>IT &amp; Cybersecurity</w:t>
            </w:r>
          </w:p>
        </w:tc>
      </w:tr>
      <w:tr w:rsidR="00F47EF3" w14:paraId="255AA87D" w14:textId="77777777" w:rsidTr="00F47EF3">
        <w:tc>
          <w:tcPr>
            <w:tcW w:w="2254" w:type="dxa"/>
            <w:vAlign w:val="center"/>
          </w:tcPr>
          <w:p w14:paraId="7657C15E" w14:textId="02F0B1F9" w:rsidR="00F47EF3" w:rsidRDefault="00F47EF3" w:rsidP="00F47EF3">
            <w:pPr>
              <w:spacing w:line="360" w:lineRule="auto"/>
              <w:rPr>
                <w:rFonts w:ascii="Arial" w:hAnsi="Arial" w:cs="Arial"/>
                <w:sz w:val="22"/>
                <w:szCs w:val="22"/>
              </w:rPr>
            </w:pPr>
            <w:r w:rsidRPr="00DA7009">
              <w:rPr>
                <w:rFonts w:ascii="Arial" w:hAnsi="Arial" w:cs="Arial"/>
                <w:sz w:val="22"/>
                <w:szCs w:val="22"/>
              </w:rPr>
              <w:t>5. Full Rollout &amp; Optimisation</w:t>
            </w:r>
          </w:p>
        </w:tc>
        <w:tc>
          <w:tcPr>
            <w:tcW w:w="1569" w:type="dxa"/>
            <w:vAlign w:val="center"/>
          </w:tcPr>
          <w:p w14:paraId="1FA23C7F" w14:textId="66E857C0" w:rsidR="00F47EF3" w:rsidRDefault="00F47EF3" w:rsidP="00F47EF3">
            <w:pPr>
              <w:spacing w:line="360" w:lineRule="auto"/>
              <w:rPr>
                <w:rFonts w:ascii="Arial" w:hAnsi="Arial" w:cs="Arial"/>
                <w:sz w:val="22"/>
                <w:szCs w:val="22"/>
              </w:rPr>
            </w:pPr>
            <w:r w:rsidRPr="00DA7009">
              <w:rPr>
                <w:rFonts w:ascii="Arial" w:hAnsi="Arial" w:cs="Arial"/>
                <w:sz w:val="22"/>
                <w:szCs w:val="22"/>
              </w:rPr>
              <w:t>Month 12</w:t>
            </w:r>
          </w:p>
        </w:tc>
        <w:tc>
          <w:tcPr>
            <w:tcW w:w="2939" w:type="dxa"/>
            <w:vAlign w:val="center"/>
          </w:tcPr>
          <w:p w14:paraId="2DF785AA" w14:textId="7A7B46BA" w:rsidR="00F47EF3" w:rsidRDefault="00F47EF3" w:rsidP="00F47EF3">
            <w:pPr>
              <w:spacing w:line="360" w:lineRule="auto"/>
              <w:rPr>
                <w:rFonts w:ascii="Arial" w:hAnsi="Arial" w:cs="Arial"/>
                <w:sz w:val="22"/>
                <w:szCs w:val="22"/>
              </w:rPr>
            </w:pPr>
            <w:r w:rsidRPr="00DA7009">
              <w:rPr>
                <w:rFonts w:ascii="Arial" w:hAnsi="Arial" w:cs="Arial"/>
                <w:sz w:val="22"/>
                <w:szCs w:val="22"/>
              </w:rPr>
              <w:t>Rollout to all stores, performance review, continuous improvement plan</w:t>
            </w:r>
          </w:p>
        </w:tc>
        <w:tc>
          <w:tcPr>
            <w:tcW w:w="2254" w:type="dxa"/>
            <w:vAlign w:val="center"/>
          </w:tcPr>
          <w:p w14:paraId="0BCFA713" w14:textId="66554694" w:rsidR="00F47EF3" w:rsidRDefault="00F47EF3" w:rsidP="00F47EF3">
            <w:pPr>
              <w:spacing w:line="360" w:lineRule="auto"/>
              <w:rPr>
                <w:rFonts w:ascii="Arial" w:hAnsi="Arial" w:cs="Arial"/>
                <w:sz w:val="22"/>
                <w:szCs w:val="22"/>
              </w:rPr>
            </w:pPr>
            <w:r w:rsidRPr="00DA7009">
              <w:rPr>
                <w:rFonts w:ascii="Arial" w:hAnsi="Arial" w:cs="Arial"/>
                <w:sz w:val="22"/>
                <w:szCs w:val="22"/>
              </w:rPr>
              <w:t>Steering Committee</w:t>
            </w:r>
          </w:p>
        </w:tc>
      </w:tr>
    </w:tbl>
    <w:p w14:paraId="1E5DAD22" w14:textId="77777777" w:rsidR="00F47EF3" w:rsidRDefault="00F47EF3" w:rsidP="00F47EF3">
      <w:pPr>
        <w:spacing w:line="360" w:lineRule="auto"/>
        <w:rPr>
          <w:rFonts w:ascii="Arial" w:hAnsi="Arial" w:cs="Arial"/>
          <w:sz w:val="22"/>
          <w:szCs w:val="22"/>
        </w:rPr>
      </w:pPr>
    </w:p>
    <w:p w14:paraId="0E365507" w14:textId="6115DA1E" w:rsidR="00E051A3" w:rsidRPr="00DA7009" w:rsidRDefault="00E051A3" w:rsidP="00F47EF3">
      <w:pPr>
        <w:spacing w:line="360" w:lineRule="auto"/>
        <w:ind w:firstLine="720"/>
        <w:rPr>
          <w:rFonts w:ascii="Arial" w:hAnsi="Arial" w:cs="Arial"/>
          <w:sz w:val="22"/>
          <w:szCs w:val="22"/>
        </w:rPr>
      </w:pPr>
      <w:r w:rsidRPr="00DA7009">
        <w:rPr>
          <w:rFonts w:ascii="Arial" w:hAnsi="Arial" w:cs="Arial"/>
          <w:sz w:val="22"/>
          <w:szCs w:val="22"/>
        </w:rPr>
        <w:t>This timeline spreads the workload and ensures steady progress while protecting daily operations.</w:t>
      </w:r>
    </w:p>
    <w:p w14:paraId="5568A0CB" w14:textId="70396EF0" w:rsidR="00E051A3" w:rsidRPr="00DA7009" w:rsidRDefault="00E051A3" w:rsidP="00DA7009">
      <w:pPr>
        <w:spacing w:line="360" w:lineRule="auto"/>
        <w:rPr>
          <w:rFonts w:ascii="Arial" w:hAnsi="Arial" w:cs="Arial"/>
          <w:sz w:val="22"/>
          <w:szCs w:val="22"/>
        </w:rPr>
      </w:pPr>
    </w:p>
    <w:p w14:paraId="29ED6EE1"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4.2 Training, Integration Considerations and Potential Challenges</w:t>
      </w:r>
    </w:p>
    <w:p w14:paraId="14C36D21" w14:textId="77777777" w:rsidR="00E051A3" w:rsidRDefault="00E051A3" w:rsidP="007D75E9">
      <w:pPr>
        <w:spacing w:line="360" w:lineRule="auto"/>
        <w:ind w:firstLine="720"/>
        <w:rPr>
          <w:rFonts w:ascii="Arial" w:hAnsi="Arial" w:cs="Arial"/>
          <w:sz w:val="22"/>
          <w:szCs w:val="22"/>
        </w:rPr>
      </w:pPr>
      <w:r w:rsidRPr="00DA7009">
        <w:rPr>
          <w:rFonts w:ascii="Arial" w:hAnsi="Arial" w:cs="Arial"/>
          <w:sz w:val="22"/>
          <w:szCs w:val="22"/>
        </w:rPr>
        <w:t>Technology adoption succeeds only when people understand it, trust it and feel confident using it. For that reason, training and communication are central to the implementation plan. A combination of workshops, short digital modules and on-the-job practice will support staff at different skill levels. “Super users” will be appointed in each department, offering day-to-day support and helping reduce resistance during the transition.</w:t>
      </w:r>
    </w:p>
    <w:p w14:paraId="251D36AC" w14:textId="77777777" w:rsidR="00DA7009" w:rsidRDefault="00DA7009" w:rsidP="00DA7009">
      <w:pPr>
        <w:spacing w:line="360" w:lineRule="auto"/>
        <w:rPr>
          <w:rFonts w:ascii="Arial" w:hAnsi="Arial" w:cs="Arial"/>
          <w:sz w:val="22"/>
          <w:szCs w:val="22"/>
        </w:rPr>
      </w:pPr>
    </w:p>
    <w:p w14:paraId="2FE02828" w14:textId="77777777" w:rsidR="00DA7009" w:rsidRPr="00DA7009" w:rsidRDefault="00DA7009" w:rsidP="00DA7009">
      <w:pPr>
        <w:spacing w:line="360" w:lineRule="auto"/>
        <w:rPr>
          <w:rFonts w:ascii="Arial" w:hAnsi="Arial" w:cs="Arial"/>
          <w:sz w:val="22"/>
          <w:szCs w:val="22"/>
        </w:rPr>
      </w:pPr>
    </w:p>
    <w:p w14:paraId="283E5817" w14:textId="2BF11BF8" w:rsidR="00E051A3" w:rsidRDefault="00473472" w:rsidP="00DA7009">
      <w:pPr>
        <w:spacing w:line="360" w:lineRule="auto"/>
        <w:rPr>
          <w:rFonts w:ascii="Arial" w:hAnsi="Arial" w:cs="Arial"/>
          <w:sz w:val="22"/>
          <w:szCs w:val="22"/>
        </w:rPr>
      </w:pPr>
      <w:r w:rsidRPr="00473472">
        <w:rPr>
          <w:rFonts w:ascii="Arial" w:hAnsi="Arial" w:cs="Arial"/>
          <w:sz w:val="22"/>
          <w:szCs w:val="22"/>
        </w:rPr>
        <w:lastRenderedPageBreak/>
        <w:t>Table 3. Kotter Model Application</w:t>
      </w:r>
    </w:p>
    <w:tbl>
      <w:tblPr>
        <w:tblStyle w:val="TableGrid"/>
        <w:tblW w:w="9016" w:type="dxa"/>
        <w:tblLook w:val="04A0" w:firstRow="1" w:lastRow="0" w:firstColumn="1" w:lastColumn="0" w:noHBand="0" w:noVBand="1"/>
      </w:tblPr>
      <w:tblGrid>
        <w:gridCol w:w="4508"/>
        <w:gridCol w:w="4508"/>
      </w:tblGrid>
      <w:tr w:rsidR="00F47EF3" w14:paraId="5AA97AC7" w14:textId="77777777" w:rsidTr="00F47EF3">
        <w:trPr>
          <w:trHeight w:val="355"/>
        </w:trPr>
        <w:tc>
          <w:tcPr>
            <w:tcW w:w="4508" w:type="dxa"/>
            <w:vAlign w:val="center"/>
          </w:tcPr>
          <w:p w14:paraId="6EB2F2D5" w14:textId="60C9B2FF" w:rsidR="00F47EF3" w:rsidRDefault="00F47EF3" w:rsidP="00F47EF3">
            <w:pPr>
              <w:spacing w:line="360" w:lineRule="auto"/>
              <w:rPr>
                <w:rFonts w:ascii="Arial" w:hAnsi="Arial" w:cs="Arial"/>
                <w:sz w:val="22"/>
                <w:szCs w:val="22"/>
              </w:rPr>
            </w:pPr>
            <w:r w:rsidRPr="00DA7009">
              <w:rPr>
                <w:rFonts w:ascii="Arial" w:hAnsi="Arial" w:cs="Arial"/>
                <w:sz w:val="22"/>
                <w:szCs w:val="22"/>
              </w:rPr>
              <w:t>Kotter Step</w:t>
            </w:r>
          </w:p>
        </w:tc>
        <w:tc>
          <w:tcPr>
            <w:tcW w:w="4508" w:type="dxa"/>
            <w:vAlign w:val="center"/>
          </w:tcPr>
          <w:p w14:paraId="621AC5EB" w14:textId="70D206B5" w:rsidR="00F47EF3" w:rsidRDefault="00F47EF3" w:rsidP="00F47EF3">
            <w:pPr>
              <w:spacing w:line="360" w:lineRule="auto"/>
              <w:rPr>
                <w:rFonts w:ascii="Arial" w:hAnsi="Arial" w:cs="Arial"/>
                <w:sz w:val="22"/>
                <w:szCs w:val="22"/>
              </w:rPr>
            </w:pPr>
            <w:r w:rsidRPr="00DA7009">
              <w:rPr>
                <w:rFonts w:ascii="Arial" w:hAnsi="Arial" w:cs="Arial"/>
                <w:sz w:val="22"/>
                <w:szCs w:val="22"/>
              </w:rPr>
              <w:t xml:space="preserve">Actions for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w:t>
            </w:r>
          </w:p>
        </w:tc>
      </w:tr>
      <w:tr w:rsidR="00F47EF3" w14:paraId="0116DA98" w14:textId="77777777" w:rsidTr="00F47EF3">
        <w:trPr>
          <w:trHeight w:val="700"/>
        </w:trPr>
        <w:tc>
          <w:tcPr>
            <w:tcW w:w="4508" w:type="dxa"/>
            <w:vAlign w:val="center"/>
          </w:tcPr>
          <w:p w14:paraId="68498C74" w14:textId="445851C7" w:rsidR="00F47EF3" w:rsidRDefault="00F47EF3" w:rsidP="00F47EF3">
            <w:pPr>
              <w:spacing w:line="360" w:lineRule="auto"/>
              <w:rPr>
                <w:rFonts w:ascii="Arial" w:hAnsi="Arial" w:cs="Arial"/>
                <w:sz w:val="22"/>
                <w:szCs w:val="22"/>
              </w:rPr>
            </w:pPr>
            <w:r w:rsidRPr="00DA7009">
              <w:rPr>
                <w:rFonts w:ascii="Arial" w:hAnsi="Arial" w:cs="Arial"/>
                <w:sz w:val="22"/>
                <w:szCs w:val="22"/>
              </w:rPr>
              <w:t>Establish urgency</w:t>
            </w:r>
          </w:p>
        </w:tc>
        <w:tc>
          <w:tcPr>
            <w:tcW w:w="4508" w:type="dxa"/>
            <w:vAlign w:val="center"/>
          </w:tcPr>
          <w:p w14:paraId="689E28E9" w14:textId="0B461B3C" w:rsidR="00F47EF3" w:rsidRDefault="00F47EF3" w:rsidP="00F47EF3">
            <w:pPr>
              <w:spacing w:line="360" w:lineRule="auto"/>
              <w:rPr>
                <w:rFonts w:ascii="Arial" w:hAnsi="Arial" w:cs="Arial"/>
                <w:sz w:val="22"/>
                <w:szCs w:val="22"/>
              </w:rPr>
            </w:pPr>
            <w:r w:rsidRPr="00DA7009">
              <w:rPr>
                <w:rFonts w:ascii="Arial" w:hAnsi="Arial" w:cs="Arial"/>
                <w:sz w:val="22"/>
                <w:szCs w:val="22"/>
              </w:rPr>
              <w:t>Communicate risks of outdated systems and benefits of cloud integration</w:t>
            </w:r>
          </w:p>
        </w:tc>
      </w:tr>
      <w:tr w:rsidR="00F47EF3" w14:paraId="29C90C21" w14:textId="77777777" w:rsidTr="00F47EF3">
        <w:trPr>
          <w:trHeight w:val="711"/>
        </w:trPr>
        <w:tc>
          <w:tcPr>
            <w:tcW w:w="4508" w:type="dxa"/>
            <w:vAlign w:val="center"/>
          </w:tcPr>
          <w:p w14:paraId="57182B3D" w14:textId="1B8F7B68" w:rsidR="00F47EF3" w:rsidRDefault="00F47EF3" w:rsidP="00F47EF3">
            <w:pPr>
              <w:spacing w:line="360" w:lineRule="auto"/>
              <w:rPr>
                <w:rFonts w:ascii="Arial" w:hAnsi="Arial" w:cs="Arial"/>
                <w:sz w:val="22"/>
                <w:szCs w:val="22"/>
              </w:rPr>
            </w:pPr>
            <w:r w:rsidRPr="00DA7009">
              <w:rPr>
                <w:rFonts w:ascii="Arial" w:hAnsi="Arial" w:cs="Arial"/>
                <w:sz w:val="22"/>
                <w:szCs w:val="22"/>
              </w:rPr>
              <w:t>Form a guiding coalition</w:t>
            </w:r>
          </w:p>
        </w:tc>
        <w:tc>
          <w:tcPr>
            <w:tcW w:w="4508" w:type="dxa"/>
            <w:vAlign w:val="center"/>
          </w:tcPr>
          <w:p w14:paraId="553F9954" w14:textId="6A7DF781" w:rsidR="00F47EF3" w:rsidRDefault="00F47EF3" w:rsidP="00F47EF3">
            <w:pPr>
              <w:spacing w:line="360" w:lineRule="auto"/>
              <w:rPr>
                <w:rFonts w:ascii="Arial" w:hAnsi="Arial" w:cs="Arial"/>
                <w:sz w:val="22"/>
                <w:szCs w:val="22"/>
              </w:rPr>
            </w:pPr>
            <w:r w:rsidRPr="00DA7009">
              <w:rPr>
                <w:rFonts w:ascii="Arial" w:hAnsi="Arial" w:cs="Arial"/>
                <w:sz w:val="22"/>
                <w:szCs w:val="22"/>
              </w:rPr>
              <w:t>Cross-department steering group (HR, IT, Operations, Marketing)</w:t>
            </w:r>
          </w:p>
        </w:tc>
      </w:tr>
      <w:tr w:rsidR="00F47EF3" w14:paraId="20733123" w14:textId="77777777" w:rsidTr="00F47EF3">
        <w:trPr>
          <w:trHeight w:val="355"/>
        </w:trPr>
        <w:tc>
          <w:tcPr>
            <w:tcW w:w="4508" w:type="dxa"/>
            <w:vAlign w:val="center"/>
          </w:tcPr>
          <w:p w14:paraId="43358D3B" w14:textId="7D8D0EF0" w:rsidR="00F47EF3" w:rsidRDefault="00F47EF3" w:rsidP="00F47EF3">
            <w:pPr>
              <w:spacing w:line="360" w:lineRule="auto"/>
              <w:rPr>
                <w:rFonts w:ascii="Arial" w:hAnsi="Arial" w:cs="Arial"/>
                <w:sz w:val="22"/>
                <w:szCs w:val="22"/>
              </w:rPr>
            </w:pPr>
            <w:r w:rsidRPr="00DA7009">
              <w:rPr>
                <w:rFonts w:ascii="Arial" w:hAnsi="Arial" w:cs="Arial"/>
                <w:sz w:val="22"/>
                <w:szCs w:val="22"/>
              </w:rPr>
              <w:t>Create a vision for change</w:t>
            </w:r>
          </w:p>
        </w:tc>
        <w:tc>
          <w:tcPr>
            <w:tcW w:w="4508" w:type="dxa"/>
            <w:vAlign w:val="center"/>
          </w:tcPr>
          <w:p w14:paraId="7877F2A9" w14:textId="27830FCA" w:rsidR="00F47EF3" w:rsidRDefault="00F47EF3" w:rsidP="00F47EF3">
            <w:pPr>
              <w:spacing w:line="360" w:lineRule="auto"/>
              <w:rPr>
                <w:rFonts w:ascii="Arial" w:hAnsi="Arial" w:cs="Arial"/>
                <w:sz w:val="22"/>
                <w:szCs w:val="22"/>
              </w:rPr>
            </w:pPr>
            <w:r w:rsidRPr="00DA7009">
              <w:rPr>
                <w:rFonts w:ascii="Arial" w:hAnsi="Arial" w:cs="Arial"/>
                <w:sz w:val="22"/>
                <w:szCs w:val="22"/>
              </w:rPr>
              <w:t>“One Data, One Customer, One System”</w:t>
            </w:r>
          </w:p>
        </w:tc>
      </w:tr>
      <w:tr w:rsidR="00F47EF3" w14:paraId="624A9070" w14:textId="77777777" w:rsidTr="00F47EF3">
        <w:trPr>
          <w:trHeight w:val="344"/>
        </w:trPr>
        <w:tc>
          <w:tcPr>
            <w:tcW w:w="4508" w:type="dxa"/>
            <w:vAlign w:val="center"/>
          </w:tcPr>
          <w:p w14:paraId="5AF97FBD" w14:textId="6A0182EF" w:rsidR="00F47EF3" w:rsidRDefault="00F47EF3" w:rsidP="00F47EF3">
            <w:pPr>
              <w:spacing w:line="360" w:lineRule="auto"/>
              <w:rPr>
                <w:rFonts w:ascii="Arial" w:hAnsi="Arial" w:cs="Arial"/>
                <w:sz w:val="22"/>
                <w:szCs w:val="22"/>
              </w:rPr>
            </w:pPr>
            <w:r w:rsidRPr="00DA7009">
              <w:rPr>
                <w:rFonts w:ascii="Arial" w:hAnsi="Arial" w:cs="Arial"/>
                <w:sz w:val="22"/>
                <w:szCs w:val="22"/>
              </w:rPr>
              <w:t>Communicate the vision</w:t>
            </w:r>
          </w:p>
        </w:tc>
        <w:tc>
          <w:tcPr>
            <w:tcW w:w="4508" w:type="dxa"/>
            <w:vAlign w:val="center"/>
          </w:tcPr>
          <w:p w14:paraId="30A6556B" w14:textId="570900C3" w:rsidR="00F47EF3" w:rsidRDefault="00F47EF3" w:rsidP="00F47EF3">
            <w:pPr>
              <w:spacing w:line="360" w:lineRule="auto"/>
              <w:rPr>
                <w:rFonts w:ascii="Arial" w:hAnsi="Arial" w:cs="Arial"/>
                <w:sz w:val="22"/>
                <w:szCs w:val="22"/>
              </w:rPr>
            </w:pPr>
            <w:r w:rsidRPr="00DA7009">
              <w:rPr>
                <w:rFonts w:ascii="Arial" w:hAnsi="Arial" w:cs="Arial"/>
                <w:sz w:val="22"/>
                <w:szCs w:val="22"/>
              </w:rPr>
              <w:t>Town halls, intranet updates, dashboards</w:t>
            </w:r>
          </w:p>
        </w:tc>
      </w:tr>
      <w:tr w:rsidR="00F47EF3" w14:paraId="70179BBA" w14:textId="77777777" w:rsidTr="00F47EF3">
        <w:trPr>
          <w:trHeight w:val="711"/>
        </w:trPr>
        <w:tc>
          <w:tcPr>
            <w:tcW w:w="4508" w:type="dxa"/>
            <w:vAlign w:val="center"/>
          </w:tcPr>
          <w:p w14:paraId="295525BD" w14:textId="0F6F0EF0" w:rsidR="00F47EF3" w:rsidRDefault="00F47EF3" w:rsidP="00F47EF3">
            <w:pPr>
              <w:spacing w:line="360" w:lineRule="auto"/>
              <w:rPr>
                <w:rFonts w:ascii="Arial" w:hAnsi="Arial" w:cs="Arial"/>
                <w:sz w:val="22"/>
                <w:szCs w:val="22"/>
              </w:rPr>
            </w:pPr>
            <w:r w:rsidRPr="00DA7009">
              <w:rPr>
                <w:rFonts w:ascii="Arial" w:hAnsi="Arial" w:cs="Arial"/>
                <w:sz w:val="22"/>
                <w:szCs w:val="22"/>
              </w:rPr>
              <w:t>Remove barriers</w:t>
            </w:r>
          </w:p>
        </w:tc>
        <w:tc>
          <w:tcPr>
            <w:tcW w:w="4508" w:type="dxa"/>
            <w:vAlign w:val="center"/>
          </w:tcPr>
          <w:p w14:paraId="4295891E" w14:textId="329CB55A" w:rsidR="00F47EF3" w:rsidRDefault="00F47EF3" w:rsidP="00F47EF3">
            <w:pPr>
              <w:spacing w:line="360" w:lineRule="auto"/>
              <w:rPr>
                <w:rFonts w:ascii="Arial" w:hAnsi="Arial" w:cs="Arial"/>
                <w:sz w:val="22"/>
                <w:szCs w:val="22"/>
              </w:rPr>
            </w:pPr>
            <w:r w:rsidRPr="00DA7009">
              <w:rPr>
                <w:rFonts w:ascii="Arial" w:hAnsi="Arial" w:cs="Arial"/>
                <w:sz w:val="22"/>
                <w:szCs w:val="22"/>
              </w:rPr>
              <w:t>Simplified workflows, targeted training, early recognition</w:t>
            </w:r>
          </w:p>
        </w:tc>
      </w:tr>
      <w:tr w:rsidR="00F47EF3" w14:paraId="29690E73" w14:textId="77777777" w:rsidTr="00F47EF3">
        <w:trPr>
          <w:trHeight w:val="355"/>
        </w:trPr>
        <w:tc>
          <w:tcPr>
            <w:tcW w:w="4508" w:type="dxa"/>
            <w:vAlign w:val="center"/>
          </w:tcPr>
          <w:p w14:paraId="6A44341C" w14:textId="40E5FEF5" w:rsidR="00F47EF3" w:rsidRDefault="00F47EF3" w:rsidP="00F47EF3">
            <w:pPr>
              <w:spacing w:line="360" w:lineRule="auto"/>
              <w:rPr>
                <w:rFonts w:ascii="Arial" w:hAnsi="Arial" w:cs="Arial"/>
                <w:sz w:val="22"/>
                <w:szCs w:val="22"/>
              </w:rPr>
            </w:pPr>
            <w:r w:rsidRPr="00DA7009">
              <w:rPr>
                <w:rFonts w:ascii="Arial" w:hAnsi="Arial" w:cs="Arial"/>
                <w:sz w:val="22"/>
                <w:szCs w:val="22"/>
              </w:rPr>
              <w:t>Generate short-term wins</w:t>
            </w:r>
          </w:p>
        </w:tc>
        <w:tc>
          <w:tcPr>
            <w:tcW w:w="4508" w:type="dxa"/>
            <w:vAlign w:val="center"/>
          </w:tcPr>
          <w:p w14:paraId="55901806" w14:textId="5272DEDC" w:rsidR="00F47EF3" w:rsidRDefault="00F47EF3" w:rsidP="00F47EF3">
            <w:pPr>
              <w:spacing w:line="360" w:lineRule="auto"/>
              <w:rPr>
                <w:rFonts w:ascii="Arial" w:hAnsi="Arial" w:cs="Arial"/>
                <w:sz w:val="22"/>
                <w:szCs w:val="22"/>
              </w:rPr>
            </w:pPr>
            <w:r w:rsidRPr="00DA7009">
              <w:rPr>
                <w:rFonts w:ascii="Arial" w:hAnsi="Arial" w:cs="Arial"/>
                <w:sz w:val="22"/>
                <w:szCs w:val="22"/>
              </w:rPr>
              <w:t>CRM pilot store success demonstration</w:t>
            </w:r>
          </w:p>
        </w:tc>
      </w:tr>
      <w:tr w:rsidR="00F47EF3" w14:paraId="331CC822" w14:textId="77777777" w:rsidTr="00F47EF3">
        <w:trPr>
          <w:trHeight w:val="700"/>
        </w:trPr>
        <w:tc>
          <w:tcPr>
            <w:tcW w:w="4508" w:type="dxa"/>
            <w:vAlign w:val="center"/>
          </w:tcPr>
          <w:p w14:paraId="702817D7" w14:textId="1BDC804E" w:rsidR="00F47EF3" w:rsidRDefault="00F47EF3" w:rsidP="00F47EF3">
            <w:pPr>
              <w:spacing w:line="360" w:lineRule="auto"/>
              <w:rPr>
                <w:rFonts w:ascii="Arial" w:hAnsi="Arial" w:cs="Arial"/>
                <w:sz w:val="22"/>
                <w:szCs w:val="22"/>
              </w:rPr>
            </w:pPr>
            <w:r w:rsidRPr="00DA7009">
              <w:rPr>
                <w:rFonts w:ascii="Arial" w:hAnsi="Arial" w:cs="Arial"/>
                <w:sz w:val="22"/>
                <w:szCs w:val="22"/>
              </w:rPr>
              <w:t>Sustain acceleration</w:t>
            </w:r>
          </w:p>
        </w:tc>
        <w:tc>
          <w:tcPr>
            <w:tcW w:w="4508" w:type="dxa"/>
            <w:vAlign w:val="center"/>
          </w:tcPr>
          <w:p w14:paraId="4D278FEF" w14:textId="7532F6C4" w:rsidR="00F47EF3" w:rsidRDefault="00F47EF3" w:rsidP="00F47EF3">
            <w:pPr>
              <w:spacing w:line="360" w:lineRule="auto"/>
              <w:rPr>
                <w:rFonts w:ascii="Arial" w:hAnsi="Arial" w:cs="Arial"/>
                <w:sz w:val="22"/>
                <w:szCs w:val="22"/>
              </w:rPr>
            </w:pPr>
            <w:r w:rsidRPr="00DA7009">
              <w:rPr>
                <w:rFonts w:ascii="Arial" w:hAnsi="Arial" w:cs="Arial"/>
                <w:sz w:val="22"/>
                <w:szCs w:val="22"/>
              </w:rPr>
              <w:t>Expand features based on feedback and results</w:t>
            </w:r>
          </w:p>
        </w:tc>
      </w:tr>
      <w:tr w:rsidR="00F47EF3" w14:paraId="5031E66F" w14:textId="77777777" w:rsidTr="00F47EF3">
        <w:trPr>
          <w:trHeight w:val="355"/>
        </w:trPr>
        <w:tc>
          <w:tcPr>
            <w:tcW w:w="4508" w:type="dxa"/>
            <w:vAlign w:val="center"/>
          </w:tcPr>
          <w:p w14:paraId="323EAB90" w14:textId="3F31B384" w:rsidR="00F47EF3" w:rsidRDefault="00F47EF3" w:rsidP="00F47EF3">
            <w:pPr>
              <w:spacing w:line="360" w:lineRule="auto"/>
              <w:rPr>
                <w:rFonts w:ascii="Arial" w:hAnsi="Arial" w:cs="Arial"/>
                <w:sz w:val="22"/>
                <w:szCs w:val="22"/>
              </w:rPr>
            </w:pPr>
            <w:r w:rsidRPr="00DA7009">
              <w:rPr>
                <w:rFonts w:ascii="Arial" w:hAnsi="Arial" w:cs="Arial"/>
                <w:sz w:val="22"/>
                <w:szCs w:val="22"/>
              </w:rPr>
              <w:t>Anchor the change</w:t>
            </w:r>
          </w:p>
        </w:tc>
        <w:tc>
          <w:tcPr>
            <w:tcW w:w="4508" w:type="dxa"/>
            <w:vAlign w:val="center"/>
          </w:tcPr>
          <w:p w14:paraId="29488ECE" w14:textId="70C0A199" w:rsidR="00F47EF3" w:rsidRDefault="00F47EF3" w:rsidP="00F47EF3">
            <w:pPr>
              <w:spacing w:line="360" w:lineRule="auto"/>
              <w:rPr>
                <w:rFonts w:ascii="Arial" w:hAnsi="Arial" w:cs="Arial"/>
                <w:sz w:val="22"/>
                <w:szCs w:val="22"/>
              </w:rPr>
            </w:pPr>
            <w:r w:rsidRPr="00DA7009">
              <w:rPr>
                <w:rFonts w:ascii="Arial" w:hAnsi="Arial" w:cs="Arial"/>
                <w:sz w:val="22"/>
                <w:szCs w:val="22"/>
              </w:rPr>
              <w:t>Integrate KPIs into performance metrics</w:t>
            </w:r>
          </w:p>
        </w:tc>
      </w:tr>
    </w:tbl>
    <w:p w14:paraId="184BCDB2" w14:textId="77777777" w:rsidR="00F47EF3" w:rsidRPr="00DA7009" w:rsidRDefault="00F47EF3" w:rsidP="00DA7009">
      <w:pPr>
        <w:spacing w:line="360" w:lineRule="auto"/>
        <w:rPr>
          <w:rFonts w:ascii="Arial" w:hAnsi="Arial" w:cs="Arial"/>
          <w:sz w:val="22"/>
          <w:szCs w:val="22"/>
        </w:rPr>
      </w:pPr>
    </w:p>
    <w:p w14:paraId="729ED707"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Integration will rely on secure middleware to ensure a smooth, reliable flow of data between SAP and Salesforce. Early testing is essential to prevent issues surfacing during go-live. In addition to technical considerations, ethical concerns must also be acknowledged—particularly around algorithmic bias in Salesforce’s AI-driven segmentation. These tools must be monitored to avoid unfair targeting or inaccurate assumptions about customer behaviour.</w:t>
      </w:r>
    </w:p>
    <w:p w14:paraId="52AC1B02" w14:textId="793D8D26" w:rsidR="00E051A3" w:rsidRDefault="00473472" w:rsidP="00DA7009">
      <w:pPr>
        <w:spacing w:line="360" w:lineRule="auto"/>
        <w:rPr>
          <w:rFonts w:ascii="Arial" w:hAnsi="Arial" w:cs="Arial"/>
          <w:sz w:val="22"/>
          <w:szCs w:val="22"/>
        </w:rPr>
      </w:pPr>
      <w:r w:rsidRPr="00473472">
        <w:rPr>
          <w:rFonts w:ascii="Arial" w:hAnsi="Arial" w:cs="Arial"/>
          <w:sz w:val="22"/>
          <w:szCs w:val="22"/>
        </w:rPr>
        <w:t>Table 4. Risk Register</w:t>
      </w:r>
    </w:p>
    <w:tbl>
      <w:tblPr>
        <w:tblStyle w:val="TableGrid"/>
        <w:tblW w:w="9015" w:type="dxa"/>
        <w:tblLook w:val="04A0" w:firstRow="1" w:lastRow="0" w:firstColumn="1" w:lastColumn="0" w:noHBand="0" w:noVBand="1"/>
      </w:tblPr>
      <w:tblGrid>
        <w:gridCol w:w="3005"/>
        <w:gridCol w:w="3005"/>
        <w:gridCol w:w="3005"/>
      </w:tblGrid>
      <w:tr w:rsidR="00F47EF3" w14:paraId="2504D715" w14:textId="77777777" w:rsidTr="00F47EF3">
        <w:tc>
          <w:tcPr>
            <w:tcW w:w="3005" w:type="dxa"/>
            <w:vAlign w:val="center"/>
          </w:tcPr>
          <w:p w14:paraId="43C9EC54" w14:textId="1DCE35A5" w:rsidR="00F47EF3" w:rsidRDefault="00F47EF3" w:rsidP="00F47EF3">
            <w:pPr>
              <w:spacing w:line="360" w:lineRule="auto"/>
              <w:rPr>
                <w:rFonts w:ascii="Arial" w:hAnsi="Arial" w:cs="Arial"/>
                <w:sz w:val="22"/>
                <w:szCs w:val="22"/>
              </w:rPr>
            </w:pPr>
            <w:r w:rsidRPr="00DA7009">
              <w:rPr>
                <w:rFonts w:ascii="Arial" w:hAnsi="Arial" w:cs="Arial"/>
                <w:sz w:val="22"/>
                <w:szCs w:val="22"/>
              </w:rPr>
              <w:t>Risk</w:t>
            </w:r>
          </w:p>
        </w:tc>
        <w:tc>
          <w:tcPr>
            <w:tcW w:w="3005" w:type="dxa"/>
            <w:vAlign w:val="center"/>
          </w:tcPr>
          <w:p w14:paraId="347C1BDF" w14:textId="3DC21B52" w:rsidR="00F47EF3" w:rsidRDefault="00F47EF3" w:rsidP="00F47EF3">
            <w:pPr>
              <w:spacing w:line="360" w:lineRule="auto"/>
              <w:rPr>
                <w:rFonts w:ascii="Arial" w:hAnsi="Arial" w:cs="Arial"/>
                <w:sz w:val="22"/>
                <w:szCs w:val="22"/>
              </w:rPr>
            </w:pPr>
            <w:r w:rsidRPr="00DA7009">
              <w:rPr>
                <w:rFonts w:ascii="Arial" w:hAnsi="Arial" w:cs="Arial"/>
                <w:sz w:val="22"/>
                <w:szCs w:val="22"/>
              </w:rPr>
              <w:t>Impact</w:t>
            </w:r>
          </w:p>
        </w:tc>
        <w:tc>
          <w:tcPr>
            <w:tcW w:w="3005" w:type="dxa"/>
            <w:vAlign w:val="center"/>
          </w:tcPr>
          <w:p w14:paraId="18460D2F" w14:textId="5A9EFE9E" w:rsidR="00F47EF3" w:rsidRDefault="00F47EF3" w:rsidP="00F47EF3">
            <w:pPr>
              <w:spacing w:line="360" w:lineRule="auto"/>
              <w:rPr>
                <w:rFonts w:ascii="Arial" w:hAnsi="Arial" w:cs="Arial"/>
                <w:sz w:val="22"/>
                <w:szCs w:val="22"/>
              </w:rPr>
            </w:pPr>
            <w:r w:rsidRPr="00DA7009">
              <w:rPr>
                <w:rFonts w:ascii="Arial" w:hAnsi="Arial" w:cs="Arial"/>
                <w:sz w:val="22"/>
                <w:szCs w:val="22"/>
              </w:rPr>
              <w:t>Mitigation</w:t>
            </w:r>
          </w:p>
        </w:tc>
      </w:tr>
      <w:tr w:rsidR="00F47EF3" w14:paraId="3CE22AD7" w14:textId="77777777" w:rsidTr="00F47EF3">
        <w:tc>
          <w:tcPr>
            <w:tcW w:w="3005" w:type="dxa"/>
            <w:vAlign w:val="center"/>
          </w:tcPr>
          <w:p w14:paraId="5CAD44C4" w14:textId="209AC778" w:rsidR="00F47EF3" w:rsidRDefault="00F47EF3" w:rsidP="00F47EF3">
            <w:pPr>
              <w:spacing w:line="360" w:lineRule="auto"/>
              <w:rPr>
                <w:rFonts w:ascii="Arial" w:hAnsi="Arial" w:cs="Arial"/>
                <w:sz w:val="22"/>
                <w:szCs w:val="22"/>
              </w:rPr>
            </w:pPr>
            <w:r w:rsidRPr="00DA7009">
              <w:rPr>
                <w:rFonts w:ascii="Arial" w:hAnsi="Arial" w:cs="Arial"/>
                <w:sz w:val="22"/>
                <w:szCs w:val="22"/>
              </w:rPr>
              <w:t>Staff resistance</w:t>
            </w:r>
          </w:p>
        </w:tc>
        <w:tc>
          <w:tcPr>
            <w:tcW w:w="3005" w:type="dxa"/>
            <w:vAlign w:val="center"/>
          </w:tcPr>
          <w:p w14:paraId="7E340CCF" w14:textId="6CE318CA" w:rsidR="00F47EF3" w:rsidRDefault="00F47EF3" w:rsidP="00F47EF3">
            <w:pPr>
              <w:spacing w:line="360" w:lineRule="auto"/>
              <w:rPr>
                <w:rFonts w:ascii="Arial" w:hAnsi="Arial" w:cs="Arial"/>
                <w:sz w:val="22"/>
                <w:szCs w:val="22"/>
              </w:rPr>
            </w:pPr>
            <w:r w:rsidRPr="00DA7009">
              <w:rPr>
                <w:rFonts w:ascii="Arial" w:hAnsi="Arial" w:cs="Arial"/>
                <w:sz w:val="22"/>
                <w:szCs w:val="22"/>
              </w:rPr>
              <w:t>Medium–High</w:t>
            </w:r>
          </w:p>
        </w:tc>
        <w:tc>
          <w:tcPr>
            <w:tcW w:w="3005" w:type="dxa"/>
            <w:vAlign w:val="center"/>
          </w:tcPr>
          <w:p w14:paraId="2DDC59D6" w14:textId="5F3AE130" w:rsidR="00F47EF3" w:rsidRDefault="00F47EF3" w:rsidP="00F47EF3">
            <w:pPr>
              <w:spacing w:line="360" w:lineRule="auto"/>
              <w:rPr>
                <w:rFonts w:ascii="Arial" w:hAnsi="Arial" w:cs="Arial"/>
                <w:sz w:val="22"/>
                <w:szCs w:val="22"/>
              </w:rPr>
            </w:pPr>
            <w:r w:rsidRPr="00DA7009">
              <w:rPr>
                <w:rFonts w:ascii="Arial" w:hAnsi="Arial" w:cs="Arial"/>
                <w:sz w:val="22"/>
                <w:szCs w:val="22"/>
              </w:rPr>
              <w:t>Early involvement, super users, tailored training</w:t>
            </w:r>
          </w:p>
        </w:tc>
      </w:tr>
      <w:tr w:rsidR="00F47EF3" w14:paraId="6A54C452" w14:textId="77777777" w:rsidTr="00F47EF3">
        <w:tc>
          <w:tcPr>
            <w:tcW w:w="3005" w:type="dxa"/>
            <w:vAlign w:val="center"/>
          </w:tcPr>
          <w:p w14:paraId="38DD0A88" w14:textId="70DDC62D" w:rsidR="00F47EF3" w:rsidRDefault="00F47EF3" w:rsidP="00F47EF3">
            <w:pPr>
              <w:spacing w:line="360" w:lineRule="auto"/>
              <w:rPr>
                <w:rFonts w:ascii="Arial" w:hAnsi="Arial" w:cs="Arial"/>
                <w:sz w:val="22"/>
                <w:szCs w:val="22"/>
              </w:rPr>
            </w:pPr>
            <w:r w:rsidRPr="00DA7009">
              <w:rPr>
                <w:rFonts w:ascii="Arial" w:hAnsi="Arial" w:cs="Arial"/>
                <w:sz w:val="22"/>
                <w:szCs w:val="22"/>
              </w:rPr>
              <w:t>Data migration errors</w:t>
            </w:r>
          </w:p>
        </w:tc>
        <w:tc>
          <w:tcPr>
            <w:tcW w:w="3005" w:type="dxa"/>
            <w:vAlign w:val="center"/>
          </w:tcPr>
          <w:p w14:paraId="12E9CA11" w14:textId="0708A117" w:rsidR="00F47EF3" w:rsidRDefault="00F47EF3" w:rsidP="00F47EF3">
            <w:pPr>
              <w:spacing w:line="360" w:lineRule="auto"/>
              <w:rPr>
                <w:rFonts w:ascii="Arial" w:hAnsi="Arial" w:cs="Arial"/>
                <w:sz w:val="22"/>
                <w:szCs w:val="22"/>
              </w:rPr>
            </w:pPr>
            <w:r w:rsidRPr="00DA7009">
              <w:rPr>
                <w:rFonts w:ascii="Arial" w:hAnsi="Arial" w:cs="Arial"/>
                <w:sz w:val="22"/>
                <w:szCs w:val="22"/>
              </w:rPr>
              <w:t>High</w:t>
            </w:r>
          </w:p>
        </w:tc>
        <w:tc>
          <w:tcPr>
            <w:tcW w:w="3005" w:type="dxa"/>
            <w:vAlign w:val="center"/>
          </w:tcPr>
          <w:p w14:paraId="2DF9ACAB" w14:textId="7118A2D4" w:rsidR="00F47EF3" w:rsidRDefault="00F47EF3" w:rsidP="00F47EF3">
            <w:pPr>
              <w:spacing w:line="360" w:lineRule="auto"/>
              <w:rPr>
                <w:rFonts w:ascii="Arial" w:hAnsi="Arial" w:cs="Arial"/>
                <w:sz w:val="22"/>
                <w:szCs w:val="22"/>
              </w:rPr>
            </w:pPr>
            <w:r w:rsidRPr="00DA7009">
              <w:rPr>
                <w:rFonts w:ascii="Arial" w:hAnsi="Arial" w:cs="Arial"/>
                <w:sz w:val="22"/>
                <w:szCs w:val="22"/>
              </w:rPr>
              <w:t>Data cleansing, phased migration, UAT</w:t>
            </w:r>
          </w:p>
        </w:tc>
      </w:tr>
      <w:tr w:rsidR="00F47EF3" w14:paraId="1D072DC9" w14:textId="77777777" w:rsidTr="00F47EF3">
        <w:tc>
          <w:tcPr>
            <w:tcW w:w="3005" w:type="dxa"/>
            <w:vAlign w:val="center"/>
          </w:tcPr>
          <w:p w14:paraId="6C3491EC" w14:textId="592B970D" w:rsidR="00F47EF3" w:rsidRDefault="00F47EF3" w:rsidP="00F47EF3">
            <w:pPr>
              <w:spacing w:line="360" w:lineRule="auto"/>
              <w:rPr>
                <w:rFonts w:ascii="Arial" w:hAnsi="Arial" w:cs="Arial"/>
                <w:sz w:val="22"/>
                <w:szCs w:val="22"/>
              </w:rPr>
            </w:pPr>
            <w:r w:rsidRPr="00DA7009">
              <w:rPr>
                <w:rFonts w:ascii="Arial" w:hAnsi="Arial" w:cs="Arial"/>
                <w:sz w:val="22"/>
                <w:szCs w:val="22"/>
              </w:rPr>
              <w:t>Integration failures</w:t>
            </w:r>
          </w:p>
        </w:tc>
        <w:tc>
          <w:tcPr>
            <w:tcW w:w="3005" w:type="dxa"/>
            <w:vAlign w:val="center"/>
          </w:tcPr>
          <w:p w14:paraId="37CEE9AB" w14:textId="784EA742"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17E7245C" w14:textId="7C739180" w:rsidR="00F47EF3" w:rsidRDefault="00F47EF3" w:rsidP="00F47EF3">
            <w:pPr>
              <w:spacing w:line="360" w:lineRule="auto"/>
              <w:rPr>
                <w:rFonts w:ascii="Arial" w:hAnsi="Arial" w:cs="Arial"/>
                <w:sz w:val="22"/>
                <w:szCs w:val="22"/>
              </w:rPr>
            </w:pPr>
            <w:r w:rsidRPr="00DA7009">
              <w:rPr>
                <w:rFonts w:ascii="Arial" w:hAnsi="Arial" w:cs="Arial"/>
                <w:sz w:val="22"/>
                <w:szCs w:val="22"/>
              </w:rPr>
              <w:t>Middleware, staged testing</w:t>
            </w:r>
          </w:p>
        </w:tc>
      </w:tr>
      <w:tr w:rsidR="00F47EF3" w14:paraId="6D929AF1" w14:textId="77777777" w:rsidTr="00F47EF3">
        <w:tc>
          <w:tcPr>
            <w:tcW w:w="3005" w:type="dxa"/>
            <w:vAlign w:val="center"/>
          </w:tcPr>
          <w:p w14:paraId="277F4227" w14:textId="78A1C585" w:rsidR="00F47EF3" w:rsidRDefault="00F47EF3" w:rsidP="00F47EF3">
            <w:pPr>
              <w:spacing w:line="360" w:lineRule="auto"/>
              <w:rPr>
                <w:rFonts w:ascii="Arial" w:hAnsi="Arial" w:cs="Arial"/>
                <w:sz w:val="22"/>
                <w:szCs w:val="22"/>
              </w:rPr>
            </w:pPr>
            <w:r w:rsidRPr="00DA7009">
              <w:rPr>
                <w:rFonts w:ascii="Arial" w:hAnsi="Arial" w:cs="Arial"/>
                <w:sz w:val="22"/>
                <w:szCs w:val="22"/>
              </w:rPr>
              <w:t>Budget overruns</w:t>
            </w:r>
          </w:p>
        </w:tc>
        <w:tc>
          <w:tcPr>
            <w:tcW w:w="3005" w:type="dxa"/>
            <w:vAlign w:val="center"/>
          </w:tcPr>
          <w:p w14:paraId="58199501" w14:textId="7123806A"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68762219" w14:textId="7A026182" w:rsidR="00F47EF3" w:rsidRDefault="00F47EF3" w:rsidP="00F47EF3">
            <w:pPr>
              <w:spacing w:line="360" w:lineRule="auto"/>
              <w:rPr>
                <w:rFonts w:ascii="Arial" w:hAnsi="Arial" w:cs="Arial"/>
                <w:sz w:val="22"/>
                <w:szCs w:val="22"/>
              </w:rPr>
            </w:pPr>
            <w:r w:rsidRPr="00DA7009">
              <w:rPr>
                <w:rFonts w:ascii="Arial" w:hAnsi="Arial" w:cs="Arial"/>
                <w:sz w:val="22"/>
                <w:szCs w:val="22"/>
              </w:rPr>
              <w:t>Clear scope, vendor SLAs, monthly reviews</w:t>
            </w:r>
          </w:p>
        </w:tc>
      </w:tr>
      <w:tr w:rsidR="00F47EF3" w14:paraId="53FE3ACA" w14:textId="77777777" w:rsidTr="00F47EF3">
        <w:tc>
          <w:tcPr>
            <w:tcW w:w="3005" w:type="dxa"/>
            <w:vAlign w:val="center"/>
          </w:tcPr>
          <w:p w14:paraId="0630F965" w14:textId="4863B3EF" w:rsidR="00F47EF3" w:rsidRDefault="00F47EF3" w:rsidP="00F47EF3">
            <w:pPr>
              <w:spacing w:line="360" w:lineRule="auto"/>
              <w:rPr>
                <w:rFonts w:ascii="Arial" w:hAnsi="Arial" w:cs="Arial"/>
                <w:sz w:val="22"/>
                <w:szCs w:val="22"/>
              </w:rPr>
            </w:pPr>
            <w:r w:rsidRPr="00DA7009">
              <w:rPr>
                <w:rFonts w:ascii="Arial" w:hAnsi="Arial" w:cs="Arial"/>
                <w:sz w:val="22"/>
                <w:szCs w:val="22"/>
              </w:rPr>
              <w:t>Cybersecurity threats</w:t>
            </w:r>
          </w:p>
        </w:tc>
        <w:tc>
          <w:tcPr>
            <w:tcW w:w="3005" w:type="dxa"/>
            <w:vAlign w:val="center"/>
          </w:tcPr>
          <w:p w14:paraId="1FDC440D" w14:textId="33FAAD78" w:rsidR="00F47EF3" w:rsidRDefault="00F47EF3" w:rsidP="00F47EF3">
            <w:pPr>
              <w:spacing w:line="360" w:lineRule="auto"/>
              <w:rPr>
                <w:rFonts w:ascii="Arial" w:hAnsi="Arial" w:cs="Arial"/>
                <w:sz w:val="22"/>
                <w:szCs w:val="22"/>
              </w:rPr>
            </w:pPr>
            <w:r w:rsidRPr="00DA7009">
              <w:rPr>
                <w:rFonts w:ascii="Arial" w:hAnsi="Arial" w:cs="Arial"/>
                <w:sz w:val="22"/>
                <w:szCs w:val="22"/>
              </w:rPr>
              <w:t>High</w:t>
            </w:r>
          </w:p>
        </w:tc>
        <w:tc>
          <w:tcPr>
            <w:tcW w:w="3005" w:type="dxa"/>
            <w:vAlign w:val="center"/>
          </w:tcPr>
          <w:p w14:paraId="602B6E94" w14:textId="32DD9FAC" w:rsidR="00F47EF3" w:rsidRDefault="00F47EF3" w:rsidP="00F47EF3">
            <w:pPr>
              <w:spacing w:line="360" w:lineRule="auto"/>
              <w:rPr>
                <w:rFonts w:ascii="Arial" w:hAnsi="Arial" w:cs="Arial"/>
                <w:sz w:val="22"/>
                <w:szCs w:val="22"/>
              </w:rPr>
            </w:pPr>
            <w:r w:rsidRPr="00DA7009">
              <w:rPr>
                <w:rFonts w:ascii="Arial" w:hAnsi="Arial" w:cs="Arial"/>
                <w:sz w:val="22"/>
                <w:szCs w:val="22"/>
              </w:rPr>
              <w:t>MFA, encryption, regular audits</w:t>
            </w:r>
          </w:p>
        </w:tc>
      </w:tr>
      <w:tr w:rsidR="00F47EF3" w14:paraId="5BA20EBE" w14:textId="77777777" w:rsidTr="00F47EF3">
        <w:tc>
          <w:tcPr>
            <w:tcW w:w="3005" w:type="dxa"/>
            <w:vAlign w:val="center"/>
          </w:tcPr>
          <w:p w14:paraId="4F53882D" w14:textId="7B436378" w:rsidR="00F47EF3" w:rsidRDefault="00F47EF3" w:rsidP="00F47EF3">
            <w:pPr>
              <w:spacing w:line="360" w:lineRule="auto"/>
              <w:rPr>
                <w:rFonts w:ascii="Arial" w:hAnsi="Arial" w:cs="Arial"/>
                <w:sz w:val="22"/>
                <w:szCs w:val="22"/>
              </w:rPr>
            </w:pPr>
            <w:r w:rsidRPr="00DA7009">
              <w:rPr>
                <w:rFonts w:ascii="Arial" w:hAnsi="Arial" w:cs="Arial"/>
                <w:sz w:val="22"/>
                <w:szCs w:val="22"/>
              </w:rPr>
              <w:t>Algorithmic bias (Salesforce AI)</w:t>
            </w:r>
          </w:p>
        </w:tc>
        <w:tc>
          <w:tcPr>
            <w:tcW w:w="3005" w:type="dxa"/>
            <w:vAlign w:val="center"/>
          </w:tcPr>
          <w:p w14:paraId="529C0DD3" w14:textId="634BF890"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47CB2B92" w14:textId="748BA3D2" w:rsidR="00F47EF3" w:rsidRDefault="00F47EF3" w:rsidP="00F47EF3">
            <w:pPr>
              <w:spacing w:line="360" w:lineRule="auto"/>
              <w:rPr>
                <w:rFonts w:ascii="Arial" w:hAnsi="Arial" w:cs="Arial"/>
                <w:sz w:val="22"/>
                <w:szCs w:val="22"/>
              </w:rPr>
            </w:pPr>
            <w:r w:rsidRPr="00DA7009">
              <w:rPr>
                <w:rFonts w:ascii="Arial" w:hAnsi="Arial" w:cs="Arial"/>
                <w:sz w:val="22"/>
                <w:szCs w:val="22"/>
              </w:rPr>
              <w:t>Human oversight, regular model reviews</w:t>
            </w:r>
          </w:p>
        </w:tc>
      </w:tr>
    </w:tbl>
    <w:p w14:paraId="79826530" w14:textId="77777777" w:rsidR="00F47EF3" w:rsidRPr="00DA7009" w:rsidRDefault="00F47EF3" w:rsidP="00DA7009">
      <w:pPr>
        <w:spacing w:line="360" w:lineRule="auto"/>
        <w:rPr>
          <w:rFonts w:ascii="Arial" w:hAnsi="Arial" w:cs="Arial"/>
          <w:sz w:val="22"/>
          <w:szCs w:val="22"/>
        </w:rPr>
      </w:pPr>
    </w:p>
    <w:p w14:paraId="5A46DAA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This combination of training, communication, and proactive risk management increases the likelihood of successful adoption and long-term sustainability.</w:t>
      </w:r>
    </w:p>
    <w:p w14:paraId="6B3F490D" w14:textId="05DD4BFF" w:rsidR="00E051A3" w:rsidRPr="00DA7009" w:rsidRDefault="00E051A3" w:rsidP="00DA7009">
      <w:pPr>
        <w:spacing w:line="360" w:lineRule="auto"/>
        <w:rPr>
          <w:rFonts w:ascii="Arial" w:hAnsi="Arial" w:cs="Arial"/>
          <w:sz w:val="22"/>
          <w:szCs w:val="22"/>
        </w:rPr>
      </w:pPr>
    </w:p>
    <w:p w14:paraId="75E278BF"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4.3 Cost Summary and Expected Benefits (ROI)</w:t>
      </w:r>
    </w:p>
    <w:p w14:paraId="0C3F2F80"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Although the initial investment is substantial, the long-term returns are compelling. Cloud systems significantly reduce hardware maintenance, energy consumption and reliance on outdated servers, supporting both cost efficiency and environmental sustainability.</w:t>
      </w:r>
    </w:p>
    <w:p w14:paraId="6F0DFB91" w14:textId="27592DDB" w:rsidR="00E051A3" w:rsidRDefault="00473472" w:rsidP="00DA7009">
      <w:pPr>
        <w:spacing w:line="360" w:lineRule="auto"/>
        <w:rPr>
          <w:rFonts w:ascii="Arial" w:hAnsi="Arial" w:cs="Arial"/>
          <w:sz w:val="22"/>
          <w:szCs w:val="22"/>
        </w:rPr>
      </w:pPr>
      <w:r w:rsidRPr="00473472">
        <w:rPr>
          <w:rFonts w:ascii="Arial" w:hAnsi="Arial" w:cs="Arial"/>
          <w:sz w:val="22"/>
          <w:szCs w:val="22"/>
        </w:rPr>
        <w:t>Table 5. Cost Summary</w:t>
      </w:r>
    </w:p>
    <w:tbl>
      <w:tblPr>
        <w:tblStyle w:val="TableGrid"/>
        <w:tblW w:w="9016" w:type="dxa"/>
        <w:tblLook w:val="04A0" w:firstRow="1" w:lastRow="0" w:firstColumn="1" w:lastColumn="0" w:noHBand="0" w:noVBand="1"/>
      </w:tblPr>
      <w:tblGrid>
        <w:gridCol w:w="4508"/>
        <w:gridCol w:w="4508"/>
      </w:tblGrid>
      <w:tr w:rsidR="00F47EF3" w14:paraId="5733E425" w14:textId="77777777" w:rsidTr="00F47EF3">
        <w:tc>
          <w:tcPr>
            <w:tcW w:w="4508" w:type="dxa"/>
            <w:vAlign w:val="center"/>
          </w:tcPr>
          <w:p w14:paraId="4DB83FDB" w14:textId="3908BCE5" w:rsidR="00F47EF3" w:rsidRDefault="00F47EF3" w:rsidP="00F47EF3">
            <w:pPr>
              <w:spacing w:line="360" w:lineRule="auto"/>
              <w:rPr>
                <w:rFonts w:ascii="Arial" w:hAnsi="Arial" w:cs="Arial"/>
                <w:sz w:val="22"/>
                <w:szCs w:val="22"/>
              </w:rPr>
            </w:pPr>
            <w:r w:rsidRPr="00DA7009">
              <w:rPr>
                <w:rFonts w:ascii="Arial" w:hAnsi="Arial" w:cs="Arial"/>
                <w:sz w:val="22"/>
                <w:szCs w:val="22"/>
              </w:rPr>
              <w:t>Cost Category</w:t>
            </w:r>
          </w:p>
        </w:tc>
        <w:tc>
          <w:tcPr>
            <w:tcW w:w="4508" w:type="dxa"/>
            <w:vAlign w:val="center"/>
          </w:tcPr>
          <w:p w14:paraId="307689D5" w14:textId="00AE0454" w:rsidR="00F47EF3" w:rsidRDefault="00F47EF3" w:rsidP="00F47EF3">
            <w:pPr>
              <w:spacing w:line="360" w:lineRule="auto"/>
              <w:rPr>
                <w:rFonts w:ascii="Arial" w:hAnsi="Arial" w:cs="Arial"/>
                <w:sz w:val="22"/>
                <w:szCs w:val="22"/>
              </w:rPr>
            </w:pPr>
            <w:r w:rsidRPr="00DA7009">
              <w:rPr>
                <w:rFonts w:ascii="Arial" w:hAnsi="Arial" w:cs="Arial"/>
                <w:sz w:val="22"/>
                <w:szCs w:val="22"/>
              </w:rPr>
              <w:t>Estimated Range (Year 1)</w:t>
            </w:r>
          </w:p>
        </w:tc>
      </w:tr>
      <w:tr w:rsidR="00F47EF3" w14:paraId="7B9F14E0" w14:textId="77777777" w:rsidTr="00F47EF3">
        <w:tc>
          <w:tcPr>
            <w:tcW w:w="4508" w:type="dxa"/>
            <w:vAlign w:val="center"/>
          </w:tcPr>
          <w:p w14:paraId="62D0E5ED" w14:textId="2EE8C137" w:rsidR="00F47EF3" w:rsidRDefault="00F47EF3" w:rsidP="00F47EF3">
            <w:pPr>
              <w:spacing w:line="360" w:lineRule="auto"/>
              <w:rPr>
                <w:rFonts w:ascii="Arial" w:hAnsi="Arial" w:cs="Arial"/>
                <w:sz w:val="22"/>
                <w:szCs w:val="22"/>
              </w:rPr>
            </w:pPr>
            <w:r w:rsidRPr="00DA7009">
              <w:rPr>
                <w:rFonts w:ascii="Arial" w:hAnsi="Arial" w:cs="Arial"/>
                <w:sz w:val="22"/>
                <w:szCs w:val="22"/>
              </w:rPr>
              <w:t>Software licences (SAP + Salesforce)</w:t>
            </w:r>
          </w:p>
        </w:tc>
        <w:tc>
          <w:tcPr>
            <w:tcW w:w="4508" w:type="dxa"/>
            <w:vAlign w:val="center"/>
          </w:tcPr>
          <w:p w14:paraId="031193A9" w14:textId="32492563" w:rsidR="00F47EF3" w:rsidRDefault="00F47EF3" w:rsidP="00F47EF3">
            <w:pPr>
              <w:spacing w:line="360" w:lineRule="auto"/>
              <w:rPr>
                <w:rFonts w:ascii="Arial" w:hAnsi="Arial" w:cs="Arial"/>
                <w:sz w:val="22"/>
                <w:szCs w:val="22"/>
              </w:rPr>
            </w:pPr>
            <w:r w:rsidRPr="00DA7009">
              <w:rPr>
                <w:rFonts w:ascii="Arial" w:hAnsi="Arial" w:cs="Arial"/>
                <w:sz w:val="22"/>
                <w:szCs w:val="22"/>
              </w:rPr>
              <w:t>£180,000 – £240,000</w:t>
            </w:r>
          </w:p>
        </w:tc>
      </w:tr>
      <w:tr w:rsidR="00F47EF3" w14:paraId="51ACBBFE" w14:textId="77777777" w:rsidTr="00F47EF3">
        <w:tc>
          <w:tcPr>
            <w:tcW w:w="4508" w:type="dxa"/>
            <w:vAlign w:val="center"/>
          </w:tcPr>
          <w:p w14:paraId="2D89066D" w14:textId="3B2C141B" w:rsidR="00F47EF3" w:rsidRDefault="00F47EF3" w:rsidP="00F47EF3">
            <w:pPr>
              <w:spacing w:line="360" w:lineRule="auto"/>
              <w:rPr>
                <w:rFonts w:ascii="Arial" w:hAnsi="Arial" w:cs="Arial"/>
                <w:sz w:val="22"/>
                <w:szCs w:val="22"/>
              </w:rPr>
            </w:pPr>
            <w:r w:rsidRPr="00DA7009">
              <w:rPr>
                <w:rFonts w:ascii="Arial" w:hAnsi="Arial" w:cs="Arial"/>
                <w:sz w:val="22"/>
                <w:szCs w:val="22"/>
              </w:rPr>
              <w:t>Implementation &amp; Integration Services</w:t>
            </w:r>
          </w:p>
        </w:tc>
        <w:tc>
          <w:tcPr>
            <w:tcW w:w="4508" w:type="dxa"/>
            <w:vAlign w:val="center"/>
          </w:tcPr>
          <w:p w14:paraId="7CC85A10" w14:textId="250C166E" w:rsidR="00F47EF3" w:rsidRDefault="00F47EF3" w:rsidP="00F47EF3">
            <w:pPr>
              <w:spacing w:line="360" w:lineRule="auto"/>
              <w:rPr>
                <w:rFonts w:ascii="Arial" w:hAnsi="Arial" w:cs="Arial"/>
                <w:sz w:val="22"/>
                <w:szCs w:val="22"/>
              </w:rPr>
            </w:pPr>
            <w:r w:rsidRPr="00DA7009">
              <w:rPr>
                <w:rFonts w:ascii="Arial" w:hAnsi="Arial" w:cs="Arial"/>
                <w:sz w:val="22"/>
                <w:szCs w:val="22"/>
              </w:rPr>
              <w:t>£220,000 – £300,000</w:t>
            </w:r>
          </w:p>
        </w:tc>
      </w:tr>
      <w:tr w:rsidR="00F47EF3" w14:paraId="6AFF337B" w14:textId="77777777" w:rsidTr="00F47EF3">
        <w:tc>
          <w:tcPr>
            <w:tcW w:w="4508" w:type="dxa"/>
            <w:vAlign w:val="center"/>
          </w:tcPr>
          <w:p w14:paraId="4050FCCF" w14:textId="5BC5482F" w:rsidR="00F47EF3" w:rsidRDefault="00F47EF3" w:rsidP="00F47EF3">
            <w:pPr>
              <w:spacing w:line="360" w:lineRule="auto"/>
              <w:rPr>
                <w:rFonts w:ascii="Arial" w:hAnsi="Arial" w:cs="Arial"/>
                <w:sz w:val="22"/>
                <w:szCs w:val="22"/>
              </w:rPr>
            </w:pPr>
            <w:r w:rsidRPr="00DA7009">
              <w:rPr>
                <w:rFonts w:ascii="Arial" w:hAnsi="Arial" w:cs="Arial"/>
                <w:sz w:val="22"/>
                <w:szCs w:val="22"/>
              </w:rPr>
              <w:t>Training &amp; Change Management</w:t>
            </w:r>
          </w:p>
        </w:tc>
        <w:tc>
          <w:tcPr>
            <w:tcW w:w="4508" w:type="dxa"/>
            <w:vAlign w:val="center"/>
          </w:tcPr>
          <w:p w14:paraId="7DFF5588" w14:textId="3A6F2531" w:rsidR="00F47EF3" w:rsidRDefault="00F47EF3" w:rsidP="00F47EF3">
            <w:pPr>
              <w:spacing w:line="360" w:lineRule="auto"/>
              <w:rPr>
                <w:rFonts w:ascii="Arial" w:hAnsi="Arial" w:cs="Arial"/>
                <w:sz w:val="22"/>
                <w:szCs w:val="22"/>
              </w:rPr>
            </w:pPr>
            <w:r w:rsidRPr="00DA7009">
              <w:rPr>
                <w:rFonts w:ascii="Arial" w:hAnsi="Arial" w:cs="Arial"/>
                <w:sz w:val="22"/>
                <w:szCs w:val="22"/>
              </w:rPr>
              <w:t>£40,000 – £60,000</w:t>
            </w:r>
          </w:p>
        </w:tc>
      </w:tr>
      <w:tr w:rsidR="00F47EF3" w14:paraId="71027B03" w14:textId="77777777" w:rsidTr="00F47EF3">
        <w:tc>
          <w:tcPr>
            <w:tcW w:w="4508" w:type="dxa"/>
            <w:vAlign w:val="center"/>
          </w:tcPr>
          <w:p w14:paraId="42EB432E" w14:textId="54F294C7" w:rsidR="00F47EF3" w:rsidRDefault="00F47EF3" w:rsidP="00F47EF3">
            <w:pPr>
              <w:spacing w:line="360" w:lineRule="auto"/>
              <w:rPr>
                <w:rFonts w:ascii="Arial" w:hAnsi="Arial" w:cs="Arial"/>
                <w:sz w:val="22"/>
                <w:szCs w:val="22"/>
              </w:rPr>
            </w:pPr>
            <w:r w:rsidRPr="00DA7009">
              <w:rPr>
                <w:rFonts w:ascii="Arial" w:hAnsi="Arial" w:cs="Arial"/>
                <w:sz w:val="22"/>
                <w:szCs w:val="22"/>
              </w:rPr>
              <w:t>Total Year 1 Investment</w:t>
            </w:r>
          </w:p>
        </w:tc>
        <w:tc>
          <w:tcPr>
            <w:tcW w:w="4508" w:type="dxa"/>
            <w:vAlign w:val="center"/>
          </w:tcPr>
          <w:p w14:paraId="567D1879" w14:textId="7942772C" w:rsidR="00F47EF3" w:rsidRDefault="00F47EF3" w:rsidP="00F47EF3">
            <w:pPr>
              <w:spacing w:line="360" w:lineRule="auto"/>
              <w:rPr>
                <w:rFonts w:ascii="Arial" w:hAnsi="Arial" w:cs="Arial"/>
                <w:sz w:val="22"/>
                <w:szCs w:val="22"/>
              </w:rPr>
            </w:pPr>
            <w:r w:rsidRPr="00DA7009">
              <w:rPr>
                <w:rFonts w:ascii="Arial" w:hAnsi="Arial" w:cs="Arial"/>
                <w:sz w:val="22"/>
                <w:szCs w:val="22"/>
              </w:rPr>
              <w:t>£440,000 – £600,000</w:t>
            </w:r>
          </w:p>
        </w:tc>
      </w:tr>
    </w:tbl>
    <w:p w14:paraId="389C7294" w14:textId="77777777" w:rsidR="00F47EF3" w:rsidRPr="00DA7009" w:rsidRDefault="00F47EF3" w:rsidP="00DA7009">
      <w:pPr>
        <w:spacing w:line="360" w:lineRule="auto"/>
        <w:rPr>
          <w:rFonts w:ascii="Arial" w:hAnsi="Arial" w:cs="Arial"/>
          <w:sz w:val="22"/>
          <w:szCs w:val="22"/>
        </w:rPr>
      </w:pPr>
    </w:p>
    <w:p w14:paraId="23C0F775" w14:textId="77777777" w:rsidR="00E051A3" w:rsidRPr="00DA7009" w:rsidRDefault="00E051A3" w:rsidP="007D75E9">
      <w:pPr>
        <w:spacing w:line="360" w:lineRule="auto"/>
        <w:ind w:firstLine="360"/>
        <w:rPr>
          <w:rFonts w:ascii="Arial" w:hAnsi="Arial" w:cs="Arial"/>
          <w:sz w:val="22"/>
          <w:szCs w:val="22"/>
        </w:rPr>
      </w:pPr>
      <w:r w:rsidRPr="00DA7009">
        <w:rPr>
          <w:rFonts w:ascii="Arial" w:hAnsi="Arial" w:cs="Arial"/>
          <w:sz w:val="22"/>
          <w:szCs w:val="22"/>
        </w:rPr>
        <w:t xml:space="preserve">Industry evidence shows that organisations typically recover these costs within two to three years due to lower stock losses, higher customer retention and more efficient operations. For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expected improvements include:</w:t>
      </w:r>
    </w:p>
    <w:p w14:paraId="3CE21759"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25–35% reduction in stock-related losses</w:t>
      </w:r>
    </w:p>
    <w:p w14:paraId="48A694FD"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20–30% increase in customer retention</w:t>
      </w:r>
    </w:p>
    <w:p w14:paraId="39AE77B7"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30–40% faster reporting and decision-making</w:t>
      </w:r>
    </w:p>
    <w:p w14:paraId="75337E18"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More accurate forecasting and improved customer-service performance</w:t>
      </w:r>
    </w:p>
    <w:p w14:paraId="53795E05"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While the technology enables these outcomes, the real value lies in clearer processes, confident staff and reliable, real-time information.</w:t>
      </w:r>
    </w:p>
    <w:p w14:paraId="7218D708" w14:textId="1937BA85" w:rsidR="00E051A3" w:rsidRPr="00DA7009" w:rsidRDefault="00E051A3" w:rsidP="00DA7009">
      <w:pPr>
        <w:spacing w:line="360" w:lineRule="auto"/>
        <w:rPr>
          <w:rFonts w:ascii="Arial" w:hAnsi="Arial" w:cs="Arial"/>
          <w:sz w:val="22"/>
          <w:szCs w:val="22"/>
        </w:rPr>
      </w:pPr>
    </w:p>
    <w:p w14:paraId="72BDACA0" w14:textId="77777777" w:rsidR="00723DDC" w:rsidRDefault="00723DDC" w:rsidP="00723DDC">
      <w:pPr>
        <w:spacing w:line="360" w:lineRule="auto"/>
        <w:rPr>
          <w:rFonts w:ascii="Arial" w:hAnsi="Arial" w:cs="Arial"/>
          <w:sz w:val="22"/>
          <w:szCs w:val="22"/>
        </w:rPr>
      </w:pPr>
    </w:p>
    <w:p w14:paraId="17352153" w14:textId="77777777" w:rsidR="00F47EF3" w:rsidRDefault="00F47EF3" w:rsidP="00723DDC">
      <w:pPr>
        <w:spacing w:line="360" w:lineRule="auto"/>
        <w:jc w:val="center"/>
        <w:rPr>
          <w:rFonts w:ascii="Arial" w:hAnsi="Arial" w:cs="Arial"/>
          <w:sz w:val="28"/>
          <w:szCs w:val="28"/>
        </w:rPr>
      </w:pPr>
    </w:p>
    <w:p w14:paraId="1C13A6D4" w14:textId="77777777" w:rsidR="00F47EF3" w:rsidRDefault="00F47EF3" w:rsidP="00723DDC">
      <w:pPr>
        <w:spacing w:line="360" w:lineRule="auto"/>
        <w:jc w:val="center"/>
        <w:rPr>
          <w:rFonts w:ascii="Arial" w:hAnsi="Arial" w:cs="Arial"/>
          <w:sz w:val="28"/>
          <w:szCs w:val="28"/>
        </w:rPr>
      </w:pPr>
    </w:p>
    <w:p w14:paraId="14365EB6" w14:textId="349A3C9A"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lastRenderedPageBreak/>
        <w:t>CONCLUSION</w:t>
      </w:r>
    </w:p>
    <w:p w14:paraId="2B55F1B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In summary, the evaluation of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information systems shows that the organisation is constrained by outdated tools, inconsistent data and fragmented processes. These weaknesses affect not only day-to-day operations but also the quality of customer experience and the organisation’s ability to plan effectively. Implementing SAP S/4HANA alongside Salesforce provides a realistic and future-focused solution, giving the company a unified operational platform supported by a robust customer-management system. Together, they create an environment where information is accurate, connected and accessible in real time.</w:t>
      </w:r>
    </w:p>
    <w:p w14:paraId="1B278A5F"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benefits extend well beyond the technical upgrade itself. Improved data integrity, faster reporting and stronger GDPR-aligned governance enable staff to work with confidence and reduce organisational risk. A phased implementation—supported by structured training and clear change-management practices—helps minimise disruption and ensures that employees adapt gradually as new capabilities are introduced. Although the investment is significant, the reductions in stock losses, improvements in forecasting and higher retention rates provide a compelling long-term return.</w:t>
      </w:r>
    </w:p>
    <w:p w14:paraId="56F4268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Ultimately, the dual-system strategy strengthens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operational foundation and enhances its ability to innovate, respond to market shifts and maintain a competitive advantage. It positions the organisation for long-term resilience in a retail sector where accurate data and customer insight are increasingly decisive.</w:t>
      </w:r>
    </w:p>
    <w:p w14:paraId="26983BAE" w14:textId="77777777" w:rsidR="00AD4A45" w:rsidRPr="00DA7009" w:rsidRDefault="00AD4A45" w:rsidP="00DA7009">
      <w:pPr>
        <w:spacing w:line="360" w:lineRule="auto"/>
        <w:rPr>
          <w:rFonts w:ascii="Arial" w:hAnsi="Arial" w:cs="Arial"/>
          <w:sz w:val="22"/>
          <w:szCs w:val="22"/>
        </w:rPr>
      </w:pPr>
    </w:p>
    <w:p w14:paraId="1AB55246" w14:textId="373C7E25" w:rsidR="00D07CD6" w:rsidRPr="00DA7009" w:rsidRDefault="00D07CD6" w:rsidP="00DA7009">
      <w:pPr>
        <w:spacing w:line="360" w:lineRule="auto"/>
        <w:rPr>
          <w:rFonts w:ascii="Arial" w:hAnsi="Arial" w:cs="Arial"/>
          <w:sz w:val="22"/>
          <w:szCs w:val="22"/>
        </w:rPr>
      </w:pPr>
    </w:p>
    <w:p w14:paraId="00584579" w14:textId="77777777" w:rsidR="00DA7009" w:rsidRPr="00DA7009" w:rsidRDefault="00DA7009" w:rsidP="00DA7009">
      <w:pPr>
        <w:spacing w:line="360" w:lineRule="auto"/>
        <w:rPr>
          <w:rFonts w:ascii="Arial" w:hAnsi="Arial" w:cs="Arial"/>
          <w:sz w:val="22"/>
          <w:szCs w:val="22"/>
        </w:rPr>
      </w:pPr>
    </w:p>
    <w:p w14:paraId="71036677" w14:textId="77777777" w:rsidR="00DA7009" w:rsidRPr="00DA7009" w:rsidRDefault="00DA7009" w:rsidP="00DA7009">
      <w:pPr>
        <w:spacing w:line="360" w:lineRule="auto"/>
        <w:rPr>
          <w:rFonts w:ascii="Arial" w:hAnsi="Arial" w:cs="Arial"/>
          <w:sz w:val="22"/>
          <w:szCs w:val="22"/>
        </w:rPr>
      </w:pPr>
    </w:p>
    <w:p w14:paraId="5EEE01D5" w14:textId="77777777" w:rsidR="00DA7009" w:rsidRPr="00DA7009" w:rsidRDefault="00DA7009" w:rsidP="00DA7009">
      <w:pPr>
        <w:spacing w:line="360" w:lineRule="auto"/>
        <w:rPr>
          <w:rFonts w:ascii="Arial" w:hAnsi="Arial" w:cs="Arial"/>
          <w:sz w:val="22"/>
          <w:szCs w:val="22"/>
        </w:rPr>
      </w:pPr>
    </w:p>
    <w:p w14:paraId="1EA2AAF9" w14:textId="77777777" w:rsidR="00DA7009" w:rsidRPr="00DA7009" w:rsidRDefault="00DA7009" w:rsidP="00DA7009">
      <w:pPr>
        <w:spacing w:line="360" w:lineRule="auto"/>
        <w:rPr>
          <w:rFonts w:ascii="Arial" w:hAnsi="Arial" w:cs="Arial"/>
          <w:sz w:val="22"/>
          <w:szCs w:val="22"/>
        </w:rPr>
      </w:pPr>
    </w:p>
    <w:p w14:paraId="6B0E2164" w14:textId="77777777" w:rsidR="007D75E9" w:rsidRDefault="007D75E9" w:rsidP="007D75E9">
      <w:pPr>
        <w:spacing w:line="360" w:lineRule="auto"/>
        <w:rPr>
          <w:rFonts w:ascii="Arial" w:hAnsi="Arial" w:cs="Arial"/>
          <w:sz w:val="22"/>
          <w:szCs w:val="22"/>
        </w:rPr>
      </w:pPr>
    </w:p>
    <w:p w14:paraId="7FDB2A59" w14:textId="77777777" w:rsidR="00F47EF3" w:rsidRDefault="00F47EF3" w:rsidP="007D75E9">
      <w:pPr>
        <w:spacing w:line="360" w:lineRule="auto"/>
        <w:jc w:val="center"/>
        <w:rPr>
          <w:rFonts w:ascii="Arial" w:hAnsi="Arial" w:cs="Arial"/>
          <w:sz w:val="28"/>
          <w:szCs w:val="28"/>
        </w:rPr>
      </w:pPr>
    </w:p>
    <w:p w14:paraId="64DA0283" w14:textId="77777777" w:rsidR="00F47EF3" w:rsidRDefault="00F47EF3" w:rsidP="007D75E9">
      <w:pPr>
        <w:spacing w:line="360" w:lineRule="auto"/>
        <w:jc w:val="center"/>
        <w:rPr>
          <w:rFonts w:ascii="Arial" w:hAnsi="Arial" w:cs="Arial"/>
          <w:sz w:val="28"/>
          <w:szCs w:val="28"/>
        </w:rPr>
      </w:pPr>
    </w:p>
    <w:p w14:paraId="6CE4FFAF" w14:textId="77777777" w:rsidR="00F47EF3" w:rsidRDefault="00F47EF3" w:rsidP="007D75E9">
      <w:pPr>
        <w:spacing w:line="360" w:lineRule="auto"/>
        <w:jc w:val="center"/>
        <w:rPr>
          <w:rFonts w:ascii="Arial" w:hAnsi="Arial" w:cs="Arial"/>
          <w:sz w:val="28"/>
          <w:szCs w:val="28"/>
        </w:rPr>
      </w:pPr>
    </w:p>
    <w:p w14:paraId="6E12BB70" w14:textId="1A9F50A1" w:rsidR="000946EF" w:rsidRPr="00723DDC" w:rsidRDefault="000946EF" w:rsidP="007D75E9">
      <w:pPr>
        <w:spacing w:line="360" w:lineRule="auto"/>
        <w:jc w:val="center"/>
        <w:rPr>
          <w:rFonts w:ascii="Arial" w:hAnsi="Arial" w:cs="Arial"/>
          <w:sz w:val="28"/>
          <w:szCs w:val="28"/>
        </w:rPr>
      </w:pPr>
      <w:r w:rsidRPr="00723DDC">
        <w:rPr>
          <w:rFonts w:ascii="Arial" w:hAnsi="Arial" w:cs="Arial"/>
          <w:sz w:val="28"/>
          <w:szCs w:val="28"/>
        </w:rPr>
        <w:lastRenderedPageBreak/>
        <w:t>REFERENCE LIST</w:t>
      </w:r>
    </w:p>
    <w:p w14:paraId="5FADB74A"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Barney, J. (1991) ‘Firm resources and sustained competitive advantage’, </w:t>
      </w:r>
      <w:r w:rsidRPr="00DA7009">
        <w:rPr>
          <w:rFonts w:ascii="Arial" w:hAnsi="Arial" w:cs="Arial"/>
          <w:i/>
          <w:iCs/>
          <w:sz w:val="22"/>
          <w:szCs w:val="22"/>
        </w:rPr>
        <w:t>Journal of Management</w:t>
      </w:r>
      <w:r w:rsidRPr="00DA7009">
        <w:rPr>
          <w:rFonts w:ascii="Arial" w:hAnsi="Arial" w:cs="Arial"/>
          <w:sz w:val="22"/>
          <w:szCs w:val="22"/>
        </w:rPr>
        <w:t>, 17(1), pp. 99–120.</w:t>
      </w:r>
    </w:p>
    <w:p w14:paraId="265D789D"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 xml:space="preserve">Buttle, F. and </w:t>
      </w:r>
      <w:proofErr w:type="spellStart"/>
      <w:r w:rsidRPr="00DA7009">
        <w:rPr>
          <w:rFonts w:ascii="Arial" w:hAnsi="Arial" w:cs="Arial"/>
          <w:sz w:val="22"/>
          <w:szCs w:val="22"/>
        </w:rPr>
        <w:t>Maklan</w:t>
      </w:r>
      <w:proofErr w:type="spellEnd"/>
      <w:r w:rsidRPr="00DA7009">
        <w:rPr>
          <w:rFonts w:ascii="Arial" w:hAnsi="Arial" w:cs="Arial"/>
          <w:sz w:val="22"/>
          <w:szCs w:val="22"/>
        </w:rPr>
        <w:t>, S. (2023) </w:t>
      </w:r>
      <w:r w:rsidRPr="00DA7009">
        <w:rPr>
          <w:rFonts w:ascii="Arial" w:hAnsi="Arial" w:cs="Arial"/>
          <w:i/>
          <w:iCs/>
          <w:sz w:val="22"/>
          <w:szCs w:val="22"/>
        </w:rPr>
        <w:t>Customer Relationship Management: Concepts and Technologies</w:t>
      </w:r>
      <w:r w:rsidRPr="00DA7009">
        <w:rPr>
          <w:rFonts w:ascii="Arial" w:hAnsi="Arial" w:cs="Arial"/>
          <w:sz w:val="22"/>
          <w:szCs w:val="22"/>
        </w:rPr>
        <w:t xml:space="preserve">. 4th </w:t>
      </w:r>
      <w:proofErr w:type="spellStart"/>
      <w:r w:rsidRPr="00DA7009">
        <w:rPr>
          <w:rFonts w:ascii="Arial" w:hAnsi="Arial" w:cs="Arial"/>
          <w:sz w:val="22"/>
          <w:szCs w:val="22"/>
        </w:rPr>
        <w:t>edn</w:t>
      </w:r>
      <w:proofErr w:type="spellEnd"/>
      <w:r w:rsidRPr="00DA7009">
        <w:rPr>
          <w:rFonts w:ascii="Arial" w:hAnsi="Arial" w:cs="Arial"/>
          <w:sz w:val="22"/>
          <w:szCs w:val="22"/>
        </w:rPr>
        <w:t>. London: Routledge.</w:t>
      </w:r>
    </w:p>
    <w:p w14:paraId="6AE8D3A2"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Chaffey, D. and White, G. (2022) </w:t>
      </w:r>
      <w:r w:rsidRPr="00DA7009">
        <w:rPr>
          <w:rFonts w:ascii="Arial" w:hAnsi="Arial" w:cs="Arial"/>
          <w:i/>
          <w:iCs/>
          <w:sz w:val="22"/>
          <w:szCs w:val="22"/>
        </w:rPr>
        <w:t>Business Information Management</w:t>
      </w:r>
      <w:r w:rsidRPr="00DA7009">
        <w:rPr>
          <w:rFonts w:ascii="Arial" w:hAnsi="Arial" w:cs="Arial"/>
          <w:sz w:val="22"/>
          <w:szCs w:val="22"/>
        </w:rPr>
        <w:t xml:space="preserve">. 3rd </w:t>
      </w:r>
      <w:proofErr w:type="spellStart"/>
      <w:r w:rsidRPr="00DA7009">
        <w:rPr>
          <w:rFonts w:ascii="Arial" w:hAnsi="Arial" w:cs="Arial"/>
          <w:sz w:val="22"/>
          <w:szCs w:val="22"/>
        </w:rPr>
        <w:t>edn</w:t>
      </w:r>
      <w:proofErr w:type="spellEnd"/>
      <w:r w:rsidRPr="00DA7009">
        <w:rPr>
          <w:rFonts w:ascii="Arial" w:hAnsi="Arial" w:cs="Arial"/>
          <w:sz w:val="22"/>
          <w:szCs w:val="22"/>
        </w:rPr>
        <w:t>. Harlow: Pearson.</w:t>
      </w:r>
    </w:p>
    <w:p w14:paraId="010BDB53"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Davis, F.D. (1989) ‘Perceived usefulness, perceived ease of use, and user acceptance of information technology’, </w:t>
      </w:r>
      <w:r w:rsidRPr="00DA7009">
        <w:rPr>
          <w:rFonts w:ascii="Arial" w:hAnsi="Arial" w:cs="Arial"/>
          <w:i/>
          <w:iCs/>
          <w:sz w:val="22"/>
          <w:szCs w:val="22"/>
        </w:rPr>
        <w:t>MIS Quarterly</w:t>
      </w:r>
      <w:r w:rsidRPr="00DA7009">
        <w:rPr>
          <w:rFonts w:ascii="Arial" w:hAnsi="Arial" w:cs="Arial"/>
          <w:sz w:val="22"/>
          <w:szCs w:val="22"/>
        </w:rPr>
        <w:t>, 13(3), pp. 319–340.</w:t>
      </w:r>
    </w:p>
    <w:p w14:paraId="3EE9C12A" w14:textId="77777777" w:rsidR="000946EF" w:rsidRPr="00DA7009" w:rsidRDefault="000946EF" w:rsidP="00DA7009">
      <w:pPr>
        <w:spacing w:line="360" w:lineRule="auto"/>
        <w:rPr>
          <w:rFonts w:ascii="Arial" w:hAnsi="Arial" w:cs="Arial"/>
          <w:sz w:val="22"/>
          <w:szCs w:val="22"/>
        </w:rPr>
      </w:pPr>
      <w:proofErr w:type="spellStart"/>
      <w:r w:rsidRPr="00DA7009">
        <w:rPr>
          <w:rFonts w:ascii="Arial" w:hAnsi="Arial" w:cs="Arial"/>
          <w:sz w:val="22"/>
          <w:szCs w:val="22"/>
        </w:rPr>
        <w:t>DeLone</w:t>
      </w:r>
      <w:proofErr w:type="spellEnd"/>
      <w:r w:rsidRPr="00DA7009">
        <w:rPr>
          <w:rFonts w:ascii="Arial" w:hAnsi="Arial" w:cs="Arial"/>
          <w:sz w:val="22"/>
          <w:szCs w:val="22"/>
        </w:rPr>
        <w:t xml:space="preserve">, W.H. and McLean, E.R. (2003) ‘The </w:t>
      </w:r>
      <w:proofErr w:type="spellStart"/>
      <w:r w:rsidRPr="00DA7009">
        <w:rPr>
          <w:rFonts w:ascii="Arial" w:hAnsi="Arial" w:cs="Arial"/>
          <w:sz w:val="22"/>
          <w:szCs w:val="22"/>
        </w:rPr>
        <w:t>DeLone</w:t>
      </w:r>
      <w:proofErr w:type="spellEnd"/>
      <w:r w:rsidRPr="00DA7009">
        <w:rPr>
          <w:rFonts w:ascii="Arial" w:hAnsi="Arial" w:cs="Arial"/>
          <w:sz w:val="22"/>
          <w:szCs w:val="22"/>
        </w:rPr>
        <w:t xml:space="preserve"> and McLean model of information systems success: A ten-year update’, </w:t>
      </w:r>
      <w:r w:rsidRPr="00DA7009">
        <w:rPr>
          <w:rFonts w:ascii="Arial" w:hAnsi="Arial" w:cs="Arial"/>
          <w:i/>
          <w:iCs/>
          <w:sz w:val="22"/>
          <w:szCs w:val="22"/>
        </w:rPr>
        <w:t>Journal of Management Information Systems</w:t>
      </w:r>
      <w:r w:rsidRPr="00DA7009">
        <w:rPr>
          <w:rFonts w:ascii="Arial" w:hAnsi="Arial" w:cs="Arial"/>
          <w:sz w:val="22"/>
          <w:szCs w:val="22"/>
        </w:rPr>
        <w:t>, 19(4), pp. 9–30.</w:t>
      </w:r>
    </w:p>
    <w:p w14:paraId="28A44313"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Deloitte (2023) </w:t>
      </w:r>
      <w:r w:rsidRPr="00DA7009">
        <w:rPr>
          <w:rFonts w:ascii="Arial" w:hAnsi="Arial" w:cs="Arial"/>
          <w:i/>
          <w:iCs/>
          <w:sz w:val="22"/>
          <w:szCs w:val="22"/>
        </w:rPr>
        <w:t>Digital Transformation in Retail: 2023 Outlook Report</w:t>
      </w:r>
      <w:r w:rsidRPr="00DA7009">
        <w:rPr>
          <w:rFonts w:ascii="Arial" w:hAnsi="Arial" w:cs="Arial"/>
          <w:sz w:val="22"/>
          <w:szCs w:val="22"/>
        </w:rPr>
        <w:t>. Available at: </w:t>
      </w:r>
      <w:hyperlink r:id="rId7" w:tgtFrame="_new" w:history="1">
        <w:r w:rsidRPr="00DA7009">
          <w:rPr>
            <w:rStyle w:val="Hyperlink"/>
            <w:rFonts w:ascii="Arial" w:hAnsi="Arial" w:cs="Arial"/>
            <w:sz w:val="22"/>
            <w:szCs w:val="22"/>
          </w:rPr>
          <w:t>https://www2.deloitte.com</w:t>
        </w:r>
      </w:hyperlink>
      <w:r w:rsidRPr="00DA7009">
        <w:rPr>
          <w:rFonts w:ascii="Arial" w:hAnsi="Arial" w:cs="Arial"/>
          <w:sz w:val="22"/>
          <w:szCs w:val="22"/>
        </w:rPr>
        <w:t>(Accessed: 10 January 2025).</w:t>
      </w:r>
    </w:p>
    <w:p w14:paraId="40ADF489"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Gartner (2023) </w:t>
      </w:r>
      <w:r w:rsidRPr="00DA7009">
        <w:rPr>
          <w:rFonts w:ascii="Arial" w:hAnsi="Arial" w:cs="Arial"/>
          <w:i/>
          <w:iCs/>
          <w:sz w:val="22"/>
          <w:szCs w:val="22"/>
        </w:rPr>
        <w:t>ERP Market Guide 2023</w:t>
      </w:r>
      <w:r w:rsidRPr="00DA7009">
        <w:rPr>
          <w:rFonts w:ascii="Arial" w:hAnsi="Arial" w:cs="Arial"/>
          <w:sz w:val="22"/>
          <w:szCs w:val="22"/>
        </w:rPr>
        <w:t>. Available at: </w:t>
      </w:r>
      <w:hyperlink r:id="rId8" w:tgtFrame="_new" w:history="1">
        <w:r w:rsidRPr="00DA7009">
          <w:rPr>
            <w:rStyle w:val="Hyperlink"/>
            <w:rFonts w:ascii="Arial" w:hAnsi="Arial" w:cs="Arial"/>
            <w:sz w:val="22"/>
            <w:szCs w:val="22"/>
          </w:rPr>
          <w:t>https://www.gartner.com</w:t>
        </w:r>
      </w:hyperlink>
      <w:r w:rsidRPr="00DA7009">
        <w:rPr>
          <w:rFonts w:ascii="Arial" w:hAnsi="Arial" w:cs="Arial"/>
          <w:sz w:val="22"/>
          <w:szCs w:val="22"/>
        </w:rPr>
        <w:t> (Accessed: 12 January 2025).</w:t>
      </w:r>
    </w:p>
    <w:p w14:paraId="6C8B144B"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Grant, R. (2023) </w:t>
      </w:r>
      <w:r w:rsidRPr="00DA7009">
        <w:rPr>
          <w:rFonts w:ascii="Arial" w:hAnsi="Arial" w:cs="Arial"/>
          <w:i/>
          <w:iCs/>
          <w:sz w:val="22"/>
          <w:szCs w:val="22"/>
        </w:rPr>
        <w:t>Contemporary Strategy Analysis</w:t>
      </w:r>
      <w:r w:rsidRPr="00DA7009">
        <w:rPr>
          <w:rFonts w:ascii="Arial" w:hAnsi="Arial" w:cs="Arial"/>
          <w:sz w:val="22"/>
          <w:szCs w:val="22"/>
        </w:rPr>
        <w:t xml:space="preserve">. 12th </w:t>
      </w:r>
      <w:proofErr w:type="spellStart"/>
      <w:r w:rsidRPr="00DA7009">
        <w:rPr>
          <w:rFonts w:ascii="Arial" w:hAnsi="Arial" w:cs="Arial"/>
          <w:sz w:val="22"/>
          <w:szCs w:val="22"/>
        </w:rPr>
        <w:t>edn</w:t>
      </w:r>
      <w:proofErr w:type="spellEnd"/>
      <w:r w:rsidRPr="00DA7009">
        <w:rPr>
          <w:rFonts w:ascii="Arial" w:hAnsi="Arial" w:cs="Arial"/>
          <w:sz w:val="22"/>
          <w:szCs w:val="22"/>
        </w:rPr>
        <w:t>. Oxford: Wiley.</w:t>
      </w:r>
    </w:p>
    <w:p w14:paraId="2E9669FF"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Information Commissioner’s Office (ICO) (2023) </w:t>
      </w:r>
      <w:r w:rsidRPr="00DA7009">
        <w:rPr>
          <w:rFonts w:ascii="Arial" w:hAnsi="Arial" w:cs="Arial"/>
          <w:i/>
          <w:iCs/>
          <w:sz w:val="22"/>
          <w:szCs w:val="22"/>
        </w:rPr>
        <w:t>Guide to the UK GDPR</w:t>
      </w:r>
      <w:r w:rsidRPr="00DA7009">
        <w:rPr>
          <w:rFonts w:ascii="Arial" w:hAnsi="Arial" w:cs="Arial"/>
          <w:sz w:val="22"/>
          <w:szCs w:val="22"/>
        </w:rPr>
        <w:t>. Available at: </w:t>
      </w:r>
      <w:hyperlink r:id="rId9" w:tgtFrame="_new" w:history="1">
        <w:r w:rsidRPr="00DA7009">
          <w:rPr>
            <w:rStyle w:val="Hyperlink"/>
            <w:rFonts w:ascii="Arial" w:hAnsi="Arial" w:cs="Arial"/>
            <w:sz w:val="22"/>
            <w:szCs w:val="22"/>
          </w:rPr>
          <w:t>https://ico.org.uk</w:t>
        </w:r>
      </w:hyperlink>
      <w:r w:rsidRPr="00DA7009">
        <w:rPr>
          <w:rFonts w:ascii="Arial" w:hAnsi="Arial" w:cs="Arial"/>
          <w:sz w:val="22"/>
          <w:szCs w:val="22"/>
        </w:rPr>
        <w:t> (Accessed: 8 January 2025).</w:t>
      </w:r>
    </w:p>
    <w:p w14:paraId="5B6D3314"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Kotter, J.P. (2014) </w:t>
      </w:r>
      <w:r w:rsidRPr="00DA7009">
        <w:rPr>
          <w:rFonts w:ascii="Arial" w:hAnsi="Arial" w:cs="Arial"/>
          <w:i/>
          <w:iCs/>
          <w:sz w:val="22"/>
          <w:szCs w:val="22"/>
        </w:rPr>
        <w:t>Accelerate: Building Strategic Agility for a Faster-Moving World</w:t>
      </w:r>
      <w:r w:rsidRPr="00DA7009">
        <w:rPr>
          <w:rFonts w:ascii="Arial" w:hAnsi="Arial" w:cs="Arial"/>
          <w:sz w:val="22"/>
          <w:szCs w:val="22"/>
        </w:rPr>
        <w:t>. Boston: Harvard Business Review Press.</w:t>
      </w:r>
    </w:p>
    <w:p w14:paraId="074D5F22"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Laudon, K.C. and Laudon, J.P. (2024) </w:t>
      </w:r>
      <w:r w:rsidRPr="00DA7009">
        <w:rPr>
          <w:rFonts w:ascii="Arial" w:hAnsi="Arial" w:cs="Arial"/>
          <w:i/>
          <w:iCs/>
          <w:sz w:val="22"/>
          <w:szCs w:val="22"/>
        </w:rPr>
        <w:t>Management Information Systems: Managing the Digital Firm</w:t>
      </w:r>
      <w:r w:rsidRPr="00DA7009">
        <w:rPr>
          <w:rFonts w:ascii="Arial" w:hAnsi="Arial" w:cs="Arial"/>
          <w:sz w:val="22"/>
          <w:szCs w:val="22"/>
        </w:rPr>
        <w:t xml:space="preserve">. 18th </w:t>
      </w:r>
      <w:proofErr w:type="spellStart"/>
      <w:r w:rsidRPr="00DA7009">
        <w:rPr>
          <w:rFonts w:ascii="Arial" w:hAnsi="Arial" w:cs="Arial"/>
          <w:sz w:val="22"/>
          <w:szCs w:val="22"/>
        </w:rPr>
        <w:t>edn</w:t>
      </w:r>
      <w:proofErr w:type="spellEnd"/>
      <w:r w:rsidRPr="00DA7009">
        <w:rPr>
          <w:rFonts w:ascii="Arial" w:hAnsi="Arial" w:cs="Arial"/>
          <w:sz w:val="22"/>
          <w:szCs w:val="22"/>
        </w:rPr>
        <w:t>. Harlow: Pearson.</w:t>
      </w:r>
    </w:p>
    <w:p w14:paraId="3E475F29"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Rainer, R.K. and Prince, B. (2023) </w:t>
      </w:r>
      <w:r w:rsidRPr="00DA7009">
        <w:rPr>
          <w:rFonts w:ascii="Arial" w:hAnsi="Arial" w:cs="Arial"/>
          <w:i/>
          <w:iCs/>
          <w:sz w:val="22"/>
          <w:szCs w:val="22"/>
        </w:rPr>
        <w:t>Introduction to Information Systems</w:t>
      </w:r>
      <w:r w:rsidRPr="00DA7009">
        <w:rPr>
          <w:rFonts w:ascii="Arial" w:hAnsi="Arial" w:cs="Arial"/>
          <w:sz w:val="22"/>
          <w:szCs w:val="22"/>
        </w:rPr>
        <w:t xml:space="preserve">. 8th </w:t>
      </w:r>
      <w:proofErr w:type="spellStart"/>
      <w:r w:rsidRPr="00DA7009">
        <w:rPr>
          <w:rFonts w:ascii="Arial" w:hAnsi="Arial" w:cs="Arial"/>
          <w:sz w:val="22"/>
          <w:szCs w:val="22"/>
        </w:rPr>
        <w:t>edn</w:t>
      </w:r>
      <w:proofErr w:type="spellEnd"/>
      <w:r w:rsidRPr="00DA7009">
        <w:rPr>
          <w:rFonts w:ascii="Arial" w:hAnsi="Arial" w:cs="Arial"/>
          <w:sz w:val="22"/>
          <w:szCs w:val="22"/>
        </w:rPr>
        <w:t>. Wiley.</w:t>
      </w:r>
    </w:p>
    <w:p w14:paraId="531A907E"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Salesforce (2024) </w:t>
      </w:r>
      <w:r w:rsidRPr="00DA7009">
        <w:rPr>
          <w:rFonts w:ascii="Arial" w:hAnsi="Arial" w:cs="Arial"/>
          <w:i/>
          <w:iCs/>
          <w:sz w:val="22"/>
          <w:szCs w:val="22"/>
        </w:rPr>
        <w:t>Salesforce CRM Overview and Product Guide 2024</w:t>
      </w:r>
      <w:r w:rsidRPr="00DA7009">
        <w:rPr>
          <w:rFonts w:ascii="Arial" w:hAnsi="Arial" w:cs="Arial"/>
          <w:sz w:val="22"/>
          <w:szCs w:val="22"/>
        </w:rPr>
        <w:t>. Available at: </w:t>
      </w:r>
      <w:hyperlink r:id="rId10" w:tgtFrame="_new" w:history="1">
        <w:r w:rsidRPr="00DA7009">
          <w:rPr>
            <w:rStyle w:val="Hyperlink"/>
            <w:rFonts w:ascii="Arial" w:hAnsi="Arial" w:cs="Arial"/>
            <w:sz w:val="22"/>
            <w:szCs w:val="22"/>
          </w:rPr>
          <w:t>https://www.salesforce.com</w:t>
        </w:r>
      </w:hyperlink>
      <w:r w:rsidRPr="00DA7009">
        <w:rPr>
          <w:rFonts w:ascii="Arial" w:hAnsi="Arial" w:cs="Arial"/>
          <w:sz w:val="22"/>
          <w:szCs w:val="22"/>
        </w:rPr>
        <w:t>(Accessed: 14 January 2025).</w:t>
      </w:r>
    </w:p>
    <w:p w14:paraId="3D26217E"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SAP (2024) </w:t>
      </w:r>
      <w:r w:rsidRPr="00DA7009">
        <w:rPr>
          <w:rFonts w:ascii="Arial" w:hAnsi="Arial" w:cs="Arial"/>
          <w:i/>
          <w:iCs/>
          <w:sz w:val="22"/>
          <w:szCs w:val="22"/>
        </w:rPr>
        <w:t>SAP S/4HANA Cloud Product Overview</w:t>
      </w:r>
      <w:r w:rsidRPr="00DA7009">
        <w:rPr>
          <w:rFonts w:ascii="Arial" w:hAnsi="Arial" w:cs="Arial"/>
          <w:sz w:val="22"/>
          <w:szCs w:val="22"/>
        </w:rPr>
        <w:t>. Available at: </w:t>
      </w:r>
      <w:hyperlink r:id="rId11" w:tgtFrame="_new" w:history="1">
        <w:r w:rsidRPr="00DA7009">
          <w:rPr>
            <w:rStyle w:val="Hyperlink"/>
            <w:rFonts w:ascii="Arial" w:hAnsi="Arial" w:cs="Arial"/>
            <w:sz w:val="22"/>
            <w:szCs w:val="22"/>
          </w:rPr>
          <w:t>https://www.sap.com</w:t>
        </w:r>
      </w:hyperlink>
      <w:r w:rsidRPr="00DA7009">
        <w:rPr>
          <w:rFonts w:ascii="Arial" w:hAnsi="Arial" w:cs="Arial"/>
          <w:sz w:val="22"/>
          <w:szCs w:val="22"/>
        </w:rPr>
        <w:t> (Accessed: 14 January 2025).</w:t>
      </w:r>
    </w:p>
    <w:p w14:paraId="63FDFE72" w14:textId="77777777" w:rsidR="00EE75F6" w:rsidRPr="00DA7009" w:rsidRDefault="00EE75F6" w:rsidP="00DA7009">
      <w:pPr>
        <w:spacing w:line="360" w:lineRule="auto"/>
        <w:rPr>
          <w:rFonts w:ascii="Arial" w:hAnsi="Arial" w:cs="Arial"/>
          <w:sz w:val="22"/>
          <w:szCs w:val="22"/>
        </w:rPr>
      </w:pPr>
    </w:p>
    <w:sectPr w:rsidR="00EE75F6" w:rsidRPr="00DA7009" w:rsidSect="007D75E9">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5EB3C6" w14:textId="77777777" w:rsidR="00BB4274" w:rsidRDefault="00BB4274" w:rsidP="007D75E9">
      <w:pPr>
        <w:spacing w:after="0" w:line="240" w:lineRule="auto"/>
      </w:pPr>
      <w:r>
        <w:separator/>
      </w:r>
    </w:p>
  </w:endnote>
  <w:endnote w:type="continuationSeparator" w:id="0">
    <w:p w14:paraId="457CA99E" w14:textId="77777777" w:rsidR="00BB4274" w:rsidRDefault="00BB4274" w:rsidP="007D7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12374097"/>
      <w:docPartObj>
        <w:docPartGallery w:val="Page Numbers (Bottom of Page)"/>
        <w:docPartUnique/>
      </w:docPartObj>
    </w:sdtPr>
    <w:sdtContent>
      <w:p w14:paraId="203529F9" w14:textId="087C8E40" w:rsidR="007D75E9" w:rsidRDefault="007D75E9" w:rsidP="00E26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DD7743" w14:textId="77777777" w:rsidR="007D75E9" w:rsidRDefault="007D75E9" w:rsidP="007D75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3894283"/>
      <w:docPartObj>
        <w:docPartGallery w:val="Page Numbers (Bottom of Page)"/>
        <w:docPartUnique/>
      </w:docPartObj>
    </w:sdtPr>
    <w:sdtContent>
      <w:p w14:paraId="4B16441A" w14:textId="6EA4B788" w:rsidR="007D75E9" w:rsidRDefault="007D75E9" w:rsidP="00E26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5201A8" w14:textId="77777777" w:rsidR="007D75E9" w:rsidRDefault="007D75E9" w:rsidP="007D75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56646D" w14:textId="77777777" w:rsidR="00BB4274" w:rsidRDefault="00BB4274" w:rsidP="007D75E9">
      <w:pPr>
        <w:spacing w:after="0" w:line="240" w:lineRule="auto"/>
      </w:pPr>
      <w:r>
        <w:separator/>
      </w:r>
    </w:p>
  </w:footnote>
  <w:footnote w:type="continuationSeparator" w:id="0">
    <w:p w14:paraId="7F12AB9C" w14:textId="77777777" w:rsidR="00BB4274" w:rsidRDefault="00BB4274" w:rsidP="007D7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960BF"/>
    <w:multiLevelType w:val="multilevel"/>
    <w:tmpl w:val="7CFE7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7A40CD"/>
    <w:multiLevelType w:val="multilevel"/>
    <w:tmpl w:val="6C207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37277F"/>
    <w:multiLevelType w:val="multilevel"/>
    <w:tmpl w:val="E188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3C3D0F"/>
    <w:multiLevelType w:val="multilevel"/>
    <w:tmpl w:val="4D843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381547">
    <w:abstractNumId w:val="3"/>
  </w:num>
  <w:num w:numId="2" w16cid:durableId="1491213257">
    <w:abstractNumId w:val="1"/>
  </w:num>
  <w:num w:numId="3" w16cid:durableId="677849762">
    <w:abstractNumId w:val="2"/>
  </w:num>
  <w:num w:numId="4" w16cid:durableId="463739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34"/>
    <w:rsid w:val="00047734"/>
    <w:rsid w:val="000946EF"/>
    <w:rsid w:val="00241C95"/>
    <w:rsid w:val="002E3F82"/>
    <w:rsid w:val="00331DAA"/>
    <w:rsid w:val="003403DA"/>
    <w:rsid w:val="00417F0E"/>
    <w:rsid w:val="00473472"/>
    <w:rsid w:val="004D1964"/>
    <w:rsid w:val="004D616A"/>
    <w:rsid w:val="005371BA"/>
    <w:rsid w:val="00723DDC"/>
    <w:rsid w:val="007D75E9"/>
    <w:rsid w:val="00951FA2"/>
    <w:rsid w:val="00A157C2"/>
    <w:rsid w:val="00A97C63"/>
    <w:rsid w:val="00AD4A45"/>
    <w:rsid w:val="00B2329A"/>
    <w:rsid w:val="00BB4274"/>
    <w:rsid w:val="00CA6036"/>
    <w:rsid w:val="00D07CD6"/>
    <w:rsid w:val="00DA7009"/>
    <w:rsid w:val="00DB508C"/>
    <w:rsid w:val="00E051A3"/>
    <w:rsid w:val="00EE75F6"/>
    <w:rsid w:val="00F47EF3"/>
    <w:rsid w:val="00F87C27"/>
    <w:rsid w:val="00FA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843B8"/>
  <w15:chartTrackingRefBased/>
  <w15:docId w15:val="{B03B6D39-9089-2343-87CA-C032D10E5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734"/>
    <w:rPr>
      <w:rFonts w:eastAsiaTheme="majorEastAsia" w:cstheme="majorBidi"/>
      <w:color w:val="272727" w:themeColor="text1" w:themeTint="D8"/>
    </w:rPr>
  </w:style>
  <w:style w:type="paragraph" w:styleId="Title">
    <w:name w:val="Title"/>
    <w:basedOn w:val="Normal"/>
    <w:next w:val="Normal"/>
    <w:link w:val="TitleChar"/>
    <w:uiPriority w:val="10"/>
    <w:qFormat/>
    <w:rsid w:val="00047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734"/>
    <w:pPr>
      <w:spacing w:before="160"/>
      <w:jc w:val="center"/>
    </w:pPr>
    <w:rPr>
      <w:i/>
      <w:iCs/>
      <w:color w:val="404040" w:themeColor="text1" w:themeTint="BF"/>
    </w:rPr>
  </w:style>
  <w:style w:type="character" w:customStyle="1" w:styleId="QuoteChar">
    <w:name w:val="Quote Char"/>
    <w:basedOn w:val="DefaultParagraphFont"/>
    <w:link w:val="Quote"/>
    <w:uiPriority w:val="29"/>
    <w:rsid w:val="00047734"/>
    <w:rPr>
      <w:i/>
      <w:iCs/>
      <w:color w:val="404040" w:themeColor="text1" w:themeTint="BF"/>
    </w:rPr>
  </w:style>
  <w:style w:type="paragraph" w:styleId="ListParagraph">
    <w:name w:val="List Paragraph"/>
    <w:basedOn w:val="Normal"/>
    <w:uiPriority w:val="34"/>
    <w:qFormat/>
    <w:rsid w:val="00047734"/>
    <w:pPr>
      <w:ind w:left="720"/>
      <w:contextualSpacing/>
    </w:pPr>
  </w:style>
  <w:style w:type="character" w:styleId="IntenseEmphasis">
    <w:name w:val="Intense Emphasis"/>
    <w:basedOn w:val="DefaultParagraphFont"/>
    <w:uiPriority w:val="21"/>
    <w:qFormat/>
    <w:rsid w:val="00047734"/>
    <w:rPr>
      <w:i/>
      <w:iCs/>
      <w:color w:val="0F4761" w:themeColor="accent1" w:themeShade="BF"/>
    </w:rPr>
  </w:style>
  <w:style w:type="paragraph" w:styleId="IntenseQuote">
    <w:name w:val="Intense Quote"/>
    <w:basedOn w:val="Normal"/>
    <w:next w:val="Normal"/>
    <w:link w:val="IntenseQuoteChar"/>
    <w:uiPriority w:val="30"/>
    <w:qFormat/>
    <w:rsid w:val="00047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734"/>
    <w:rPr>
      <w:i/>
      <w:iCs/>
      <w:color w:val="0F4761" w:themeColor="accent1" w:themeShade="BF"/>
    </w:rPr>
  </w:style>
  <w:style w:type="character" w:styleId="IntenseReference">
    <w:name w:val="Intense Reference"/>
    <w:basedOn w:val="DefaultParagraphFont"/>
    <w:uiPriority w:val="32"/>
    <w:qFormat/>
    <w:rsid w:val="00047734"/>
    <w:rPr>
      <w:b/>
      <w:bCs/>
      <w:smallCaps/>
      <w:color w:val="0F4761" w:themeColor="accent1" w:themeShade="BF"/>
      <w:spacing w:val="5"/>
    </w:rPr>
  </w:style>
  <w:style w:type="character" w:styleId="Hyperlink">
    <w:name w:val="Hyperlink"/>
    <w:basedOn w:val="DefaultParagraphFont"/>
    <w:uiPriority w:val="99"/>
    <w:unhideWhenUsed/>
    <w:rsid w:val="00D07CD6"/>
    <w:rPr>
      <w:color w:val="467886" w:themeColor="hyperlink"/>
      <w:u w:val="single"/>
    </w:rPr>
  </w:style>
  <w:style w:type="character" w:styleId="UnresolvedMention">
    <w:name w:val="Unresolved Mention"/>
    <w:basedOn w:val="DefaultParagraphFont"/>
    <w:uiPriority w:val="99"/>
    <w:semiHidden/>
    <w:unhideWhenUsed/>
    <w:rsid w:val="00D07CD6"/>
    <w:rPr>
      <w:color w:val="605E5C"/>
      <w:shd w:val="clear" w:color="auto" w:fill="E1DFDD"/>
    </w:rPr>
  </w:style>
  <w:style w:type="paragraph" w:styleId="Footer">
    <w:name w:val="footer"/>
    <w:basedOn w:val="Normal"/>
    <w:link w:val="FooterChar"/>
    <w:uiPriority w:val="99"/>
    <w:unhideWhenUsed/>
    <w:rsid w:val="007D7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5E9"/>
  </w:style>
  <w:style w:type="character" w:styleId="PageNumber">
    <w:name w:val="page number"/>
    <w:basedOn w:val="DefaultParagraphFont"/>
    <w:uiPriority w:val="99"/>
    <w:semiHidden/>
    <w:unhideWhenUsed/>
    <w:rsid w:val="007D75E9"/>
  </w:style>
  <w:style w:type="table" w:styleId="TableGrid">
    <w:name w:val="Table Grid"/>
    <w:basedOn w:val="TableNormal"/>
    <w:uiPriority w:val="39"/>
    <w:rsid w:val="00A97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535479">
      <w:bodyDiv w:val="1"/>
      <w:marLeft w:val="0"/>
      <w:marRight w:val="0"/>
      <w:marTop w:val="0"/>
      <w:marBottom w:val="0"/>
      <w:divBdr>
        <w:top w:val="none" w:sz="0" w:space="0" w:color="auto"/>
        <w:left w:val="none" w:sz="0" w:space="0" w:color="auto"/>
        <w:bottom w:val="none" w:sz="0" w:space="0" w:color="auto"/>
        <w:right w:val="none" w:sz="0" w:space="0" w:color="auto"/>
      </w:divBdr>
    </w:div>
    <w:div w:id="134301089">
      <w:bodyDiv w:val="1"/>
      <w:marLeft w:val="0"/>
      <w:marRight w:val="0"/>
      <w:marTop w:val="0"/>
      <w:marBottom w:val="0"/>
      <w:divBdr>
        <w:top w:val="none" w:sz="0" w:space="0" w:color="auto"/>
        <w:left w:val="none" w:sz="0" w:space="0" w:color="auto"/>
        <w:bottom w:val="none" w:sz="0" w:space="0" w:color="auto"/>
        <w:right w:val="none" w:sz="0" w:space="0" w:color="auto"/>
      </w:divBdr>
    </w:div>
    <w:div w:id="165286660">
      <w:bodyDiv w:val="1"/>
      <w:marLeft w:val="0"/>
      <w:marRight w:val="0"/>
      <w:marTop w:val="0"/>
      <w:marBottom w:val="0"/>
      <w:divBdr>
        <w:top w:val="none" w:sz="0" w:space="0" w:color="auto"/>
        <w:left w:val="none" w:sz="0" w:space="0" w:color="auto"/>
        <w:bottom w:val="none" w:sz="0" w:space="0" w:color="auto"/>
        <w:right w:val="none" w:sz="0" w:space="0" w:color="auto"/>
      </w:divBdr>
      <w:divsChild>
        <w:div w:id="1475371078">
          <w:marLeft w:val="0"/>
          <w:marRight w:val="0"/>
          <w:marTop w:val="0"/>
          <w:marBottom w:val="0"/>
          <w:divBdr>
            <w:top w:val="none" w:sz="0" w:space="0" w:color="auto"/>
            <w:left w:val="none" w:sz="0" w:space="0" w:color="auto"/>
            <w:bottom w:val="none" w:sz="0" w:space="0" w:color="auto"/>
            <w:right w:val="none" w:sz="0" w:space="0" w:color="auto"/>
          </w:divBdr>
          <w:divsChild>
            <w:div w:id="88240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936418">
      <w:bodyDiv w:val="1"/>
      <w:marLeft w:val="0"/>
      <w:marRight w:val="0"/>
      <w:marTop w:val="0"/>
      <w:marBottom w:val="0"/>
      <w:divBdr>
        <w:top w:val="none" w:sz="0" w:space="0" w:color="auto"/>
        <w:left w:val="none" w:sz="0" w:space="0" w:color="auto"/>
        <w:bottom w:val="none" w:sz="0" w:space="0" w:color="auto"/>
        <w:right w:val="none" w:sz="0" w:space="0" w:color="auto"/>
      </w:divBdr>
    </w:div>
    <w:div w:id="306203836">
      <w:bodyDiv w:val="1"/>
      <w:marLeft w:val="0"/>
      <w:marRight w:val="0"/>
      <w:marTop w:val="0"/>
      <w:marBottom w:val="0"/>
      <w:divBdr>
        <w:top w:val="none" w:sz="0" w:space="0" w:color="auto"/>
        <w:left w:val="none" w:sz="0" w:space="0" w:color="auto"/>
        <w:bottom w:val="none" w:sz="0" w:space="0" w:color="auto"/>
        <w:right w:val="none" w:sz="0" w:space="0" w:color="auto"/>
      </w:divBdr>
      <w:divsChild>
        <w:div w:id="971322309">
          <w:marLeft w:val="0"/>
          <w:marRight w:val="0"/>
          <w:marTop w:val="0"/>
          <w:marBottom w:val="0"/>
          <w:divBdr>
            <w:top w:val="none" w:sz="0" w:space="0" w:color="auto"/>
            <w:left w:val="none" w:sz="0" w:space="0" w:color="auto"/>
            <w:bottom w:val="none" w:sz="0" w:space="0" w:color="auto"/>
            <w:right w:val="none" w:sz="0" w:space="0" w:color="auto"/>
          </w:divBdr>
          <w:divsChild>
            <w:div w:id="162530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00989">
      <w:bodyDiv w:val="1"/>
      <w:marLeft w:val="0"/>
      <w:marRight w:val="0"/>
      <w:marTop w:val="0"/>
      <w:marBottom w:val="0"/>
      <w:divBdr>
        <w:top w:val="none" w:sz="0" w:space="0" w:color="auto"/>
        <w:left w:val="none" w:sz="0" w:space="0" w:color="auto"/>
        <w:bottom w:val="none" w:sz="0" w:space="0" w:color="auto"/>
        <w:right w:val="none" w:sz="0" w:space="0" w:color="auto"/>
      </w:divBdr>
    </w:div>
    <w:div w:id="313797012">
      <w:bodyDiv w:val="1"/>
      <w:marLeft w:val="0"/>
      <w:marRight w:val="0"/>
      <w:marTop w:val="0"/>
      <w:marBottom w:val="0"/>
      <w:divBdr>
        <w:top w:val="none" w:sz="0" w:space="0" w:color="auto"/>
        <w:left w:val="none" w:sz="0" w:space="0" w:color="auto"/>
        <w:bottom w:val="none" w:sz="0" w:space="0" w:color="auto"/>
        <w:right w:val="none" w:sz="0" w:space="0" w:color="auto"/>
      </w:divBdr>
      <w:divsChild>
        <w:div w:id="1438015393">
          <w:marLeft w:val="0"/>
          <w:marRight w:val="0"/>
          <w:marTop w:val="0"/>
          <w:marBottom w:val="0"/>
          <w:divBdr>
            <w:top w:val="none" w:sz="0" w:space="0" w:color="auto"/>
            <w:left w:val="none" w:sz="0" w:space="0" w:color="auto"/>
            <w:bottom w:val="none" w:sz="0" w:space="0" w:color="auto"/>
            <w:right w:val="none" w:sz="0" w:space="0" w:color="auto"/>
          </w:divBdr>
          <w:divsChild>
            <w:div w:id="1576285513">
              <w:marLeft w:val="0"/>
              <w:marRight w:val="0"/>
              <w:marTop w:val="0"/>
              <w:marBottom w:val="0"/>
              <w:divBdr>
                <w:top w:val="none" w:sz="0" w:space="0" w:color="auto"/>
                <w:left w:val="none" w:sz="0" w:space="0" w:color="auto"/>
                <w:bottom w:val="none" w:sz="0" w:space="0" w:color="auto"/>
                <w:right w:val="none" w:sz="0" w:space="0" w:color="auto"/>
              </w:divBdr>
            </w:div>
          </w:divsChild>
        </w:div>
        <w:div w:id="1808082090">
          <w:marLeft w:val="0"/>
          <w:marRight w:val="0"/>
          <w:marTop w:val="0"/>
          <w:marBottom w:val="0"/>
          <w:divBdr>
            <w:top w:val="none" w:sz="0" w:space="0" w:color="auto"/>
            <w:left w:val="none" w:sz="0" w:space="0" w:color="auto"/>
            <w:bottom w:val="none" w:sz="0" w:space="0" w:color="auto"/>
            <w:right w:val="none" w:sz="0" w:space="0" w:color="auto"/>
          </w:divBdr>
          <w:divsChild>
            <w:div w:id="965820897">
              <w:marLeft w:val="0"/>
              <w:marRight w:val="0"/>
              <w:marTop w:val="0"/>
              <w:marBottom w:val="0"/>
              <w:divBdr>
                <w:top w:val="none" w:sz="0" w:space="0" w:color="auto"/>
                <w:left w:val="none" w:sz="0" w:space="0" w:color="auto"/>
                <w:bottom w:val="none" w:sz="0" w:space="0" w:color="auto"/>
                <w:right w:val="none" w:sz="0" w:space="0" w:color="auto"/>
              </w:divBdr>
            </w:div>
          </w:divsChild>
        </w:div>
        <w:div w:id="2041859414">
          <w:marLeft w:val="0"/>
          <w:marRight w:val="0"/>
          <w:marTop w:val="0"/>
          <w:marBottom w:val="0"/>
          <w:divBdr>
            <w:top w:val="none" w:sz="0" w:space="0" w:color="auto"/>
            <w:left w:val="none" w:sz="0" w:space="0" w:color="auto"/>
            <w:bottom w:val="none" w:sz="0" w:space="0" w:color="auto"/>
            <w:right w:val="none" w:sz="0" w:space="0" w:color="auto"/>
          </w:divBdr>
          <w:divsChild>
            <w:div w:id="437799617">
              <w:marLeft w:val="0"/>
              <w:marRight w:val="0"/>
              <w:marTop w:val="0"/>
              <w:marBottom w:val="0"/>
              <w:divBdr>
                <w:top w:val="none" w:sz="0" w:space="0" w:color="auto"/>
                <w:left w:val="none" w:sz="0" w:space="0" w:color="auto"/>
                <w:bottom w:val="none" w:sz="0" w:space="0" w:color="auto"/>
                <w:right w:val="none" w:sz="0" w:space="0" w:color="auto"/>
              </w:divBdr>
            </w:div>
          </w:divsChild>
        </w:div>
        <w:div w:id="775716355">
          <w:marLeft w:val="0"/>
          <w:marRight w:val="0"/>
          <w:marTop w:val="0"/>
          <w:marBottom w:val="0"/>
          <w:divBdr>
            <w:top w:val="none" w:sz="0" w:space="0" w:color="auto"/>
            <w:left w:val="none" w:sz="0" w:space="0" w:color="auto"/>
            <w:bottom w:val="none" w:sz="0" w:space="0" w:color="auto"/>
            <w:right w:val="none" w:sz="0" w:space="0" w:color="auto"/>
          </w:divBdr>
          <w:divsChild>
            <w:div w:id="58191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10891">
      <w:bodyDiv w:val="1"/>
      <w:marLeft w:val="0"/>
      <w:marRight w:val="0"/>
      <w:marTop w:val="0"/>
      <w:marBottom w:val="0"/>
      <w:divBdr>
        <w:top w:val="none" w:sz="0" w:space="0" w:color="auto"/>
        <w:left w:val="none" w:sz="0" w:space="0" w:color="auto"/>
        <w:bottom w:val="none" w:sz="0" w:space="0" w:color="auto"/>
        <w:right w:val="none" w:sz="0" w:space="0" w:color="auto"/>
      </w:divBdr>
    </w:div>
    <w:div w:id="322707276">
      <w:bodyDiv w:val="1"/>
      <w:marLeft w:val="0"/>
      <w:marRight w:val="0"/>
      <w:marTop w:val="0"/>
      <w:marBottom w:val="0"/>
      <w:divBdr>
        <w:top w:val="none" w:sz="0" w:space="0" w:color="auto"/>
        <w:left w:val="none" w:sz="0" w:space="0" w:color="auto"/>
        <w:bottom w:val="none" w:sz="0" w:space="0" w:color="auto"/>
        <w:right w:val="none" w:sz="0" w:space="0" w:color="auto"/>
      </w:divBdr>
      <w:divsChild>
        <w:div w:id="1674454780">
          <w:marLeft w:val="0"/>
          <w:marRight w:val="0"/>
          <w:marTop w:val="0"/>
          <w:marBottom w:val="0"/>
          <w:divBdr>
            <w:top w:val="none" w:sz="0" w:space="0" w:color="auto"/>
            <w:left w:val="none" w:sz="0" w:space="0" w:color="auto"/>
            <w:bottom w:val="none" w:sz="0" w:space="0" w:color="auto"/>
            <w:right w:val="none" w:sz="0" w:space="0" w:color="auto"/>
          </w:divBdr>
          <w:divsChild>
            <w:div w:id="7678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005698">
      <w:bodyDiv w:val="1"/>
      <w:marLeft w:val="0"/>
      <w:marRight w:val="0"/>
      <w:marTop w:val="0"/>
      <w:marBottom w:val="0"/>
      <w:divBdr>
        <w:top w:val="none" w:sz="0" w:space="0" w:color="auto"/>
        <w:left w:val="none" w:sz="0" w:space="0" w:color="auto"/>
        <w:bottom w:val="none" w:sz="0" w:space="0" w:color="auto"/>
        <w:right w:val="none" w:sz="0" w:space="0" w:color="auto"/>
      </w:divBdr>
      <w:divsChild>
        <w:div w:id="1177040601">
          <w:marLeft w:val="0"/>
          <w:marRight w:val="0"/>
          <w:marTop w:val="0"/>
          <w:marBottom w:val="0"/>
          <w:divBdr>
            <w:top w:val="none" w:sz="0" w:space="0" w:color="auto"/>
            <w:left w:val="none" w:sz="0" w:space="0" w:color="auto"/>
            <w:bottom w:val="none" w:sz="0" w:space="0" w:color="auto"/>
            <w:right w:val="none" w:sz="0" w:space="0" w:color="auto"/>
          </w:divBdr>
          <w:divsChild>
            <w:div w:id="1041905800">
              <w:marLeft w:val="0"/>
              <w:marRight w:val="0"/>
              <w:marTop w:val="0"/>
              <w:marBottom w:val="0"/>
              <w:divBdr>
                <w:top w:val="none" w:sz="0" w:space="0" w:color="auto"/>
                <w:left w:val="none" w:sz="0" w:space="0" w:color="auto"/>
                <w:bottom w:val="none" w:sz="0" w:space="0" w:color="auto"/>
                <w:right w:val="none" w:sz="0" w:space="0" w:color="auto"/>
              </w:divBdr>
            </w:div>
          </w:divsChild>
        </w:div>
        <w:div w:id="344599046">
          <w:marLeft w:val="0"/>
          <w:marRight w:val="0"/>
          <w:marTop w:val="0"/>
          <w:marBottom w:val="0"/>
          <w:divBdr>
            <w:top w:val="none" w:sz="0" w:space="0" w:color="auto"/>
            <w:left w:val="none" w:sz="0" w:space="0" w:color="auto"/>
            <w:bottom w:val="none" w:sz="0" w:space="0" w:color="auto"/>
            <w:right w:val="none" w:sz="0" w:space="0" w:color="auto"/>
          </w:divBdr>
          <w:divsChild>
            <w:div w:id="1646427672">
              <w:marLeft w:val="0"/>
              <w:marRight w:val="0"/>
              <w:marTop w:val="0"/>
              <w:marBottom w:val="0"/>
              <w:divBdr>
                <w:top w:val="none" w:sz="0" w:space="0" w:color="auto"/>
                <w:left w:val="none" w:sz="0" w:space="0" w:color="auto"/>
                <w:bottom w:val="none" w:sz="0" w:space="0" w:color="auto"/>
                <w:right w:val="none" w:sz="0" w:space="0" w:color="auto"/>
              </w:divBdr>
            </w:div>
          </w:divsChild>
        </w:div>
        <w:div w:id="1907379511">
          <w:marLeft w:val="0"/>
          <w:marRight w:val="0"/>
          <w:marTop w:val="0"/>
          <w:marBottom w:val="0"/>
          <w:divBdr>
            <w:top w:val="none" w:sz="0" w:space="0" w:color="auto"/>
            <w:left w:val="none" w:sz="0" w:space="0" w:color="auto"/>
            <w:bottom w:val="none" w:sz="0" w:space="0" w:color="auto"/>
            <w:right w:val="none" w:sz="0" w:space="0" w:color="auto"/>
          </w:divBdr>
          <w:divsChild>
            <w:div w:id="237986052">
              <w:marLeft w:val="0"/>
              <w:marRight w:val="0"/>
              <w:marTop w:val="0"/>
              <w:marBottom w:val="0"/>
              <w:divBdr>
                <w:top w:val="none" w:sz="0" w:space="0" w:color="auto"/>
                <w:left w:val="none" w:sz="0" w:space="0" w:color="auto"/>
                <w:bottom w:val="none" w:sz="0" w:space="0" w:color="auto"/>
                <w:right w:val="none" w:sz="0" w:space="0" w:color="auto"/>
              </w:divBdr>
            </w:div>
          </w:divsChild>
        </w:div>
        <w:div w:id="1529947845">
          <w:marLeft w:val="0"/>
          <w:marRight w:val="0"/>
          <w:marTop w:val="0"/>
          <w:marBottom w:val="0"/>
          <w:divBdr>
            <w:top w:val="none" w:sz="0" w:space="0" w:color="auto"/>
            <w:left w:val="none" w:sz="0" w:space="0" w:color="auto"/>
            <w:bottom w:val="none" w:sz="0" w:space="0" w:color="auto"/>
            <w:right w:val="none" w:sz="0" w:space="0" w:color="auto"/>
          </w:divBdr>
          <w:divsChild>
            <w:div w:id="2356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2101">
      <w:bodyDiv w:val="1"/>
      <w:marLeft w:val="0"/>
      <w:marRight w:val="0"/>
      <w:marTop w:val="0"/>
      <w:marBottom w:val="0"/>
      <w:divBdr>
        <w:top w:val="none" w:sz="0" w:space="0" w:color="auto"/>
        <w:left w:val="none" w:sz="0" w:space="0" w:color="auto"/>
        <w:bottom w:val="none" w:sz="0" w:space="0" w:color="auto"/>
        <w:right w:val="none" w:sz="0" w:space="0" w:color="auto"/>
      </w:divBdr>
    </w:div>
    <w:div w:id="561870402">
      <w:bodyDiv w:val="1"/>
      <w:marLeft w:val="0"/>
      <w:marRight w:val="0"/>
      <w:marTop w:val="0"/>
      <w:marBottom w:val="0"/>
      <w:divBdr>
        <w:top w:val="none" w:sz="0" w:space="0" w:color="auto"/>
        <w:left w:val="none" w:sz="0" w:space="0" w:color="auto"/>
        <w:bottom w:val="none" w:sz="0" w:space="0" w:color="auto"/>
        <w:right w:val="none" w:sz="0" w:space="0" w:color="auto"/>
      </w:divBdr>
    </w:div>
    <w:div w:id="620497386">
      <w:bodyDiv w:val="1"/>
      <w:marLeft w:val="0"/>
      <w:marRight w:val="0"/>
      <w:marTop w:val="0"/>
      <w:marBottom w:val="0"/>
      <w:divBdr>
        <w:top w:val="none" w:sz="0" w:space="0" w:color="auto"/>
        <w:left w:val="none" w:sz="0" w:space="0" w:color="auto"/>
        <w:bottom w:val="none" w:sz="0" w:space="0" w:color="auto"/>
        <w:right w:val="none" w:sz="0" w:space="0" w:color="auto"/>
      </w:divBdr>
    </w:div>
    <w:div w:id="685908781">
      <w:bodyDiv w:val="1"/>
      <w:marLeft w:val="0"/>
      <w:marRight w:val="0"/>
      <w:marTop w:val="0"/>
      <w:marBottom w:val="0"/>
      <w:divBdr>
        <w:top w:val="none" w:sz="0" w:space="0" w:color="auto"/>
        <w:left w:val="none" w:sz="0" w:space="0" w:color="auto"/>
        <w:bottom w:val="none" w:sz="0" w:space="0" w:color="auto"/>
        <w:right w:val="none" w:sz="0" w:space="0" w:color="auto"/>
      </w:divBdr>
    </w:div>
    <w:div w:id="689332364">
      <w:bodyDiv w:val="1"/>
      <w:marLeft w:val="0"/>
      <w:marRight w:val="0"/>
      <w:marTop w:val="0"/>
      <w:marBottom w:val="0"/>
      <w:divBdr>
        <w:top w:val="none" w:sz="0" w:space="0" w:color="auto"/>
        <w:left w:val="none" w:sz="0" w:space="0" w:color="auto"/>
        <w:bottom w:val="none" w:sz="0" w:space="0" w:color="auto"/>
        <w:right w:val="none" w:sz="0" w:space="0" w:color="auto"/>
      </w:divBdr>
      <w:divsChild>
        <w:div w:id="295991888">
          <w:marLeft w:val="0"/>
          <w:marRight w:val="0"/>
          <w:marTop w:val="0"/>
          <w:marBottom w:val="0"/>
          <w:divBdr>
            <w:top w:val="none" w:sz="0" w:space="0" w:color="auto"/>
            <w:left w:val="none" w:sz="0" w:space="0" w:color="auto"/>
            <w:bottom w:val="none" w:sz="0" w:space="0" w:color="auto"/>
            <w:right w:val="none" w:sz="0" w:space="0" w:color="auto"/>
          </w:divBdr>
          <w:divsChild>
            <w:div w:id="622464658">
              <w:marLeft w:val="0"/>
              <w:marRight w:val="0"/>
              <w:marTop w:val="0"/>
              <w:marBottom w:val="0"/>
              <w:divBdr>
                <w:top w:val="none" w:sz="0" w:space="0" w:color="auto"/>
                <w:left w:val="none" w:sz="0" w:space="0" w:color="auto"/>
                <w:bottom w:val="none" w:sz="0" w:space="0" w:color="auto"/>
                <w:right w:val="none" w:sz="0" w:space="0" w:color="auto"/>
              </w:divBdr>
            </w:div>
          </w:divsChild>
        </w:div>
        <w:div w:id="303118016">
          <w:marLeft w:val="0"/>
          <w:marRight w:val="0"/>
          <w:marTop w:val="0"/>
          <w:marBottom w:val="0"/>
          <w:divBdr>
            <w:top w:val="none" w:sz="0" w:space="0" w:color="auto"/>
            <w:left w:val="none" w:sz="0" w:space="0" w:color="auto"/>
            <w:bottom w:val="none" w:sz="0" w:space="0" w:color="auto"/>
            <w:right w:val="none" w:sz="0" w:space="0" w:color="auto"/>
          </w:divBdr>
          <w:divsChild>
            <w:div w:id="1426027478">
              <w:marLeft w:val="0"/>
              <w:marRight w:val="0"/>
              <w:marTop w:val="0"/>
              <w:marBottom w:val="0"/>
              <w:divBdr>
                <w:top w:val="none" w:sz="0" w:space="0" w:color="auto"/>
                <w:left w:val="none" w:sz="0" w:space="0" w:color="auto"/>
                <w:bottom w:val="none" w:sz="0" w:space="0" w:color="auto"/>
                <w:right w:val="none" w:sz="0" w:space="0" w:color="auto"/>
              </w:divBdr>
            </w:div>
          </w:divsChild>
        </w:div>
        <w:div w:id="1258827090">
          <w:marLeft w:val="0"/>
          <w:marRight w:val="0"/>
          <w:marTop w:val="0"/>
          <w:marBottom w:val="0"/>
          <w:divBdr>
            <w:top w:val="none" w:sz="0" w:space="0" w:color="auto"/>
            <w:left w:val="none" w:sz="0" w:space="0" w:color="auto"/>
            <w:bottom w:val="none" w:sz="0" w:space="0" w:color="auto"/>
            <w:right w:val="none" w:sz="0" w:space="0" w:color="auto"/>
          </w:divBdr>
          <w:divsChild>
            <w:div w:id="90321392">
              <w:marLeft w:val="0"/>
              <w:marRight w:val="0"/>
              <w:marTop w:val="0"/>
              <w:marBottom w:val="0"/>
              <w:divBdr>
                <w:top w:val="none" w:sz="0" w:space="0" w:color="auto"/>
                <w:left w:val="none" w:sz="0" w:space="0" w:color="auto"/>
                <w:bottom w:val="none" w:sz="0" w:space="0" w:color="auto"/>
                <w:right w:val="none" w:sz="0" w:space="0" w:color="auto"/>
              </w:divBdr>
            </w:div>
          </w:divsChild>
        </w:div>
        <w:div w:id="1566992469">
          <w:marLeft w:val="0"/>
          <w:marRight w:val="0"/>
          <w:marTop w:val="0"/>
          <w:marBottom w:val="0"/>
          <w:divBdr>
            <w:top w:val="none" w:sz="0" w:space="0" w:color="auto"/>
            <w:left w:val="none" w:sz="0" w:space="0" w:color="auto"/>
            <w:bottom w:val="none" w:sz="0" w:space="0" w:color="auto"/>
            <w:right w:val="none" w:sz="0" w:space="0" w:color="auto"/>
          </w:divBdr>
          <w:divsChild>
            <w:div w:id="205673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3092">
      <w:bodyDiv w:val="1"/>
      <w:marLeft w:val="0"/>
      <w:marRight w:val="0"/>
      <w:marTop w:val="0"/>
      <w:marBottom w:val="0"/>
      <w:divBdr>
        <w:top w:val="none" w:sz="0" w:space="0" w:color="auto"/>
        <w:left w:val="none" w:sz="0" w:space="0" w:color="auto"/>
        <w:bottom w:val="none" w:sz="0" w:space="0" w:color="auto"/>
        <w:right w:val="none" w:sz="0" w:space="0" w:color="auto"/>
      </w:divBdr>
      <w:divsChild>
        <w:div w:id="2045866917">
          <w:marLeft w:val="0"/>
          <w:marRight w:val="0"/>
          <w:marTop w:val="0"/>
          <w:marBottom w:val="0"/>
          <w:divBdr>
            <w:top w:val="none" w:sz="0" w:space="0" w:color="auto"/>
            <w:left w:val="none" w:sz="0" w:space="0" w:color="auto"/>
            <w:bottom w:val="none" w:sz="0" w:space="0" w:color="auto"/>
            <w:right w:val="none" w:sz="0" w:space="0" w:color="auto"/>
          </w:divBdr>
          <w:divsChild>
            <w:div w:id="171338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3974">
      <w:bodyDiv w:val="1"/>
      <w:marLeft w:val="0"/>
      <w:marRight w:val="0"/>
      <w:marTop w:val="0"/>
      <w:marBottom w:val="0"/>
      <w:divBdr>
        <w:top w:val="none" w:sz="0" w:space="0" w:color="auto"/>
        <w:left w:val="none" w:sz="0" w:space="0" w:color="auto"/>
        <w:bottom w:val="none" w:sz="0" w:space="0" w:color="auto"/>
        <w:right w:val="none" w:sz="0" w:space="0" w:color="auto"/>
      </w:divBdr>
    </w:div>
    <w:div w:id="790709330">
      <w:bodyDiv w:val="1"/>
      <w:marLeft w:val="0"/>
      <w:marRight w:val="0"/>
      <w:marTop w:val="0"/>
      <w:marBottom w:val="0"/>
      <w:divBdr>
        <w:top w:val="none" w:sz="0" w:space="0" w:color="auto"/>
        <w:left w:val="none" w:sz="0" w:space="0" w:color="auto"/>
        <w:bottom w:val="none" w:sz="0" w:space="0" w:color="auto"/>
        <w:right w:val="none" w:sz="0" w:space="0" w:color="auto"/>
      </w:divBdr>
    </w:div>
    <w:div w:id="813369589">
      <w:bodyDiv w:val="1"/>
      <w:marLeft w:val="0"/>
      <w:marRight w:val="0"/>
      <w:marTop w:val="0"/>
      <w:marBottom w:val="0"/>
      <w:divBdr>
        <w:top w:val="none" w:sz="0" w:space="0" w:color="auto"/>
        <w:left w:val="none" w:sz="0" w:space="0" w:color="auto"/>
        <w:bottom w:val="none" w:sz="0" w:space="0" w:color="auto"/>
        <w:right w:val="none" w:sz="0" w:space="0" w:color="auto"/>
      </w:divBdr>
    </w:div>
    <w:div w:id="815149434">
      <w:bodyDiv w:val="1"/>
      <w:marLeft w:val="0"/>
      <w:marRight w:val="0"/>
      <w:marTop w:val="0"/>
      <w:marBottom w:val="0"/>
      <w:divBdr>
        <w:top w:val="none" w:sz="0" w:space="0" w:color="auto"/>
        <w:left w:val="none" w:sz="0" w:space="0" w:color="auto"/>
        <w:bottom w:val="none" w:sz="0" w:space="0" w:color="auto"/>
        <w:right w:val="none" w:sz="0" w:space="0" w:color="auto"/>
      </w:divBdr>
    </w:div>
    <w:div w:id="816264857">
      <w:bodyDiv w:val="1"/>
      <w:marLeft w:val="0"/>
      <w:marRight w:val="0"/>
      <w:marTop w:val="0"/>
      <w:marBottom w:val="0"/>
      <w:divBdr>
        <w:top w:val="none" w:sz="0" w:space="0" w:color="auto"/>
        <w:left w:val="none" w:sz="0" w:space="0" w:color="auto"/>
        <w:bottom w:val="none" w:sz="0" w:space="0" w:color="auto"/>
        <w:right w:val="none" w:sz="0" w:space="0" w:color="auto"/>
      </w:divBdr>
      <w:divsChild>
        <w:div w:id="1698038625">
          <w:marLeft w:val="0"/>
          <w:marRight w:val="0"/>
          <w:marTop w:val="0"/>
          <w:marBottom w:val="0"/>
          <w:divBdr>
            <w:top w:val="none" w:sz="0" w:space="0" w:color="auto"/>
            <w:left w:val="none" w:sz="0" w:space="0" w:color="auto"/>
            <w:bottom w:val="none" w:sz="0" w:space="0" w:color="auto"/>
            <w:right w:val="none" w:sz="0" w:space="0" w:color="auto"/>
          </w:divBdr>
          <w:divsChild>
            <w:div w:id="6765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357534">
      <w:bodyDiv w:val="1"/>
      <w:marLeft w:val="0"/>
      <w:marRight w:val="0"/>
      <w:marTop w:val="0"/>
      <w:marBottom w:val="0"/>
      <w:divBdr>
        <w:top w:val="none" w:sz="0" w:space="0" w:color="auto"/>
        <w:left w:val="none" w:sz="0" w:space="0" w:color="auto"/>
        <w:bottom w:val="none" w:sz="0" w:space="0" w:color="auto"/>
        <w:right w:val="none" w:sz="0" w:space="0" w:color="auto"/>
      </w:divBdr>
    </w:div>
    <w:div w:id="1093402822">
      <w:bodyDiv w:val="1"/>
      <w:marLeft w:val="0"/>
      <w:marRight w:val="0"/>
      <w:marTop w:val="0"/>
      <w:marBottom w:val="0"/>
      <w:divBdr>
        <w:top w:val="none" w:sz="0" w:space="0" w:color="auto"/>
        <w:left w:val="none" w:sz="0" w:space="0" w:color="auto"/>
        <w:bottom w:val="none" w:sz="0" w:space="0" w:color="auto"/>
        <w:right w:val="none" w:sz="0" w:space="0" w:color="auto"/>
      </w:divBdr>
      <w:divsChild>
        <w:div w:id="1041436845">
          <w:marLeft w:val="0"/>
          <w:marRight w:val="0"/>
          <w:marTop w:val="0"/>
          <w:marBottom w:val="0"/>
          <w:divBdr>
            <w:top w:val="none" w:sz="0" w:space="0" w:color="auto"/>
            <w:left w:val="none" w:sz="0" w:space="0" w:color="auto"/>
            <w:bottom w:val="none" w:sz="0" w:space="0" w:color="auto"/>
            <w:right w:val="none" w:sz="0" w:space="0" w:color="auto"/>
          </w:divBdr>
          <w:divsChild>
            <w:div w:id="109316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16546">
      <w:bodyDiv w:val="1"/>
      <w:marLeft w:val="0"/>
      <w:marRight w:val="0"/>
      <w:marTop w:val="0"/>
      <w:marBottom w:val="0"/>
      <w:divBdr>
        <w:top w:val="none" w:sz="0" w:space="0" w:color="auto"/>
        <w:left w:val="none" w:sz="0" w:space="0" w:color="auto"/>
        <w:bottom w:val="none" w:sz="0" w:space="0" w:color="auto"/>
        <w:right w:val="none" w:sz="0" w:space="0" w:color="auto"/>
      </w:divBdr>
      <w:divsChild>
        <w:div w:id="1011685314">
          <w:marLeft w:val="0"/>
          <w:marRight w:val="0"/>
          <w:marTop w:val="0"/>
          <w:marBottom w:val="0"/>
          <w:divBdr>
            <w:top w:val="none" w:sz="0" w:space="0" w:color="auto"/>
            <w:left w:val="none" w:sz="0" w:space="0" w:color="auto"/>
            <w:bottom w:val="none" w:sz="0" w:space="0" w:color="auto"/>
            <w:right w:val="none" w:sz="0" w:space="0" w:color="auto"/>
          </w:divBdr>
          <w:divsChild>
            <w:div w:id="1631471813">
              <w:marLeft w:val="0"/>
              <w:marRight w:val="0"/>
              <w:marTop w:val="0"/>
              <w:marBottom w:val="0"/>
              <w:divBdr>
                <w:top w:val="none" w:sz="0" w:space="0" w:color="auto"/>
                <w:left w:val="none" w:sz="0" w:space="0" w:color="auto"/>
                <w:bottom w:val="none" w:sz="0" w:space="0" w:color="auto"/>
                <w:right w:val="none" w:sz="0" w:space="0" w:color="auto"/>
              </w:divBdr>
            </w:div>
          </w:divsChild>
        </w:div>
        <w:div w:id="1607885243">
          <w:marLeft w:val="0"/>
          <w:marRight w:val="0"/>
          <w:marTop w:val="0"/>
          <w:marBottom w:val="0"/>
          <w:divBdr>
            <w:top w:val="none" w:sz="0" w:space="0" w:color="auto"/>
            <w:left w:val="none" w:sz="0" w:space="0" w:color="auto"/>
            <w:bottom w:val="none" w:sz="0" w:space="0" w:color="auto"/>
            <w:right w:val="none" w:sz="0" w:space="0" w:color="auto"/>
          </w:divBdr>
          <w:divsChild>
            <w:div w:id="132720278">
              <w:marLeft w:val="0"/>
              <w:marRight w:val="0"/>
              <w:marTop w:val="0"/>
              <w:marBottom w:val="0"/>
              <w:divBdr>
                <w:top w:val="none" w:sz="0" w:space="0" w:color="auto"/>
                <w:left w:val="none" w:sz="0" w:space="0" w:color="auto"/>
                <w:bottom w:val="none" w:sz="0" w:space="0" w:color="auto"/>
                <w:right w:val="none" w:sz="0" w:space="0" w:color="auto"/>
              </w:divBdr>
            </w:div>
          </w:divsChild>
        </w:div>
        <w:div w:id="787697676">
          <w:marLeft w:val="0"/>
          <w:marRight w:val="0"/>
          <w:marTop w:val="0"/>
          <w:marBottom w:val="0"/>
          <w:divBdr>
            <w:top w:val="none" w:sz="0" w:space="0" w:color="auto"/>
            <w:left w:val="none" w:sz="0" w:space="0" w:color="auto"/>
            <w:bottom w:val="none" w:sz="0" w:space="0" w:color="auto"/>
            <w:right w:val="none" w:sz="0" w:space="0" w:color="auto"/>
          </w:divBdr>
          <w:divsChild>
            <w:div w:id="93339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045237">
      <w:bodyDiv w:val="1"/>
      <w:marLeft w:val="0"/>
      <w:marRight w:val="0"/>
      <w:marTop w:val="0"/>
      <w:marBottom w:val="0"/>
      <w:divBdr>
        <w:top w:val="none" w:sz="0" w:space="0" w:color="auto"/>
        <w:left w:val="none" w:sz="0" w:space="0" w:color="auto"/>
        <w:bottom w:val="none" w:sz="0" w:space="0" w:color="auto"/>
        <w:right w:val="none" w:sz="0" w:space="0" w:color="auto"/>
      </w:divBdr>
    </w:div>
    <w:div w:id="1208031006">
      <w:bodyDiv w:val="1"/>
      <w:marLeft w:val="0"/>
      <w:marRight w:val="0"/>
      <w:marTop w:val="0"/>
      <w:marBottom w:val="0"/>
      <w:divBdr>
        <w:top w:val="none" w:sz="0" w:space="0" w:color="auto"/>
        <w:left w:val="none" w:sz="0" w:space="0" w:color="auto"/>
        <w:bottom w:val="none" w:sz="0" w:space="0" w:color="auto"/>
        <w:right w:val="none" w:sz="0" w:space="0" w:color="auto"/>
      </w:divBdr>
    </w:div>
    <w:div w:id="1222985049">
      <w:bodyDiv w:val="1"/>
      <w:marLeft w:val="0"/>
      <w:marRight w:val="0"/>
      <w:marTop w:val="0"/>
      <w:marBottom w:val="0"/>
      <w:divBdr>
        <w:top w:val="none" w:sz="0" w:space="0" w:color="auto"/>
        <w:left w:val="none" w:sz="0" w:space="0" w:color="auto"/>
        <w:bottom w:val="none" w:sz="0" w:space="0" w:color="auto"/>
        <w:right w:val="none" w:sz="0" w:space="0" w:color="auto"/>
      </w:divBdr>
    </w:div>
    <w:div w:id="1224174302">
      <w:bodyDiv w:val="1"/>
      <w:marLeft w:val="0"/>
      <w:marRight w:val="0"/>
      <w:marTop w:val="0"/>
      <w:marBottom w:val="0"/>
      <w:divBdr>
        <w:top w:val="none" w:sz="0" w:space="0" w:color="auto"/>
        <w:left w:val="none" w:sz="0" w:space="0" w:color="auto"/>
        <w:bottom w:val="none" w:sz="0" w:space="0" w:color="auto"/>
        <w:right w:val="none" w:sz="0" w:space="0" w:color="auto"/>
      </w:divBdr>
    </w:div>
    <w:div w:id="1258752055">
      <w:bodyDiv w:val="1"/>
      <w:marLeft w:val="0"/>
      <w:marRight w:val="0"/>
      <w:marTop w:val="0"/>
      <w:marBottom w:val="0"/>
      <w:divBdr>
        <w:top w:val="none" w:sz="0" w:space="0" w:color="auto"/>
        <w:left w:val="none" w:sz="0" w:space="0" w:color="auto"/>
        <w:bottom w:val="none" w:sz="0" w:space="0" w:color="auto"/>
        <w:right w:val="none" w:sz="0" w:space="0" w:color="auto"/>
      </w:divBdr>
    </w:div>
    <w:div w:id="1265503620">
      <w:bodyDiv w:val="1"/>
      <w:marLeft w:val="0"/>
      <w:marRight w:val="0"/>
      <w:marTop w:val="0"/>
      <w:marBottom w:val="0"/>
      <w:divBdr>
        <w:top w:val="none" w:sz="0" w:space="0" w:color="auto"/>
        <w:left w:val="none" w:sz="0" w:space="0" w:color="auto"/>
        <w:bottom w:val="none" w:sz="0" w:space="0" w:color="auto"/>
        <w:right w:val="none" w:sz="0" w:space="0" w:color="auto"/>
      </w:divBdr>
    </w:div>
    <w:div w:id="1326936869">
      <w:bodyDiv w:val="1"/>
      <w:marLeft w:val="0"/>
      <w:marRight w:val="0"/>
      <w:marTop w:val="0"/>
      <w:marBottom w:val="0"/>
      <w:divBdr>
        <w:top w:val="none" w:sz="0" w:space="0" w:color="auto"/>
        <w:left w:val="none" w:sz="0" w:space="0" w:color="auto"/>
        <w:bottom w:val="none" w:sz="0" w:space="0" w:color="auto"/>
        <w:right w:val="none" w:sz="0" w:space="0" w:color="auto"/>
      </w:divBdr>
    </w:div>
    <w:div w:id="1450932930">
      <w:bodyDiv w:val="1"/>
      <w:marLeft w:val="0"/>
      <w:marRight w:val="0"/>
      <w:marTop w:val="0"/>
      <w:marBottom w:val="0"/>
      <w:divBdr>
        <w:top w:val="none" w:sz="0" w:space="0" w:color="auto"/>
        <w:left w:val="none" w:sz="0" w:space="0" w:color="auto"/>
        <w:bottom w:val="none" w:sz="0" w:space="0" w:color="auto"/>
        <w:right w:val="none" w:sz="0" w:space="0" w:color="auto"/>
      </w:divBdr>
      <w:divsChild>
        <w:div w:id="576718790">
          <w:marLeft w:val="0"/>
          <w:marRight w:val="0"/>
          <w:marTop w:val="0"/>
          <w:marBottom w:val="0"/>
          <w:divBdr>
            <w:top w:val="none" w:sz="0" w:space="0" w:color="auto"/>
            <w:left w:val="none" w:sz="0" w:space="0" w:color="auto"/>
            <w:bottom w:val="none" w:sz="0" w:space="0" w:color="auto"/>
            <w:right w:val="none" w:sz="0" w:space="0" w:color="auto"/>
          </w:divBdr>
          <w:divsChild>
            <w:div w:id="871845537">
              <w:marLeft w:val="0"/>
              <w:marRight w:val="0"/>
              <w:marTop w:val="0"/>
              <w:marBottom w:val="0"/>
              <w:divBdr>
                <w:top w:val="none" w:sz="0" w:space="0" w:color="auto"/>
                <w:left w:val="none" w:sz="0" w:space="0" w:color="auto"/>
                <w:bottom w:val="none" w:sz="0" w:space="0" w:color="auto"/>
                <w:right w:val="none" w:sz="0" w:space="0" w:color="auto"/>
              </w:divBdr>
            </w:div>
          </w:divsChild>
        </w:div>
        <w:div w:id="80488766">
          <w:marLeft w:val="0"/>
          <w:marRight w:val="0"/>
          <w:marTop w:val="0"/>
          <w:marBottom w:val="0"/>
          <w:divBdr>
            <w:top w:val="none" w:sz="0" w:space="0" w:color="auto"/>
            <w:left w:val="none" w:sz="0" w:space="0" w:color="auto"/>
            <w:bottom w:val="none" w:sz="0" w:space="0" w:color="auto"/>
            <w:right w:val="none" w:sz="0" w:space="0" w:color="auto"/>
          </w:divBdr>
          <w:divsChild>
            <w:div w:id="1564953125">
              <w:marLeft w:val="0"/>
              <w:marRight w:val="0"/>
              <w:marTop w:val="0"/>
              <w:marBottom w:val="0"/>
              <w:divBdr>
                <w:top w:val="none" w:sz="0" w:space="0" w:color="auto"/>
                <w:left w:val="none" w:sz="0" w:space="0" w:color="auto"/>
                <w:bottom w:val="none" w:sz="0" w:space="0" w:color="auto"/>
                <w:right w:val="none" w:sz="0" w:space="0" w:color="auto"/>
              </w:divBdr>
            </w:div>
          </w:divsChild>
        </w:div>
        <w:div w:id="48194374">
          <w:marLeft w:val="0"/>
          <w:marRight w:val="0"/>
          <w:marTop w:val="0"/>
          <w:marBottom w:val="0"/>
          <w:divBdr>
            <w:top w:val="none" w:sz="0" w:space="0" w:color="auto"/>
            <w:left w:val="none" w:sz="0" w:space="0" w:color="auto"/>
            <w:bottom w:val="none" w:sz="0" w:space="0" w:color="auto"/>
            <w:right w:val="none" w:sz="0" w:space="0" w:color="auto"/>
          </w:divBdr>
          <w:divsChild>
            <w:div w:id="256987872">
              <w:marLeft w:val="0"/>
              <w:marRight w:val="0"/>
              <w:marTop w:val="0"/>
              <w:marBottom w:val="0"/>
              <w:divBdr>
                <w:top w:val="none" w:sz="0" w:space="0" w:color="auto"/>
                <w:left w:val="none" w:sz="0" w:space="0" w:color="auto"/>
                <w:bottom w:val="none" w:sz="0" w:space="0" w:color="auto"/>
                <w:right w:val="none" w:sz="0" w:space="0" w:color="auto"/>
              </w:divBdr>
            </w:div>
          </w:divsChild>
        </w:div>
        <w:div w:id="608658298">
          <w:marLeft w:val="0"/>
          <w:marRight w:val="0"/>
          <w:marTop w:val="0"/>
          <w:marBottom w:val="0"/>
          <w:divBdr>
            <w:top w:val="none" w:sz="0" w:space="0" w:color="auto"/>
            <w:left w:val="none" w:sz="0" w:space="0" w:color="auto"/>
            <w:bottom w:val="none" w:sz="0" w:space="0" w:color="auto"/>
            <w:right w:val="none" w:sz="0" w:space="0" w:color="auto"/>
          </w:divBdr>
          <w:divsChild>
            <w:div w:id="151761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77536">
      <w:bodyDiv w:val="1"/>
      <w:marLeft w:val="0"/>
      <w:marRight w:val="0"/>
      <w:marTop w:val="0"/>
      <w:marBottom w:val="0"/>
      <w:divBdr>
        <w:top w:val="none" w:sz="0" w:space="0" w:color="auto"/>
        <w:left w:val="none" w:sz="0" w:space="0" w:color="auto"/>
        <w:bottom w:val="none" w:sz="0" w:space="0" w:color="auto"/>
        <w:right w:val="none" w:sz="0" w:space="0" w:color="auto"/>
      </w:divBdr>
      <w:divsChild>
        <w:div w:id="1333067972">
          <w:marLeft w:val="0"/>
          <w:marRight w:val="0"/>
          <w:marTop w:val="0"/>
          <w:marBottom w:val="0"/>
          <w:divBdr>
            <w:top w:val="none" w:sz="0" w:space="0" w:color="auto"/>
            <w:left w:val="none" w:sz="0" w:space="0" w:color="auto"/>
            <w:bottom w:val="none" w:sz="0" w:space="0" w:color="auto"/>
            <w:right w:val="none" w:sz="0" w:space="0" w:color="auto"/>
          </w:divBdr>
          <w:divsChild>
            <w:div w:id="93293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940533">
      <w:bodyDiv w:val="1"/>
      <w:marLeft w:val="0"/>
      <w:marRight w:val="0"/>
      <w:marTop w:val="0"/>
      <w:marBottom w:val="0"/>
      <w:divBdr>
        <w:top w:val="none" w:sz="0" w:space="0" w:color="auto"/>
        <w:left w:val="none" w:sz="0" w:space="0" w:color="auto"/>
        <w:bottom w:val="none" w:sz="0" w:space="0" w:color="auto"/>
        <w:right w:val="none" w:sz="0" w:space="0" w:color="auto"/>
      </w:divBdr>
    </w:div>
    <w:div w:id="1814177120">
      <w:bodyDiv w:val="1"/>
      <w:marLeft w:val="0"/>
      <w:marRight w:val="0"/>
      <w:marTop w:val="0"/>
      <w:marBottom w:val="0"/>
      <w:divBdr>
        <w:top w:val="none" w:sz="0" w:space="0" w:color="auto"/>
        <w:left w:val="none" w:sz="0" w:space="0" w:color="auto"/>
        <w:bottom w:val="none" w:sz="0" w:space="0" w:color="auto"/>
        <w:right w:val="none" w:sz="0" w:space="0" w:color="auto"/>
      </w:divBdr>
      <w:divsChild>
        <w:div w:id="609505525">
          <w:marLeft w:val="0"/>
          <w:marRight w:val="0"/>
          <w:marTop w:val="0"/>
          <w:marBottom w:val="0"/>
          <w:divBdr>
            <w:top w:val="none" w:sz="0" w:space="0" w:color="auto"/>
            <w:left w:val="none" w:sz="0" w:space="0" w:color="auto"/>
            <w:bottom w:val="none" w:sz="0" w:space="0" w:color="auto"/>
            <w:right w:val="none" w:sz="0" w:space="0" w:color="auto"/>
          </w:divBdr>
          <w:divsChild>
            <w:div w:id="6442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06237">
      <w:bodyDiv w:val="1"/>
      <w:marLeft w:val="0"/>
      <w:marRight w:val="0"/>
      <w:marTop w:val="0"/>
      <w:marBottom w:val="0"/>
      <w:divBdr>
        <w:top w:val="none" w:sz="0" w:space="0" w:color="auto"/>
        <w:left w:val="none" w:sz="0" w:space="0" w:color="auto"/>
        <w:bottom w:val="none" w:sz="0" w:space="0" w:color="auto"/>
        <w:right w:val="none" w:sz="0" w:space="0" w:color="auto"/>
      </w:divBdr>
      <w:divsChild>
        <w:div w:id="1351639378">
          <w:marLeft w:val="0"/>
          <w:marRight w:val="0"/>
          <w:marTop w:val="0"/>
          <w:marBottom w:val="0"/>
          <w:divBdr>
            <w:top w:val="none" w:sz="0" w:space="0" w:color="auto"/>
            <w:left w:val="none" w:sz="0" w:space="0" w:color="auto"/>
            <w:bottom w:val="none" w:sz="0" w:space="0" w:color="auto"/>
            <w:right w:val="none" w:sz="0" w:space="0" w:color="auto"/>
          </w:divBdr>
          <w:divsChild>
            <w:div w:id="453864718">
              <w:marLeft w:val="0"/>
              <w:marRight w:val="0"/>
              <w:marTop w:val="0"/>
              <w:marBottom w:val="0"/>
              <w:divBdr>
                <w:top w:val="none" w:sz="0" w:space="0" w:color="auto"/>
                <w:left w:val="none" w:sz="0" w:space="0" w:color="auto"/>
                <w:bottom w:val="none" w:sz="0" w:space="0" w:color="auto"/>
                <w:right w:val="none" w:sz="0" w:space="0" w:color="auto"/>
              </w:divBdr>
            </w:div>
          </w:divsChild>
        </w:div>
        <w:div w:id="2049915171">
          <w:marLeft w:val="0"/>
          <w:marRight w:val="0"/>
          <w:marTop w:val="0"/>
          <w:marBottom w:val="0"/>
          <w:divBdr>
            <w:top w:val="none" w:sz="0" w:space="0" w:color="auto"/>
            <w:left w:val="none" w:sz="0" w:space="0" w:color="auto"/>
            <w:bottom w:val="none" w:sz="0" w:space="0" w:color="auto"/>
            <w:right w:val="none" w:sz="0" w:space="0" w:color="auto"/>
          </w:divBdr>
          <w:divsChild>
            <w:div w:id="632255486">
              <w:marLeft w:val="0"/>
              <w:marRight w:val="0"/>
              <w:marTop w:val="0"/>
              <w:marBottom w:val="0"/>
              <w:divBdr>
                <w:top w:val="none" w:sz="0" w:space="0" w:color="auto"/>
                <w:left w:val="none" w:sz="0" w:space="0" w:color="auto"/>
                <w:bottom w:val="none" w:sz="0" w:space="0" w:color="auto"/>
                <w:right w:val="none" w:sz="0" w:space="0" w:color="auto"/>
              </w:divBdr>
            </w:div>
          </w:divsChild>
        </w:div>
        <w:div w:id="1398287946">
          <w:marLeft w:val="0"/>
          <w:marRight w:val="0"/>
          <w:marTop w:val="0"/>
          <w:marBottom w:val="0"/>
          <w:divBdr>
            <w:top w:val="none" w:sz="0" w:space="0" w:color="auto"/>
            <w:left w:val="none" w:sz="0" w:space="0" w:color="auto"/>
            <w:bottom w:val="none" w:sz="0" w:space="0" w:color="auto"/>
            <w:right w:val="none" w:sz="0" w:space="0" w:color="auto"/>
          </w:divBdr>
          <w:divsChild>
            <w:div w:id="150516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464434">
      <w:bodyDiv w:val="1"/>
      <w:marLeft w:val="0"/>
      <w:marRight w:val="0"/>
      <w:marTop w:val="0"/>
      <w:marBottom w:val="0"/>
      <w:divBdr>
        <w:top w:val="none" w:sz="0" w:space="0" w:color="auto"/>
        <w:left w:val="none" w:sz="0" w:space="0" w:color="auto"/>
        <w:bottom w:val="none" w:sz="0" w:space="0" w:color="auto"/>
        <w:right w:val="none" w:sz="0" w:space="0" w:color="auto"/>
      </w:divBdr>
    </w:div>
    <w:div w:id="2051684995">
      <w:bodyDiv w:val="1"/>
      <w:marLeft w:val="0"/>
      <w:marRight w:val="0"/>
      <w:marTop w:val="0"/>
      <w:marBottom w:val="0"/>
      <w:divBdr>
        <w:top w:val="none" w:sz="0" w:space="0" w:color="auto"/>
        <w:left w:val="none" w:sz="0" w:space="0" w:color="auto"/>
        <w:bottom w:val="none" w:sz="0" w:space="0" w:color="auto"/>
        <w:right w:val="none" w:sz="0" w:space="0" w:color="auto"/>
      </w:divBdr>
    </w:div>
    <w:div w:id="2059547589">
      <w:bodyDiv w:val="1"/>
      <w:marLeft w:val="0"/>
      <w:marRight w:val="0"/>
      <w:marTop w:val="0"/>
      <w:marBottom w:val="0"/>
      <w:divBdr>
        <w:top w:val="none" w:sz="0" w:space="0" w:color="auto"/>
        <w:left w:val="none" w:sz="0" w:space="0" w:color="auto"/>
        <w:bottom w:val="none" w:sz="0" w:space="0" w:color="auto"/>
        <w:right w:val="none" w:sz="0" w:space="0" w:color="auto"/>
      </w:divBdr>
    </w:div>
    <w:div w:id="208367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2.deloitte.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alesforce.com/" TargetMode="External"/><Relationship Id="rId4" Type="http://schemas.openxmlformats.org/officeDocument/2006/relationships/webSettings" Target="webSettings.xml"/><Relationship Id="rId9" Type="http://schemas.openxmlformats.org/officeDocument/2006/relationships/hyperlink" Target="https://ico.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12</Pages>
  <Words>2954</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Galyna Vovk</cp:lastModifiedBy>
  <cp:revision>10</cp:revision>
  <cp:lastPrinted>2025-12-09T06:54:00Z</cp:lastPrinted>
  <dcterms:created xsi:type="dcterms:W3CDTF">2025-10-29T18:28:00Z</dcterms:created>
  <dcterms:modified xsi:type="dcterms:W3CDTF">2025-12-09T08:29:00Z</dcterms:modified>
</cp:coreProperties>
</file>