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Rule="auto"/>
        <w:ind w:left="284" w:firstLine="0"/>
        <w:rPr>
          <w:rFonts w:ascii="Times New Roman" w:cs="Times New Roman" w:eastAsia="Times New Roman" w:hAnsi="Times New Roman"/>
          <w:color w:val="000000"/>
          <w:vertAlign w:val="baseline"/>
        </w:rPr>
      </w:pPr>
      <w:r w:rsidDel="00000000" w:rsidR="00000000" w:rsidRPr="00000000">
        <w:rPr>
          <w:b w:val="1"/>
          <w:bCs w:val="1"/>
          <w:vertAlign w:val="baseline"/>
          <w:rtl w:val="0"/>
        </w:rPr>
        <w:t xml:space="preserve">Academic Journal Review – Sports Management</w:t>
      </w:r>
      <w:r w:rsidDel="00000000" w:rsidR="00000000" w:rsidRPr="00000000">
        <w:rPr>
          <w:rtl w:val="0"/>
        </w:rPr>
      </w:r>
    </w:p>
    <w:tbl>
      <w:tblPr>
        <w:tblStyle w:val="Table1"/>
        <w:tblW w:w="10139.0" w:type="dxa"/>
        <w:jc w:val="center"/>
        <w:tblBorders>
          <w:top w:color="000000" w:space="0" w:sz="12" w:val="single"/>
          <w:left w:color="000000" w:space="0" w:sz="12" w:val="single"/>
          <w:bottom w:color="000000" w:space="0" w:sz="12" w:val="single"/>
          <w:right w:color="000000" w:space="0" w:sz="12" w:val="single"/>
          <w:insideH w:color="000000" w:space="0" w:sz="0" w:val="nil"/>
          <w:insideV w:color="000000" w:space="0" w:sz="0" w:val="nil"/>
        </w:tblBorders>
        <w:tblLayout w:type="fixed"/>
        <w:tblLook w:val="0000"/>
      </w:tblPr>
      <w:tblGrid>
        <w:gridCol w:w="10139"/>
        <w:tblGridChange w:id="0">
          <w:tblGrid>
            <w:gridCol w:w="10139"/>
          </w:tblGrid>
        </w:tblGridChange>
      </w:tblGrid>
      <w:tr>
        <w:trPr>
          <w:cantSplit w:val="0"/>
          <w:trHeight w:val="360" w:hRule="atLeast"/>
          <w:tblHeader w:val="0"/>
        </w:trPr>
        <w:tc>
          <w:tcPr>
            <w:tcBorders>
              <w:top w:color="000000" w:space="0" w:sz="12" w:val="single"/>
              <w:left w:color="000000" w:space="0" w:sz="12" w:val="single"/>
              <w:bottom w:color="000000" w:space="0" w:sz="6" w:val="single"/>
              <w:right w:color="000000" w:space="0" w:sz="6" w:val="single"/>
            </w:tcBorders>
            <w:vAlign w:val="top"/>
          </w:tcPr>
          <w:p w:rsidR="00000000" w:rsidDel="00000000" w:rsidP="00000000" w:rsidRDefault="00000000" w:rsidRPr="00000000" w14:paraId="00000002">
            <w:pPr>
              <w:rPr>
                <w:vertAlign w:val="baseline"/>
              </w:rPr>
            </w:pPr>
            <w:r w:rsidDel="00000000" w:rsidR="00000000" w:rsidRPr="00000000">
              <w:rPr>
                <w:b w:val="1"/>
                <w:bCs w:val="1"/>
                <w:sz w:val="20"/>
                <w:szCs w:val="20"/>
                <w:vertAlign w:val="baseline"/>
                <w:rtl w:val="0"/>
              </w:rPr>
              <w:t xml:space="preserve">Student Name: JJ Belcher </w:t>
            </w:r>
            <w:r w:rsidDel="00000000" w:rsidR="00000000" w:rsidRPr="00000000">
              <w:rPr>
                <w:rtl w:val="0"/>
              </w:rPr>
            </w:r>
          </w:p>
        </w:tc>
      </w:tr>
      <w:tr>
        <w:trPr>
          <w:cantSplit w:val="0"/>
          <w:trHeight w:val="360" w:hRule="atLeast"/>
          <w:tblHeader w:val="0"/>
        </w:trPr>
        <w:tc>
          <w:tcPr>
            <w:tcBorders>
              <w:top w:color="000000" w:space="0" w:sz="6" w:val="single"/>
              <w:left w:color="000000" w:space="0" w:sz="12" w:val="single"/>
              <w:bottom w:color="000000" w:space="0" w:sz="6" w:val="single"/>
              <w:right w:color="000000" w:space="0" w:sz="6" w:val="single"/>
            </w:tcBorders>
            <w:vAlign w:val="top"/>
          </w:tcPr>
          <w:p w:rsidR="00000000" w:rsidDel="00000000" w:rsidP="00000000" w:rsidRDefault="00000000" w:rsidRPr="00000000" w14:paraId="00000003">
            <w:pPr>
              <w:rPr>
                <w:sz w:val="20"/>
                <w:szCs w:val="20"/>
                <w:vertAlign w:val="baseline"/>
              </w:rPr>
            </w:pPr>
            <w:r w:rsidDel="00000000" w:rsidR="00000000" w:rsidRPr="00000000">
              <w:rPr>
                <w:b w:val="1"/>
                <w:bCs w:val="1"/>
                <w:sz w:val="20"/>
                <w:szCs w:val="20"/>
                <w:vertAlign w:val="baseline"/>
                <w:rtl w:val="0"/>
              </w:rPr>
              <w:t xml:space="preserve">Title of Work: </w:t>
            </w:r>
            <w:r w:rsidDel="00000000" w:rsidR="00000000" w:rsidRPr="00000000">
              <w:rPr>
                <w:sz w:val="20"/>
                <w:szCs w:val="20"/>
                <w:rtl w:val="0"/>
              </w:rPr>
              <w:t xml:space="preserve">Applying the TARGET Pedagogical Principles in Physical Education to Enhance Students' Physical Literacy</w:t>
            </w:r>
            <w:r w:rsidDel="00000000" w:rsidR="00000000" w:rsidRPr="00000000">
              <w:rPr>
                <w:rtl w:val="0"/>
              </w:rPr>
            </w:r>
          </w:p>
        </w:tc>
      </w:tr>
      <w:tr>
        <w:trPr>
          <w:cantSplit w:val="0"/>
          <w:trHeight w:val="360" w:hRule="atLeast"/>
          <w:tblHeader w:val="0"/>
        </w:trPr>
        <w:tc>
          <w:tcPr>
            <w:tcBorders>
              <w:top w:color="000000" w:space="0" w:sz="6" w:val="single"/>
              <w:left w:color="000000" w:space="0" w:sz="12" w:val="single"/>
              <w:bottom w:color="000000" w:space="0" w:sz="6" w:val="single"/>
              <w:right w:color="000000" w:space="0" w:sz="6" w:val="single"/>
            </w:tcBorders>
            <w:vAlign w:val="top"/>
          </w:tcPr>
          <w:p w:rsidR="00000000" w:rsidDel="00000000" w:rsidP="00000000" w:rsidRDefault="00000000" w:rsidRPr="00000000" w14:paraId="00000004">
            <w:pPr>
              <w:rPr>
                <w:vertAlign w:val="baseline"/>
              </w:rPr>
            </w:pPr>
            <w:r w:rsidDel="00000000" w:rsidR="00000000" w:rsidRPr="00000000">
              <w:rPr>
                <w:b w:val="1"/>
                <w:bCs w:val="1"/>
                <w:sz w:val="20"/>
                <w:szCs w:val="20"/>
                <w:vertAlign w:val="baseline"/>
                <w:rtl w:val="0"/>
              </w:rPr>
              <w:t xml:space="preserve">Author:</w:t>
            </w:r>
            <w:r w:rsidDel="00000000" w:rsidR="00000000" w:rsidRPr="00000000">
              <w:rPr>
                <w:vertAlign w:val="baseline"/>
                <w:rtl w:val="0"/>
              </w:rPr>
              <w:t xml:space="preserve"> Kevin Morgan</w:t>
            </w:r>
          </w:p>
        </w:tc>
      </w:tr>
      <w:tr>
        <w:trPr>
          <w:cantSplit w:val="0"/>
          <w:trHeight w:val="525" w:hRule="atLeast"/>
          <w:tblHeader w:val="0"/>
        </w:trPr>
        <w:tc>
          <w:tcPr>
            <w:tcBorders>
              <w:top w:color="000000" w:space="0" w:sz="6" w:val="single"/>
              <w:left w:color="000000" w:space="0" w:sz="12" w:val="single"/>
              <w:bottom w:color="000000" w:space="0" w:sz="6" w:val="single"/>
              <w:right w:color="000000" w:space="0" w:sz="6" w:val="single"/>
            </w:tcBorders>
            <w:vAlign w:val="top"/>
          </w:tcPr>
          <w:p w:rsidR="00000000" w:rsidDel="00000000" w:rsidP="00000000" w:rsidRDefault="00000000" w:rsidRPr="00000000" w14:paraId="00000005">
            <w:pPr>
              <w:rPr>
                <w:sz w:val="20"/>
                <w:szCs w:val="20"/>
                <w:vertAlign w:val="baseline"/>
              </w:rPr>
            </w:pPr>
            <w:r w:rsidDel="00000000" w:rsidR="00000000" w:rsidRPr="00000000">
              <w:rPr>
                <w:b w:val="1"/>
                <w:bCs w:val="1"/>
                <w:sz w:val="20"/>
                <w:szCs w:val="20"/>
                <w:vertAlign w:val="baseline"/>
                <w:rtl w:val="0"/>
              </w:rPr>
              <w:t xml:space="preserve">Reference:</w:t>
            </w:r>
            <w:r w:rsidDel="00000000" w:rsidR="00000000" w:rsidRPr="00000000">
              <w:rPr>
                <w:vertAlign w:val="baseline"/>
                <w:rtl w:val="0"/>
              </w:rPr>
              <w:t xml:space="preserve"> </w:t>
            </w:r>
            <w:r w:rsidDel="00000000" w:rsidR="00000000" w:rsidRPr="00000000">
              <w:rPr>
                <w:sz w:val="20"/>
                <w:szCs w:val="20"/>
                <w:vertAlign w:val="baseline"/>
                <w:rtl w:val="0"/>
              </w:rPr>
              <w:t xml:space="preserve">Kevin Morgan (2019) Applying the TARGET Pedagogical Principles in Physical Education to Enhance Students' Physical Literacy, Journal of Physical Education, Recreation &amp; Dance, 90:1, 9-14, DOI: 10.1080/07303084.2018.1535339</w:t>
            </w:r>
          </w:p>
        </w:tc>
      </w:tr>
      <w:tr>
        <w:trPr>
          <w:cantSplit w:val="0"/>
          <w:trHeight w:val="255" w:hRule="atLeast"/>
          <w:tblHeader w:val="0"/>
        </w:trPr>
        <w:tc>
          <w:tcPr>
            <w:tcBorders>
              <w:top w:color="000000" w:space="0" w:sz="6" w:val="single"/>
              <w:left w:color="000000" w:space="0" w:sz="12" w:val="single"/>
              <w:bottom w:color="000000" w:space="0" w:sz="6" w:val="single"/>
              <w:right w:color="000000" w:space="0" w:sz="6" w:val="single"/>
            </w:tcBorders>
            <w:vAlign w:val="top"/>
          </w:tcPr>
          <w:p w:rsidR="00000000" w:rsidDel="00000000" w:rsidP="00000000" w:rsidRDefault="00000000" w:rsidRPr="00000000" w14:paraId="00000006">
            <w:pPr>
              <w:rPr>
                <w:sz w:val="20"/>
                <w:szCs w:val="20"/>
                <w:vertAlign w:val="baseline"/>
              </w:rPr>
            </w:pPr>
            <w:r w:rsidDel="00000000" w:rsidR="00000000" w:rsidRPr="00000000">
              <w:rPr>
                <w:b w:val="1"/>
                <w:bCs w:val="1"/>
                <w:sz w:val="20"/>
                <w:szCs w:val="20"/>
                <w:vertAlign w:val="baseline"/>
                <w:rtl w:val="0"/>
              </w:rPr>
              <w:t xml:space="preserve">Date of Article:</w:t>
            </w:r>
            <w:r w:rsidDel="00000000" w:rsidR="00000000" w:rsidRPr="00000000">
              <w:rPr>
                <w:vertAlign w:val="baseline"/>
                <w:rtl w:val="0"/>
              </w:rPr>
              <w:t xml:space="preserve"> </w:t>
            </w:r>
            <w:r w:rsidDel="00000000" w:rsidR="00000000" w:rsidRPr="00000000">
              <w:rPr>
                <w:sz w:val="20"/>
                <w:szCs w:val="20"/>
                <w:vertAlign w:val="baseline"/>
                <w:rtl w:val="0"/>
              </w:rPr>
              <w:t xml:space="preserve">Published online: 17 Dec 2018.</w:t>
            </w:r>
          </w:p>
        </w:tc>
      </w:tr>
      <w:tr>
        <w:trPr>
          <w:cantSplit w:val="0"/>
          <w:trHeight w:val="345" w:hRule="atLeast"/>
          <w:tblHeader w:val="0"/>
        </w:trPr>
        <w:tc>
          <w:tcPr>
            <w:tcBorders>
              <w:top w:color="000000" w:space="0" w:sz="6" w:val="single"/>
              <w:left w:color="000000" w:space="0" w:sz="12" w:val="single"/>
              <w:bottom w:color="000000" w:space="0" w:sz="6" w:val="single"/>
              <w:right w:color="000000" w:space="0" w:sz="12" w:val="single"/>
            </w:tcBorders>
            <w:shd w:fill="c0c0c0" w:val="clear"/>
            <w:vAlign w:val="top"/>
          </w:tcPr>
          <w:p w:rsidR="00000000" w:rsidDel="00000000" w:rsidP="00000000" w:rsidRDefault="00000000" w:rsidRPr="00000000" w14:paraId="00000007">
            <w:pPr>
              <w:rPr>
                <w:vertAlign w:val="baseline"/>
              </w:rPr>
            </w:pPr>
            <w:r w:rsidDel="00000000" w:rsidR="00000000" w:rsidRPr="00000000">
              <w:rPr>
                <w:b w:val="1"/>
                <w:bCs w:val="1"/>
                <w:sz w:val="20"/>
                <w:szCs w:val="20"/>
                <w:vertAlign w:val="baseline"/>
                <w:rtl w:val="0"/>
              </w:rPr>
              <w:t xml:space="preserve">PERSONAL REVIEW</w:t>
            </w:r>
            <w:r w:rsidDel="00000000" w:rsidR="00000000" w:rsidRPr="00000000">
              <w:rPr>
                <w:rtl w:val="0"/>
              </w:rPr>
            </w:r>
          </w:p>
        </w:tc>
      </w:tr>
      <w:tr>
        <w:trPr>
          <w:cantSplit w:val="0"/>
          <w:trHeight w:val="1932" w:hRule="atLeast"/>
          <w:tblHeader w:val="0"/>
        </w:trPr>
        <w:tc>
          <w:tcPr>
            <w:tcBorders>
              <w:top w:color="000000" w:space="0" w:sz="6" w:val="single"/>
              <w:left w:color="000000" w:space="0" w:sz="12" w:val="single"/>
              <w:bottom w:color="000000" w:space="0" w:sz="6" w:val="single"/>
              <w:right w:color="000000" w:space="0" w:sz="12" w:val="single"/>
            </w:tcBorders>
            <w:vAlign w:val="top"/>
          </w:tcPr>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0"/>
                <w:szCs w:val="20"/>
                <w:u w:val="single"/>
                <w:shd w:fill="auto" w:val="clear"/>
                <w:vertAlign w:val="baseline"/>
                <w:rtl w:val="0"/>
              </w:rPr>
              <w:t xml:space="preserve">Review Suggestions</w:t>
            </w:r>
            <w:r w:rsidDel="00000000" w:rsidR="00000000" w:rsidRPr="00000000">
              <w:rPr>
                <w:rtl w:val="0"/>
              </w:rPr>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Give an overview of the article.</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What are the key points in this article?</w:t>
            </w:r>
          </w:p>
          <w:p w:rsidR="00000000" w:rsidDel="00000000" w:rsidP="00000000" w:rsidRDefault="00000000" w:rsidRPr="00000000" w14:paraId="0000000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Who is intended audience – academics/ practitioners – why do you come to that conclusion?</w:t>
            </w:r>
          </w:p>
          <w:p w:rsidR="00000000" w:rsidDel="00000000" w:rsidP="00000000" w:rsidRDefault="00000000" w:rsidRPr="00000000" w14:paraId="0000000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Does the author define any terms? Are the definitions specific, useful, circular?</w:t>
            </w:r>
          </w:p>
          <w:p w:rsidR="00000000" w:rsidDel="00000000" w:rsidP="00000000" w:rsidRDefault="00000000" w:rsidRPr="00000000" w14:paraId="0000000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What are the key findings? </w:t>
            </w:r>
          </w:p>
          <w:p w:rsidR="00000000" w:rsidDel="00000000" w:rsidP="00000000" w:rsidRDefault="00000000" w:rsidRPr="00000000" w14:paraId="0000000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What did I find striking or interesting about these key points?</w:t>
            </w:r>
          </w:p>
          <w:p w:rsidR="00000000" w:rsidDel="00000000" w:rsidP="00000000" w:rsidRDefault="00000000" w:rsidRPr="00000000" w14:paraId="0000000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How has this article influenced me in thinking deeply about my values, beliefs and assumptions?</w:t>
            </w:r>
            <w:r w:rsidDel="00000000" w:rsidR="00000000" w:rsidRPr="00000000">
              <w:rPr>
                <w:rtl w:val="0"/>
              </w:rPr>
            </w:r>
          </w:p>
          <w:p w:rsidR="00000000" w:rsidDel="00000000" w:rsidP="00000000" w:rsidRDefault="00000000" w:rsidRPr="00000000" w14:paraId="000000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Does the author suggest areas for further research or discussion?</w:t>
            </w:r>
            <w:r w:rsidDel="00000000" w:rsidR="00000000" w:rsidRPr="00000000">
              <w:rPr>
                <w:rFonts w:ascii="Calibri" w:cs="Calibri" w:eastAsia="Calibri" w:hAnsi="Calibri"/>
                <w:b w:val="0"/>
                <w:bCs w:val="0"/>
                <w:i w:val="0"/>
                <w:iCs w:val="0"/>
                <w:smallCaps w:val="0"/>
                <w:strike w:val="0"/>
                <w:color w:val="000000"/>
                <w:sz w:val="20"/>
                <w:szCs w:val="20"/>
                <w:u w:val="none"/>
                <w:shd w:fill="auto" w:val="clear"/>
                <w:vertAlign w:val="baseline"/>
                <w:rtl w:val="0"/>
              </w:rPr>
              <w:t xml:space="preserve"> </w:t>
            </w:r>
          </w:p>
        </w:tc>
      </w:tr>
      <w:tr>
        <w:trPr>
          <w:cantSplit w:val="0"/>
          <w:trHeight w:val="2399" w:hRule="atLeast"/>
          <w:tblHeader w:val="0"/>
        </w:trPr>
        <w:tc>
          <w:tcPr>
            <w:tcBorders>
              <w:top w:color="000000" w:space="0" w:sz="6" w:val="single"/>
              <w:left w:color="000000" w:space="0" w:sz="12" w:val="single"/>
              <w:bottom w:color="000000" w:space="0" w:sz="12" w:val="single"/>
              <w:right w:color="000000" w:space="0" w:sz="12" w:val="single"/>
            </w:tcBorders>
            <w:vAlign w:val="top"/>
          </w:tcPr>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0"/>
                <w:szCs w:val="20"/>
                <w:u w:val="single"/>
                <w:shd w:fill="auto" w:val="clear"/>
                <w:vertAlign w:val="baseline"/>
                <w:rtl w:val="0"/>
              </w:rPr>
              <w:t xml:space="preserve">Personal Review (300 words)</w:t>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In this paper, Morgan argues that a mastery motivational climate can be developed in PE by applying the TARGET pedagogical principles (Task, Authority, Recognition, Grouping, Evaluation, and Time) that would help in the development of physical literacy among students, which is described as the knowledge, perceived competence, confidence, and motivation to be physically active throughout one’s life. The author states that the current motivational climate in PE is performance and competition-oriented, while a TARGET-based motivational climate is self-referenced, autonomous, group inclusive, formative, and flexible.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The key points include how each element of TARGET can be operationalized. This includes differentiating tasks according to skill levels, assigning students the authority to make choices and decisions, acknowledging individual effort rather than normative performance, arranging heterogeneous groupings, applying learning-centered evaluation, and assigning flexible time for students' progress.</w:t>
            </w:r>
          </w:p>
          <w:p w:rsidR="00000000" w:rsidDel="00000000" w:rsidP="00000000" w:rsidRDefault="00000000" w:rsidRPr="00000000" w14:paraId="00000015">
            <w:pPr>
              <w:rPr>
                <w:sz w:val="20"/>
                <w:szCs w:val="20"/>
              </w:rPr>
            </w:pPr>
            <w:r w:rsidDel="00000000" w:rsidR="00000000" w:rsidRPr="00000000">
              <w:rPr>
                <w:sz w:val="20"/>
                <w:szCs w:val="20"/>
                <w:rtl w:val="0"/>
              </w:rPr>
              <w:t xml:space="preserve">The text is mainly targeted at academics and PE professionals interested in pedagogical theories and applications because it links the theory of motivational climate with teaching practices and refers to the discourse on physical literacy.</w:t>
            </w:r>
          </w:p>
          <w:p w:rsidR="00000000" w:rsidDel="00000000" w:rsidP="00000000" w:rsidRDefault="00000000" w:rsidRPr="00000000" w14:paraId="00000016">
            <w:pPr>
              <w:rPr>
                <w:sz w:val="20"/>
                <w:szCs w:val="20"/>
              </w:rPr>
            </w:pPr>
            <w:r w:rsidDel="00000000" w:rsidR="00000000" w:rsidRPr="00000000">
              <w:rPr>
                <w:sz w:val="20"/>
                <w:szCs w:val="20"/>
                <w:rtl w:val="0"/>
              </w:rPr>
              <w:t xml:space="preserve">Morgan explains physical literacy precisely and equates TARGET with a tool that promotes a mastery climate, which is favorable for physical literacy development. The explanations are relevant and based on theories of motivation and competence.</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The most important finding is the conceptual argument that the TARGET principles have the ability to transform PE spaces to support lifelong physical activity, as opposed to short-term achievement. What struck me in particular is the way in which pedagogical structure, as opposed to sport skills, becomes the focal point in encouraging students, as opposed to the assumption that physical education is merely about athletic achievement. This particular article caused me to think about values such as autonomy, inclusivity, and motivation. Morgan proposes that future studies could investigate the impact of TARGET-based climates on students’ physical literacy outcomes, emphasizing the importance of empirical evidence over conceptual support.</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In conclusion, the article by Morgan serves to emphasize the importance of a pedagogically designed physical education. Through the integration of the motivational climate with the overarching aim of lifelong participation, the TARGET model provides a useful and philosophical approach to rethinking the role of physical education in the development of students. </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3D">
      <w:pPr>
        <w:rPr>
          <w:sz w:val="20"/>
          <w:szCs w:val="20"/>
          <w:vertAlign w:val="baseline"/>
        </w:rPr>
      </w:pPr>
      <w:r w:rsidDel="00000000" w:rsidR="00000000" w:rsidRPr="00000000">
        <w:rPr>
          <w:rtl w:val="0"/>
        </w:rPr>
      </w:r>
    </w:p>
    <w:p w:rsidR="00000000" w:rsidDel="00000000" w:rsidP="00000000" w:rsidRDefault="00000000" w:rsidRPr="00000000" w14:paraId="0000003E">
      <w:pPr>
        <w:ind w:right="329"/>
        <w:rPr>
          <w:sz w:val="20"/>
          <w:szCs w:val="20"/>
          <w:vertAlign w:val="baseline"/>
        </w:rPr>
      </w:pPr>
      <w:r w:rsidDel="00000000" w:rsidR="00000000" w:rsidRPr="00000000">
        <w:rPr>
          <w:rtl w:val="0"/>
        </w:rPr>
      </w:r>
    </w:p>
    <w:sectPr>
      <w:pgSz w:h="16834" w:w="11909" w:orient="portrait"/>
      <w:pgMar w:bottom="1440" w:top="567" w:left="426" w:right="569" w:header="720" w:footer="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Calibri"/>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sz w:val="22"/>
        <w:szCs w:val="22"/>
        <w:vertAlign w:val="baseline"/>
      </w:rPr>
    </w:lvl>
    <w:lvl w:ilvl="1">
      <w:start w:val="1"/>
      <w:numFmt w:val="bullet"/>
      <w:lvlText w:val="o"/>
      <w:lvlJc w:val="left"/>
      <w:pPr>
        <w:ind w:left="1080" w:hanging="360"/>
      </w:pPr>
      <w:rPr>
        <w:rFonts w:ascii="Courier New" w:cs="Courier New" w:eastAsia="Courier New" w:hAnsi="Courier New"/>
        <w:vertAlign w:val="baseline"/>
      </w:rPr>
    </w:lvl>
    <w:lvl w:ilvl="2">
      <w:start w:val="1"/>
      <w:numFmt w:val="bullet"/>
      <w:lvlText w:val="▪"/>
      <w:lvlJc w:val="left"/>
      <w:pPr>
        <w:ind w:left="1800" w:hanging="360"/>
      </w:pPr>
      <w:rPr>
        <w:rFonts w:ascii="Noto Sans Symbols" w:cs="Noto Sans Symbols" w:eastAsia="Noto Sans Symbols" w:hAnsi="Noto Sans Symbols"/>
        <w:vertAlign w:val="baseline"/>
      </w:rPr>
    </w:lvl>
    <w:lvl w:ilvl="3">
      <w:start w:val="1"/>
      <w:numFmt w:val="bullet"/>
      <w:lvlText w:val="●"/>
      <w:lvlJc w:val="left"/>
      <w:pPr>
        <w:ind w:left="2520" w:hanging="360"/>
      </w:pPr>
      <w:rPr>
        <w:rFonts w:ascii="Noto Sans Symbols" w:cs="Noto Sans Symbols" w:eastAsia="Noto Sans Symbols" w:hAnsi="Noto Sans Symbols"/>
        <w:vertAlign w:val="baseline"/>
      </w:rPr>
    </w:lvl>
    <w:lvl w:ilvl="4">
      <w:start w:val="1"/>
      <w:numFmt w:val="bullet"/>
      <w:lvlText w:val="o"/>
      <w:lvlJc w:val="left"/>
      <w:pPr>
        <w:ind w:left="3240" w:hanging="360"/>
      </w:pPr>
      <w:rPr>
        <w:rFonts w:ascii="Courier New" w:cs="Courier New" w:eastAsia="Courier New" w:hAnsi="Courier New"/>
        <w:vertAlign w:val="baseline"/>
      </w:rPr>
    </w:lvl>
    <w:lvl w:ilvl="5">
      <w:start w:val="1"/>
      <w:numFmt w:val="bullet"/>
      <w:lvlText w:val="▪"/>
      <w:lvlJc w:val="left"/>
      <w:pPr>
        <w:ind w:left="3960" w:hanging="360"/>
      </w:pPr>
      <w:rPr>
        <w:rFonts w:ascii="Noto Sans Symbols" w:cs="Noto Sans Symbols" w:eastAsia="Noto Sans Symbols" w:hAnsi="Noto Sans Symbols"/>
        <w:vertAlign w:val="baseline"/>
      </w:rPr>
    </w:lvl>
    <w:lvl w:ilvl="6">
      <w:start w:val="1"/>
      <w:numFmt w:val="bullet"/>
      <w:lvlText w:val="●"/>
      <w:lvlJc w:val="left"/>
      <w:pPr>
        <w:ind w:left="4680" w:hanging="360"/>
      </w:pPr>
      <w:rPr>
        <w:rFonts w:ascii="Noto Sans Symbols" w:cs="Noto Sans Symbols" w:eastAsia="Noto Sans Symbols" w:hAnsi="Noto Sans Symbols"/>
        <w:vertAlign w:val="baseline"/>
      </w:rPr>
    </w:lvl>
    <w:lvl w:ilvl="7">
      <w:start w:val="1"/>
      <w:numFmt w:val="bullet"/>
      <w:lvlText w:val="o"/>
      <w:lvlJc w:val="left"/>
      <w:pPr>
        <w:ind w:left="5400" w:hanging="360"/>
      </w:pPr>
      <w:rPr>
        <w:rFonts w:ascii="Courier New" w:cs="Courier New" w:eastAsia="Courier New" w:hAnsi="Courier New"/>
        <w:vertAlign w:val="baseline"/>
      </w:rPr>
    </w:lvl>
    <w:lvl w:ilvl="8">
      <w:start w:val="1"/>
      <w:numFmt w:val="bullet"/>
      <w:lvlText w:val="▪"/>
      <w:lvlJc w:val="left"/>
      <w:pPr>
        <w:ind w:left="6120" w:hanging="360"/>
      </w:pPr>
      <w:rPr>
        <w:rFonts w:ascii="Noto Sans Symbols" w:cs="Noto Sans Symbols" w:eastAsia="Noto Sans Symbols" w:hAnsi="Noto Sans Symbols"/>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pPr>
    <w:rPr>
      <w:rFonts w:ascii="Arial" w:cs="Arial" w:eastAsia="Arial" w:hAnsi="Arial"/>
      <w:b w:val="1"/>
      <w:bCs w:val="1"/>
      <w:color w:val="000000"/>
      <w:sz w:val="20"/>
      <w:szCs w:val="20"/>
      <w:vertAlign w:val="baseline"/>
    </w:rPr>
  </w:style>
  <w:style w:type="paragraph" w:styleId="Heading2">
    <w:name w:val="heading 2"/>
    <w:basedOn w:val="Normal"/>
    <w:next w:val="Normal"/>
    <w:pPr>
      <w:keepNext w:val="1"/>
    </w:pPr>
    <w:rPr>
      <w:rFonts w:ascii="Arial" w:cs="Arial" w:eastAsia="Arial" w:hAnsi="Arial"/>
      <w:color w:val="000000"/>
      <w:sz w:val="20"/>
      <w:szCs w:val="20"/>
      <w:u w:val="single"/>
      <w:vertAlign w:val="baseline"/>
    </w:rPr>
  </w:style>
  <w:style w:type="paragraph" w:styleId="Heading3">
    <w:name w:val="heading 3"/>
    <w:basedOn w:val="Normal"/>
    <w:next w:val="Normal"/>
    <w:pPr>
      <w:keepNext w:val="1"/>
      <w:ind w:right="329"/>
      <w:jc w:val="center"/>
    </w:pPr>
    <w:rPr>
      <w:rFonts w:ascii="Arial" w:cs="Arial" w:eastAsia="Arial" w:hAnsi="Arial"/>
      <w:b w:val="1"/>
      <w:bCs w:val="1"/>
      <w:color w:val="000000"/>
      <w:sz w:val="24"/>
      <w:szCs w:val="24"/>
      <w:vertAlign w:val="baseline"/>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table" w:styleId="TableNormal">
    <w:name w:val="Table Normal"/>
    <w:next w:val="TableNormal"/>
    <w:autoRedefine w:val="0"/>
    <w:hidden w:val="0"/>
    <w:qFormat w:val="1"/>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tblStyle w:val="TableNormal"/>
      <w:jc w:val="left"/>
      <w:tblInd w:w="0.0" w:type="dxa"/>
      <w:tblCellMar>
        <w:top w:w="0.0" w:type="dxa"/>
        <w:left w:w="108.0" w:type="dxa"/>
        <w:bottom w:w="0.0" w:type="dxa"/>
        <w:right w:w="108.0" w:type="dxa"/>
      </w:tblCellMar>
    </w:tblPr>
  </w:style>
  <w:style w:type="numbering" w:styleId="NoList">
    <w:name w:val="No List"/>
    <w:next w:val="NoList"/>
    <w:autoRedefine w:val="0"/>
    <w:hidden w:val="0"/>
    <w:qFormat w:val="1"/>
    <w:pPr>
      <w:suppressAutoHyphens w:val="1"/>
      <w:spacing w:line="1" w:lineRule="atLeast"/>
      <w:ind w:leftChars="-1" w:rightChars="0" w:firstLineChars="-1"/>
      <w:textDirection w:val="btLr"/>
      <w:textAlignment w:val="top"/>
      <w:outlineLvl w:val="0"/>
    </w:pPr>
  </w:style>
  <w:style w:type="paragraph" w:styleId="Normal(Web)">
    <w:name w:val="Normal (Web)"/>
    <w:basedOn w:val="Normal"/>
    <w:next w:val="Normal(Web)"/>
    <w:autoRedefine w:val="0"/>
    <w:hidden w:val="0"/>
    <w:qFormat w:val="0"/>
    <w:pPr>
      <w:suppressAutoHyphens w:val="1"/>
      <w:spacing w:after="100" w:afterAutospacing="1" w:before="100" w:beforeAutospacing="1" w:line="1" w:lineRule="atLeast"/>
      <w:ind w:leftChars="-1" w:rightChars="0" w:firstLineChars="-1"/>
      <w:textDirection w:val="btLr"/>
      <w:textAlignment w:val="top"/>
      <w:outlineLvl w:val="0"/>
    </w:pPr>
    <w:rPr>
      <w:rFonts w:ascii="Times New Roman" w:hAnsi="Times New Roman"/>
      <w:color w:val="auto"/>
      <w:w w:val="100"/>
      <w:position w:val="-1"/>
      <w:sz w:val="24"/>
      <w:szCs w:val="24"/>
      <w:effect w:val="none"/>
      <w:vertAlign w:val="baseline"/>
      <w:cs w:val="0"/>
      <w:em w:val="none"/>
      <w:lang w:bidi="ar-SA" w:eastAsia="en-US" w:val="en-US"/>
    </w:rPr>
  </w:style>
  <w:style w:type="paragraph" w:styleId="BodyText">
    <w:name w:val="Body Text"/>
    <w:basedOn w:val="Normal"/>
    <w:next w:val="BodyText"/>
    <w:autoRedefine w:val="0"/>
    <w:hidden w:val="0"/>
    <w:qFormat w:val="0"/>
    <w:pPr>
      <w:suppressAutoHyphens w:val="1"/>
      <w:spacing w:line="1" w:lineRule="atLeast"/>
      <w:ind w:leftChars="-1" w:rightChars="0" w:firstLineChars="-1"/>
      <w:textDirection w:val="btLr"/>
      <w:textAlignment w:val="top"/>
      <w:outlineLvl w:val="0"/>
    </w:pPr>
    <w:rPr>
      <w:rFonts w:ascii="Arial" w:cs="Arial" w:hAnsi="Arial"/>
      <w:b w:val="1"/>
      <w:color w:val="000000"/>
      <w:w w:val="100"/>
      <w:position w:val="-1"/>
      <w:sz w:val="20"/>
      <w:effect w:val="none"/>
      <w:vertAlign w:val="baseline"/>
      <w:cs w:val="0"/>
      <w:em w:val="none"/>
      <w:lang w:bidi="ar-SA" w:eastAsia="en-US" w:val="en-US"/>
    </w:rPr>
  </w:style>
  <w:style w:type="paragraph" w:styleId="BodyText2">
    <w:name w:val="Body Text 2"/>
    <w:basedOn w:val="Normal"/>
    <w:next w:val="BodyText2"/>
    <w:autoRedefine w:val="0"/>
    <w:hidden w:val="0"/>
    <w:qFormat w:val="0"/>
    <w:pPr>
      <w:suppressAutoHyphens w:val="1"/>
      <w:spacing w:line="1" w:lineRule="atLeast"/>
      <w:ind w:leftChars="-1" w:rightChars="0" w:firstLineChars="-1"/>
      <w:jc w:val="both"/>
      <w:textDirection w:val="btLr"/>
      <w:textAlignment w:val="top"/>
      <w:outlineLvl w:val="0"/>
    </w:pPr>
    <w:rPr>
      <w:rFonts w:ascii="Arial" w:cs="Arial" w:hAnsi="Arial"/>
      <w:bCs w:val="1"/>
      <w:color w:val="000000"/>
      <w:w w:val="100"/>
      <w:position w:val="-1"/>
      <w:sz w:val="20"/>
      <w:effect w:val="none"/>
      <w:vertAlign w:val="baseline"/>
      <w:cs w:val="0"/>
      <w:em w:val="none"/>
      <w:lang w:bidi="ar-SA" w:eastAsia="en-US" w:val="en-US"/>
    </w:rPr>
  </w:style>
  <w:style w:type="paragraph" w:styleId="BodyText3">
    <w:name w:val="Body Text 3"/>
    <w:basedOn w:val="Normal"/>
    <w:next w:val="BodyText3"/>
    <w:autoRedefine w:val="0"/>
    <w:hidden w:val="0"/>
    <w:qFormat w:val="0"/>
    <w:pPr>
      <w:suppressAutoHyphens w:val="1"/>
      <w:spacing w:after="100" w:afterAutospacing="1" w:before="100" w:beforeAutospacing="1" w:line="1" w:lineRule="atLeast"/>
      <w:ind w:leftChars="-1" w:rightChars="0" w:firstLineChars="-1"/>
      <w:textDirection w:val="btLr"/>
      <w:textAlignment w:val="top"/>
      <w:outlineLvl w:val="0"/>
    </w:pPr>
    <w:rPr>
      <w:rFonts w:ascii="Arial" w:hAnsi="Arial"/>
      <w:b w:val="1"/>
      <w:bCs w:val="1"/>
      <w:color w:val="000000"/>
      <w:w w:val="100"/>
      <w:position w:val="-1"/>
      <w:sz w:val="24"/>
      <w:effect w:val="none"/>
      <w:vertAlign w:val="baseline"/>
      <w:cs w:val="0"/>
      <w:em w:val="none"/>
      <w:lang w:bidi="ar-SA" w:eastAsia="en-US" w:val="en-US"/>
    </w:rPr>
  </w:style>
  <w:style w:type="character" w:styleId="Hyperlink">
    <w:name w:val="Hyperlink"/>
    <w:next w:val="Hyperlink"/>
    <w:autoRedefine w:val="0"/>
    <w:hidden w:val="0"/>
    <w:qFormat w:val="0"/>
    <w:rPr>
      <w:color w:val="0000ff"/>
      <w:w w:val="100"/>
      <w:position w:val="-1"/>
      <w:u w:val="none"/>
      <w:effect w:val="none"/>
      <w:vertAlign w:val="baseline"/>
      <w:cs w:val="0"/>
      <w:em w:val="none"/>
      <w:lang/>
    </w:rPr>
  </w:style>
  <w:style w:type="paragraph" w:styleId="BalloonText">
    <w:name w:val="Balloon Text"/>
    <w:basedOn w:val="Normal"/>
    <w:next w:val="BalloonText"/>
    <w:autoRedefine w:val="0"/>
    <w:hidden w:val="0"/>
    <w:qFormat w:val="1"/>
    <w:pPr>
      <w:suppressAutoHyphens w:val="1"/>
      <w:spacing w:line="1" w:lineRule="atLeast"/>
      <w:ind w:leftChars="-1" w:rightChars="0" w:firstLineChars="-1"/>
      <w:textDirection w:val="btLr"/>
      <w:textAlignment w:val="top"/>
      <w:outlineLvl w:val="0"/>
    </w:pPr>
    <w:rPr>
      <w:rFonts w:ascii="Tahoma" w:cs="Tahoma" w:hAnsi="Tahoma"/>
      <w:color w:val="000000"/>
      <w:w w:val="100"/>
      <w:position w:val="-1"/>
      <w:sz w:val="16"/>
      <w:szCs w:val="16"/>
      <w:effect w:val="none"/>
      <w:vertAlign w:val="baseline"/>
      <w:cs w:val="0"/>
      <w:em w:val="none"/>
      <w:lang w:bidi="ar-SA" w:eastAsia="en-US" w:val="en-US"/>
    </w:rPr>
  </w:style>
  <w:style w:type="character" w:styleId="BalloonTextChar">
    <w:name w:val="Balloon Text Char"/>
    <w:next w:val="BalloonTextChar"/>
    <w:autoRedefine w:val="0"/>
    <w:hidden w:val="0"/>
    <w:qFormat w:val="0"/>
    <w:rPr>
      <w:rFonts w:ascii="Tahoma" w:cs="Tahoma" w:hAnsi="Tahoma"/>
      <w:color w:val="000000"/>
      <w:w w:val="100"/>
      <w:position w:val="-1"/>
      <w:sz w:val="16"/>
      <w:szCs w:val="16"/>
      <w:effect w:val="none"/>
      <w:vertAlign w:val="baseline"/>
      <w:cs w:val="0"/>
      <w:em w:val="none"/>
      <w:lang w:eastAsia="en-US"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p/OKXce103jXSqiCAesfnt7N8A==">CgMxLjA4AHIhMTN4cExRdTZyVFlEbHRkNmFmd3VxdDJ2akNkOUtRU2Fq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2023-01-30T10:30:00Z</dcterms:created>
  <dc:creator>Peggy Leong</dc:creator>
</cp:coreProperties>
</file>