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078E63" w14:textId="75F8BB72" w:rsidR="00CC607C" w:rsidRDefault="23F8BF8F" w:rsidP="56F2D94C">
      <w:pPr>
        <w:jc w:val="center"/>
        <w:rPr>
          <w:b/>
          <w:bCs/>
          <w:u w:val="single"/>
        </w:rPr>
      </w:pPr>
      <w:r w:rsidRPr="56F2D94C">
        <w:rPr>
          <w:b/>
          <w:bCs/>
          <w:u w:val="single"/>
        </w:rPr>
        <w:t>ECAD 6017 – Researching the Learning.</w:t>
      </w:r>
    </w:p>
    <w:p w14:paraId="5E31098A" w14:textId="72DD8F8B" w:rsidR="23F8BF8F" w:rsidRDefault="23F8BF8F" w:rsidP="56F2D94C">
      <w:pPr>
        <w:jc w:val="center"/>
        <w:rPr>
          <w:b/>
          <w:bCs/>
          <w:u w:val="single"/>
        </w:rPr>
      </w:pPr>
      <w:r w:rsidRPr="56F2D94C">
        <w:rPr>
          <w:b/>
          <w:bCs/>
          <w:u w:val="single"/>
        </w:rPr>
        <w:t>What, how, and why am I teaching?</w:t>
      </w:r>
    </w:p>
    <w:p w14:paraId="1D3AED18" w14:textId="5E41B8B8" w:rsidR="23F8BF8F" w:rsidRDefault="23F8BF8F" w:rsidP="56F2D94C">
      <w:pPr>
        <w:jc w:val="center"/>
        <w:rPr>
          <w:b/>
          <w:bCs/>
          <w:i/>
          <w:iCs/>
        </w:rPr>
      </w:pPr>
      <w:r w:rsidRPr="56F2D94C">
        <w:rPr>
          <w:b/>
          <w:bCs/>
          <w:i/>
          <w:iCs/>
        </w:rPr>
        <w:t>An exploratory case study arising from practice (noticing) and investigated further through identified research tools. The assignment concludes with the identification of</w:t>
      </w:r>
      <w:r w:rsidR="3606B181" w:rsidRPr="56F2D94C">
        <w:rPr>
          <w:b/>
          <w:bCs/>
          <w:i/>
          <w:iCs/>
        </w:rPr>
        <w:t xml:space="preserve"> an intervention which can be piloted throughout Professional Teaching Experience and evidenced through reflection in the Professional Learning Standards. </w:t>
      </w:r>
    </w:p>
    <w:p w14:paraId="74A3DBDA" w14:textId="1BA53CA0" w:rsidR="56F2D94C" w:rsidRDefault="56F2D94C" w:rsidP="23B7C9FA"/>
    <w:p w14:paraId="56C4EB1C" w14:textId="126C732F" w:rsidR="07FDE0EB" w:rsidRDefault="07FDE0EB" w:rsidP="23B7C9FA">
      <w:pPr>
        <w:rPr>
          <w:b/>
          <w:bCs/>
          <w:u w:val="single"/>
        </w:rPr>
      </w:pPr>
      <w:r w:rsidRPr="23B7C9FA">
        <w:rPr>
          <w:b/>
          <w:bCs/>
          <w:u w:val="single"/>
        </w:rPr>
        <w:t>Research Context</w:t>
      </w:r>
      <w:r w:rsidR="5296A852" w:rsidRPr="23B7C9FA">
        <w:rPr>
          <w:b/>
          <w:bCs/>
          <w:u w:val="single"/>
        </w:rPr>
        <w:t>.</w:t>
      </w:r>
    </w:p>
    <w:p w14:paraId="0365EAEC" w14:textId="2DD00A89" w:rsidR="6AC4780C" w:rsidRDefault="6AC4780C" w:rsidP="23B7C9FA">
      <w:r w:rsidRPr="23B7C9FA">
        <w:t xml:space="preserve">The </w:t>
      </w:r>
      <w:r w:rsidR="72F98647" w:rsidRPr="23B7C9FA">
        <w:t xml:space="preserve">aim of this research was to explore how Individual Development Plans (IDPs) support the social inclusion of Foundation Phase learners in mainstream primary </w:t>
      </w:r>
      <w:r w:rsidR="7355F785" w:rsidRPr="23B7C9FA">
        <w:t>schools</w:t>
      </w:r>
      <w:r w:rsidR="72F98647" w:rsidRPr="23B7C9FA">
        <w:t xml:space="preserve">. </w:t>
      </w:r>
      <w:r w:rsidR="73EFD82A" w:rsidRPr="23B7C9FA">
        <w:t xml:space="preserve">The study </w:t>
      </w:r>
      <w:r w:rsidR="00254689">
        <w:t>came</w:t>
      </w:r>
      <w:r w:rsidR="73EFD82A" w:rsidRPr="23B7C9FA">
        <w:t xml:space="preserve"> from a need to address challenges in fostering inclusive </w:t>
      </w:r>
      <w:r w:rsidR="74FDD8EA" w:rsidRPr="23B7C9FA">
        <w:t xml:space="preserve">school </w:t>
      </w:r>
      <w:r w:rsidR="73EFD82A" w:rsidRPr="23B7C9FA">
        <w:t xml:space="preserve">environments where all learners, including those with Additional Learning Needs (ALN), feel a sense of belonging and develop positive peer relationships. </w:t>
      </w:r>
      <w:r w:rsidR="4020992E" w:rsidRPr="23B7C9FA">
        <w:t>Social inclusion is a fundamental aspect of effective educational practice. Therefore, exploring the impact of IDPs</w:t>
      </w:r>
      <w:r w:rsidR="2A5A41F6" w:rsidRPr="23B7C9FA">
        <w:t xml:space="preserve"> aligns with my PLP, which </w:t>
      </w:r>
      <w:proofErr w:type="spellStart"/>
      <w:r w:rsidR="2A5A41F6" w:rsidRPr="23B7C9FA">
        <w:t>emphasises</w:t>
      </w:r>
      <w:proofErr w:type="spellEnd"/>
      <w:r w:rsidR="2A5A41F6" w:rsidRPr="23B7C9FA">
        <w:t xml:space="preserve"> enhancing assessment approaches and ALN-focused teaching </w:t>
      </w:r>
      <w:r w:rsidR="17055A8C" w:rsidRPr="23B7C9FA">
        <w:t>strategies in accordance with the Qualified Teacher Status (QTS) standards.</w:t>
      </w:r>
    </w:p>
    <w:p w14:paraId="4FD2D7F7" w14:textId="202F4059" w:rsidR="6E6B609D" w:rsidRDefault="6E6B609D" w:rsidP="23B7C9FA">
      <w:r w:rsidRPr="23B7C9FA">
        <w:t>The research was conducted at School X, an English-medium primary school, with an enrollment of 411 pupils as of 2024</w:t>
      </w:r>
      <w:r w:rsidR="02803688" w:rsidRPr="23B7C9FA">
        <w:rPr>
          <w:rFonts w:ascii="Times New Roman" w:eastAsia="Times New Roman" w:hAnsi="Times New Roman" w:cs="Times New Roman"/>
          <w:color w:val="000000" w:themeColor="text1"/>
        </w:rPr>
        <w:t xml:space="preserve"> (Swansea Council, 2024). </w:t>
      </w:r>
      <w:r w:rsidRPr="23B7C9FA">
        <w:t>A</w:t>
      </w:r>
      <w:r w:rsidR="11E16724" w:rsidRPr="23B7C9FA">
        <w:t xml:space="preserve">ccording to </w:t>
      </w:r>
      <w:proofErr w:type="spellStart"/>
      <w:r w:rsidR="11E16724" w:rsidRPr="23B7C9FA">
        <w:t>Estyn</w:t>
      </w:r>
      <w:proofErr w:type="spellEnd"/>
      <w:r w:rsidR="11E16724" w:rsidRPr="23B7C9FA">
        <w:t xml:space="preserve"> (2023), 12.4</w:t>
      </w:r>
      <w:r w:rsidR="66321BFE" w:rsidRPr="23B7C9FA">
        <w:t>% of</w:t>
      </w:r>
      <w:r w:rsidRPr="23B7C9FA">
        <w:t xml:space="preserve"> learners within the school are ident</w:t>
      </w:r>
      <w:r w:rsidR="44A4A1B0" w:rsidRPr="23B7C9FA">
        <w:t>ified as having ALN, highlight</w:t>
      </w:r>
      <w:r w:rsidR="48D47905" w:rsidRPr="23B7C9FA">
        <w:t>ing</w:t>
      </w:r>
      <w:r w:rsidR="44A4A1B0" w:rsidRPr="23B7C9FA">
        <w:t xml:space="preserve"> the importance of</w:t>
      </w:r>
      <w:r w:rsidR="5B65E93C" w:rsidRPr="23B7C9FA">
        <w:t xml:space="preserve"> inclusive education </w:t>
      </w:r>
      <w:r w:rsidR="2472D52D" w:rsidRPr="23B7C9FA">
        <w:t>using</w:t>
      </w:r>
      <w:r w:rsidR="44A4A1B0" w:rsidRPr="23B7C9FA">
        <w:t xml:space="preserve"> effective strategies such as IDP’s to support </w:t>
      </w:r>
      <w:r w:rsidR="214D0EAB" w:rsidRPr="23B7C9FA">
        <w:t>students'</w:t>
      </w:r>
      <w:r w:rsidR="6E2041BE" w:rsidRPr="23B7C9FA">
        <w:t xml:space="preserve"> integration</w:t>
      </w:r>
      <w:r w:rsidR="299B309A" w:rsidRPr="23B7C9FA">
        <w:t>.</w:t>
      </w:r>
    </w:p>
    <w:p w14:paraId="4C571566" w14:textId="26ED5C28" w:rsidR="001C1559" w:rsidRDefault="001C1559" w:rsidP="23B7C9FA">
      <w:pPr>
        <w:rPr>
          <w:b/>
          <w:bCs/>
          <w:i/>
          <w:iCs/>
        </w:rPr>
      </w:pPr>
      <w:r w:rsidRPr="23B7C9FA">
        <w:t>The study explores perspectives from educators and learners, aiming to provide actionable insights into the practical use of IDPs in facilitating social inclusion. This ali</w:t>
      </w:r>
      <w:r w:rsidR="1386412F" w:rsidRPr="23B7C9FA">
        <w:t>gns with the Welsh Government’s commitment to inclusive education under the ALN Act (2018). The research question guiding this investigation was:</w:t>
      </w:r>
      <w:r w:rsidR="1386412F" w:rsidRPr="23B7C9FA">
        <w:rPr>
          <w:b/>
          <w:bCs/>
          <w:i/>
          <w:iCs/>
        </w:rPr>
        <w:t xml:space="preserve"> How do IDPs support the social integration of Foundation Phase Learners in mai</w:t>
      </w:r>
      <w:r w:rsidR="43F50BD9" w:rsidRPr="23B7C9FA">
        <w:rPr>
          <w:b/>
          <w:bCs/>
          <w:i/>
          <w:iCs/>
        </w:rPr>
        <w:t xml:space="preserve">nstream primary </w:t>
      </w:r>
      <w:r w:rsidR="548C5EA5" w:rsidRPr="23B7C9FA">
        <w:rPr>
          <w:b/>
          <w:bCs/>
          <w:i/>
          <w:iCs/>
        </w:rPr>
        <w:t>schools</w:t>
      </w:r>
      <w:r w:rsidR="43F50BD9" w:rsidRPr="23B7C9FA">
        <w:rPr>
          <w:b/>
          <w:bCs/>
          <w:i/>
          <w:iCs/>
        </w:rPr>
        <w:t xml:space="preserve">? </w:t>
      </w:r>
    </w:p>
    <w:p w14:paraId="383B8B1D" w14:textId="41B80E11" w:rsidR="23B7C9FA" w:rsidRDefault="23B7C9FA" w:rsidP="23B7C9FA"/>
    <w:p w14:paraId="7E922578" w14:textId="0970B45C" w:rsidR="5FA9B4AE" w:rsidRDefault="5FA9B4AE" w:rsidP="23B7C9FA">
      <w:pPr>
        <w:rPr>
          <w:b/>
          <w:bCs/>
          <w:u w:val="single"/>
        </w:rPr>
      </w:pPr>
      <w:r w:rsidRPr="23B7C9FA">
        <w:rPr>
          <w:b/>
          <w:bCs/>
          <w:u w:val="single"/>
        </w:rPr>
        <w:t xml:space="preserve">Literature </w:t>
      </w:r>
      <w:r w:rsidR="61DA779C" w:rsidRPr="23B7C9FA">
        <w:rPr>
          <w:b/>
          <w:bCs/>
          <w:u w:val="single"/>
        </w:rPr>
        <w:t>R</w:t>
      </w:r>
      <w:r w:rsidRPr="23B7C9FA">
        <w:rPr>
          <w:b/>
          <w:bCs/>
          <w:u w:val="single"/>
        </w:rPr>
        <w:t xml:space="preserve">eview. </w:t>
      </w:r>
    </w:p>
    <w:p w14:paraId="292C1BD4" w14:textId="5C59F2E9" w:rsidR="56F2D94C" w:rsidRDefault="0CE67BC0" w:rsidP="23B7C9FA">
      <w:r w:rsidRPr="23B7C9FA">
        <w:t xml:space="preserve">Literature on the potential role of IDPs in supporting social integration highlights key themes, gaps and their relevance to </w:t>
      </w:r>
      <w:r w:rsidR="3B2272AB" w:rsidRPr="23B7C9FA">
        <w:t>inclusive</w:t>
      </w:r>
      <w:r w:rsidRPr="23B7C9FA">
        <w:t xml:space="preserve"> education. IDPs are </w:t>
      </w:r>
      <w:proofErr w:type="spellStart"/>
      <w:r w:rsidRPr="23B7C9FA">
        <w:t>personalised</w:t>
      </w:r>
      <w:proofErr w:type="spellEnd"/>
      <w:r w:rsidRPr="23B7C9FA">
        <w:t xml:space="preserve"> tools designed to address the specific needs of learn</w:t>
      </w:r>
      <w:r w:rsidR="22BA0FDF" w:rsidRPr="23B7C9FA">
        <w:t>ers, often focusing on academic, social and emotional goals</w:t>
      </w:r>
      <w:r w:rsidR="36D1FE99" w:rsidRPr="23B7C9FA">
        <w:t xml:space="preserve"> </w:t>
      </w:r>
      <w:r w:rsidR="36D1FE99" w:rsidRPr="23B7C9FA">
        <w:rPr>
          <w:rFonts w:ascii="Times New Roman" w:eastAsia="Times New Roman" w:hAnsi="Times New Roman" w:cs="Times New Roman"/>
          <w:color w:val="000000" w:themeColor="text1"/>
        </w:rPr>
        <w:t>(Welsh Government, 2021).</w:t>
      </w:r>
      <w:r w:rsidR="0068945C" w:rsidRPr="23B7C9FA">
        <w:t xml:space="preserve"> Their application had been explored in different contexts, </w:t>
      </w:r>
      <w:r w:rsidR="6A89A0E8" w:rsidRPr="23B7C9FA">
        <w:t>but</w:t>
      </w:r>
      <w:r w:rsidR="0068945C" w:rsidRPr="23B7C9FA">
        <w:t xml:space="preserve"> particularly in promoting inclusion for learners with A</w:t>
      </w:r>
      <w:r w:rsidR="002C3C29">
        <w:t>LN</w:t>
      </w:r>
      <w:r w:rsidR="0848EF39" w:rsidRPr="23B7C9FA">
        <w:t xml:space="preserve">. </w:t>
      </w:r>
      <w:r w:rsidR="3DB3253B" w:rsidRPr="23B7C9FA">
        <w:t xml:space="preserve">This review </w:t>
      </w:r>
      <w:r w:rsidR="3DB3253B" w:rsidRPr="23B7C9FA">
        <w:lastRenderedPageBreak/>
        <w:t xml:space="preserve">evaluates existing research to understand </w:t>
      </w:r>
      <w:r w:rsidR="69C60E0E" w:rsidRPr="23B7C9FA">
        <w:t>whether</w:t>
      </w:r>
      <w:r w:rsidR="3DB3253B" w:rsidRPr="23B7C9FA">
        <w:t xml:space="preserve"> IDPs effectively facilitate social integration, </w:t>
      </w:r>
      <w:r w:rsidR="5C8A0202" w:rsidRPr="23B7C9FA">
        <w:t>particularly</w:t>
      </w:r>
      <w:r w:rsidR="3DB3253B" w:rsidRPr="23B7C9FA">
        <w:t xml:space="preserve"> for Foundation Phase learners, and i</w:t>
      </w:r>
      <w:r w:rsidR="350EEA9F" w:rsidRPr="23B7C9FA">
        <w:t xml:space="preserve">dentifies areas requiring further investigation. </w:t>
      </w:r>
    </w:p>
    <w:p w14:paraId="575D1935" w14:textId="51E4BE6D" w:rsidR="56F2D94C" w:rsidRDefault="3238DF13" w:rsidP="23B7C9FA">
      <w:r w:rsidRPr="23B7C9FA">
        <w:t xml:space="preserve">Mitchell (2014) </w:t>
      </w:r>
      <w:r w:rsidR="304524DF" w:rsidRPr="23B7C9FA">
        <w:t xml:space="preserve">highlights that IDPs can be used to </w:t>
      </w:r>
      <w:proofErr w:type="spellStart"/>
      <w:r w:rsidR="304524DF" w:rsidRPr="23B7C9FA">
        <w:t>personalise</w:t>
      </w:r>
      <w:proofErr w:type="spellEnd"/>
      <w:r w:rsidR="304524DF" w:rsidRPr="23B7C9FA">
        <w:t xml:space="preserve"> education for learners with ALN by </w:t>
      </w:r>
      <w:r w:rsidR="1C999519" w:rsidRPr="23B7C9FA">
        <w:t>outlining</w:t>
      </w:r>
      <w:r w:rsidR="304524DF" w:rsidRPr="23B7C9FA">
        <w:t xml:space="preserve"> strategies tailored to their unique needs</w:t>
      </w:r>
      <w:r w:rsidR="4ACC3E89" w:rsidRPr="23B7C9FA">
        <w:t xml:space="preserve">. IDPs have the potential to address barriers to participation and enable learners to build positive relationships within the classroom. </w:t>
      </w:r>
      <w:r w:rsidR="5E2C91AE" w:rsidRPr="23B7C9FA">
        <w:t>For</w:t>
      </w:r>
      <w:r w:rsidR="4ACC3E89" w:rsidRPr="23B7C9FA">
        <w:t xml:space="preserve"> example, Mitchell (2014) suggests tha</w:t>
      </w:r>
      <w:r w:rsidR="4AEB361D" w:rsidRPr="23B7C9FA">
        <w:t>t</w:t>
      </w:r>
      <w:r w:rsidR="4ACC3E89" w:rsidRPr="23B7C9FA">
        <w:t xml:space="preserve"> IDPs with clear social objectives can help reduc</w:t>
      </w:r>
      <w:r w:rsidR="1659004A" w:rsidRPr="23B7C9FA">
        <w:t>e feelings of isolation by encouraging peer interactions and collaboration</w:t>
      </w:r>
      <w:r w:rsidR="58808B16" w:rsidRPr="23B7C9FA">
        <w:t xml:space="preserve">. This aligns with the broader goals of inclusive education, which aim to provide equitable opportunities for all learners, regardless of ability. </w:t>
      </w:r>
      <w:r w:rsidR="21C2F7CE" w:rsidRPr="23B7C9FA">
        <w:t xml:space="preserve">However, the extent to which IDPs specifically contribute to social integration remains an area for exploration, particularly in early education settings. </w:t>
      </w:r>
    </w:p>
    <w:p w14:paraId="0CF0793F" w14:textId="5591FA40" w:rsidR="56F2D94C" w:rsidRDefault="21C2F7CE" w:rsidP="23B7C9FA">
      <w:r w:rsidRPr="23B7C9FA">
        <w:t>In addition, Booth and Ainscow (2011) discuss the importance of fostering inclusive environments where all learners feel valued. They argue t</w:t>
      </w:r>
      <w:r w:rsidR="671AAB3B" w:rsidRPr="23B7C9FA">
        <w:t>hat inclusion is not only about physical presence in the classroom but also about meaningful participation and engagement. While tools like IDPs may support this proc</w:t>
      </w:r>
      <w:r w:rsidR="05528420" w:rsidRPr="23B7C9FA">
        <w:t>ess, Booth and Ainscow highlight the need for a systemic approach that addresses cultural</w:t>
      </w:r>
      <w:r w:rsidR="5B0A546E" w:rsidRPr="23B7C9FA">
        <w:t>, structural, and practice</w:t>
      </w:r>
      <w:r w:rsidR="08BB2512" w:rsidRPr="23B7C9FA">
        <w:t>-based barriers. This perspective suggest</w:t>
      </w:r>
      <w:r w:rsidR="27979185" w:rsidRPr="23B7C9FA">
        <w:t xml:space="preserve">s that while IDPs may play a role in promoting inclusion, their effectiveness depends on how well they are implemented within the wider school context. </w:t>
      </w:r>
    </w:p>
    <w:p w14:paraId="79B79E7A" w14:textId="1012175A" w:rsidR="56F2D94C" w:rsidRDefault="27979185" w:rsidP="23B7C9FA">
      <w:r w:rsidRPr="23B7C9FA">
        <w:t>However, despite their potential, IDPs do have their own challenges. Florian and Black-Hawkins (2011) point to inconsistencies in the development and use of IDPs across</w:t>
      </w:r>
      <w:r w:rsidR="72D4DD6D" w:rsidRPr="23B7C9FA">
        <w:t xml:space="preserve"> schools, often due to </w:t>
      </w:r>
      <w:r w:rsidR="65FF8469" w:rsidRPr="23B7C9FA">
        <w:t xml:space="preserve">variations in teacher training and resource availability. They highlight that some educators focus heavily on academic targets within IDPs, </w:t>
      </w:r>
      <w:r w:rsidR="22092604" w:rsidRPr="23B7C9FA">
        <w:t xml:space="preserve">in return neglecting the social and emotional goals that are equally important for fostering inclusion. </w:t>
      </w:r>
      <w:r w:rsidR="078DA46B" w:rsidRPr="23B7C9FA">
        <w:t xml:space="preserve">This creates a gap between the intended purpose of IDPs and their practical application, raising questions about whether they are being </w:t>
      </w:r>
      <w:proofErr w:type="spellStart"/>
      <w:r w:rsidR="078DA46B" w:rsidRPr="23B7C9FA">
        <w:t>utilised</w:t>
      </w:r>
      <w:proofErr w:type="spellEnd"/>
      <w:r w:rsidR="078DA46B" w:rsidRPr="23B7C9FA">
        <w:t xml:space="preserve"> effectively to support social integration. </w:t>
      </w:r>
    </w:p>
    <w:p w14:paraId="5BFC1B7D" w14:textId="5A0B3C5C" w:rsidR="56F2D94C" w:rsidRDefault="55F530CF" w:rsidP="23B7C9FA">
      <w:r w:rsidRPr="23B7C9FA">
        <w:t xml:space="preserve">Humphrey and Symes (2013) explore the role of peer support </w:t>
      </w:r>
      <w:proofErr w:type="spellStart"/>
      <w:r w:rsidRPr="23B7C9FA">
        <w:t>programmes</w:t>
      </w:r>
      <w:proofErr w:type="spellEnd"/>
      <w:r w:rsidRPr="23B7C9FA">
        <w:t xml:space="preserve"> in promoting inclusion, </w:t>
      </w:r>
      <w:r w:rsidR="775AD8B7" w:rsidRPr="23B7C9FA">
        <w:t>stating</w:t>
      </w:r>
      <w:r w:rsidRPr="23B7C9FA">
        <w:t xml:space="preserve"> that such initiatives significantly improve social outcomes for learners with ALN. </w:t>
      </w:r>
      <w:r w:rsidR="3F505738" w:rsidRPr="23B7C9FA">
        <w:t>Their findings suggest that IDPs including peer-based strategies, such as bu</w:t>
      </w:r>
      <w:r w:rsidR="3C99E3CF" w:rsidRPr="23B7C9FA">
        <w:t xml:space="preserve">ddy systems or group work, could enhance their effectiveness in fostering social relationships. However, the study also identifies inconsistencies in how these strategies are </w:t>
      </w:r>
      <w:r w:rsidR="01B0816B" w:rsidRPr="23B7C9FA">
        <w:t xml:space="preserve">embedded into IDPs, with many plans failing to </w:t>
      </w:r>
      <w:proofErr w:type="spellStart"/>
      <w:r w:rsidR="01B0816B" w:rsidRPr="23B7C9FA">
        <w:t>prioritise</w:t>
      </w:r>
      <w:proofErr w:type="spellEnd"/>
      <w:r w:rsidR="01B0816B" w:rsidRPr="23B7C9FA">
        <w:t xml:space="preserve"> social goals. These findings highlight</w:t>
      </w:r>
      <w:r w:rsidR="1A1F2C92" w:rsidRPr="23B7C9FA">
        <w:t xml:space="preserve"> </w:t>
      </w:r>
      <w:r w:rsidR="01B0816B" w:rsidRPr="23B7C9FA">
        <w:t xml:space="preserve">the need for further research into how IDPs can </w:t>
      </w:r>
      <w:r w:rsidR="24B1AF83" w:rsidRPr="23B7C9FA">
        <w:t xml:space="preserve">systematically support peer interactions, particularly in the Foundation Phase. </w:t>
      </w:r>
    </w:p>
    <w:p w14:paraId="0F202DC6" w14:textId="7A297D2E" w:rsidR="56F2D94C" w:rsidRDefault="76FD58BC" w:rsidP="23B7C9FA">
      <w:r w:rsidRPr="23B7C9FA">
        <w:lastRenderedPageBreak/>
        <w:t xml:space="preserve">Policy frameworks provide an essential backdrop to understanding the role of IDPs in inclusion. The Welsh Government’s Additional Learning </w:t>
      </w:r>
      <w:r w:rsidR="0A32BA30" w:rsidRPr="23B7C9FA">
        <w:t xml:space="preserve">Needs and Education Tribunal (Wales) Act 2018 requires all schools to implement IDPs for learners </w:t>
      </w:r>
      <w:r w:rsidR="1E13CB14" w:rsidRPr="23B7C9FA">
        <w:t xml:space="preserve">with ALN, with the aim to ensure a </w:t>
      </w:r>
      <w:proofErr w:type="spellStart"/>
      <w:r w:rsidR="1E13CB14" w:rsidRPr="23B7C9FA">
        <w:t>personalised</w:t>
      </w:r>
      <w:proofErr w:type="spellEnd"/>
      <w:r w:rsidR="1E13CB14" w:rsidRPr="23B7C9FA">
        <w:t xml:space="preserve"> approach to education. This aligns with global frameworks such as </w:t>
      </w:r>
      <w:r w:rsidR="026161DA" w:rsidRPr="23B7C9FA">
        <w:t>the United Nations Convention on the Rights of the Child (UNCRC, 1989), which advocates for every child’s right to inclusive education, along with the Salamanca Statement (</w:t>
      </w:r>
      <w:r w:rsidR="52F5B9DB" w:rsidRPr="23B7C9FA">
        <w:t xml:space="preserve">UNESCO, 1994), which </w:t>
      </w:r>
      <w:proofErr w:type="spellStart"/>
      <w:r w:rsidR="52F5B9DB" w:rsidRPr="23B7C9FA">
        <w:t>emphasises</w:t>
      </w:r>
      <w:proofErr w:type="spellEnd"/>
      <w:r w:rsidR="52F5B9DB" w:rsidRPr="23B7C9FA">
        <w:t xml:space="preserve"> the need for education systems to accommodate diverse learners. </w:t>
      </w:r>
    </w:p>
    <w:p w14:paraId="4EFD1022" w14:textId="0231DB80" w:rsidR="56F2D94C" w:rsidRDefault="128BB27F" w:rsidP="23B7C9FA">
      <w:r w:rsidRPr="23B7C9FA">
        <w:t xml:space="preserve">While these policies highlight the importance of </w:t>
      </w:r>
      <w:proofErr w:type="spellStart"/>
      <w:r w:rsidRPr="23B7C9FA">
        <w:t>personalised</w:t>
      </w:r>
      <w:proofErr w:type="spellEnd"/>
      <w:r w:rsidRPr="23B7C9FA">
        <w:t xml:space="preserve"> learning plans, they leave questions about how effectively IDPs address social inclusion. </w:t>
      </w:r>
      <w:proofErr w:type="gramStart"/>
      <w:r w:rsidR="093D5229" w:rsidRPr="23B7C9FA">
        <w:t xml:space="preserve">In </w:t>
      </w:r>
      <w:r w:rsidR="652C292F" w:rsidRPr="23B7C9FA">
        <w:t>particular</w:t>
      </w:r>
      <w:r w:rsidR="093D5229" w:rsidRPr="23B7C9FA">
        <w:t>, there</w:t>
      </w:r>
      <w:proofErr w:type="gramEnd"/>
      <w:r w:rsidR="093D5229" w:rsidRPr="23B7C9FA">
        <w:t xml:space="preserve"> is limited </w:t>
      </w:r>
      <w:r w:rsidR="14D35ACC" w:rsidRPr="23B7C9FA">
        <w:t>guidance</w:t>
      </w:r>
      <w:r w:rsidR="093D5229" w:rsidRPr="23B7C9FA">
        <w:t xml:space="preserve"> on how to </w:t>
      </w:r>
      <w:r w:rsidR="3B1F5163" w:rsidRPr="23B7C9FA">
        <w:t>incorporate</w:t>
      </w:r>
      <w:r w:rsidR="093D5229" w:rsidRPr="23B7C9FA">
        <w:t xml:space="preserve"> social objectives into IDPs or measure their impact on peer relationships and belonging. This gap is particularly relevant to Foundation Phase learners, who are in a </w:t>
      </w:r>
      <w:r w:rsidR="6852D9EB" w:rsidRPr="23B7C9FA">
        <w:t xml:space="preserve">critical stage of developing social and emotional skills. </w:t>
      </w:r>
    </w:p>
    <w:p w14:paraId="5415E1B7" w14:textId="3791FF96" w:rsidR="56F2D94C" w:rsidRDefault="5F2A40E2" w:rsidP="23B7C9FA">
      <w:r w:rsidRPr="23B7C9FA">
        <w:t>Much of the existing literature</w:t>
      </w:r>
      <w:r w:rsidR="622AF19F" w:rsidRPr="23B7C9FA">
        <w:t xml:space="preserve"> focuses on </w:t>
      </w:r>
      <w:r w:rsidR="7C278D2F" w:rsidRPr="23B7C9FA">
        <w:t xml:space="preserve">the academic outcomes of IDPs, leaving their role in promoting social inclusion </w:t>
      </w:r>
      <w:r w:rsidR="4DE09BEE" w:rsidRPr="23B7C9FA">
        <w:t>underrepresented</w:t>
      </w:r>
      <w:r w:rsidR="5B6106DD" w:rsidRPr="23B7C9FA">
        <w:t xml:space="preserve">. For example, despite his </w:t>
      </w:r>
      <w:r w:rsidR="5E56D77C" w:rsidRPr="23B7C9FA">
        <w:t>instrumental</w:t>
      </w:r>
      <w:r w:rsidR="5B6106DD" w:rsidRPr="23B7C9FA">
        <w:t xml:space="preserve"> </w:t>
      </w:r>
      <w:r w:rsidR="3BCB2D50" w:rsidRPr="23B7C9FA">
        <w:t>contributions</w:t>
      </w:r>
      <w:r w:rsidR="33048716" w:rsidRPr="23B7C9FA">
        <w:t xml:space="preserve"> in shaping how educators and school approach inclusion, </w:t>
      </w:r>
      <w:r w:rsidR="00C16AA7">
        <w:t>Mitchell’s (2014)</w:t>
      </w:r>
      <w:r w:rsidR="60024670" w:rsidRPr="23B7C9FA">
        <w:t xml:space="preserve"> </w:t>
      </w:r>
      <w:r w:rsidR="001D37D4" w:rsidRPr="23B7C9FA">
        <w:t>studies</w:t>
      </w:r>
      <w:r w:rsidR="60024670" w:rsidRPr="23B7C9FA">
        <w:t xml:space="preserve"> focus largely on the academic strategies embedded in IDPs. While Florian and Black-Hawkins (2011) discuss broader inclusive practices without delving into the specific mechanisms o</w:t>
      </w:r>
      <w:r w:rsidR="6F8322C4" w:rsidRPr="23B7C9FA">
        <w:t>f IDPs. This lack of focus on social objectives creates a gap in</w:t>
      </w:r>
      <w:r w:rsidR="00750543">
        <w:t xml:space="preserve"> u</w:t>
      </w:r>
      <w:r w:rsidR="6F8322C4" w:rsidRPr="23B7C9FA">
        <w:t>nderstanding ho</w:t>
      </w:r>
      <w:r w:rsidR="75429D25" w:rsidRPr="23B7C9FA">
        <w:t>w</w:t>
      </w:r>
      <w:r w:rsidR="6F8322C4" w:rsidRPr="23B7C9FA">
        <w:t xml:space="preserve"> IDPs can be used to foster social integration for learners with ALN.</w:t>
      </w:r>
    </w:p>
    <w:p w14:paraId="70A5C382" w14:textId="6E607ED9" w:rsidR="56F2D94C" w:rsidRDefault="061F5733" w:rsidP="23B7C9FA">
      <w:r w:rsidRPr="23B7C9FA">
        <w:t>Furthermore</w:t>
      </w:r>
      <w:r w:rsidR="55EDFDFF" w:rsidRPr="23B7C9FA">
        <w:t>, while research provides general insights into the applications of IDPs</w:t>
      </w:r>
      <w:r w:rsidR="73F93C98" w:rsidRPr="23B7C9FA">
        <w:t xml:space="preserve">, there is underrepresentation of their use in specific contexts, such as Welsh classrooms. The implementation of IDPs under the </w:t>
      </w:r>
      <w:r w:rsidR="0D4131CE" w:rsidRPr="23B7C9FA">
        <w:t xml:space="preserve">Additional Learning Needs and Education Tribunal (Wales) Act 2018 offers a unique opportunity to examine how these plans support social inclusion within a policy </w:t>
      </w:r>
      <w:r w:rsidR="512D50ED" w:rsidRPr="23B7C9FA">
        <w:t>framework designed to promote equity. My research aim</w:t>
      </w:r>
      <w:r w:rsidR="1E6204B7" w:rsidRPr="23B7C9FA">
        <w:t>s</w:t>
      </w:r>
      <w:r w:rsidR="512D50ED" w:rsidRPr="23B7C9FA">
        <w:t xml:space="preserve"> to address this gap by focusing on Foundation Phase learners in Wales, investigating whether IDPs effectively facilitate social relationships and belonging. </w:t>
      </w:r>
    </w:p>
    <w:p w14:paraId="61FD440E" w14:textId="14675A48" w:rsidR="23B7C9FA" w:rsidRDefault="23B7C9FA" w:rsidP="23B7C9FA"/>
    <w:p w14:paraId="46BEEF3D" w14:textId="7F2117D1" w:rsidR="459EF61C" w:rsidRDefault="459EF61C" w:rsidP="23B7C9FA">
      <w:pPr>
        <w:rPr>
          <w:b/>
          <w:bCs/>
          <w:u w:val="single"/>
        </w:rPr>
      </w:pPr>
      <w:r w:rsidRPr="23B7C9FA">
        <w:rPr>
          <w:b/>
          <w:bCs/>
          <w:u w:val="single"/>
        </w:rPr>
        <w:t>Cas</w:t>
      </w:r>
      <w:r w:rsidR="00724111">
        <w:rPr>
          <w:b/>
          <w:bCs/>
          <w:u w:val="single"/>
        </w:rPr>
        <w:t>e</w:t>
      </w:r>
      <w:r w:rsidRPr="23B7C9FA">
        <w:rPr>
          <w:b/>
          <w:bCs/>
          <w:u w:val="single"/>
        </w:rPr>
        <w:t xml:space="preserve"> </w:t>
      </w:r>
      <w:r w:rsidR="12356955" w:rsidRPr="23B7C9FA">
        <w:rPr>
          <w:b/>
          <w:bCs/>
          <w:u w:val="single"/>
        </w:rPr>
        <w:t>Study</w:t>
      </w:r>
      <w:r w:rsidR="6F5B025D" w:rsidRPr="23B7C9FA">
        <w:rPr>
          <w:b/>
          <w:bCs/>
          <w:u w:val="single"/>
        </w:rPr>
        <w:t>.</w:t>
      </w:r>
    </w:p>
    <w:p w14:paraId="7F1CD1BA" w14:textId="4D5891F4" w:rsidR="56F2D94C" w:rsidRDefault="4543AAFE" w:rsidP="23B7C9FA">
      <w:r w:rsidRPr="23B7C9FA">
        <w:t>A case study is a qualitative research method which explores a specific phenomenon, individuals, group or context in depth</w:t>
      </w:r>
      <w:r w:rsidR="4EBE74DE" w:rsidRPr="23B7C9FA">
        <w:t>,</w:t>
      </w:r>
      <w:r w:rsidR="6ACCB655" w:rsidRPr="23B7C9FA">
        <w:t xml:space="preserve"> focusing on </w:t>
      </w:r>
      <w:r w:rsidR="55D2F7C9" w:rsidRPr="23B7C9FA">
        <w:t>its</w:t>
      </w:r>
      <w:r w:rsidR="4EBE74DE" w:rsidRPr="23B7C9FA">
        <w:t xml:space="preserve"> real-life setting </w:t>
      </w:r>
      <w:r w:rsidR="12859481" w:rsidRPr="23B7C9FA">
        <w:rPr>
          <w:rFonts w:ascii="Times New Roman" w:eastAsia="Times New Roman" w:hAnsi="Times New Roman" w:cs="Times New Roman"/>
          <w:color w:val="000000" w:themeColor="text1"/>
        </w:rPr>
        <w:t>(Yin, 2018)</w:t>
      </w:r>
      <w:r w:rsidR="4EBE74DE" w:rsidRPr="23B7C9FA">
        <w:t>.</w:t>
      </w:r>
      <w:r w:rsidR="2AF3B9FE" w:rsidRPr="23B7C9FA">
        <w:t xml:space="preserve"> This method is rather valuable when the boundaries between the phenomenon and its context are not clearly defined, </w:t>
      </w:r>
      <w:r w:rsidR="79FA0463" w:rsidRPr="23B7C9FA">
        <w:t>enabling</w:t>
      </w:r>
      <w:r w:rsidR="0B3D04BA" w:rsidRPr="23B7C9FA">
        <w:t xml:space="preserve"> a comprehensive understanding of complex issues. Case studies may be classified as intrinsic, </w:t>
      </w:r>
      <w:r w:rsidR="1F2DA975" w:rsidRPr="23B7C9FA">
        <w:t>instrumental</w:t>
      </w:r>
      <w:r w:rsidR="0B3D04BA" w:rsidRPr="23B7C9FA">
        <w:t xml:space="preserve">, or collective, depending on whether </w:t>
      </w:r>
      <w:r w:rsidR="0B3D04BA" w:rsidRPr="23B7C9FA">
        <w:lastRenderedPageBreak/>
        <w:t>the purpose is to explore a unique</w:t>
      </w:r>
      <w:r w:rsidR="5948C77B" w:rsidRPr="23B7C9FA">
        <w:t xml:space="preserve"> case, gain insight into a broader issue, or compare multiple cases </w:t>
      </w:r>
      <w:r w:rsidR="47059942" w:rsidRPr="23B7C9FA">
        <w:rPr>
          <w:rFonts w:ascii="Times New Roman" w:eastAsia="Times New Roman" w:hAnsi="Times New Roman" w:cs="Times New Roman"/>
          <w:color w:val="000000" w:themeColor="text1"/>
        </w:rPr>
        <w:t>(Stake, 1995)</w:t>
      </w:r>
      <w:r w:rsidR="5948C77B" w:rsidRPr="23B7C9FA">
        <w:t xml:space="preserve">. </w:t>
      </w:r>
    </w:p>
    <w:p w14:paraId="59171E94" w14:textId="1DFCCB6E" w:rsidR="125DD343" w:rsidRDefault="125DD343" w:rsidP="23B7C9FA">
      <w:r w:rsidRPr="23B7C9FA">
        <w:t xml:space="preserve">This research adopts a case study methodology as it offers a detailed </w:t>
      </w:r>
      <w:r w:rsidR="056B5CC2" w:rsidRPr="23B7C9FA">
        <w:t>exploration</w:t>
      </w:r>
      <w:r w:rsidRPr="23B7C9FA">
        <w:t xml:space="preserve"> </w:t>
      </w:r>
      <w:r w:rsidR="53DDDD2A" w:rsidRPr="23B7C9FA">
        <w:t>into the intricacies of educational settings. Yin (2018) suggests that case studies are ideal for addressing how and why questions, making them effective for examining complex phe</w:t>
      </w:r>
      <w:r w:rsidR="79117266" w:rsidRPr="23B7C9FA">
        <w:t xml:space="preserve">nomena such as social integration and the role of Individual Development Plans. </w:t>
      </w:r>
    </w:p>
    <w:p w14:paraId="5EA6A1DB" w14:textId="3A6D988B" w:rsidR="79117266" w:rsidRDefault="79117266" w:rsidP="23B7C9FA">
      <w:r w:rsidRPr="23B7C9FA">
        <w:t>A case study approach offers multiple advantages</w:t>
      </w:r>
      <w:r w:rsidR="123405F3" w:rsidRPr="23B7C9FA">
        <w:t xml:space="preserve"> such as the ability to conduct an in-depth analysis and to capture the lived experiences of </w:t>
      </w:r>
      <w:r w:rsidR="393549DB" w:rsidRPr="23B7C9FA">
        <w:t>participants</w:t>
      </w:r>
      <w:r w:rsidR="123405F3" w:rsidRPr="23B7C9FA">
        <w:t xml:space="preserve">. </w:t>
      </w:r>
      <w:r w:rsidR="5787D06D" w:rsidRPr="23B7C9FA">
        <w:t xml:space="preserve">A case </w:t>
      </w:r>
      <w:r w:rsidR="0058D095" w:rsidRPr="23B7C9FA">
        <w:t>study</w:t>
      </w:r>
      <w:r w:rsidR="5787D06D" w:rsidRPr="23B7C9FA">
        <w:t xml:space="preserve"> approach often involves multiple data collection methods such as interviews, observations and the use of literature</w:t>
      </w:r>
      <w:r w:rsidR="2EEAD31D" w:rsidRPr="23B7C9FA">
        <w:t xml:space="preserve"> to examine findings and enhance validity </w:t>
      </w:r>
      <w:r w:rsidR="274A6475" w:rsidRPr="23B7C9FA">
        <w:rPr>
          <w:rFonts w:ascii="Times New Roman" w:eastAsia="Times New Roman" w:hAnsi="Times New Roman" w:cs="Times New Roman"/>
          <w:color w:val="000000" w:themeColor="text1"/>
        </w:rPr>
        <w:t>(Creswell, 2013)</w:t>
      </w:r>
      <w:r w:rsidR="2EEAD31D" w:rsidRPr="23B7C9FA">
        <w:t xml:space="preserve">. However, limitations of this approach include the potential for researcher bias and challenges in </w:t>
      </w:r>
      <w:proofErr w:type="spellStart"/>
      <w:r w:rsidR="46636F46" w:rsidRPr="23B7C9FA">
        <w:t>generali</w:t>
      </w:r>
      <w:r w:rsidR="00BF4B67">
        <w:t>s</w:t>
      </w:r>
      <w:r w:rsidR="46636F46" w:rsidRPr="23B7C9FA">
        <w:t>ing</w:t>
      </w:r>
      <w:proofErr w:type="spellEnd"/>
      <w:r w:rsidR="2EEAD31D" w:rsidRPr="23B7C9FA">
        <w:t xml:space="preserve"> findings due to the focus on a specific co</w:t>
      </w:r>
      <w:r w:rsidR="6050EF99" w:rsidRPr="23B7C9FA">
        <w:t>ntext or small sample size.</w:t>
      </w:r>
    </w:p>
    <w:p w14:paraId="1CC5722D" w14:textId="44FB5015" w:rsidR="6050EF99" w:rsidRDefault="6050EF99" w:rsidP="23B7C9FA">
      <w:r w:rsidRPr="23B7C9FA">
        <w:t xml:space="preserve">The participants in this study will be </w:t>
      </w:r>
      <w:r w:rsidR="00906180">
        <w:t>F</w:t>
      </w:r>
      <w:r w:rsidRPr="23B7C9FA">
        <w:t xml:space="preserve">oundation </w:t>
      </w:r>
      <w:r w:rsidR="00906180">
        <w:t>P</w:t>
      </w:r>
      <w:r w:rsidRPr="23B7C9FA">
        <w:t>hase learners in a mainstream primary school, alongside teachers</w:t>
      </w:r>
      <w:r w:rsidR="00906180">
        <w:t xml:space="preserve">, </w:t>
      </w:r>
      <w:r w:rsidRPr="23B7C9FA">
        <w:t xml:space="preserve">teaching </w:t>
      </w:r>
      <w:r w:rsidR="31BD89A7" w:rsidRPr="23B7C9FA">
        <w:t>assistants</w:t>
      </w:r>
      <w:r w:rsidR="00906180">
        <w:t xml:space="preserve"> and an ALNCO</w:t>
      </w:r>
      <w:r w:rsidRPr="23B7C9FA">
        <w:t>. To ensure a represe</w:t>
      </w:r>
      <w:r w:rsidR="50DFA4AF" w:rsidRPr="23B7C9FA">
        <w:t xml:space="preserve">ntative </w:t>
      </w:r>
      <w:r w:rsidR="7FC7EA7E" w:rsidRPr="23B7C9FA">
        <w:t>sample</w:t>
      </w:r>
      <w:r w:rsidR="006812DC">
        <w:t>. P</w:t>
      </w:r>
      <w:r w:rsidR="7FC7EA7E" w:rsidRPr="23B7C9FA">
        <w:t xml:space="preserve">urposeful sampling will be used to include </w:t>
      </w:r>
      <w:r w:rsidR="299B733F" w:rsidRPr="23B7C9FA">
        <w:t xml:space="preserve">individuals directly involved with or impacted by the IDPs to capture diverse perspectives relevant to the research </w:t>
      </w:r>
      <w:r w:rsidR="4025AC32" w:rsidRPr="23B7C9FA">
        <w:t>objectives</w:t>
      </w:r>
      <w:r w:rsidR="299B733F" w:rsidRPr="23B7C9FA">
        <w:t xml:space="preserve">. </w:t>
      </w:r>
    </w:p>
    <w:p w14:paraId="35954C0F" w14:textId="1C49C20C" w:rsidR="5402BEB3" w:rsidRDefault="5402BEB3" w:rsidP="23B7C9FA">
      <w:proofErr w:type="gramStart"/>
      <w:r w:rsidRPr="23B7C9FA">
        <w:t>Through the use of</w:t>
      </w:r>
      <w:proofErr w:type="gramEnd"/>
      <w:r w:rsidRPr="23B7C9FA">
        <w:t xml:space="preserve"> a case study methodology, this research aims to offer a rich </w:t>
      </w:r>
      <w:r w:rsidR="730E9972" w:rsidRPr="23B7C9FA">
        <w:t>understanding</w:t>
      </w:r>
      <w:r w:rsidRPr="23B7C9FA">
        <w:t xml:space="preserve"> of how IDPs facilitate</w:t>
      </w:r>
      <w:r w:rsidR="55745BA9" w:rsidRPr="23B7C9FA">
        <w:t xml:space="preserve"> social integration, contributing valuable insights to education practice and policy. </w:t>
      </w:r>
    </w:p>
    <w:p w14:paraId="4C41775C" w14:textId="56D472D1" w:rsidR="23B7C9FA" w:rsidRDefault="23B7C9FA" w:rsidP="23B7C9FA"/>
    <w:p w14:paraId="03FD25AD" w14:textId="43CDFB98" w:rsidR="20452F4D" w:rsidRDefault="20452F4D" w:rsidP="23B7C9FA">
      <w:pPr>
        <w:rPr>
          <w:b/>
          <w:bCs/>
          <w:u w:val="single"/>
        </w:rPr>
      </w:pPr>
      <w:r w:rsidRPr="23B7C9FA">
        <w:rPr>
          <w:b/>
          <w:bCs/>
          <w:u w:val="single"/>
        </w:rPr>
        <w:t xml:space="preserve">Research </w:t>
      </w:r>
      <w:r w:rsidR="5EEE5616" w:rsidRPr="23B7C9FA">
        <w:rPr>
          <w:b/>
          <w:bCs/>
          <w:u w:val="single"/>
        </w:rPr>
        <w:t>M</w:t>
      </w:r>
      <w:r w:rsidRPr="23B7C9FA">
        <w:rPr>
          <w:b/>
          <w:bCs/>
          <w:u w:val="single"/>
        </w:rPr>
        <w:t>ethods.</w:t>
      </w:r>
    </w:p>
    <w:p w14:paraId="48F1E081" w14:textId="783C1BC1" w:rsidR="008A27E9" w:rsidRPr="008A27E9" w:rsidRDefault="008A27E9" w:rsidP="008A27E9">
      <w:pPr>
        <w:rPr>
          <w:lang w:val="en-GB"/>
        </w:rPr>
      </w:pPr>
      <w:r w:rsidRPr="008A27E9">
        <w:rPr>
          <w:lang w:val="en-GB"/>
        </w:rPr>
        <w:t>To investigate how IDPs support the social integration of Foundation Phase learners in mainstream primary schools, a mixed-methods approach was implemented, incorporating observations, interviews, and questionnaires. This combination allowed for a comprehensive exploration of the topic by gathering both qualitative and quantitative data. Elements of the Mosaic approach were also used to enrich the understanding of young learners’ experiences. Each method was carefully selected based on its relevance to the research question and its ability to illuminate the key dynamics of social inclusion within educational settings.</w:t>
      </w:r>
    </w:p>
    <w:p w14:paraId="023E9BF8" w14:textId="77777777" w:rsidR="008A27E9" w:rsidRPr="008A27E9" w:rsidRDefault="008A27E9" w:rsidP="008A27E9">
      <w:pPr>
        <w:rPr>
          <w:lang w:val="en-GB"/>
        </w:rPr>
      </w:pPr>
      <w:r w:rsidRPr="008A27E9">
        <w:rPr>
          <w:lang w:val="en-GB"/>
        </w:rPr>
        <w:t xml:space="preserve">Observation is a widely used research method in educational studies, particularly for capturing real-time behaviours and interactions. Creswell and Creswell (2018) state that observations are essential for understanding complex social processes, such as peer relationships and teacher interventions. For this study, observations provided direct evidence of how IDPs were implemented in practice and how they influenced peer </w:t>
      </w:r>
      <w:r w:rsidRPr="008A27E9">
        <w:rPr>
          <w:lang w:val="en-GB"/>
        </w:rPr>
        <w:lastRenderedPageBreak/>
        <w:t>interactions and staff strategies. A structured observation schedule was designed to focus on key elements, including peer interaction, staff support, the implementation of social goals, and overall inclusivity (</w:t>
      </w:r>
      <w:r w:rsidRPr="008A27E9">
        <w:rPr>
          <w:rFonts w:ascii="Times New Roman" w:hAnsi="Times New Roman" w:cs="Times New Roman"/>
          <w:lang w:val="en-GB"/>
        </w:rPr>
        <w:t>Appendix 4</w:t>
      </w:r>
      <w:r w:rsidRPr="008A27E9">
        <w:rPr>
          <w:lang w:val="en-GB"/>
        </w:rPr>
        <w:t>).</w:t>
      </w:r>
    </w:p>
    <w:p w14:paraId="36F22A2C" w14:textId="77777777" w:rsidR="008A27E9" w:rsidRPr="008A27E9" w:rsidRDefault="008A27E9" w:rsidP="008A27E9">
      <w:pPr>
        <w:rPr>
          <w:lang w:val="en-GB"/>
        </w:rPr>
      </w:pPr>
      <w:r w:rsidRPr="008A27E9">
        <w:rPr>
          <w:lang w:val="en-GB"/>
        </w:rPr>
        <w:t>The observation schedule combined structured and unstructured methods. Pre-defined categories were used to systematically code behaviours, such as sharing, collaboration, or exclusion, while open notes captured unexpected interactions or contextual details. This blended approach aligns with Robson and McCartan’s (2016) recommendation for combining systematic observation with flexibility to ensure rich and relevant data. The age of Foundation Phase learners influenced the design of the schedule, focusing on nonverbal cues, spatial interactions, and engagement levels, as younger children often express inclusion through body language rather than verbal communication.</w:t>
      </w:r>
    </w:p>
    <w:p w14:paraId="0348B2DB" w14:textId="77777777" w:rsidR="008A27E9" w:rsidRPr="008A27E9" w:rsidRDefault="008A27E9" w:rsidP="008A27E9">
      <w:pPr>
        <w:rPr>
          <w:lang w:val="en-GB"/>
        </w:rPr>
      </w:pPr>
      <w:r w:rsidRPr="008A27E9">
        <w:rPr>
          <w:lang w:val="en-GB"/>
        </w:rPr>
        <w:t xml:space="preserve">Observation as a method has limitations. Behaviour can be affected by the Hawthorne effect, where participants alter their actions due to being </w:t>
      </w:r>
      <w:r w:rsidRPr="008A27E9">
        <w:rPr>
          <w:rFonts w:cs="Times New Roman"/>
          <w:lang w:val="en-GB"/>
        </w:rPr>
        <w:t>observed</w:t>
      </w:r>
      <w:r w:rsidRPr="008A27E9">
        <w:rPr>
          <w:rFonts w:ascii="Times New Roman" w:hAnsi="Times New Roman" w:cs="Times New Roman"/>
          <w:lang w:val="en-GB"/>
        </w:rPr>
        <w:t xml:space="preserve"> (</w:t>
      </w:r>
      <w:proofErr w:type="spellStart"/>
      <w:r w:rsidRPr="008A27E9">
        <w:rPr>
          <w:rFonts w:ascii="Times New Roman" w:hAnsi="Times New Roman" w:cs="Times New Roman"/>
          <w:lang w:val="en-GB"/>
        </w:rPr>
        <w:t>McCambridge</w:t>
      </w:r>
      <w:proofErr w:type="spellEnd"/>
      <w:r w:rsidRPr="008A27E9">
        <w:rPr>
          <w:rFonts w:ascii="Times New Roman" w:hAnsi="Times New Roman" w:cs="Times New Roman"/>
          <w:lang w:val="en-GB"/>
        </w:rPr>
        <w:t xml:space="preserve">, Witton and </w:t>
      </w:r>
      <w:proofErr w:type="spellStart"/>
      <w:r w:rsidRPr="008A27E9">
        <w:rPr>
          <w:rFonts w:ascii="Times New Roman" w:hAnsi="Times New Roman" w:cs="Times New Roman"/>
          <w:lang w:val="en-GB"/>
        </w:rPr>
        <w:t>Elbourne</w:t>
      </w:r>
      <w:proofErr w:type="spellEnd"/>
      <w:r w:rsidRPr="008A27E9">
        <w:rPr>
          <w:rFonts w:ascii="Times New Roman" w:hAnsi="Times New Roman" w:cs="Times New Roman"/>
          <w:lang w:val="en-GB"/>
        </w:rPr>
        <w:t>, 2014)</w:t>
      </w:r>
      <w:r w:rsidRPr="008A27E9">
        <w:rPr>
          <w:lang w:val="en-GB"/>
        </w:rPr>
        <w:t>. Researcher bias may also influence the interpretation of behaviours, underscoring the need for careful analysis. Cohen, Manion, and Morrison (2018) suggest using observations alongside other data sources to ensure validity. In this study, observational data was triangulated with findings from interviews and questionnaires, addressing biases and providing a holistic perspective.</w:t>
      </w:r>
    </w:p>
    <w:p w14:paraId="17023003" w14:textId="77777777" w:rsidR="008A27E9" w:rsidRPr="008A27E9" w:rsidRDefault="008A27E9" w:rsidP="008A27E9">
      <w:pPr>
        <w:rPr>
          <w:lang w:val="en-GB"/>
        </w:rPr>
      </w:pPr>
      <w:r w:rsidRPr="008A27E9">
        <w:rPr>
          <w:lang w:val="en-GB"/>
        </w:rPr>
        <w:t xml:space="preserve">Interviews were another key method used in this research. </w:t>
      </w:r>
      <w:proofErr w:type="spellStart"/>
      <w:r w:rsidRPr="008A27E9">
        <w:rPr>
          <w:lang w:val="en-GB"/>
        </w:rPr>
        <w:t>Kvale</w:t>
      </w:r>
      <w:proofErr w:type="spellEnd"/>
      <w:r w:rsidRPr="008A27E9">
        <w:rPr>
          <w:lang w:val="en-GB"/>
        </w:rPr>
        <w:t xml:space="preserve"> and Brinkmann (2015) describe interviews as valuable for gaining insight into participants’ lived experiences and the meanings they attach to them. Semi-structured interviews were conducted with staff to explore their perceptions of IDPs and their role in supporting social integration. This approach provided a balance between structured inquiry and flexibility, enabling deeper exploration of responses and adaptation to participants’ viewpoints.</w:t>
      </w:r>
    </w:p>
    <w:p w14:paraId="49F89C43" w14:textId="2D058EB0" w:rsidR="008A27E9" w:rsidRPr="008A27E9" w:rsidRDefault="008A27E9" w:rsidP="008A27E9">
      <w:pPr>
        <w:rPr>
          <w:lang w:val="en-GB"/>
        </w:rPr>
      </w:pPr>
      <w:r w:rsidRPr="008A27E9">
        <w:rPr>
          <w:lang w:val="en-GB"/>
        </w:rPr>
        <w:t xml:space="preserve">The interview schedule included open-ended questions designed to encourage detailed and reflective responses. For example, participants were asked, "How do you use IDPs to support social integration in your classroom?" and "What strategies have you found effective for fostering peer relationships among Foundation Phase learners?" </w:t>
      </w:r>
      <w:r w:rsidR="006C3006">
        <w:rPr>
          <w:lang w:val="en-GB"/>
        </w:rPr>
        <w:t>(</w:t>
      </w:r>
      <w:r w:rsidR="006C3006" w:rsidRPr="00810F26">
        <w:rPr>
          <w:rFonts w:ascii="Times New Roman" w:hAnsi="Times New Roman" w:cs="Times New Roman"/>
          <w:lang w:val="en-GB"/>
        </w:rPr>
        <w:t>Appendix</w:t>
      </w:r>
      <w:r w:rsidR="00810F26" w:rsidRPr="00810F26">
        <w:rPr>
          <w:rFonts w:ascii="Times New Roman" w:hAnsi="Times New Roman" w:cs="Times New Roman"/>
          <w:lang w:val="en-GB"/>
        </w:rPr>
        <w:t xml:space="preserve"> 1, 2 &amp; 3</w:t>
      </w:r>
      <w:r w:rsidR="00810F26">
        <w:rPr>
          <w:lang w:val="en-GB"/>
        </w:rPr>
        <w:t>).</w:t>
      </w:r>
      <w:r w:rsidR="00810F26" w:rsidRPr="008A27E9">
        <w:rPr>
          <w:lang w:val="en-GB"/>
        </w:rPr>
        <w:t xml:space="preserve"> These</w:t>
      </w:r>
      <w:r w:rsidRPr="008A27E9">
        <w:rPr>
          <w:lang w:val="en-GB"/>
        </w:rPr>
        <w:t xml:space="preserve"> questions provided valuable insights into how IDPs are applied to learning and the challenges involved. Bryman (2016) emphasises the importance of open-ended questions in qualitative interviews due to their ability to generate in-depth and rich data. This flexibility allowed the interviews to delve deeper into staff practices and reflections, uncovering insights that might have been missed with more structured approaches.</w:t>
      </w:r>
    </w:p>
    <w:p w14:paraId="618F9785" w14:textId="77777777" w:rsidR="008A27E9" w:rsidRPr="008A27E9" w:rsidRDefault="008A27E9" w:rsidP="008A27E9">
      <w:pPr>
        <w:rPr>
          <w:lang w:val="en-GB"/>
        </w:rPr>
      </w:pPr>
      <w:r w:rsidRPr="008A27E9">
        <w:rPr>
          <w:lang w:val="en-GB"/>
        </w:rPr>
        <w:t xml:space="preserve">Interviews also present challenges. They can be time-consuming to conduct and analyse, requiring effort to organise, transcribe, and interpret. Participants may provide socially </w:t>
      </w:r>
      <w:r w:rsidRPr="008A27E9">
        <w:rPr>
          <w:lang w:val="en-GB"/>
        </w:rPr>
        <w:lastRenderedPageBreak/>
        <w:t xml:space="preserve">desirable rather than honest responses, which </w:t>
      </w:r>
      <w:proofErr w:type="spellStart"/>
      <w:r w:rsidRPr="008A27E9">
        <w:rPr>
          <w:lang w:val="en-GB"/>
        </w:rPr>
        <w:t>Krumpal</w:t>
      </w:r>
      <w:proofErr w:type="spellEnd"/>
      <w:r w:rsidRPr="008A27E9">
        <w:rPr>
          <w:lang w:val="en-GB"/>
        </w:rPr>
        <w:t xml:space="preserve"> (2013) highlights as a risk when discussing sensitive topics. To mitigate this, participants were assured of confidentiality and the study’s non-judgmental nature. Cohen, Manion, and Morrison (2018) state that building trust is essential for obtaining reliable data. Young learners were not directly interviewed, as they often struggle with articulating abstract concepts like social inclusion. Instead, their perceptions were accessed indirectly through observations and staff feedback.</w:t>
      </w:r>
    </w:p>
    <w:p w14:paraId="5CB4B9B5" w14:textId="5D4C70F7" w:rsidR="008A27E9" w:rsidRPr="008A27E9" w:rsidRDefault="008A27E9" w:rsidP="008A27E9">
      <w:pPr>
        <w:rPr>
          <w:lang w:val="en-GB"/>
        </w:rPr>
      </w:pPr>
      <w:r w:rsidRPr="008A27E9">
        <w:rPr>
          <w:lang w:val="en-GB"/>
        </w:rPr>
        <w:t>Questionnaires were used to gather data from staff, offering a broader view of perceptions regarding IDPs and their role in social integration. Denscombe (2017) highlights their efficiency in collecting data from multiple respondents and quantifying attitudes, perceptions, and behaviours. For this study, questionnaires included a mix of Likert-scale questions, closed questions, and open-ended prompt</w:t>
      </w:r>
      <w:r w:rsidR="00BA6E33">
        <w:rPr>
          <w:lang w:val="en-GB"/>
        </w:rPr>
        <w:t>s (</w:t>
      </w:r>
      <w:r w:rsidR="00BA6E33" w:rsidRPr="007F0A44">
        <w:rPr>
          <w:rFonts w:ascii="Times New Roman" w:hAnsi="Times New Roman" w:cs="Times New Roman"/>
          <w:lang w:val="en-GB"/>
        </w:rPr>
        <w:t>Appendix</w:t>
      </w:r>
      <w:r w:rsidR="007F0A44" w:rsidRPr="007F0A44">
        <w:rPr>
          <w:rFonts w:ascii="Times New Roman" w:hAnsi="Times New Roman" w:cs="Times New Roman"/>
          <w:lang w:val="en-GB"/>
        </w:rPr>
        <w:t xml:space="preserve"> 8</w:t>
      </w:r>
      <w:r w:rsidR="007F0A44">
        <w:rPr>
          <w:lang w:val="en-GB"/>
        </w:rPr>
        <w:t>)</w:t>
      </w:r>
      <w:r w:rsidRPr="008A27E9">
        <w:rPr>
          <w:lang w:val="en-GB"/>
        </w:rPr>
        <w:t>. However, the low response rate prompted the decision to exclude questionnaire data from the results.</w:t>
      </w:r>
    </w:p>
    <w:p w14:paraId="1C454047" w14:textId="77777777" w:rsidR="008A27E9" w:rsidRPr="008A27E9" w:rsidRDefault="008A27E9" w:rsidP="008A27E9">
      <w:pPr>
        <w:rPr>
          <w:lang w:val="en-GB"/>
        </w:rPr>
      </w:pPr>
      <w:r w:rsidRPr="008A27E9">
        <w:rPr>
          <w:lang w:val="en-GB"/>
        </w:rPr>
        <w:t>The Mosaic approach further informed the research, especially in understanding Foundation Phase learners’ experiences. Developed by Clark and Moss (2011), it integrates participatory, child-friendly methods, such as drawings, photographs, and observations, to access children’s perspectives. While direct interviews with learners were not conducted, Mosaic principles informed the observation schedule, prioritising child-centred observations. For example, the study noted how children engaged with peers, classroom activities, and spatial dynamics to better understand their inclusion experiences.</w:t>
      </w:r>
    </w:p>
    <w:p w14:paraId="27BFB05F" w14:textId="77777777" w:rsidR="008A27E9" w:rsidRPr="008A27E9" w:rsidRDefault="008A27E9" w:rsidP="008A27E9">
      <w:pPr>
        <w:rPr>
          <w:lang w:val="en-GB"/>
        </w:rPr>
      </w:pPr>
      <w:r w:rsidRPr="008A27E9">
        <w:rPr>
          <w:lang w:val="en-GB"/>
        </w:rPr>
        <w:t>The Mosaic approach is recognised for valuing children’s voices and using non-verbal methods suited to their developmental stage. However, interpreting children’s contributions, such as drawings or behaviours, can be challenging due to their ambiguity. Clark and Moss (2011) stress the need to contextualise these within broader behavioural patterns to draw meaningful conclusions. In this study, the Mosaic approach enriched observational data, offering deeper insights into how children experience social inclusion.</w:t>
      </w:r>
    </w:p>
    <w:p w14:paraId="7FDDF869" w14:textId="77777777" w:rsidR="008A27E9" w:rsidRPr="008A27E9" w:rsidRDefault="008A27E9" w:rsidP="008A27E9">
      <w:pPr>
        <w:rPr>
          <w:lang w:val="en-GB"/>
        </w:rPr>
      </w:pPr>
      <w:r w:rsidRPr="008A27E9">
        <w:rPr>
          <w:lang w:val="en-GB"/>
        </w:rPr>
        <w:t>The mixed-methods approach facilitated a thorough investigation of the research question. Observations provided direct evidence of behaviours and interactions, interviews offered detailed staff perspectives, and questionnaires captured general attitudes before being excluded from results. Creswell and Creswell (2018) advocate for mixed-methods research to enhance validity by triangulating data from multiple sources. This approach was particularly effective in addressing the limitations of individual methods and producing a holistic understanding of IDPs’ role in supporting social integration.</w:t>
      </w:r>
    </w:p>
    <w:p w14:paraId="018FD46D" w14:textId="4492955E" w:rsidR="008A27E9" w:rsidRPr="008A27E9" w:rsidRDefault="008A27E9" w:rsidP="008A27E9">
      <w:pPr>
        <w:rPr>
          <w:lang w:val="en-GB"/>
        </w:rPr>
      </w:pPr>
      <w:r w:rsidRPr="008A27E9">
        <w:rPr>
          <w:lang w:val="en-GB"/>
        </w:rPr>
        <w:lastRenderedPageBreak/>
        <w:t>Ethical considerations were central to the research process. Informed consent was obtained, and confidentiality ensured</w:t>
      </w:r>
      <w:r w:rsidR="007F0A44">
        <w:rPr>
          <w:lang w:val="en-GB"/>
        </w:rPr>
        <w:t xml:space="preserve"> (</w:t>
      </w:r>
      <w:r w:rsidR="007F0A44" w:rsidRPr="007F0A44">
        <w:rPr>
          <w:rFonts w:ascii="Times New Roman" w:hAnsi="Times New Roman" w:cs="Times New Roman"/>
          <w:lang w:val="en-GB"/>
        </w:rPr>
        <w:t>Appendix 5 &amp; 6</w:t>
      </w:r>
      <w:r w:rsidR="007F0A44">
        <w:rPr>
          <w:lang w:val="en-GB"/>
        </w:rPr>
        <w:t>)</w:t>
      </w:r>
      <w:r w:rsidRPr="008A27E9">
        <w:rPr>
          <w:lang w:val="en-GB"/>
        </w:rPr>
        <w:t>. Observations focused on group behaviours rather than individual identities, safeguarding privacy. Bryman (2016) underscores the importance of ethical integrity, particularly when working with young children and sensitive topics like inclusion.</w:t>
      </w:r>
    </w:p>
    <w:p w14:paraId="2CCE886C" w14:textId="0381CE7B" w:rsidR="23B7C9FA" w:rsidRDefault="002A03E5" w:rsidP="23B7C9FA">
      <w:r w:rsidRPr="002A03E5">
        <w:rPr>
          <w:rFonts w:ascii="Aptos" w:eastAsia="Aptos" w:hAnsi="Aptos" w:cs="Aptos"/>
          <w:color w:val="000000" w:themeColor="text1"/>
        </w:rPr>
        <w:t xml:space="preserve">In summary, the research methods were carefully chosen to align with the study’s research question and the context of Foundation Phase learners. Observations captured real-time </w:t>
      </w:r>
      <w:proofErr w:type="spellStart"/>
      <w:r w:rsidRPr="002A03E5">
        <w:rPr>
          <w:rFonts w:ascii="Aptos" w:eastAsia="Aptos" w:hAnsi="Aptos" w:cs="Aptos"/>
          <w:color w:val="000000" w:themeColor="text1"/>
        </w:rPr>
        <w:t>behaviours</w:t>
      </w:r>
      <w:proofErr w:type="spellEnd"/>
      <w:r w:rsidRPr="002A03E5">
        <w:rPr>
          <w:rFonts w:ascii="Aptos" w:eastAsia="Aptos" w:hAnsi="Aptos" w:cs="Aptos"/>
          <w:color w:val="000000" w:themeColor="text1"/>
        </w:rPr>
        <w:t>, interviews provided in-depth insights, and the Mosaic approach enriched findings with children’s perspectives. Together, these methods supported a comprehensive exploration of how IDPs promote social integration in mainstream primary schools.</w:t>
      </w:r>
    </w:p>
    <w:p w14:paraId="3875650B" w14:textId="4F274B6C" w:rsidR="50ED607C" w:rsidRDefault="50ED607C" w:rsidP="23B7C9FA">
      <w:pPr>
        <w:rPr>
          <w:b/>
          <w:bCs/>
          <w:u w:val="single"/>
        </w:rPr>
      </w:pPr>
      <w:r w:rsidRPr="23B7C9FA">
        <w:rPr>
          <w:b/>
          <w:bCs/>
          <w:u w:val="single"/>
        </w:rPr>
        <w:t xml:space="preserve">Data </w:t>
      </w:r>
      <w:r w:rsidR="3DBC29C9" w:rsidRPr="23B7C9FA">
        <w:rPr>
          <w:b/>
          <w:bCs/>
          <w:u w:val="single"/>
        </w:rPr>
        <w:t>P</w:t>
      </w:r>
      <w:r w:rsidRPr="23B7C9FA">
        <w:rPr>
          <w:b/>
          <w:bCs/>
          <w:u w:val="single"/>
        </w:rPr>
        <w:t xml:space="preserve">resentation and </w:t>
      </w:r>
      <w:r w:rsidR="7005B108" w:rsidRPr="23B7C9FA">
        <w:rPr>
          <w:b/>
          <w:bCs/>
          <w:u w:val="single"/>
        </w:rPr>
        <w:t>A</w:t>
      </w:r>
      <w:r w:rsidRPr="23B7C9FA">
        <w:rPr>
          <w:b/>
          <w:bCs/>
          <w:u w:val="single"/>
        </w:rPr>
        <w:t xml:space="preserve">nalysis </w:t>
      </w:r>
      <w:r w:rsidR="783DBC72" w:rsidRPr="23B7C9FA">
        <w:rPr>
          <w:b/>
          <w:bCs/>
          <w:u w:val="single"/>
        </w:rPr>
        <w:t>M</w:t>
      </w:r>
      <w:r w:rsidRPr="23B7C9FA">
        <w:rPr>
          <w:b/>
          <w:bCs/>
          <w:u w:val="single"/>
        </w:rPr>
        <w:t>ethods</w:t>
      </w:r>
      <w:r w:rsidR="2304D2D3" w:rsidRPr="23B7C9FA">
        <w:rPr>
          <w:b/>
          <w:bCs/>
          <w:u w:val="single"/>
        </w:rPr>
        <w:t>.</w:t>
      </w:r>
    </w:p>
    <w:p w14:paraId="79FA2E34" w14:textId="201A8515" w:rsidR="50ED607C" w:rsidRDefault="00B60E67" w:rsidP="56F2D94C">
      <w:r>
        <w:t xml:space="preserve">To </w:t>
      </w:r>
      <w:proofErr w:type="spellStart"/>
      <w:r>
        <w:t>analyse</w:t>
      </w:r>
      <w:proofErr w:type="spellEnd"/>
      <w:r>
        <w:t xml:space="preserve"> the data collected in this study, a thematic analysis was applied to qualitative data from interviews and observations. This method was selected for its ability to identify patterns and provide detailed insights into how IDPs</w:t>
      </w:r>
      <w:r w:rsidR="001D4A8E">
        <w:t xml:space="preserve"> support the social integration of Foundation Phase learners </w:t>
      </w:r>
      <w:r w:rsidR="0064360E" w:rsidRPr="0064360E">
        <w:t>(</w:t>
      </w:r>
      <w:r w:rsidR="0064360E" w:rsidRPr="0064360E">
        <w:rPr>
          <w:rFonts w:ascii="Times New Roman" w:hAnsi="Times New Roman" w:cs="Times New Roman"/>
        </w:rPr>
        <w:t>Braun and Clarke, 2006</w:t>
      </w:r>
      <w:r w:rsidR="00E329A5">
        <w:t>).</w:t>
      </w:r>
      <w:r w:rsidR="001D4A8E">
        <w:t xml:space="preserve"> While questionnaires were initially inc</w:t>
      </w:r>
      <w:r w:rsidR="00D46813">
        <w:t xml:space="preserve">luded in the research design, a low response rate led to their exclusion from the </w:t>
      </w:r>
      <w:proofErr w:type="gramStart"/>
      <w:r w:rsidR="00D46813">
        <w:t>final results</w:t>
      </w:r>
      <w:proofErr w:type="gramEnd"/>
      <w:r w:rsidR="00D46813">
        <w:t xml:space="preserve">. </w:t>
      </w:r>
    </w:p>
    <w:p w14:paraId="6DA99EF1" w14:textId="4E7F527F" w:rsidR="001A1C6A" w:rsidRDefault="001A1C6A" w:rsidP="56F2D94C">
      <w:r>
        <w:t xml:space="preserve">Thematic analysis was used to systematically examine data from interviews with </w:t>
      </w:r>
      <w:r w:rsidR="005F1A31">
        <w:t xml:space="preserve">a </w:t>
      </w:r>
      <w:r>
        <w:t>teacher, teaching assistant</w:t>
      </w:r>
      <w:r w:rsidR="005F1A31">
        <w:t xml:space="preserve"> and the ALNCO, as well as observation notes. According to Braun and Clarke (2006), thematic analysis is effective for identifying, </w:t>
      </w:r>
      <w:proofErr w:type="spellStart"/>
      <w:r w:rsidR="005F1A31">
        <w:t>organi</w:t>
      </w:r>
      <w:r w:rsidR="007F0A44">
        <w:t>s</w:t>
      </w:r>
      <w:r w:rsidR="005F1A31">
        <w:t>ing</w:t>
      </w:r>
      <w:proofErr w:type="spellEnd"/>
      <w:r w:rsidR="005F1A31">
        <w:t>, and interpreting patterns within qual</w:t>
      </w:r>
      <w:r w:rsidR="00D150D1">
        <w:t xml:space="preserve">itative data. The process began with </w:t>
      </w:r>
      <w:proofErr w:type="spellStart"/>
      <w:r w:rsidR="00D150D1">
        <w:t>familiari</w:t>
      </w:r>
      <w:r w:rsidR="007F0A44">
        <w:t>s</w:t>
      </w:r>
      <w:r w:rsidR="00D150D1">
        <w:t>ation</w:t>
      </w:r>
      <w:proofErr w:type="spellEnd"/>
      <w:r w:rsidR="00D150D1">
        <w:t xml:space="preserve">, where transcripts and notes were reviewed multiple times to ensure a deep understanding of the data. Key themes emerged during the coding process, including peer interactions, the role of staff strategies, and the implementation of IDP social goals. These themes were </w:t>
      </w:r>
      <w:r w:rsidR="009421A7">
        <w:t>refined to align with the research objectives. The findings were presented through thematic summaries supported by i</w:t>
      </w:r>
      <w:r w:rsidR="00F621B2">
        <w:t xml:space="preserve">llustrative quotes and specific examples from the observational data. This approach ensured the results were grounded in participants’ experiences while providing meaningful context for analysis. </w:t>
      </w:r>
    </w:p>
    <w:p w14:paraId="440A8E37" w14:textId="470C47AE" w:rsidR="23B7C9FA" w:rsidRDefault="00B80E5D" w:rsidP="23B7C9FA">
      <w:r>
        <w:t xml:space="preserve">Trustworthiness was a key focus throughout the analysis. </w:t>
      </w:r>
      <w:r w:rsidR="00912032" w:rsidRPr="00912032">
        <w:t xml:space="preserve">Credibility was supported by triangulating data from multiple sources, including interviews and observations, to ensure consistency and reliability. Transferability was addressed by providing detailed descriptions of the school environment and research methodology, allowing others to assess whether the findings are applicable to similar settings. Dependability was ensured by maintaining a clear record of research decisions, making the process transparent and </w:t>
      </w:r>
      <w:r w:rsidR="00912032" w:rsidRPr="00912032">
        <w:lastRenderedPageBreak/>
        <w:t>replicable. Confirmability was achieved by reflecting on potential researcher bias and taking steps to remain objective, following the principles outlined by Lincoln and Guba (1985).</w:t>
      </w:r>
      <w:r w:rsidR="00EB17F2">
        <w:t xml:space="preserve"> </w:t>
      </w:r>
      <w:r w:rsidR="00EB17F2" w:rsidRPr="00EB17F2">
        <w:t>This approach to data presentation and analysis ensured a thorough, transparent, and dependable interpretation of the findings, enhancing the study’s credibility and importance.</w:t>
      </w:r>
    </w:p>
    <w:p w14:paraId="11196047" w14:textId="77777777" w:rsidR="002A03E5" w:rsidRDefault="002A03E5" w:rsidP="23B7C9FA"/>
    <w:p w14:paraId="14BF7E40" w14:textId="3FE2421D" w:rsidR="50ED607C" w:rsidRDefault="50ED607C" w:rsidP="23B7C9FA">
      <w:pPr>
        <w:rPr>
          <w:b/>
          <w:bCs/>
          <w:u w:val="single"/>
        </w:rPr>
      </w:pPr>
      <w:r w:rsidRPr="23B7C9FA">
        <w:rPr>
          <w:b/>
          <w:bCs/>
          <w:u w:val="single"/>
        </w:rPr>
        <w:t xml:space="preserve">Ethical </w:t>
      </w:r>
      <w:r w:rsidR="16DE7340" w:rsidRPr="23B7C9FA">
        <w:rPr>
          <w:b/>
          <w:bCs/>
          <w:u w:val="single"/>
        </w:rPr>
        <w:t>C</w:t>
      </w:r>
      <w:r w:rsidRPr="23B7C9FA">
        <w:rPr>
          <w:b/>
          <w:bCs/>
          <w:u w:val="single"/>
        </w:rPr>
        <w:t>onsiderations.</w:t>
      </w:r>
    </w:p>
    <w:p w14:paraId="16860137" w14:textId="6D10D0CC" w:rsidR="56F2D94C" w:rsidRDefault="688A833F" w:rsidP="23B7C9FA">
      <w:r w:rsidRPr="23B7C9FA">
        <w:t>Ethical considerations were addressed throughout this research to ensure that the rights, dignity, and well-being of all participants were protected, in line with the ethical standards of the British Educational Research Associat</w:t>
      </w:r>
      <w:r w:rsidR="42BA5451" w:rsidRPr="23B7C9FA">
        <w:t xml:space="preserve">ion </w:t>
      </w:r>
      <w:r w:rsidR="247BE135" w:rsidRPr="23B7C9FA">
        <w:rPr>
          <w:rFonts w:ascii="Times New Roman" w:eastAsia="Times New Roman" w:hAnsi="Times New Roman" w:cs="Times New Roman"/>
          <w:color w:val="000000" w:themeColor="text1"/>
        </w:rPr>
        <w:t>(BERA, 2024)</w:t>
      </w:r>
      <w:r w:rsidR="42BA5451" w:rsidRPr="23B7C9FA">
        <w:t>. The study adhered to key principles, including informed co</w:t>
      </w:r>
      <w:r w:rsidR="1256A063" w:rsidRPr="23B7C9FA">
        <w:t>nsent, assent, confidentiality, and anonymity, as well as addressing potential unconscious bias.</w:t>
      </w:r>
    </w:p>
    <w:p w14:paraId="5DFE94C7" w14:textId="1E9DBD5D" w:rsidR="56F2D94C" w:rsidRDefault="1256A063" w:rsidP="23B7C9FA">
      <w:r w:rsidRPr="23B7C9FA">
        <w:t>Participants were fully informed about the purpose of the research, what their involvement entailed and their right to withdraw at any stage without explanation. For staff, consent forms were provided</w:t>
      </w:r>
      <w:r w:rsidR="2B8811D8" w:rsidRPr="23B7C9FA">
        <w:t xml:space="preserve"> and signed </w:t>
      </w:r>
      <w:r w:rsidR="2B8811D8" w:rsidRPr="23B7C9FA">
        <w:rPr>
          <w:b/>
          <w:bCs/>
        </w:rPr>
        <w:t>(</w:t>
      </w:r>
      <w:r w:rsidR="2B8811D8" w:rsidRPr="007F0A44">
        <w:rPr>
          <w:rFonts w:ascii="Times New Roman" w:hAnsi="Times New Roman" w:cs="Times New Roman"/>
        </w:rPr>
        <w:t>Appendi</w:t>
      </w:r>
      <w:r w:rsidR="7D6DC741" w:rsidRPr="007F0A44">
        <w:rPr>
          <w:rFonts w:ascii="Times New Roman" w:hAnsi="Times New Roman" w:cs="Times New Roman"/>
        </w:rPr>
        <w:t>x 5 &amp; 6</w:t>
      </w:r>
      <w:r w:rsidR="2B8811D8" w:rsidRPr="23B7C9FA">
        <w:rPr>
          <w:b/>
          <w:bCs/>
        </w:rPr>
        <w:t>)</w:t>
      </w:r>
      <w:r w:rsidR="2B8811D8" w:rsidRPr="23B7C9FA">
        <w:t>, while pupil assent was treated as an ongoing process to ensure they remained willing participan</w:t>
      </w:r>
      <w:r w:rsidR="65FE9F5A" w:rsidRPr="23B7C9FA">
        <w:t xml:space="preserve">ts throughout </w:t>
      </w:r>
      <w:r w:rsidR="7119910B" w:rsidRPr="23B7C9FA">
        <w:rPr>
          <w:rFonts w:ascii="Times New Roman" w:eastAsia="Times New Roman" w:hAnsi="Times New Roman" w:cs="Times New Roman"/>
          <w:color w:val="000000" w:themeColor="text1"/>
        </w:rPr>
        <w:t>(BERA, 2024)</w:t>
      </w:r>
      <w:r w:rsidR="65FE9F5A" w:rsidRPr="23B7C9FA">
        <w:t xml:space="preserve">. </w:t>
      </w:r>
    </w:p>
    <w:p w14:paraId="7F26E86D" w14:textId="60823E9C" w:rsidR="56F2D94C" w:rsidRDefault="6961A9F2" w:rsidP="23B7C9FA">
      <w:r w:rsidRPr="23B7C9FA">
        <w:t>Confidentiality and anonymity were maintained by using pseudonyms for both individuals and the school, referred to as “School X”, ensuring no identifiable information was shared. All data colle</w:t>
      </w:r>
      <w:r w:rsidR="2CA490E1" w:rsidRPr="23B7C9FA">
        <w:t xml:space="preserve">cted was securely stored within the University’s One Drive system, which is password protected and requires authentication, and </w:t>
      </w:r>
      <w:proofErr w:type="spellStart"/>
      <w:r w:rsidR="2CA490E1" w:rsidRPr="23B7C9FA">
        <w:t>anonymised</w:t>
      </w:r>
      <w:proofErr w:type="spellEnd"/>
      <w:r w:rsidR="2CA490E1" w:rsidRPr="23B7C9FA">
        <w:t xml:space="preserve"> in line with the Data Pro</w:t>
      </w:r>
      <w:r w:rsidR="278ED8AB" w:rsidRPr="23B7C9FA">
        <w:t xml:space="preserve">tection Act (2018). </w:t>
      </w:r>
    </w:p>
    <w:p w14:paraId="3278EE9E" w14:textId="136AE573" w:rsidR="56F2D94C" w:rsidRDefault="278ED8AB" w:rsidP="23B7C9FA">
      <w:r w:rsidRPr="23B7C9FA">
        <w:t xml:space="preserve">To </w:t>
      </w:r>
      <w:proofErr w:type="spellStart"/>
      <w:r w:rsidRPr="23B7C9FA">
        <w:t>minimise</w:t>
      </w:r>
      <w:proofErr w:type="spellEnd"/>
      <w:r w:rsidRPr="23B7C9FA">
        <w:t xml:space="preserve"> unconscious bias, the research design used purposive sampling to select participants based on their direct involvement with IDPs, aiming for diverse </w:t>
      </w:r>
      <w:r w:rsidR="5C999F11" w:rsidRPr="23B7C9FA">
        <w:t xml:space="preserve">perspectives. Ethical considerations were outlined in the ethics form </w:t>
      </w:r>
      <w:r w:rsidR="5C999F11" w:rsidRPr="007F0A44">
        <w:rPr>
          <w:rFonts w:ascii="Times New Roman" w:hAnsi="Times New Roman" w:cs="Times New Roman"/>
        </w:rPr>
        <w:t xml:space="preserve">(Appendix </w:t>
      </w:r>
      <w:r w:rsidR="5C5ABF5D" w:rsidRPr="007F0A44">
        <w:rPr>
          <w:rFonts w:ascii="Times New Roman" w:hAnsi="Times New Roman" w:cs="Times New Roman"/>
        </w:rPr>
        <w:t>7</w:t>
      </w:r>
      <w:r w:rsidR="5C999F11" w:rsidRPr="007F0A44">
        <w:rPr>
          <w:rFonts w:ascii="Times New Roman" w:hAnsi="Times New Roman" w:cs="Times New Roman"/>
        </w:rPr>
        <w:t>),</w:t>
      </w:r>
      <w:r w:rsidR="5C999F11" w:rsidRPr="23B7C9FA">
        <w:t xml:space="preserve"> which detailed the steps taken to mitigate risks, uphold fairness and maintain </w:t>
      </w:r>
      <w:r w:rsidR="65635FB8" w:rsidRPr="23B7C9FA">
        <w:t xml:space="preserve">integrity. </w:t>
      </w:r>
    </w:p>
    <w:p w14:paraId="4DA1A0BB" w14:textId="105E8EAB" w:rsidR="56F2D94C" w:rsidRDefault="65635FB8" w:rsidP="23B7C9FA">
      <w:r w:rsidRPr="23B7C9FA">
        <w:t xml:space="preserve">These measures collectively ensured the study adhered to high ethical standards, providing a respectful and inclusive approach to exploring how IDPs support the social inclusion of foundation phase learners. </w:t>
      </w:r>
    </w:p>
    <w:p w14:paraId="4A42B22A" w14:textId="56E08574" w:rsidR="56F2D94C" w:rsidRDefault="56F2D94C" w:rsidP="23B7C9FA"/>
    <w:p w14:paraId="62C96644" w14:textId="6179C65C" w:rsidR="56F2D94C" w:rsidRDefault="276864D7" w:rsidP="23B7C9FA">
      <w:pPr>
        <w:rPr>
          <w:b/>
          <w:bCs/>
          <w:u w:val="single"/>
        </w:rPr>
      </w:pPr>
      <w:r w:rsidRPr="23B7C9FA">
        <w:rPr>
          <w:b/>
          <w:bCs/>
          <w:u w:val="single"/>
        </w:rPr>
        <w:t>Results.</w:t>
      </w:r>
    </w:p>
    <w:p w14:paraId="0D52170C" w14:textId="003CEFA2" w:rsidR="56F2D94C" w:rsidRDefault="00E21E27" w:rsidP="23B7C9FA">
      <w:r>
        <w:t xml:space="preserve">The results from the interviews and observations conducted </w:t>
      </w:r>
      <w:r w:rsidR="00B13779">
        <w:t xml:space="preserve">within School X has provided valuable insights </w:t>
      </w:r>
      <w:r w:rsidR="0099222F">
        <w:t>into</w:t>
      </w:r>
      <w:r w:rsidR="00B13779">
        <w:t xml:space="preserve"> how IDPs support the social integration of Foundation Phase learners. The findings highlight both the effectiveness of IDPs in fostering inclusion and the </w:t>
      </w:r>
      <w:r w:rsidR="00B13779">
        <w:lastRenderedPageBreak/>
        <w:t>challen</w:t>
      </w:r>
      <w:r w:rsidR="00C825FC">
        <w:t xml:space="preserve">ges </w:t>
      </w:r>
      <w:r w:rsidR="0099222F">
        <w:t>f</w:t>
      </w:r>
      <w:r w:rsidR="00C825FC">
        <w:t xml:space="preserve">aced in their implementation, offering a comprehensive understanding of their </w:t>
      </w:r>
      <w:r w:rsidR="0099222F">
        <w:t>impact</w:t>
      </w:r>
      <w:r w:rsidR="00C825FC">
        <w:t xml:space="preserve"> on lear</w:t>
      </w:r>
      <w:r w:rsidR="00824A66">
        <w:t xml:space="preserve">ners </w:t>
      </w:r>
      <w:r w:rsidR="003805CD">
        <w:t xml:space="preserve">and the school environment. </w:t>
      </w:r>
    </w:p>
    <w:p w14:paraId="02E242F8" w14:textId="3C3D7C6C" w:rsidR="003805CD" w:rsidRDefault="00180038" w:rsidP="23B7C9FA">
      <w:r>
        <w:t>Interviews with the ALNCO highlighted the strategic role IDPs play in supporting social development. The ALNCO explained that IDPs establish measurable social goals, including turn-taking, initiatin</w:t>
      </w:r>
      <w:r w:rsidR="00E85B46">
        <w:t xml:space="preserve">g conversations, and responding appropriately to peers. These goals often alight with frameworks </w:t>
      </w:r>
      <w:r w:rsidR="008D74A1">
        <w:t>integrated within the school, such as</w:t>
      </w:r>
      <w:r w:rsidR="00E85B46">
        <w:t xml:space="preserve"> SCERTS (Social</w:t>
      </w:r>
      <w:r w:rsidR="006B4CDC">
        <w:t xml:space="preserve"> Communication, Emotional Regulation, and Transactional Support)</w:t>
      </w:r>
      <w:r w:rsidR="004D6A40">
        <w:t xml:space="preserve"> </w:t>
      </w:r>
      <w:r w:rsidR="000542E0">
        <w:t>ensuring tailored support for each learner</w:t>
      </w:r>
      <w:r w:rsidR="00843768">
        <w:t xml:space="preserve"> </w:t>
      </w:r>
      <w:r w:rsidR="00843768" w:rsidRPr="004D6A40">
        <w:t>(</w:t>
      </w:r>
      <w:r w:rsidR="00843768" w:rsidRPr="004D6A40">
        <w:rPr>
          <w:rFonts w:ascii="Times New Roman" w:hAnsi="Times New Roman" w:cs="Times New Roman"/>
        </w:rPr>
        <w:t xml:space="preserve">Laurent and </w:t>
      </w:r>
      <w:proofErr w:type="spellStart"/>
      <w:r w:rsidR="00843768" w:rsidRPr="004D6A40">
        <w:rPr>
          <w:rFonts w:ascii="Times New Roman" w:hAnsi="Times New Roman" w:cs="Times New Roman"/>
        </w:rPr>
        <w:t>Prizant</w:t>
      </w:r>
      <w:proofErr w:type="spellEnd"/>
      <w:r w:rsidR="00843768" w:rsidRPr="004D6A40">
        <w:rPr>
          <w:rFonts w:ascii="Times New Roman" w:hAnsi="Times New Roman" w:cs="Times New Roman"/>
        </w:rPr>
        <w:t>, 2009</w:t>
      </w:r>
      <w:r w:rsidR="00843768">
        <w:rPr>
          <w:rFonts w:ascii="Times New Roman" w:hAnsi="Times New Roman" w:cs="Times New Roman"/>
        </w:rPr>
        <w:t>)</w:t>
      </w:r>
      <w:r w:rsidR="000542E0">
        <w:t>. Regular person-</w:t>
      </w:r>
      <w:r w:rsidR="001534E5">
        <w:t>centered</w:t>
      </w:r>
      <w:r w:rsidR="000542E0">
        <w:t xml:space="preserve"> planning meetings involving teachers, T</w:t>
      </w:r>
      <w:r w:rsidR="00F00F21">
        <w:t>A</w:t>
      </w:r>
      <w:r w:rsidR="000542E0">
        <w:t>s,</w:t>
      </w:r>
      <w:r w:rsidR="00F00F21">
        <w:t xml:space="preserve"> ALNCOs, parents and specialist teachers</w:t>
      </w:r>
      <w:r w:rsidR="001E592E">
        <w:t xml:space="preserve"> were described as critical to reviewing progress and refining strategies. This collaborative approach reflects inclusive education </w:t>
      </w:r>
      <w:r w:rsidR="001534E5">
        <w:t xml:space="preserve">principles outlined by the Welsh Government (2018), which </w:t>
      </w:r>
      <w:proofErr w:type="spellStart"/>
      <w:r w:rsidR="001534E5">
        <w:t>emphasise</w:t>
      </w:r>
      <w:proofErr w:type="spellEnd"/>
      <w:r w:rsidR="001534E5">
        <w:t xml:space="preserve"> multi-agency involvement to support additional learning needs effectively. </w:t>
      </w:r>
    </w:p>
    <w:p w14:paraId="6BCB3D46" w14:textId="77777777" w:rsidR="009173B1" w:rsidRDefault="00AF724A" w:rsidP="23B7C9FA">
      <w:r>
        <w:t>Teachers noted that IDPs were essential for ensuring accountability and consistency in addressing learners’ social needs. They shared examples of how IDPs guided lesson planning</w:t>
      </w:r>
      <w:r w:rsidR="000751DE">
        <w:t>, with specific activities designed to foster peer interaction and confidence-building. However, they also highlighted that the success of IDPs heavily depends on consistent implementation. Observations confirmed this, revealing instances where IDP</w:t>
      </w:r>
      <w:r w:rsidR="00465A8E">
        <w:t xml:space="preserve"> goals were </w:t>
      </w:r>
      <w:proofErr w:type="spellStart"/>
      <w:r w:rsidR="00465A8E">
        <w:t>underutilsed</w:t>
      </w:r>
      <w:proofErr w:type="spellEnd"/>
      <w:r w:rsidR="00465A8E">
        <w:t xml:space="preserve"> during classroom activities. For example, in a </w:t>
      </w:r>
      <w:r w:rsidR="00EE4B4B">
        <w:t>Nurture</w:t>
      </w:r>
      <w:r w:rsidR="00465A8E">
        <w:t xml:space="preserve"> group sessio</w:t>
      </w:r>
      <w:r w:rsidR="00EE4B4B">
        <w:t xml:space="preserve">n, a provision for students with ALN implemented within School X’s Foundation Phase, </w:t>
      </w:r>
      <w:r w:rsidR="00DC3F90">
        <w:t xml:space="preserve">students were encouraged to participate in a group singing activity. But, when one student refused to engage, staff did not attempt to redirect or adapt the activity. While the group structure allowed for smaller, focused interactions, </w:t>
      </w:r>
      <w:r w:rsidR="00F40F65">
        <w:t xml:space="preserve">such missed opportunities indicate that IDPs need to be actively reinforced during real-time </w:t>
      </w:r>
      <w:r w:rsidR="009173B1">
        <w:t>activities</w:t>
      </w:r>
      <w:r w:rsidR="00F40F65">
        <w:t>.</w:t>
      </w:r>
    </w:p>
    <w:p w14:paraId="487FA51E" w14:textId="0766B134" w:rsidR="00771779" w:rsidRDefault="00852D39" w:rsidP="23B7C9FA">
      <w:r>
        <w:t xml:space="preserve">The TA interview provided practical insights into the implementation of IDPs, particularly within Nurture group settings. </w:t>
      </w:r>
      <w:r w:rsidR="006F5845">
        <w:t xml:space="preserve">They described their role in delivering targeted interventions that focused on cooperative play and social interaction. Observations showed that these interventions helped learners build confidence and </w:t>
      </w:r>
      <w:r w:rsidR="00277A20">
        <w:t>practice</w:t>
      </w:r>
      <w:r w:rsidR="006F5845">
        <w:t xml:space="preserve"> essential social skills in a controlled environment. However, Tas expressed concerns about insufficient training and limited time to engage deeply with IDP goals</w:t>
      </w:r>
      <w:r w:rsidR="00277A20">
        <w:t>, particularly when n</w:t>
      </w:r>
      <w:r w:rsidR="002C248D">
        <w:t xml:space="preserve">egative peer relationships </w:t>
      </w:r>
      <w:r w:rsidR="002D6313">
        <w:t>disrupted</w:t>
      </w:r>
      <w:r w:rsidR="002C248D">
        <w:t xml:space="preserve"> group dynamics. For instance, the div</w:t>
      </w:r>
      <w:r w:rsidR="00B521F7">
        <w:t>ision of a Nurture group due to interpersonal conflicts reduced opportunities for broader peer engagement. These findings align with Florian and Black-Hawkins (2011), who argue that resou</w:t>
      </w:r>
      <w:r w:rsidR="002D6313">
        <w:t xml:space="preserve">rce limitations and inconsistent staff training are common barriers to effective inclusive practices. </w:t>
      </w:r>
    </w:p>
    <w:p w14:paraId="2B272B7A" w14:textId="343C2277" w:rsidR="002D6313" w:rsidRDefault="009E2168" w:rsidP="23B7C9FA">
      <w:r>
        <w:t xml:space="preserve">The ALNCO also identified challenges related to the integration of Nurture group learners into mainstream classrooms. Observations indicated that learners in the Nurture </w:t>
      </w:r>
      <w:r w:rsidR="00270BD2">
        <w:t>group</w:t>
      </w:r>
      <w:r>
        <w:t xml:space="preserve"> </w:t>
      </w:r>
      <w:r w:rsidR="00270BD2">
        <w:lastRenderedPageBreak/>
        <w:t>have</w:t>
      </w:r>
      <w:r>
        <w:t xml:space="preserve"> minimal interaction with their mainstream peers, aside from informal moments during </w:t>
      </w:r>
      <w:r w:rsidR="00270BD2">
        <w:t xml:space="preserve">shared snack times. Teachers and Tas acknowledged the importance of the Nurture group in creating a safe space </w:t>
      </w:r>
      <w:r w:rsidR="00D20D4F">
        <w:t xml:space="preserve">for learners to develop foundational skills, but they recognized the need for structured activities that bridge the gap between Nurture and mainstream settings. Booth and Ainscow (2011) </w:t>
      </w:r>
      <w:proofErr w:type="spellStart"/>
      <w:r w:rsidR="00D20D4F">
        <w:t>emphasise</w:t>
      </w:r>
      <w:proofErr w:type="spellEnd"/>
      <w:r w:rsidR="00D20D4F">
        <w:t xml:space="preserve"> that meaningful social inclusion requires participation across</w:t>
      </w:r>
      <w:r w:rsidR="003655FE">
        <w:t xml:space="preserve"> all aspects of school life, not just within specialized interventions. This disconnect suggest</w:t>
      </w:r>
      <w:r w:rsidR="00437298">
        <w:t xml:space="preserve">s that while IDPs effectively guide targeted </w:t>
      </w:r>
      <w:r w:rsidR="0067652E">
        <w:t xml:space="preserve">support, their broader </w:t>
      </w:r>
      <w:r w:rsidR="004A3E21">
        <w:t>impact</w:t>
      </w:r>
      <w:r w:rsidR="0067652E">
        <w:t xml:space="preserve"> on whole-school inclusion is limited without deliberate integration st</w:t>
      </w:r>
      <w:r w:rsidR="004A3E21">
        <w:t xml:space="preserve">rategies. </w:t>
      </w:r>
    </w:p>
    <w:p w14:paraId="45FEF18F" w14:textId="62D4E29C" w:rsidR="004A3E21" w:rsidRDefault="004A3E21" w:rsidP="23B7C9FA">
      <w:r>
        <w:t xml:space="preserve">Despite these challenges, the findings demonstrated </w:t>
      </w:r>
      <w:r w:rsidR="00A449D8">
        <w:t>multiple</w:t>
      </w:r>
      <w:r>
        <w:t xml:space="preserve"> successes. Teachers </w:t>
      </w:r>
      <w:r w:rsidR="00EE4ABB">
        <w:t>highlighted</w:t>
      </w:r>
      <w:r>
        <w:t xml:space="preserve"> how IDP</w:t>
      </w:r>
      <w:r w:rsidR="00EE4ABB">
        <w:t xml:space="preserve">s facilitated collaboration among staff and stakeholders, ensuring that social goals were </w:t>
      </w:r>
      <w:proofErr w:type="spellStart"/>
      <w:r w:rsidR="00EE4ABB">
        <w:t>pri</w:t>
      </w:r>
      <w:r w:rsidR="00301187">
        <w:t>oritised</w:t>
      </w:r>
      <w:proofErr w:type="spellEnd"/>
      <w:r w:rsidR="00EE4ABB">
        <w:t xml:space="preserve"> for learners who might otherwise be overlooked. </w:t>
      </w:r>
      <w:r w:rsidR="00AA519A">
        <w:t xml:space="preserve">The ALNCO noted that IDPs </w:t>
      </w:r>
      <w:r w:rsidR="00690540">
        <w:t xml:space="preserve">had raised awareness about the importance of social development alongside academic progress, leading to a positive shift in </w:t>
      </w:r>
      <w:r w:rsidR="00A04114">
        <w:t>school-wide practices. T</w:t>
      </w:r>
      <w:r w:rsidR="00943755">
        <w:t>A</w:t>
      </w:r>
      <w:r w:rsidR="00A04114">
        <w:t xml:space="preserve">s appreciated the </w:t>
      </w:r>
      <w:r w:rsidR="00943755">
        <w:t>clarity</w:t>
      </w:r>
      <w:r w:rsidR="00A04114">
        <w:t xml:space="preserve"> of IDP goals, which allowed them to focus their efforts effectively </w:t>
      </w:r>
      <w:r w:rsidR="002802E7">
        <w:t xml:space="preserve">during interventions. Observational data supported this, showing that activities aligned with IDP goals </w:t>
      </w:r>
      <w:r w:rsidR="00DB7D54">
        <w:t xml:space="preserve">often led to meaningful peer interactions and improved confidence among learners. </w:t>
      </w:r>
    </w:p>
    <w:p w14:paraId="5B81B6C0" w14:textId="77777777" w:rsidR="00164841" w:rsidRDefault="00373894" w:rsidP="23B7C9FA">
      <w:r>
        <w:t xml:space="preserve">Workload pressures were a recurring theme in the interviews. </w:t>
      </w:r>
      <w:r w:rsidR="00566B2E">
        <w:t>Teachers and TAs identified a need for additional staff training and resources</w:t>
      </w:r>
      <w:r w:rsidR="00B3081C">
        <w:t xml:space="preserve"> to support the consistent implementation of IDPs. The ALNCO echoed these concerns, pointing out that admin</w:t>
      </w:r>
      <w:r w:rsidR="006628ED">
        <w:t xml:space="preserve">istrative </w:t>
      </w:r>
      <w:r w:rsidR="00E24EFF">
        <w:t>burdens</w:t>
      </w:r>
      <w:r w:rsidR="006628ED">
        <w:t xml:space="preserve"> often </w:t>
      </w:r>
      <w:r w:rsidR="00E24EFF">
        <w:t>limited</w:t>
      </w:r>
      <w:r w:rsidR="006628ED">
        <w:t xml:space="preserve"> </w:t>
      </w:r>
      <w:r w:rsidR="00E24EFF">
        <w:t xml:space="preserve">the time available for staff to review and act on IDP targets. This reflects Mitchell’s (2014) argument that </w:t>
      </w:r>
      <w:r w:rsidR="00E34267">
        <w:t>successful in</w:t>
      </w:r>
      <w:r w:rsidR="008E75D1">
        <w:t xml:space="preserve">clusion requires sustained investment in resources and professional development. </w:t>
      </w:r>
      <w:r w:rsidR="00076467">
        <w:t xml:space="preserve">Without sufficient support, the effectiveness of IDPs in promoting social </w:t>
      </w:r>
      <w:r w:rsidR="00164841">
        <w:t>integration</w:t>
      </w:r>
      <w:r w:rsidR="00076467">
        <w:t xml:space="preserve"> may be signi</w:t>
      </w:r>
      <w:r w:rsidR="00164841">
        <w:t>ficantly limited.</w:t>
      </w:r>
    </w:p>
    <w:p w14:paraId="5BA8AF42" w14:textId="3794E316" w:rsidR="002E373E" w:rsidRDefault="00164841" w:rsidP="23B7C9FA">
      <w:r>
        <w:t xml:space="preserve">Finally, the findings also </w:t>
      </w:r>
      <w:r w:rsidR="00A020D1">
        <w:t>revealed</w:t>
      </w:r>
      <w:r>
        <w:t xml:space="preserve"> that IDPs played a role in shifting the school’s culture towards greater inclusivity. Teachers</w:t>
      </w:r>
      <w:r w:rsidR="00995687">
        <w:t xml:space="preserve">, </w:t>
      </w:r>
      <w:r w:rsidR="00EB11AA">
        <w:t>TAs and</w:t>
      </w:r>
      <w:r w:rsidR="00A020D1">
        <w:t xml:space="preserve"> the ALNCO noted that IDPS encouraged staff to view social development as an </w:t>
      </w:r>
      <w:r w:rsidR="00FE7E29">
        <w:t>integral part of education, rather than an add-on t</w:t>
      </w:r>
      <w:r w:rsidR="00ED46F3">
        <w:t>o</w:t>
      </w:r>
      <w:r w:rsidR="00FE7E29">
        <w:t xml:space="preserve"> academic learning. </w:t>
      </w:r>
      <w:r w:rsidR="00A45B1E" w:rsidRPr="00A45B1E">
        <w:t>The collaborative approach of person-centered planning meetings and the staff’s willingness to adapt their practices demonstrated their commitment to addressing learners’ individual needs. However, achieving inclusive practices throughout the school requires addressing systemic challenges, including resource constraints and the limited integration between Nurture groups and mainstream classrooms.</w:t>
      </w:r>
    </w:p>
    <w:p w14:paraId="4884EE32" w14:textId="077D44F6" w:rsidR="001534E5" w:rsidRDefault="00F40F65" w:rsidP="23B7C9FA">
      <w:r>
        <w:t xml:space="preserve"> </w:t>
      </w:r>
    </w:p>
    <w:p w14:paraId="172BC929" w14:textId="77777777" w:rsidR="00386B1F" w:rsidRDefault="00386B1F" w:rsidP="23B7C9FA"/>
    <w:p w14:paraId="1EB7F275" w14:textId="21536D97" w:rsidR="56F2D94C" w:rsidRDefault="276864D7" w:rsidP="23B7C9FA">
      <w:pPr>
        <w:rPr>
          <w:b/>
          <w:bCs/>
          <w:u w:val="single"/>
        </w:rPr>
      </w:pPr>
      <w:r w:rsidRPr="23B7C9FA">
        <w:rPr>
          <w:b/>
          <w:bCs/>
          <w:u w:val="single"/>
        </w:rPr>
        <w:lastRenderedPageBreak/>
        <w:t>Conclusions.</w:t>
      </w:r>
    </w:p>
    <w:p w14:paraId="7CB62FB7" w14:textId="77777777" w:rsidR="007C3C7B" w:rsidRDefault="005D7EB0" w:rsidP="23B7C9FA">
      <w:r>
        <w:t>In conclusion, t</w:t>
      </w:r>
      <w:r w:rsidR="00B118B1">
        <w:t>he methods used to collect data</w:t>
      </w:r>
      <w:r w:rsidR="00397821">
        <w:t>, such as thematic analysis of interviews an</w:t>
      </w:r>
      <w:r>
        <w:t>d</w:t>
      </w:r>
      <w:r w:rsidR="00397821">
        <w:t xml:space="preserve"> observations, were reliable within the context of this study. These methods provided </w:t>
      </w:r>
      <w:r>
        <w:t>in-depth insights into how IDPs support social integration in Foundation Phase learners. However</w:t>
      </w:r>
      <w:r w:rsidR="00225A5B">
        <w:t>, the exclusion of questionnaires due to low responses highlights a limitation in data collection</w:t>
      </w:r>
      <w:r w:rsidR="009F1CF1">
        <w:t xml:space="preserve"> suggesting the need for alternative approaches, such as focus groups, in future studies.</w:t>
      </w:r>
    </w:p>
    <w:p w14:paraId="15CD2827" w14:textId="7DD25438" w:rsidR="003E2788" w:rsidRDefault="007C3C7B" w:rsidP="23B7C9FA">
      <w:r w:rsidRPr="007C3C7B">
        <w:t>This study focused exclusively on Foundation Phase learners, which provided valuable insights into early social integration but limited its scope. Expanding future research to include Key Stage 2 learners could offer a more comprehensive understanding of how IDPs support social development across different age groups.</w:t>
      </w:r>
      <w:r w:rsidR="009F1CF1">
        <w:t xml:space="preserve"> </w:t>
      </w:r>
    </w:p>
    <w:p w14:paraId="46AAE53B" w14:textId="588F6023" w:rsidR="56F2D94C" w:rsidRDefault="00A3508D" w:rsidP="23B7C9FA">
      <w:r>
        <w:t>While the methods worked well in this context, the findings may not be generalized to other schools as factors such as staff training, resources, and school demographics may vary.</w:t>
      </w:r>
      <w:r w:rsidR="003E2788">
        <w:t xml:space="preserve"> </w:t>
      </w:r>
      <w:r w:rsidR="009941CE">
        <w:t>Future</w:t>
      </w:r>
      <w:r w:rsidR="003E2788">
        <w:t xml:space="preserve"> research </w:t>
      </w:r>
      <w:r w:rsidR="009941CE">
        <w:t>could</w:t>
      </w:r>
      <w:r w:rsidR="003E2788">
        <w:t xml:space="preserve"> address this by including a larger sample size across multiple sc</w:t>
      </w:r>
      <w:r w:rsidR="009941CE">
        <w:t xml:space="preserve">hools and adopting a longitudinal approach to examine the sustained impact of IDPs on social integration. </w:t>
      </w:r>
    </w:p>
    <w:p w14:paraId="1743DC84" w14:textId="1A448F3E" w:rsidR="00A3508D" w:rsidRDefault="008B3D11" w:rsidP="23B7C9FA">
      <w:r>
        <w:t xml:space="preserve">Furthermore, this study aligns with the Professional Standards by promoting inclusive practices (Professional Values) and fostering evidence-based approaches to teaching (Professional Knowledge). Further development of research skills will support reflective practice and contribute to creating more inclusive and effective learning environments. </w:t>
      </w:r>
    </w:p>
    <w:p w14:paraId="00CBAA4A" w14:textId="622888A4" w:rsidR="56F2D94C" w:rsidRDefault="56F2D94C" w:rsidP="23B7C9FA"/>
    <w:p w14:paraId="1841F56A" w14:textId="3F98405F" w:rsidR="56F2D94C" w:rsidRDefault="276864D7" w:rsidP="23B7C9FA">
      <w:r w:rsidRPr="23B7C9FA">
        <w:rPr>
          <w:b/>
          <w:bCs/>
          <w:u w:val="single"/>
        </w:rPr>
        <w:t>Recommendations.</w:t>
      </w:r>
      <w:r w:rsidRPr="23B7C9FA">
        <w:t xml:space="preserve"> </w:t>
      </w:r>
    </w:p>
    <w:p w14:paraId="7E32A6DA" w14:textId="59BD2FA1" w:rsidR="56F2D94C" w:rsidRDefault="0009017A" w:rsidP="23B7C9FA">
      <w:r>
        <w:t xml:space="preserve">Based on the findings, recommendations are proposed </w:t>
      </w:r>
      <w:proofErr w:type="gramStart"/>
      <w:r>
        <w:t>in order to</w:t>
      </w:r>
      <w:proofErr w:type="gramEnd"/>
      <w:r>
        <w:t xml:space="preserve"> enhance the effectiveness of IDPs in supporting social integration for Foundation Phase learners.</w:t>
      </w:r>
    </w:p>
    <w:p w14:paraId="29E93E45" w14:textId="0001EF42" w:rsidR="0009017A" w:rsidRDefault="0009017A" w:rsidP="23B7C9FA">
      <w:r>
        <w:t xml:space="preserve">Firstly, the Nurture provision should be </w:t>
      </w:r>
      <w:proofErr w:type="spellStart"/>
      <w:r w:rsidR="00785C7E">
        <w:t>prioriti</w:t>
      </w:r>
      <w:r w:rsidR="007F0A44">
        <w:t>s</w:t>
      </w:r>
      <w:r w:rsidR="00785C7E">
        <w:t>ed</w:t>
      </w:r>
      <w:proofErr w:type="spellEnd"/>
      <w:r w:rsidR="00785C7E">
        <w:t xml:space="preserve"> by creating stronger links between the Nurture group and mainstream classrooms. Structured activities, such as peer mentoring schemes</w:t>
      </w:r>
      <w:r w:rsidR="002C08CD">
        <w:t xml:space="preserve"> or collaborative play sessions could foster broader social networks and promote a sense of belonging. T</w:t>
      </w:r>
      <w:r w:rsidR="00F97A66">
        <w:t>o support this, the Nurture group requires a more secure and dedicated space that ensures a calm, consistent environment for learners to develop social and emotional skills. This secure space would provide stability</w:t>
      </w:r>
      <w:r w:rsidR="007F264F">
        <w:t xml:space="preserve"> and help reduce barriers to participation in the wider school community. Additionally, the Nurture provision should be </w:t>
      </w:r>
      <w:proofErr w:type="spellStart"/>
      <w:r w:rsidR="007F264F">
        <w:t>prioritised</w:t>
      </w:r>
      <w:proofErr w:type="spellEnd"/>
      <w:r w:rsidR="007F264F">
        <w:t xml:space="preserve"> within the school’s budget to ensure sufficient resources, including appropriate staffing levels, materials, and training opportunities. By investing in these </w:t>
      </w:r>
      <w:r w:rsidR="007F264F">
        <w:lastRenderedPageBreak/>
        <w:t xml:space="preserve">areas, schools can better integrate Nurture group learners into mainstream activities and create a more inclusive, supportive environment that benefits all students. </w:t>
      </w:r>
    </w:p>
    <w:p w14:paraId="333133A9" w14:textId="2D6BCA27" w:rsidR="00F619C8" w:rsidRPr="00F619C8" w:rsidRDefault="00F619C8" w:rsidP="00F619C8">
      <w:pPr>
        <w:rPr>
          <w:lang w:val="en-GB"/>
        </w:rPr>
      </w:pPr>
      <w:r w:rsidRPr="00F619C8">
        <w:rPr>
          <w:lang w:val="en-GB"/>
        </w:rPr>
        <w:t>Secondly, staff well-being and professional development must be prioritised. Providing training on strategies to actively reinforce IDP social goals and manage group dynamics is essential. Additionally, reducing workload pressures by streamlining administrative processes or increasing staffing levels would allow teachers and teaching assistants more time to focus on implementing IDP objectives effectively.</w:t>
      </w:r>
    </w:p>
    <w:p w14:paraId="0197B79C" w14:textId="77777777" w:rsidR="00F619C8" w:rsidRPr="00F619C8" w:rsidRDefault="00F619C8" w:rsidP="00F619C8">
      <w:pPr>
        <w:rPr>
          <w:lang w:val="en-GB"/>
        </w:rPr>
      </w:pPr>
      <w:r w:rsidRPr="00F619C8">
        <w:rPr>
          <w:lang w:val="en-GB"/>
        </w:rPr>
        <w:t>Finally, the findings highlight the potential for further research into the long-term impact of IDPs on social integration. Expanding the study to include learners in Key Stage 2 could provide a broader understanding of how social goals develop over time and the effectiveness of IDPs across different age groups. These recommendations aim to build on the current study and foster a more inclusive and supportive school environment.</w:t>
      </w:r>
    </w:p>
    <w:p w14:paraId="17E61494" w14:textId="77777777" w:rsidR="007F264F" w:rsidRDefault="007F264F" w:rsidP="23B7C9FA"/>
    <w:p w14:paraId="0230A586" w14:textId="7D703FA9" w:rsidR="00320D62" w:rsidRDefault="004C17DB" w:rsidP="23B7C9FA">
      <w:r w:rsidRPr="00386B1F">
        <w:rPr>
          <w:b/>
          <w:bCs/>
        </w:rPr>
        <w:t>Word Count:</w:t>
      </w:r>
      <w:r>
        <w:t xml:space="preserve"> 4115</w:t>
      </w:r>
      <w:r w:rsidR="00386B1F">
        <w:t>.</w:t>
      </w:r>
    </w:p>
    <w:p w14:paraId="7F3F50F3" w14:textId="56473DF0" w:rsidR="004C17DB" w:rsidRDefault="004C17DB" w:rsidP="23B7C9FA">
      <w:r w:rsidRPr="00386B1F">
        <w:rPr>
          <w:b/>
          <w:bCs/>
        </w:rPr>
        <w:t xml:space="preserve">Including Subheadings: </w:t>
      </w:r>
      <w:r w:rsidR="00386B1F">
        <w:t>4133.</w:t>
      </w:r>
    </w:p>
    <w:p w14:paraId="0FE1EE64" w14:textId="77777777" w:rsidR="00320D62" w:rsidRDefault="00320D62" w:rsidP="23B7C9FA"/>
    <w:p w14:paraId="688A5348" w14:textId="77777777" w:rsidR="00320D62" w:rsidRDefault="00320D62" w:rsidP="23B7C9FA"/>
    <w:p w14:paraId="16DA5EEE" w14:textId="77777777" w:rsidR="00320D62" w:rsidRDefault="00320D62" w:rsidP="23B7C9FA"/>
    <w:p w14:paraId="777DFC6C" w14:textId="77777777" w:rsidR="00320D62" w:rsidRDefault="00320D62" w:rsidP="23B7C9FA"/>
    <w:p w14:paraId="201926EC" w14:textId="77777777" w:rsidR="00320D62" w:rsidRDefault="00320D62" w:rsidP="23B7C9FA"/>
    <w:p w14:paraId="40AC6073" w14:textId="77777777" w:rsidR="00320D62" w:rsidRDefault="00320D62" w:rsidP="23B7C9FA"/>
    <w:p w14:paraId="13F4DC44" w14:textId="77777777" w:rsidR="00320D62" w:rsidRDefault="00320D62" w:rsidP="23B7C9FA"/>
    <w:p w14:paraId="703F2B7B" w14:textId="77777777" w:rsidR="00320D62" w:rsidRDefault="00320D62" w:rsidP="23B7C9FA"/>
    <w:p w14:paraId="773A66BF" w14:textId="77777777" w:rsidR="00320D62" w:rsidRDefault="00320D62" w:rsidP="23B7C9FA"/>
    <w:p w14:paraId="79693E05" w14:textId="77777777" w:rsidR="00320D62" w:rsidRDefault="00320D62" w:rsidP="23B7C9FA"/>
    <w:p w14:paraId="3E36CA8E" w14:textId="77777777" w:rsidR="00320D62" w:rsidRDefault="00320D62" w:rsidP="23B7C9FA"/>
    <w:p w14:paraId="082E2E2E" w14:textId="77777777" w:rsidR="00320D62" w:rsidRDefault="00320D62" w:rsidP="23B7C9FA"/>
    <w:p w14:paraId="31226BCA" w14:textId="77777777" w:rsidR="00320D62" w:rsidRDefault="00320D62" w:rsidP="23B7C9FA"/>
    <w:p w14:paraId="7C123D53" w14:textId="77777777" w:rsidR="00320D62" w:rsidRDefault="00320D62" w:rsidP="23B7C9FA"/>
    <w:p w14:paraId="373FF0E8" w14:textId="7F823BD9" w:rsidR="00320D62" w:rsidRPr="00320D62" w:rsidRDefault="00A3508D" w:rsidP="00320D62">
      <w:pPr>
        <w:rPr>
          <w:b/>
          <w:bCs/>
          <w:u w:val="single"/>
        </w:rPr>
      </w:pPr>
      <w:r w:rsidRPr="23B7C9FA">
        <w:rPr>
          <w:b/>
          <w:bCs/>
          <w:u w:val="single"/>
        </w:rPr>
        <w:lastRenderedPageBreak/>
        <w:t>Re</w:t>
      </w:r>
      <w:r>
        <w:rPr>
          <w:b/>
          <w:bCs/>
          <w:u w:val="single"/>
        </w:rPr>
        <w:t>ference List.</w:t>
      </w:r>
    </w:p>
    <w:p w14:paraId="2B09CB80" w14:textId="77777777" w:rsidR="00320D62" w:rsidRPr="00320D62" w:rsidRDefault="00320D62" w:rsidP="00320D62">
      <w:pPr>
        <w:rPr>
          <w:lang w:val="en-GB"/>
        </w:rPr>
      </w:pPr>
      <w:r w:rsidRPr="00320D62">
        <w:rPr>
          <w:lang w:val="en-GB"/>
        </w:rPr>
        <w:t>BERA (2024). </w:t>
      </w:r>
      <w:r w:rsidRPr="00320D62">
        <w:rPr>
          <w:i/>
          <w:iCs/>
          <w:lang w:val="en-GB"/>
        </w:rPr>
        <w:t>Ethical Guidelines for Educational Research, fifth edition (2024)</w:t>
      </w:r>
      <w:r w:rsidRPr="00320D62">
        <w:rPr>
          <w:lang w:val="en-GB"/>
        </w:rPr>
        <w:t>. [online] www.bera.ac.uk. Available at: https://www.bera.ac.uk/publication/ethical-guidelines-for-educational-research-fifth-edition-2024-online.</w:t>
      </w:r>
    </w:p>
    <w:p w14:paraId="31D0B176" w14:textId="77777777" w:rsidR="00320D62" w:rsidRPr="00320D62" w:rsidRDefault="00320D62" w:rsidP="00320D62">
      <w:pPr>
        <w:rPr>
          <w:lang w:val="en-GB"/>
        </w:rPr>
      </w:pPr>
      <w:r w:rsidRPr="00320D62">
        <w:rPr>
          <w:lang w:val="en-GB"/>
        </w:rPr>
        <w:t>Booth, T. and Ainscow, M. (2011). </w:t>
      </w:r>
      <w:r w:rsidRPr="00320D62">
        <w:rPr>
          <w:i/>
          <w:iCs/>
          <w:lang w:val="en-GB"/>
        </w:rPr>
        <w:t>The Index for Inclusion: Developing Learning and Participation in Schools</w:t>
      </w:r>
      <w:r w:rsidRPr="00320D62">
        <w:rPr>
          <w:lang w:val="en-GB"/>
        </w:rPr>
        <w:t>. 3rd ed. Bristol: Centre for Studies on Inclusive Education (CSIE).</w:t>
      </w:r>
    </w:p>
    <w:p w14:paraId="2E34CC0B" w14:textId="77777777" w:rsidR="00320D62" w:rsidRPr="00320D62" w:rsidRDefault="00320D62" w:rsidP="00320D62">
      <w:pPr>
        <w:rPr>
          <w:lang w:val="en-GB"/>
        </w:rPr>
      </w:pPr>
      <w:r w:rsidRPr="00320D62">
        <w:rPr>
          <w:lang w:val="en-GB"/>
        </w:rPr>
        <w:t>Braun, V. and Clarke, V. (2006). ‘Using thematic analysis in psychology’. </w:t>
      </w:r>
      <w:r w:rsidRPr="00320D62">
        <w:rPr>
          <w:i/>
          <w:iCs/>
          <w:lang w:val="en-GB"/>
        </w:rPr>
        <w:t>Qualitative Research in Psychology</w:t>
      </w:r>
      <w:r w:rsidRPr="00320D62">
        <w:rPr>
          <w:lang w:val="en-GB"/>
        </w:rPr>
        <w:t>, 3(2), pp.77–101.</w:t>
      </w:r>
    </w:p>
    <w:p w14:paraId="3A84831C" w14:textId="77777777" w:rsidR="00320D62" w:rsidRPr="00320D62" w:rsidRDefault="00320D62" w:rsidP="00320D62">
      <w:pPr>
        <w:rPr>
          <w:lang w:val="en-GB"/>
        </w:rPr>
      </w:pPr>
      <w:r w:rsidRPr="00320D62">
        <w:rPr>
          <w:lang w:val="en-GB"/>
        </w:rPr>
        <w:t>Bryman, A. (2016). </w:t>
      </w:r>
      <w:r w:rsidRPr="00320D62">
        <w:rPr>
          <w:i/>
          <w:iCs/>
          <w:lang w:val="en-GB"/>
        </w:rPr>
        <w:t>Social Research Methods</w:t>
      </w:r>
      <w:r w:rsidRPr="00320D62">
        <w:rPr>
          <w:lang w:val="en-GB"/>
        </w:rPr>
        <w:t>. 5th ed. London: Oxford University Press.</w:t>
      </w:r>
    </w:p>
    <w:p w14:paraId="08A69D18" w14:textId="77777777" w:rsidR="00320D62" w:rsidRPr="00320D62" w:rsidRDefault="00320D62" w:rsidP="00320D62">
      <w:pPr>
        <w:rPr>
          <w:lang w:val="en-GB"/>
        </w:rPr>
      </w:pPr>
      <w:r w:rsidRPr="00320D62">
        <w:rPr>
          <w:lang w:val="en-GB"/>
        </w:rPr>
        <w:t>Clark, A. and Moss, P. (2011). </w:t>
      </w:r>
      <w:r w:rsidRPr="00320D62">
        <w:rPr>
          <w:i/>
          <w:iCs/>
          <w:lang w:val="en-GB"/>
        </w:rPr>
        <w:t>Listening to Young Children: The Mosaic Approach</w:t>
      </w:r>
      <w:r w:rsidRPr="00320D62">
        <w:rPr>
          <w:lang w:val="en-GB"/>
        </w:rPr>
        <w:t>. 2nd ed. London: National Children’s Bureau.</w:t>
      </w:r>
    </w:p>
    <w:p w14:paraId="7AE565FA" w14:textId="77777777" w:rsidR="00320D62" w:rsidRPr="00320D62" w:rsidRDefault="00320D62" w:rsidP="00320D62">
      <w:pPr>
        <w:rPr>
          <w:lang w:val="en-GB"/>
        </w:rPr>
      </w:pPr>
      <w:r w:rsidRPr="00320D62">
        <w:rPr>
          <w:lang w:val="en-GB"/>
        </w:rPr>
        <w:t>Cohen, L., Manion, L. and Morrison, K. (2018). </w:t>
      </w:r>
      <w:r w:rsidRPr="00320D62">
        <w:rPr>
          <w:i/>
          <w:iCs/>
          <w:lang w:val="en-GB"/>
        </w:rPr>
        <w:t>Research Methods in Education</w:t>
      </w:r>
      <w:r w:rsidRPr="00320D62">
        <w:rPr>
          <w:lang w:val="en-GB"/>
        </w:rPr>
        <w:t>. 8th ed. London: Routledge.</w:t>
      </w:r>
    </w:p>
    <w:p w14:paraId="4D8613DE" w14:textId="77777777" w:rsidR="00320D62" w:rsidRPr="00320D62" w:rsidRDefault="00320D62" w:rsidP="00320D62">
      <w:pPr>
        <w:rPr>
          <w:lang w:val="en-GB"/>
        </w:rPr>
      </w:pPr>
      <w:r w:rsidRPr="00320D62">
        <w:rPr>
          <w:lang w:val="en-GB"/>
        </w:rPr>
        <w:t>Creswell, J.W. (2013). </w:t>
      </w:r>
      <w:r w:rsidRPr="00320D62">
        <w:rPr>
          <w:i/>
          <w:iCs/>
          <w:lang w:val="en-GB"/>
        </w:rPr>
        <w:t>Qualitative Inquiry and Research Design: Choosing Among Five Approaches</w:t>
      </w:r>
      <w:r w:rsidRPr="00320D62">
        <w:rPr>
          <w:lang w:val="en-GB"/>
        </w:rPr>
        <w:t>. 3rd ed. Sage Publications.</w:t>
      </w:r>
    </w:p>
    <w:p w14:paraId="2BB502A4" w14:textId="77777777" w:rsidR="00320D62" w:rsidRPr="00320D62" w:rsidRDefault="00320D62" w:rsidP="00320D62">
      <w:pPr>
        <w:rPr>
          <w:lang w:val="en-GB"/>
        </w:rPr>
      </w:pPr>
      <w:r w:rsidRPr="00320D62">
        <w:rPr>
          <w:lang w:val="en-GB"/>
        </w:rPr>
        <w:t>Creswell, J.W. and Creswell, J.D. (2018). </w:t>
      </w:r>
      <w:r w:rsidRPr="00320D62">
        <w:rPr>
          <w:i/>
          <w:iCs/>
          <w:lang w:val="en-GB"/>
        </w:rPr>
        <w:t>Research Design: Qualitative, Quantitative and Mixed Methods Approaches</w:t>
      </w:r>
      <w:r w:rsidRPr="00320D62">
        <w:rPr>
          <w:lang w:val="en-GB"/>
        </w:rPr>
        <w:t>. 5th ed. London: SAGE Publications.</w:t>
      </w:r>
    </w:p>
    <w:p w14:paraId="5A3322FF" w14:textId="77777777" w:rsidR="00320D62" w:rsidRPr="00320D62" w:rsidRDefault="00320D62" w:rsidP="00320D62">
      <w:pPr>
        <w:rPr>
          <w:lang w:val="en-GB"/>
        </w:rPr>
      </w:pPr>
      <w:r w:rsidRPr="00320D62">
        <w:rPr>
          <w:lang w:val="en-GB"/>
        </w:rPr>
        <w:t>Denscombe, M. (2017). </w:t>
      </w:r>
      <w:r w:rsidRPr="00320D62">
        <w:rPr>
          <w:i/>
          <w:iCs/>
          <w:lang w:val="en-GB"/>
        </w:rPr>
        <w:t>The Good Research Guide: For Small-Scale Social Research Projects</w:t>
      </w:r>
      <w:r w:rsidRPr="00320D62">
        <w:rPr>
          <w:lang w:val="en-GB"/>
        </w:rPr>
        <w:t>. 6th ed. London: McGraw-Hill Education.</w:t>
      </w:r>
    </w:p>
    <w:p w14:paraId="76D26D2C" w14:textId="77777777" w:rsidR="00320D62" w:rsidRPr="00320D62" w:rsidRDefault="00320D62" w:rsidP="00320D62">
      <w:pPr>
        <w:rPr>
          <w:lang w:val="en-GB"/>
        </w:rPr>
      </w:pPr>
      <w:r w:rsidRPr="00320D62">
        <w:rPr>
          <w:lang w:val="en-GB"/>
        </w:rPr>
        <w:t>Donaldson, G. (2015). </w:t>
      </w:r>
      <w:r w:rsidRPr="00320D62">
        <w:rPr>
          <w:i/>
          <w:iCs/>
          <w:lang w:val="en-GB"/>
        </w:rPr>
        <w:t>Successful Futures: Independent Review of Curriculum and Assessment Arrangements in Wales</w:t>
      </w:r>
      <w:r w:rsidRPr="00320D62">
        <w:rPr>
          <w:lang w:val="en-GB"/>
        </w:rPr>
        <w:t>. Welsh Government.</w:t>
      </w:r>
    </w:p>
    <w:p w14:paraId="01B31757" w14:textId="77777777" w:rsidR="00320D62" w:rsidRPr="00320D62" w:rsidRDefault="00320D62" w:rsidP="00320D62">
      <w:pPr>
        <w:rPr>
          <w:lang w:val="en-GB"/>
        </w:rPr>
      </w:pPr>
      <w:r w:rsidRPr="00320D62">
        <w:rPr>
          <w:lang w:val="en-GB"/>
        </w:rPr>
        <w:t>Estyn (2023). </w:t>
      </w:r>
      <w:r w:rsidRPr="00320D62">
        <w:rPr>
          <w:i/>
          <w:iCs/>
          <w:lang w:val="en-GB"/>
        </w:rPr>
        <w:t>Report summary for parents and carers on (School X) Community Primary School</w:t>
      </w:r>
      <w:r w:rsidRPr="00320D62">
        <w:rPr>
          <w:lang w:val="en-GB"/>
        </w:rPr>
        <w:t>. [online] Available at: https://estyn.gov.wales/system/files/2023-08/Parents%20and%20carers%20-%20Inspection%20Report%20-%</w:t>
      </w:r>
      <w:r w:rsidRPr="00320D62">
        <w:rPr>
          <w:highlight w:val="black"/>
          <w:lang w:val="en-GB"/>
        </w:rPr>
        <w:t>20St%20Thomas%20Community%20Primary%20School</w:t>
      </w:r>
      <w:r w:rsidRPr="00320D62">
        <w:rPr>
          <w:lang w:val="en-GB"/>
        </w:rPr>
        <w:t>%202023.pdf [Accessed 21 Nov. 2024].</w:t>
      </w:r>
    </w:p>
    <w:p w14:paraId="4E931CBA" w14:textId="77777777" w:rsidR="00320D62" w:rsidRPr="00320D62" w:rsidRDefault="00320D62" w:rsidP="00320D62">
      <w:pPr>
        <w:rPr>
          <w:lang w:val="en-GB"/>
        </w:rPr>
      </w:pPr>
      <w:r w:rsidRPr="00320D62">
        <w:rPr>
          <w:lang w:val="en-GB"/>
        </w:rPr>
        <w:t>Florian, L. and Black-Hawkins, K. (2011). Exploring inclusive pedagogy: Creating inclusive learning environments. </w:t>
      </w:r>
      <w:r w:rsidRPr="00320D62">
        <w:rPr>
          <w:i/>
          <w:iCs/>
          <w:lang w:val="en-GB"/>
        </w:rPr>
        <w:t>Cambridge Journal of Education</w:t>
      </w:r>
      <w:r w:rsidRPr="00320D62">
        <w:rPr>
          <w:lang w:val="en-GB"/>
        </w:rPr>
        <w:t>, 41(2), pp.177–198.</w:t>
      </w:r>
    </w:p>
    <w:p w14:paraId="7CC1E748" w14:textId="77777777" w:rsidR="00320D62" w:rsidRPr="00320D62" w:rsidRDefault="00320D62" w:rsidP="00320D62">
      <w:pPr>
        <w:rPr>
          <w:lang w:val="en-GB"/>
        </w:rPr>
      </w:pPr>
      <w:r w:rsidRPr="00320D62">
        <w:rPr>
          <w:lang w:val="en-GB"/>
        </w:rPr>
        <w:t>Gov.UK (2018). </w:t>
      </w:r>
      <w:r w:rsidRPr="00320D62">
        <w:rPr>
          <w:i/>
          <w:iCs/>
          <w:lang w:val="en-GB"/>
        </w:rPr>
        <w:t>Data Protection Act</w:t>
      </w:r>
      <w:r w:rsidRPr="00320D62">
        <w:rPr>
          <w:lang w:val="en-GB"/>
        </w:rPr>
        <w:t>. [online] GOV.UK. Available at: https://www.gov.uk/data-protection.</w:t>
      </w:r>
    </w:p>
    <w:p w14:paraId="35D2B296" w14:textId="77777777" w:rsidR="00320D62" w:rsidRPr="00320D62" w:rsidRDefault="00320D62" w:rsidP="00320D62">
      <w:pPr>
        <w:rPr>
          <w:lang w:val="en-GB"/>
        </w:rPr>
      </w:pPr>
      <w:r w:rsidRPr="00320D62">
        <w:rPr>
          <w:lang w:val="en-GB"/>
        </w:rPr>
        <w:lastRenderedPageBreak/>
        <w:t>Humphrey, N. and Symes, W. (2013). Inclusive education strategies: Peer support programmes and their impact on social inclusion. </w:t>
      </w:r>
      <w:r w:rsidRPr="00320D62">
        <w:rPr>
          <w:i/>
          <w:iCs/>
          <w:lang w:val="en-GB"/>
        </w:rPr>
        <w:t>Educational Psychology in Practice</w:t>
      </w:r>
      <w:r w:rsidRPr="00320D62">
        <w:rPr>
          <w:lang w:val="en-GB"/>
        </w:rPr>
        <w:t>, 29(3), pp.203–214.</w:t>
      </w:r>
    </w:p>
    <w:p w14:paraId="6F1A00E0" w14:textId="77777777" w:rsidR="00320D62" w:rsidRPr="00320D62" w:rsidRDefault="00320D62" w:rsidP="00320D62">
      <w:pPr>
        <w:rPr>
          <w:lang w:val="en-GB"/>
        </w:rPr>
      </w:pPr>
      <w:proofErr w:type="spellStart"/>
      <w:r w:rsidRPr="00320D62">
        <w:rPr>
          <w:lang w:val="en-GB"/>
        </w:rPr>
        <w:t>Krumpal</w:t>
      </w:r>
      <w:proofErr w:type="spellEnd"/>
      <w:r w:rsidRPr="00320D62">
        <w:rPr>
          <w:lang w:val="en-GB"/>
        </w:rPr>
        <w:t>, I. (2013). 'Determinants of social desirability bias in sensitive surveys: A literature review. </w:t>
      </w:r>
      <w:r w:rsidRPr="00320D62">
        <w:rPr>
          <w:i/>
          <w:iCs/>
          <w:lang w:val="en-GB"/>
        </w:rPr>
        <w:t>Quality &amp; Quantity</w:t>
      </w:r>
      <w:r w:rsidRPr="00320D62">
        <w:rPr>
          <w:lang w:val="en-GB"/>
        </w:rPr>
        <w:t>, 47(4), pp.2025–2047.</w:t>
      </w:r>
    </w:p>
    <w:p w14:paraId="53A09027" w14:textId="77777777" w:rsidR="00320D62" w:rsidRPr="00320D62" w:rsidRDefault="00320D62" w:rsidP="00320D62">
      <w:pPr>
        <w:rPr>
          <w:lang w:val="en-GB"/>
        </w:rPr>
      </w:pPr>
      <w:proofErr w:type="spellStart"/>
      <w:r w:rsidRPr="00320D62">
        <w:rPr>
          <w:lang w:val="en-GB"/>
        </w:rPr>
        <w:t>Kvale</w:t>
      </w:r>
      <w:proofErr w:type="spellEnd"/>
      <w:r w:rsidRPr="00320D62">
        <w:rPr>
          <w:lang w:val="en-GB"/>
        </w:rPr>
        <w:t>, S. and Brinkmann, S. (2015) </w:t>
      </w:r>
      <w:r w:rsidRPr="00320D62">
        <w:rPr>
          <w:i/>
          <w:iCs/>
          <w:lang w:val="en-GB"/>
        </w:rPr>
        <w:t>Interviews: Learning the Craft of Qualitative Research Interviewing</w:t>
      </w:r>
      <w:r w:rsidRPr="00320D62">
        <w:rPr>
          <w:lang w:val="en-GB"/>
        </w:rPr>
        <w:t xml:space="preserve">. 3rd </w:t>
      </w:r>
      <w:proofErr w:type="spellStart"/>
      <w:r w:rsidRPr="00320D62">
        <w:rPr>
          <w:lang w:val="en-GB"/>
        </w:rPr>
        <w:t>edn</w:t>
      </w:r>
      <w:proofErr w:type="spellEnd"/>
      <w:r w:rsidRPr="00320D62">
        <w:rPr>
          <w:lang w:val="en-GB"/>
        </w:rPr>
        <w:t>. London: SAGE Publications. </w:t>
      </w:r>
    </w:p>
    <w:p w14:paraId="51C70EE5" w14:textId="77777777" w:rsidR="00320D62" w:rsidRPr="00320D62" w:rsidRDefault="00320D62" w:rsidP="00320D62">
      <w:pPr>
        <w:rPr>
          <w:lang w:val="en-GB"/>
        </w:rPr>
      </w:pPr>
      <w:r w:rsidRPr="00320D62">
        <w:rPr>
          <w:lang w:val="en-GB"/>
        </w:rPr>
        <w:t xml:space="preserve">Laurent, A.C. and </w:t>
      </w:r>
      <w:proofErr w:type="spellStart"/>
      <w:r w:rsidRPr="00320D62">
        <w:rPr>
          <w:lang w:val="en-GB"/>
        </w:rPr>
        <w:t>Prizant</w:t>
      </w:r>
      <w:proofErr w:type="spellEnd"/>
      <w:r w:rsidRPr="00320D62">
        <w:rPr>
          <w:lang w:val="en-GB"/>
        </w:rPr>
        <w:t>, B.M. (2009). The SCERTS model: Enhancing communication and socioemotional abilities of children with autism spectrum disorder. In: </w:t>
      </w:r>
      <w:r w:rsidRPr="00320D62">
        <w:rPr>
          <w:i/>
          <w:iCs/>
          <w:lang w:val="en-GB"/>
        </w:rPr>
        <w:t>Best Practices in School Psychology V</w:t>
      </w:r>
      <w:r w:rsidRPr="00320D62">
        <w:rPr>
          <w:lang w:val="en-GB"/>
        </w:rPr>
        <w:t>. Bethesda: MD: National Association of School Psychologists, pp.1–13.</w:t>
      </w:r>
    </w:p>
    <w:p w14:paraId="5C934227" w14:textId="77777777" w:rsidR="00320D62" w:rsidRPr="00320D62" w:rsidRDefault="00320D62" w:rsidP="00320D62">
      <w:pPr>
        <w:rPr>
          <w:lang w:val="en-GB"/>
        </w:rPr>
      </w:pPr>
      <w:r w:rsidRPr="00320D62">
        <w:rPr>
          <w:lang w:val="en-GB"/>
        </w:rPr>
        <w:t>Lincoln, Y.S. and Guba, E.G. (1985). </w:t>
      </w:r>
      <w:r w:rsidRPr="00320D62">
        <w:rPr>
          <w:i/>
          <w:iCs/>
          <w:lang w:val="en-GB"/>
        </w:rPr>
        <w:t>Naturalistic Inquiry</w:t>
      </w:r>
      <w:r w:rsidRPr="00320D62">
        <w:rPr>
          <w:lang w:val="en-GB"/>
        </w:rPr>
        <w:t>. Newbury Park, CA: Sage.</w:t>
      </w:r>
    </w:p>
    <w:p w14:paraId="185DBFA4" w14:textId="77777777" w:rsidR="00320D62" w:rsidRPr="00320D62" w:rsidRDefault="00320D62" w:rsidP="00320D62">
      <w:pPr>
        <w:rPr>
          <w:lang w:val="en-GB"/>
        </w:rPr>
      </w:pPr>
      <w:proofErr w:type="spellStart"/>
      <w:r w:rsidRPr="00320D62">
        <w:rPr>
          <w:lang w:val="en-GB"/>
        </w:rPr>
        <w:t>McCambridge</w:t>
      </w:r>
      <w:proofErr w:type="spellEnd"/>
      <w:r w:rsidRPr="00320D62">
        <w:rPr>
          <w:lang w:val="en-GB"/>
        </w:rPr>
        <w:t xml:space="preserve">, J., Witton, J. and </w:t>
      </w:r>
      <w:proofErr w:type="spellStart"/>
      <w:r w:rsidRPr="00320D62">
        <w:rPr>
          <w:lang w:val="en-GB"/>
        </w:rPr>
        <w:t>Elbourne</w:t>
      </w:r>
      <w:proofErr w:type="spellEnd"/>
      <w:r w:rsidRPr="00320D62">
        <w:rPr>
          <w:lang w:val="en-GB"/>
        </w:rPr>
        <w:t>, D. (2014). Systematic review of the Hawthorne effect: New concepts are needed to study research participation effects. </w:t>
      </w:r>
      <w:r w:rsidRPr="00320D62">
        <w:rPr>
          <w:i/>
          <w:iCs/>
          <w:lang w:val="en-GB"/>
        </w:rPr>
        <w:t>Journal of Clinical Epidemiology</w:t>
      </w:r>
      <w:r w:rsidRPr="00320D62">
        <w:rPr>
          <w:lang w:val="en-GB"/>
        </w:rPr>
        <w:t>, 67(3), pp.267–277.</w:t>
      </w:r>
    </w:p>
    <w:p w14:paraId="5F8DB883" w14:textId="77777777" w:rsidR="00320D62" w:rsidRPr="00320D62" w:rsidRDefault="00320D62" w:rsidP="00320D62">
      <w:pPr>
        <w:rPr>
          <w:lang w:val="en-GB"/>
        </w:rPr>
      </w:pPr>
      <w:r w:rsidRPr="00320D62">
        <w:rPr>
          <w:lang w:val="en-GB"/>
        </w:rPr>
        <w:t>Mitchell, D. (2014). </w:t>
      </w:r>
      <w:r w:rsidRPr="00320D62">
        <w:rPr>
          <w:i/>
          <w:iCs/>
          <w:lang w:val="en-GB"/>
        </w:rPr>
        <w:t>What Really Works in Special and Inclusive Education: Using Evidence-Based Teaching Strategies</w:t>
      </w:r>
      <w:r w:rsidRPr="00320D62">
        <w:rPr>
          <w:lang w:val="en-GB"/>
        </w:rPr>
        <w:t>. 2nd ed. London: Routledge.</w:t>
      </w:r>
    </w:p>
    <w:p w14:paraId="5AEC73CC" w14:textId="77777777" w:rsidR="00320D62" w:rsidRPr="00320D62" w:rsidRDefault="00320D62" w:rsidP="00320D62">
      <w:pPr>
        <w:rPr>
          <w:lang w:val="en-GB"/>
        </w:rPr>
      </w:pPr>
      <w:r w:rsidRPr="00320D62">
        <w:rPr>
          <w:lang w:val="en-GB"/>
        </w:rPr>
        <w:t>Robson, C. and McCartan, K. (2016) </w:t>
      </w:r>
      <w:r w:rsidRPr="00320D62">
        <w:rPr>
          <w:i/>
          <w:iCs/>
          <w:lang w:val="en-GB"/>
        </w:rPr>
        <w:t>Real World Research</w:t>
      </w:r>
      <w:r w:rsidRPr="00320D62">
        <w:rPr>
          <w:lang w:val="en-GB"/>
        </w:rPr>
        <w:t xml:space="preserve">. 4th </w:t>
      </w:r>
      <w:proofErr w:type="spellStart"/>
      <w:r w:rsidRPr="00320D62">
        <w:rPr>
          <w:lang w:val="en-GB"/>
        </w:rPr>
        <w:t>edn</w:t>
      </w:r>
      <w:proofErr w:type="spellEnd"/>
      <w:r w:rsidRPr="00320D62">
        <w:rPr>
          <w:lang w:val="en-GB"/>
        </w:rPr>
        <w:t>. Chichester: Wiley. </w:t>
      </w:r>
    </w:p>
    <w:p w14:paraId="3C233CC4" w14:textId="77777777" w:rsidR="00320D62" w:rsidRPr="00320D62" w:rsidRDefault="00320D62" w:rsidP="00320D62">
      <w:pPr>
        <w:rPr>
          <w:lang w:val="en-GB"/>
        </w:rPr>
      </w:pPr>
      <w:r w:rsidRPr="00320D62">
        <w:rPr>
          <w:lang w:val="en-GB"/>
        </w:rPr>
        <w:t>Stake, R.E. (1995). </w:t>
      </w:r>
      <w:r w:rsidRPr="00320D62">
        <w:rPr>
          <w:i/>
          <w:iCs/>
          <w:lang w:val="en-GB"/>
        </w:rPr>
        <w:t>The Art of Case Study Research</w:t>
      </w:r>
      <w:r w:rsidRPr="00320D62">
        <w:rPr>
          <w:lang w:val="en-GB"/>
        </w:rPr>
        <w:t>. Sage Publications.</w:t>
      </w:r>
    </w:p>
    <w:p w14:paraId="2EDEF502" w14:textId="77777777" w:rsidR="00320D62" w:rsidRPr="00320D62" w:rsidRDefault="00320D62" w:rsidP="00320D62">
      <w:pPr>
        <w:rPr>
          <w:lang w:val="en-GB"/>
        </w:rPr>
      </w:pPr>
      <w:r w:rsidRPr="00320D62">
        <w:rPr>
          <w:lang w:val="en-GB"/>
        </w:rPr>
        <w:t>Swansea Council (2024). </w:t>
      </w:r>
      <w:r w:rsidRPr="00320D62">
        <w:rPr>
          <w:i/>
          <w:iCs/>
          <w:lang w:val="en-GB"/>
        </w:rPr>
        <w:t>(School X) Community Primary School</w:t>
      </w:r>
      <w:r w:rsidRPr="00320D62">
        <w:rPr>
          <w:lang w:val="en-GB"/>
        </w:rPr>
        <w:t>. [online] Swansea. Available at: https://www.swansea.gov.uk/</w:t>
      </w:r>
      <w:r w:rsidRPr="00320D62">
        <w:rPr>
          <w:highlight w:val="black"/>
          <w:lang w:val="en-GB"/>
        </w:rPr>
        <w:t>stthomascommunityprimaryschool</w:t>
      </w:r>
      <w:r w:rsidRPr="00320D62">
        <w:rPr>
          <w:lang w:val="en-GB"/>
        </w:rPr>
        <w:t>.</w:t>
      </w:r>
    </w:p>
    <w:p w14:paraId="3A6A2458" w14:textId="77777777" w:rsidR="00320D62" w:rsidRPr="00320D62" w:rsidRDefault="00320D62" w:rsidP="00320D62">
      <w:pPr>
        <w:rPr>
          <w:lang w:val="en-GB"/>
        </w:rPr>
      </w:pPr>
      <w:r w:rsidRPr="00320D62">
        <w:rPr>
          <w:lang w:val="en-GB"/>
        </w:rPr>
        <w:t>UNESCO (1994) </w:t>
      </w:r>
      <w:r w:rsidRPr="00320D62">
        <w:rPr>
          <w:i/>
          <w:iCs/>
          <w:lang w:val="en-GB"/>
        </w:rPr>
        <w:t>The Salamanca Statement and Framework for Action on Special Needs Education</w:t>
      </w:r>
      <w:r w:rsidRPr="00320D62">
        <w:rPr>
          <w:lang w:val="en-GB"/>
        </w:rPr>
        <w:t>. Paris: UNESCO. </w:t>
      </w:r>
    </w:p>
    <w:p w14:paraId="15011CE9" w14:textId="77777777" w:rsidR="00320D62" w:rsidRPr="00320D62" w:rsidRDefault="00320D62" w:rsidP="00320D62">
      <w:pPr>
        <w:rPr>
          <w:lang w:val="en-GB"/>
        </w:rPr>
      </w:pPr>
      <w:r w:rsidRPr="00320D62">
        <w:rPr>
          <w:lang w:val="en-GB"/>
        </w:rPr>
        <w:t>UNICEF (2024). </w:t>
      </w:r>
      <w:r w:rsidRPr="00320D62">
        <w:rPr>
          <w:i/>
          <w:iCs/>
          <w:lang w:val="en-GB"/>
        </w:rPr>
        <w:t>UN Convention on the Rights of the Child (UNCRC)</w:t>
      </w:r>
      <w:r w:rsidRPr="00320D62">
        <w:rPr>
          <w:lang w:val="en-GB"/>
        </w:rPr>
        <w:t>. [online] UNICEF. Available at: https://www.unicef.org.uk/what-we-do/un-convention-child-rights/.</w:t>
      </w:r>
    </w:p>
    <w:p w14:paraId="66BEE16C" w14:textId="77777777" w:rsidR="00320D62" w:rsidRPr="00320D62" w:rsidRDefault="00320D62" w:rsidP="00320D62">
      <w:pPr>
        <w:rPr>
          <w:lang w:val="en-GB"/>
        </w:rPr>
      </w:pPr>
      <w:r w:rsidRPr="00320D62">
        <w:rPr>
          <w:lang w:val="en-GB"/>
        </w:rPr>
        <w:t>Welsh Government (2021). </w:t>
      </w:r>
      <w:r w:rsidRPr="00320D62">
        <w:rPr>
          <w:i/>
          <w:iCs/>
          <w:lang w:val="en-GB"/>
        </w:rPr>
        <w:t>Implementing the Additional Learning Needs and Education Tribunal (Wales) Act 2018: practitioner guide [HTML]</w:t>
      </w:r>
      <w:r w:rsidRPr="00320D62">
        <w:rPr>
          <w:lang w:val="en-GB"/>
        </w:rPr>
        <w:t>. [online] GOV.WALES. Available at: https://www.gov.wales/implementing-additional-learning-needs-and-education-tribunal-wales-act-2018-practitioner-guide-0.</w:t>
      </w:r>
    </w:p>
    <w:p w14:paraId="72190B17" w14:textId="50E181D3" w:rsidR="00A3508D" w:rsidRPr="00320D62" w:rsidRDefault="00320D62" w:rsidP="00A3508D">
      <w:pPr>
        <w:rPr>
          <w:lang w:val="en-GB"/>
        </w:rPr>
      </w:pPr>
      <w:r w:rsidRPr="00320D62">
        <w:rPr>
          <w:lang w:val="en-GB"/>
        </w:rPr>
        <w:t>Yin, R.K. (2018). </w:t>
      </w:r>
      <w:r w:rsidRPr="00320D62">
        <w:rPr>
          <w:i/>
          <w:iCs/>
          <w:lang w:val="en-GB"/>
        </w:rPr>
        <w:t>Case Study Research and Applications: Design and Methods</w:t>
      </w:r>
      <w:r w:rsidRPr="00320D62">
        <w:rPr>
          <w:lang w:val="en-GB"/>
        </w:rPr>
        <w:t>. 6th ed. Sage Publications.</w:t>
      </w:r>
    </w:p>
    <w:sectPr w:rsidR="00A3508D" w:rsidRPr="00320D62">
      <w:headerReference w:type="default" r:id="rId6"/>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D99987" w14:textId="77777777" w:rsidR="00CF7246" w:rsidRDefault="00CF7246">
      <w:pPr>
        <w:spacing w:after="0" w:line="240" w:lineRule="auto"/>
      </w:pPr>
      <w:r>
        <w:separator/>
      </w:r>
    </w:p>
  </w:endnote>
  <w:endnote w:type="continuationSeparator" w:id="0">
    <w:p w14:paraId="1399B697" w14:textId="77777777" w:rsidR="00CF7246" w:rsidRDefault="00CF72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23B7C9FA" w14:paraId="3D888B30" w14:textId="77777777" w:rsidTr="23B7C9FA">
      <w:trPr>
        <w:trHeight w:val="300"/>
      </w:trPr>
      <w:tc>
        <w:tcPr>
          <w:tcW w:w="3120" w:type="dxa"/>
        </w:tcPr>
        <w:p w14:paraId="64A4D3FF" w14:textId="036E167F" w:rsidR="23B7C9FA" w:rsidRDefault="23B7C9FA" w:rsidP="23B7C9FA">
          <w:pPr>
            <w:pStyle w:val="Header"/>
            <w:ind w:left="-115"/>
          </w:pPr>
        </w:p>
      </w:tc>
      <w:tc>
        <w:tcPr>
          <w:tcW w:w="3120" w:type="dxa"/>
        </w:tcPr>
        <w:p w14:paraId="5B7EEC2E" w14:textId="0A4ADAB3" w:rsidR="23B7C9FA" w:rsidRDefault="23B7C9FA" w:rsidP="23B7C9FA">
          <w:pPr>
            <w:pStyle w:val="Header"/>
            <w:jc w:val="center"/>
          </w:pPr>
        </w:p>
      </w:tc>
      <w:tc>
        <w:tcPr>
          <w:tcW w:w="3120" w:type="dxa"/>
        </w:tcPr>
        <w:p w14:paraId="0D8B494F" w14:textId="0B142B09" w:rsidR="23B7C9FA" w:rsidRDefault="23B7C9FA" w:rsidP="23B7C9FA">
          <w:pPr>
            <w:pStyle w:val="Header"/>
            <w:ind w:right="-115"/>
            <w:jc w:val="right"/>
          </w:pPr>
        </w:p>
      </w:tc>
    </w:tr>
  </w:tbl>
  <w:p w14:paraId="4E9367D0" w14:textId="2698AC13" w:rsidR="23B7C9FA" w:rsidRDefault="23B7C9FA" w:rsidP="23B7C9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009D86" w14:textId="77777777" w:rsidR="00CF7246" w:rsidRDefault="00CF7246">
      <w:pPr>
        <w:spacing w:after="0" w:line="240" w:lineRule="auto"/>
      </w:pPr>
      <w:r>
        <w:separator/>
      </w:r>
    </w:p>
  </w:footnote>
  <w:footnote w:type="continuationSeparator" w:id="0">
    <w:p w14:paraId="4048E399" w14:textId="77777777" w:rsidR="00CF7246" w:rsidRDefault="00CF72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23B7C9FA" w14:paraId="12E5466D" w14:textId="77777777" w:rsidTr="23B7C9FA">
      <w:trPr>
        <w:trHeight w:val="300"/>
      </w:trPr>
      <w:tc>
        <w:tcPr>
          <w:tcW w:w="3120" w:type="dxa"/>
        </w:tcPr>
        <w:p w14:paraId="6F834BF0" w14:textId="046FA21B" w:rsidR="23B7C9FA" w:rsidRDefault="23B7C9FA" w:rsidP="23B7C9FA">
          <w:pPr>
            <w:pStyle w:val="Header"/>
            <w:ind w:left="-115"/>
          </w:pPr>
          <w:r>
            <w:t>Nia Colclough.</w:t>
          </w:r>
        </w:p>
      </w:tc>
      <w:tc>
        <w:tcPr>
          <w:tcW w:w="3120" w:type="dxa"/>
        </w:tcPr>
        <w:p w14:paraId="68893ADE" w14:textId="1B7D44DD" w:rsidR="23B7C9FA" w:rsidRDefault="23B7C9FA" w:rsidP="23B7C9FA">
          <w:pPr>
            <w:pStyle w:val="Header"/>
            <w:jc w:val="center"/>
          </w:pPr>
        </w:p>
      </w:tc>
      <w:tc>
        <w:tcPr>
          <w:tcW w:w="3120" w:type="dxa"/>
        </w:tcPr>
        <w:p w14:paraId="0DA6DA39" w14:textId="2DA5C4AF" w:rsidR="23B7C9FA" w:rsidRDefault="23B7C9FA" w:rsidP="23B7C9FA">
          <w:pPr>
            <w:pStyle w:val="Header"/>
            <w:ind w:right="-115"/>
            <w:jc w:val="right"/>
          </w:pPr>
          <w:r>
            <w:t>2100479.</w:t>
          </w:r>
        </w:p>
      </w:tc>
    </w:tr>
  </w:tbl>
  <w:p w14:paraId="3960BA45" w14:textId="589488C2" w:rsidR="23B7C9FA" w:rsidRDefault="23B7C9FA" w:rsidP="23B7C9FA">
    <w:pPr>
      <w:pStyle w:val="Header"/>
    </w:pPr>
  </w:p>
</w:hdr>
</file>

<file path=word/intelligence2.xml><?xml version="1.0" encoding="utf-8"?>
<int2:intelligence xmlns:int2="http://schemas.microsoft.com/office/intelligence/2020/intelligence" xmlns:oel="http://schemas.microsoft.com/office/2019/extlst">
  <int2:observations>
    <int2:textHash int2:hashCode="xcgb3EeIup7nN2" int2:id="7BvTMR7i">
      <int2:state int2:value="Rejected" int2:type="AugLoop_Text_Critique"/>
    </int2:textHash>
    <int2:textHash int2:hashCode="F5meySrj0IR3eS" int2:id="sFRJYpB3">
      <int2:state int2:value="Rejected" int2:type="AugLoop_Text_Critique"/>
    </int2:textHash>
    <int2:textHash int2:hashCode="NT12h6See3qwhk" int2:id="UyTP1xcg">
      <int2:state int2:value="Rejected" int2:type="AugLoop_Text_Critique"/>
    </int2:textHash>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D72801A"/>
    <w:rsid w:val="000542E0"/>
    <w:rsid w:val="000751DE"/>
    <w:rsid w:val="00076467"/>
    <w:rsid w:val="0009017A"/>
    <w:rsid w:val="000A5896"/>
    <w:rsid w:val="001534E5"/>
    <w:rsid w:val="00164841"/>
    <w:rsid w:val="00165A51"/>
    <w:rsid w:val="00180038"/>
    <w:rsid w:val="001A1C6A"/>
    <w:rsid w:val="001C1559"/>
    <w:rsid w:val="001D37D4"/>
    <w:rsid w:val="001D4A8E"/>
    <w:rsid w:val="001E592E"/>
    <w:rsid w:val="001F7402"/>
    <w:rsid w:val="00207760"/>
    <w:rsid w:val="00225A5B"/>
    <w:rsid w:val="00254689"/>
    <w:rsid w:val="00270BD2"/>
    <w:rsid w:val="002723B6"/>
    <w:rsid w:val="00274CE9"/>
    <w:rsid w:val="00277A20"/>
    <w:rsid w:val="002802E7"/>
    <w:rsid w:val="0028470E"/>
    <w:rsid w:val="00299DEE"/>
    <w:rsid w:val="002A03E5"/>
    <w:rsid w:val="002C08CD"/>
    <w:rsid w:val="002C248D"/>
    <w:rsid w:val="002C3C29"/>
    <w:rsid w:val="002D6313"/>
    <w:rsid w:val="002E373E"/>
    <w:rsid w:val="00301187"/>
    <w:rsid w:val="00310905"/>
    <w:rsid w:val="00320D62"/>
    <w:rsid w:val="00320E7C"/>
    <w:rsid w:val="00364B5C"/>
    <w:rsid w:val="003655FE"/>
    <w:rsid w:val="00373894"/>
    <w:rsid w:val="003805CD"/>
    <w:rsid w:val="00386B1F"/>
    <w:rsid w:val="00397821"/>
    <w:rsid w:val="003E2788"/>
    <w:rsid w:val="00437298"/>
    <w:rsid w:val="00465A8E"/>
    <w:rsid w:val="004A3E21"/>
    <w:rsid w:val="004C17DB"/>
    <w:rsid w:val="004D6A40"/>
    <w:rsid w:val="00566B2E"/>
    <w:rsid w:val="0058D095"/>
    <w:rsid w:val="005D7EB0"/>
    <w:rsid w:val="005F1A31"/>
    <w:rsid w:val="00612069"/>
    <w:rsid w:val="0064360E"/>
    <w:rsid w:val="006628ED"/>
    <w:rsid w:val="0067652E"/>
    <w:rsid w:val="006812DC"/>
    <w:rsid w:val="0068945C"/>
    <w:rsid w:val="00690540"/>
    <w:rsid w:val="006B4CDC"/>
    <w:rsid w:val="006C3006"/>
    <w:rsid w:val="006F5845"/>
    <w:rsid w:val="00724111"/>
    <w:rsid w:val="00750543"/>
    <w:rsid w:val="00771779"/>
    <w:rsid w:val="00785C7E"/>
    <w:rsid w:val="007C3C7B"/>
    <w:rsid w:val="007F0A44"/>
    <w:rsid w:val="007F264F"/>
    <w:rsid w:val="00810F26"/>
    <w:rsid w:val="00824A66"/>
    <w:rsid w:val="00843768"/>
    <w:rsid w:val="00852D39"/>
    <w:rsid w:val="008A27E9"/>
    <w:rsid w:val="008B3D11"/>
    <w:rsid w:val="008D74A1"/>
    <w:rsid w:val="008E731A"/>
    <w:rsid w:val="008E75D1"/>
    <w:rsid w:val="00906180"/>
    <w:rsid w:val="00912032"/>
    <w:rsid w:val="009173B1"/>
    <w:rsid w:val="00926EA8"/>
    <w:rsid w:val="00934686"/>
    <w:rsid w:val="009421A7"/>
    <w:rsid w:val="00943755"/>
    <w:rsid w:val="0099222F"/>
    <w:rsid w:val="009941CE"/>
    <w:rsid w:val="00995687"/>
    <w:rsid w:val="009E2168"/>
    <w:rsid w:val="009F1CF1"/>
    <w:rsid w:val="009F9EF7"/>
    <w:rsid w:val="00A020D1"/>
    <w:rsid w:val="00A04114"/>
    <w:rsid w:val="00A307BA"/>
    <w:rsid w:val="00A3508D"/>
    <w:rsid w:val="00A3F7F5"/>
    <w:rsid w:val="00A449D8"/>
    <w:rsid w:val="00A45B1E"/>
    <w:rsid w:val="00A85BE3"/>
    <w:rsid w:val="00AA519A"/>
    <w:rsid w:val="00AF724A"/>
    <w:rsid w:val="00B06067"/>
    <w:rsid w:val="00B118B1"/>
    <w:rsid w:val="00B13779"/>
    <w:rsid w:val="00B3081C"/>
    <w:rsid w:val="00B308BA"/>
    <w:rsid w:val="00B521F7"/>
    <w:rsid w:val="00B60E67"/>
    <w:rsid w:val="00B80E5D"/>
    <w:rsid w:val="00BA6E33"/>
    <w:rsid w:val="00BF4B67"/>
    <w:rsid w:val="00C043CD"/>
    <w:rsid w:val="00C16AA7"/>
    <w:rsid w:val="00C825FC"/>
    <w:rsid w:val="00CC607C"/>
    <w:rsid w:val="00CF7246"/>
    <w:rsid w:val="00D150D1"/>
    <w:rsid w:val="00D20D4F"/>
    <w:rsid w:val="00D30EB8"/>
    <w:rsid w:val="00D46813"/>
    <w:rsid w:val="00DB7D54"/>
    <w:rsid w:val="00DC3F90"/>
    <w:rsid w:val="00DD7147"/>
    <w:rsid w:val="00DF1B21"/>
    <w:rsid w:val="00E14124"/>
    <w:rsid w:val="00E21E27"/>
    <w:rsid w:val="00E24EFF"/>
    <w:rsid w:val="00E329A5"/>
    <w:rsid w:val="00E34267"/>
    <w:rsid w:val="00E835F6"/>
    <w:rsid w:val="00E85B46"/>
    <w:rsid w:val="00EB11AA"/>
    <w:rsid w:val="00EB17F2"/>
    <w:rsid w:val="00ED46F3"/>
    <w:rsid w:val="00EE4ABB"/>
    <w:rsid w:val="00EE4B4B"/>
    <w:rsid w:val="00F00F21"/>
    <w:rsid w:val="00F40F65"/>
    <w:rsid w:val="00F562C1"/>
    <w:rsid w:val="00F619C8"/>
    <w:rsid w:val="00F621B2"/>
    <w:rsid w:val="00F73A41"/>
    <w:rsid w:val="00F97A66"/>
    <w:rsid w:val="00FE3E9F"/>
    <w:rsid w:val="00FE7E29"/>
    <w:rsid w:val="01435B9F"/>
    <w:rsid w:val="018A8B9B"/>
    <w:rsid w:val="019C90BB"/>
    <w:rsid w:val="01B0816B"/>
    <w:rsid w:val="026161DA"/>
    <w:rsid w:val="02803688"/>
    <w:rsid w:val="0305B265"/>
    <w:rsid w:val="0330C959"/>
    <w:rsid w:val="035B38C0"/>
    <w:rsid w:val="035F1241"/>
    <w:rsid w:val="037DDD5C"/>
    <w:rsid w:val="038CE758"/>
    <w:rsid w:val="03D38511"/>
    <w:rsid w:val="03D4BDE0"/>
    <w:rsid w:val="03E2FF00"/>
    <w:rsid w:val="03FE082B"/>
    <w:rsid w:val="0411DF74"/>
    <w:rsid w:val="0423A254"/>
    <w:rsid w:val="043C9675"/>
    <w:rsid w:val="04514419"/>
    <w:rsid w:val="04ED4BF5"/>
    <w:rsid w:val="04F6E117"/>
    <w:rsid w:val="04F918EE"/>
    <w:rsid w:val="05528420"/>
    <w:rsid w:val="0560602A"/>
    <w:rsid w:val="056B5CC2"/>
    <w:rsid w:val="05D4F1D3"/>
    <w:rsid w:val="061F5733"/>
    <w:rsid w:val="06328D62"/>
    <w:rsid w:val="064A1623"/>
    <w:rsid w:val="06521E8B"/>
    <w:rsid w:val="0670C17D"/>
    <w:rsid w:val="071244BE"/>
    <w:rsid w:val="075EBCD3"/>
    <w:rsid w:val="078DA46B"/>
    <w:rsid w:val="07BD2E3F"/>
    <w:rsid w:val="07FDE0EB"/>
    <w:rsid w:val="0848EF39"/>
    <w:rsid w:val="084CD650"/>
    <w:rsid w:val="08ADBEA8"/>
    <w:rsid w:val="08BB2512"/>
    <w:rsid w:val="08E12217"/>
    <w:rsid w:val="08E22F4A"/>
    <w:rsid w:val="08FC4A07"/>
    <w:rsid w:val="093D5229"/>
    <w:rsid w:val="09442645"/>
    <w:rsid w:val="09611326"/>
    <w:rsid w:val="097E86F5"/>
    <w:rsid w:val="09CA2726"/>
    <w:rsid w:val="09CD05EB"/>
    <w:rsid w:val="09F4BBA1"/>
    <w:rsid w:val="0A32BA30"/>
    <w:rsid w:val="0B24F726"/>
    <w:rsid w:val="0B3D04BA"/>
    <w:rsid w:val="0BA0DB60"/>
    <w:rsid w:val="0BC5579E"/>
    <w:rsid w:val="0CD45786"/>
    <w:rsid w:val="0CE67BC0"/>
    <w:rsid w:val="0D2A4D2B"/>
    <w:rsid w:val="0D4131CE"/>
    <w:rsid w:val="0D4EFEFE"/>
    <w:rsid w:val="0D7054D8"/>
    <w:rsid w:val="0E238420"/>
    <w:rsid w:val="0E451B95"/>
    <w:rsid w:val="0F50B25F"/>
    <w:rsid w:val="0F8D06E8"/>
    <w:rsid w:val="0FD0A944"/>
    <w:rsid w:val="0FF226CE"/>
    <w:rsid w:val="1052AEB0"/>
    <w:rsid w:val="10A179B6"/>
    <w:rsid w:val="1130DB6C"/>
    <w:rsid w:val="1156515C"/>
    <w:rsid w:val="1194891C"/>
    <w:rsid w:val="11A43A91"/>
    <w:rsid w:val="11CA0FF0"/>
    <w:rsid w:val="11E16724"/>
    <w:rsid w:val="122FEBC0"/>
    <w:rsid w:val="123405F3"/>
    <w:rsid w:val="12356955"/>
    <w:rsid w:val="124CE56F"/>
    <w:rsid w:val="1256A063"/>
    <w:rsid w:val="125DD343"/>
    <w:rsid w:val="12859481"/>
    <w:rsid w:val="128BB27F"/>
    <w:rsid w:val="12A25C1C"/>
    <w:rsid w:val="1386412F"/>
    <w:rsid w:val="13CC33BF"/>
    <w:rsid w:val="142394C0"/>
    <w:rsid w:val="148A6C19"/>
    <w:rsid w:val="14D35ACC"/>
    <w:rsid w:val="1510ACBC"/>
    <w:rsid w:val="1566C8A5"/>
    <w:rsid w:val="15ADCE66"/>
    <w:rsid w:val="15E1ADC8"/>
    <w:rsid w:val="1645366A"/>
    <w:rsid w:val="1659004A"/>
    <w:rsid w:val="1668A1F7"/>
    <w:rsid w:val="16D57C5E"/>
    <w:rsid w:val="16DE7340"/>
    <w:rsid w:val="16F3D8D9"/>
    <w:rsid w:val="16FEB0EC"/>
    <w:rsid w:val="17055A8C"/>
    <w:rsid w:val="17C9F602"/>
    <w:rsid w:val="17F60B6E"/>
    <w:rsid w:val="183F791C"/>
    <w:rsid w:val="18734CD7"/>
    <w:rsid w:val="18764E12"/>
    <w:rsid w:val="187DDA14"/>
    <w:rsid w:val="18899F35"/>
    <w:rsid w:val="188E5793"/>
    <w:rsid w:val="1898E6EF"/>
    <w:rsid w:val="18C0F4A8"/>
    <w:rsid w:val="18D2C57A"/>
    <w:rsid w:val="18D8AB86"/>
    <w:rsid w:val="1948CFBC"/>
    <w:rsid w:val="1981478B"/>
    <w:rsid w:val="19A4406D"/>
    <w:rsid w:val="19F06971"/>
    <w:rsid w:val="1A1F2C92"/>
    <w:rsid w:val="1A3CB454"/>
    <w:rsid w:val="1A5E6A33"/>
    <w:rsid w:val="1AB88028"/>
    <w:rsid w:val="1BAEB589"/>
    <w:rsid w:val="1C07FEF4"/>
    <w:rsid w:val="1C0F98B2"/>
    <w:rsid w:val="1C338F42"/>
    <w:rsid w:val="1C999519"/>
    <w:rsid w:val="1CA74FA3"/>
    <w:rsid w:val="1CBDD85A"/>
    <w:rsid w:val="1CFDE1F3"/>
    <w:rsid w:val="1D3083F8"/>
    <w:rsid w:val="1D89324B"/>
    <w:rsid w:val="1DF61E14"/>
    <w:rsid w:val="1E13CB14"/>
    <w:rsid w:val="1E184E33"/>
    <w:rsid w:val="1E1EB57A"/>
    <w:rsid w:val="1E3CBEE2"/>
    <w:rsid w:val="1E6204B7"/>
    <w:rsid w:val="1E8365C6"/>
    <w:rsid w:val="1EA258C1"/>
    <w:rsid w:val="1EAAFAD0"/>
    <w:rsid w:val="1EAD6546"/>
    <w:rsid w:val="1F2DA975"/>
    <w:rsid w:val="1F6939EB"/>
    <w:rsid w:val="1FA035A7"/>
    <w:rsid w:val="1FCAA09A"/>
    <w:rsid w:val="1FD1804C"/>
    <w:rsid w:val="20288BD9"/>
    <w:rsid w:val="202E84D3"/>
    <w:rsid w:val="20452F4D"/>
    <w:rsid w:val="205184D4"/>
    <w:rsid w:val="20D56DD0"/>
    <w:rsid w:val="214D0EAB"/>
    <w:rsid w:val="217AD9FE"/>
    <w:rsid w:val="21950FF8"/>
    <w:rsid w:val="21A9084A"/>
    <w:rsid w:val="21C2F7CE"/>
    <w:rsid w:val="21DDE539"/>
    <w:rsid w:val="22092604"/>
    <w:rsid w:val="2244FD33"/>
    <w:rsid w:val="224C44C9"/>
    <w:rsid w:val="22553691"/>
    <w:rsid w:val="22BA0FDF"/>
    <w:rsid w:val="22E2868D"/>
    <w:rsid w:val="2304D2D3"/>
    <w:rsid w:val="23B7C9FA"/>
    <w:rsid w:val="23F8BF8F"/>
    <w:rsid w:val="241804FD"/>
    <w:rsid w:val="2472D52D"/>
    <w:rsid w:val="247BE135"/>
    <w:rsid w:val="24B1AF83"/>
    <w:rsid w:val="2557426E"/>
    <w:rsid w:val="25879413"/>
    <w:rsid w:val="25E4A39A"/>
    <w:rsid w:val="263B5C41"/>
    <w:rsid w:val="2651B029"/>
    <w:rsid w:val="26A2F58C"/>
    <w:rsid w:val="26F6A7AF"/>
    <w:rsid w:val="2718895F"/>
    <w:rsid w:val="274A6475"/>
    <w:rsid w:val="2760A7FF"/>
    <w:rsid w:val="276864D7"/>
    <w:rsid w:val="278ED8AB"/>
    <w:rsid w:val="27979185"/>
    <w:rsid w:val="27E6F9E3"/>
    <w:rsid w:val="28D2B604"/>
    <w:rsid w:val="2953409B"/>
    <w:rsid w:val="2964345B"/>
    <w:rsid w:val="299B309A"/>
    <w:rsid w:val="299B733F"/>
    <w:rsid w:val="2A5A41F6"/>
    <w:rsid w:val="2A609270"/>
    <w:rsid w:val="2AF3B9FE"/>
    <w:rsid w:val="2AF9556B"/>
    <w:rsid w:val="2B1E7A64"/>
    <w:rsid w:val="2B2905A7"/>
    <w:rsid w:val="2B8811D8"/>
    <w:rsid w:val="2C120002"/>
    <w:rsid w:val="2C2B9827"/>
    <w:rsid w:val="2C43CD0A"/>
    <w:rsid w:val="2C64B735"/>
    <w:rsid w:val="2CA33BDA"/>
    <w:rsid w:val="2CA490E1"/>
    <w:rsid w:val="2CD41DE6"/>
    <w:rsid w:val="2D0BF811"/>
    <w:rsid w:val="2D4C7CCB"/>
    <w:rsid w:val="2D66A42E"/>
    <w:rsid w:val="2D9E756E"/>
    <w:rsid w:val="2DD21731"/>
    <w:rsid w:val="2DFD88C4"/>
    <w:rsid w:val="2E314044"/>
    <w:rsid w:val="2E5168B9"/>
    <w:rsid w:val="2E9AF161"/>
    <w:rsid w:val="2EEAD31D"/>
    <w:rsid w:val="2EF7BB15"/>
    <w:rsid w:val="2F0299AE"/>
    <w:rsid w:val="2FCB53C1"/>
    <w:rsid w:val="2FF0DA4B"/>
    <w:rsid w:val="3002DE3E"/>
    <w:rsid w:val="304524DF"/>
    <w:rsid w:val="30E97A89"/>
    <w:rsid w:val="31848C44"/>
    <w:rsid w:val="31A72EDE"/>
    <w:rsid w:val="31BD89A7"/>
    <w:rsid w:val="31C0B27B"/>
    <w:rsid w:val="3238DF13"/>
    <w:rsid w:val="32783C1E"/>
    <w:rsid w:val="33048716"/>
    <w:rsid w:val="330AF9FC"/>
    <w:rsid w:val="347E9236"/>
    <w:rsid w:val="348F4765"/>
    <w:rsid w:val="350EEA9F"/>
    <w:rsid w:val="351B1CE1"/>
    <w:rsid w:val="3584681A"/>
    <w:rsid w:val="3584BBA8"/>
    <w:rsid w:val="3599097C"/>
    <w:rsid w:val="35FBB9D0"/>
    <w:rsid w:val="3606B181"/>
    <w:rsid w:val="360FF408"/>
    <w:rsid w:val="36574B24"/>
    <w:rsid w:val="367C354D"/>
    <w:rsid w:val="36BB024D"/>
    <w:rsid w:val="36BFE3E7"/>
    <w:rsid w:val="36D1FE99"/>
    <w:rsid w:val="373E1E5E"/>
    <w:rsid w:val="375013F1"/>
    <w:rsid w:val="37613204"/>
    <w:rsid w:val="37650411"/>
    <w:rsid w:val="37940875"/>
    <w:rsid w:val="382C6AF9"/>
    <w:rsid w:val="386AC66A"/>
    <w:rsid w:val="388E2A5F"/>
    <w:rsid w:val="38AF7AAC"/>
    <w:rsid w:val="393549DB"/>
    <w:rsid w:val="39577F29"/>
    <w:rsid w:val="395FF49B"/>
    <w:rsid w:val="3975253F"/>
    <w:rsid w:val="39BF3D1D"/>
    <w:rsid w:val="39E593EE"/>
    <w:rsid w:val="3A3C313F"/>
    <w:rsid w:val="3A48969C"/>
    <w:rsid w:val="3A58554F"/>
    <w:rsid w:val="3AA13A91"/>
    <w:rsid w:val="3AE274F3"/>
    <w:rsid w:val="3B1F5163"/>
    <w:rsid w:val="3B2272AB"/>
    <w:rsid w:val="3B348290"/>
    <w:rsid w:val="3B3B2555"/>
    <w:rsid w:val="3B42281F"/>
    <w:rsid w:val="3B7FB1B6"/>
    <w:rsid w:val="3B97C3DD"/>
    <w:rsid w:val="3B98CE51"/>
    <w:rsid w:val="3B9EC5AE"/>
    <w:rsid w:val="3BCB2D50"/>
    <w:rsid w:val="3BD348E8"/>
    <w:rsid w:val="3C1FDC4C"/>
    <w:rsid w:val="3C99E3CF"/>
    <w:rsid w:val="3D29A108"/>
    <w:rsid w:val="3D72801A"/>
    <w:rsid w:val="3DB3253B"/>
    <w:rsid w:val="3DBC29C9"/>
    <w:rsid w:val="3E312947"/>
    <w:rsid w:val="3EB57054"/>
    <w:rsid w:val="3EC85083"/>
    <w:rsid w:val="3F0E7A7F"/>
    <w:rsid w:val="3F277F9B"/>
    <w:rsid w:val="3F505738"/>
    <w:rsid w:val="3F854A56"/>
    <w:rsid w:val="3FB4E63E"/>
    <w:rsid w:val="3FDD67A5"/>
    <w:rsid w:val="4020992E"/>
    <w:rsid w:val="4025AC32"/>
    <w:rsid w:val="40B41053"/>
    <w:rsid w:val="40D3DA88"/>
    <w:rsid w:val="40D957EC"/>
    <w:rsid w:val="41C7EB77"/>
    <w:rsid w:val="41CD430E"/>
    <w:rsid w:val="41EA41C2"/>
    <w:rsid w:val="4255F752"/>
    <w:rsid w:val="4258A950"/>
    <w:rsid w:val="4264563E"/>
    <w:rsid w:val="4281FBFB"/>
    <w:rsid w:val="42A3F61C"/>
    <w:rsid w:val="42BA5451"/>
    <w:rsid w:val="42BCB921"/>
    <w:rsid w:val="42D1A537"/>
    <w:rsid w:val="4399B88A"/>
    <w:rsid w:val="43F50BD9"/>
    <w:rsid w:val="4403071C"/>
    <w:rsid w:val="44257EC4"/>
    <w:rsid w:val="442DDF58"/>
    <w:rsid w:val="4446C27B"/>
    <w:rsid w:val="44A4A1B0"/>
    <w:rsid w:val="44BB68F8"/>
    <w:rsid w:val="452C3195"/>
    <w:rsid w:val="4543AAFE"/>
    <w:rsid w:val="459EF61C"/>
    <w:rsid w:val="45B22F0B"/>
    <w:rsid w:val="45FAE605"/>
    <w:rsid w:val="46636F46"/>
    <w:rsid w:val="4678473B"/>
    <w:rsid w:val="46A5A27B"/>
    <w:rsid w:val="46D9B51D"/>
    <w:rsid w:val="47059942"/>
    <w:rsid w:val="47573A94"/>
    <w:rsid w:val="47A80159"/>
    <w:rsid w:val="47E7AA02"/>
    <w:rsid w:val="487FB9B4"/>
    <w:rsid w:val="489BAC4A"/>
    <w:rsid w:val="48AE05C2"/>
    <w:rsid w:val="48D47905"/>
    <w:rsid w:val="48D83F68"/>
    <w:rsid w:val="496207DF"/>
    <w:rsid w:val="4971C964"/>
    <w:rsid w:val="49A56584"/>
    <w:rsid w:val="49E08CFB"/>
    <w:rsid w:val="49E931C9"/>
    <w:rsid w:val="4ACC3E89"/>
    <w:rsid w:val="4ACF3BA6"/>
    <w:rsid w:val="4AEB361D"/>
    <w:rsid w:val="4BA3836D"/>
    <w:rsid w:val="4BAD00B1"/>
    <w:rsid w:val="4BBCF72E"/>
    <w:rsid w:val="4BE888BD"/>
    <w:rsid w:val="4C0ECA62"/>
    <w:rsid w:val="4C223CA4"/>
    <w:rsid w:val="4C3F4F82"/>
    <w:rsid w:val="4C76A866"/>
    <w:rsid w:val="4CD5C5DE"/>
    <w:rsid w:val="4CDC2CA4"/>
    <w:rsid w:val="4D3A386C"/>
    <w:rsid w:val="4DB9A2AF"/>
    <w:rsid w:val="4DE09BEE"/>
    <w:rsid w:val="4E34BD7E"/>
    <w:rsid w:val="4E9A0CB2"/>
    <w:rsid w:val="4EABB375"/>
    <w:rsid w:val="4EBE74DE"/>
    <w:rsid w:val="4F068038"/>
    <w:rsid w:val="4F254CBD"/>
    <w:rsid w:val="4FA7AC1D"/>
    <w:rsid w:val="4FDCDA15"/>
    <w:rsid w:val="5007892E"/>
    <w:rsid w:val="501B0D37"/>
    <w:rsid w:val="502362B1"/>
    <w:rsid w:val="503345D8"/>
    <w:rsid w:val="5038CA96"/>
    <w:rsid w:val="5087DC51"/>
    <w:rsid w:val="50BC30E7"/>
    <w:rsid w:val="50BC9874"/>
    <w:rsid w:val="50DF69E7"/>
    <w:rsid w:val="50DFA4AF"/>
    <w:rsid w:val="50ED607C"/>
    <w:rsid w:val="512AB1D7"/>
    <w:rsid w:val="512D50ED"/>
    <w:rsid w:val="51E41584"/>
    <w:rsid w:val="52448CBD"/>
    <w:rsid w:val="5275F96E"/>
    <w:rsid w:val="528ED03A"/>
    <w:rsid w:val="5296A852"/>
    <w:rsid w:val="52ED74B6"/>
    <w:rsid w:val="52F5B9DB"/>
    <w:rsid w:val="530EB28F"/>
    <w:rsid w:val="5338423D"/>
    <w:rsid w:val="535F5091"/>
    <w:rsid w:val="53716A28"/>
    <w:rsid w:val="53AE0F5B"/>
    <w:rsid w:val="53DDDD2A"/>
    <w:rsid w:val="5402BEB3"/>
    <w:rsid w:val="541C32F5"/>
    <w:rsid w:val="5425D7DE"/>
    <w:rsid w:val="5427E60C"/>
    <w:rsid w:val="54307805"/>
    <w:rsid w:val="54712A83"/>
    <w:rsid w:val="547C1972"/>
    <w:rsid w:val="548C5EA5"/>
    <w:rsid w:val="54BEACF2"/>
    <w:rsid w:val="54D514B5"/>
    <w:rsid w:val="55126354"/>
    <w:rsid w:val="55247BD2"/>
    <w:rsid w:val="5544539E"/>
    <w:rsid w:val="5559AEF6"/>
    <w:rsid w:val="556327A5"/>
    <w:rsid w:val="5565D0D3"/>
    <w:rsid w:val="55745BA9"/>
    <w:rsid w:val="558F8258"/>
    <w:rsid w:val="5598D534"/>
    <w:rsid w:val="55B33C6C"/>
    <w:rsid w:val="55D2F7C9"/>
    <w:rsid w:val="55E36CA8"/>
    <w:rsid w:val="55EDFDFF"/>
    <w:rsid w:val="55F17F56"/>
    <w:rsid w:val="55F530CF"/>
    <w:rsid w:val="5640A109"/>
    <w:rsid w:val="566D9345"/>
    <w:rsid w:val="5675C59D"/>
    <w:rsid w:val="567C2C2B"/>
    <w:rsid w:val="5686BF90"/>
    <w:rsid w:val="56C76FC2"/>
    <w:rsid w:val="56F2D94C"/>
    <w:rsid w:val="57439787"/>
    <w:rsid w:val="5787D06D"/>
    <w:rsid w:val="57C166D7"/>
    <w:rsid w:val="57F874F9"/>
    <w:rsid w:val="58143DB4"/>
    <w:rsid w:val="5830F150"/>
    <w:rsid w:val="58808B16"/>
    <w:rsid w:val="58AF39AB"/>
    <w:rsid w:val="58B07FE1"/>
    <w:rsid w:val="58B279B0"/>
    <w:rsid w:val="5948C77B"/>
    <w:rsid w:val="597CB70E"/>
    <w:rsid w:val="59AE259E"/>
    <w:rsid w:val="5A15FDE7"/>
    <w:rsid w:val="5A86680A"/>
    <w:rsid w:val="5AD34796"/>
    <w:rsid w:val="5AEFE8D2"/>
    <w:rsid w:val="5B09F935"/>
    <w:rsid w:val="5B0A546E"/>
    <w:rsid w:val="5B6106DD"/>
    <w:rsid w:val="5B65E93C"/>
    <w:rsid w:val="5BC997A6"/>
    <w:rsid w:val="5C254F1A"/>
    <w:rsid w:val="5C2A4871"/>
    <w:rsid w:val="5C464AA7"/>
    <w:rsid w:val="5C5ABF5D"/>
    <w:rsid w:val="5C824325"/>
    <w:rsid w:val="5C8A0202"/>
    <w:rsid w:val="5C999F11"/>
    <w:rsid w:val="5CB32DEB"/>
    <w:rsid w:val="5CBDD9DE"/>
    <w:rsid w:val="5CE1E843"/>
    <w:rsid w:val="5CE4DAD9"/>
    <w:rsid w:val="5DAC4D36"/>
    <w:rsid w:val="5DBF0AF3"/>
    <w:rsid w:val="5DD09940"/>
    <w:rsid w:val="5E2C91AE"/>
    <w:rsid w:val="5E56D77C"/>
    <w:rsid w:val="5E6EE35F"/>
    <w:rsid w:val="5EA25A67"/>
    <w:rsid w:val="5EEE5616"/>
    <w:rsid w:val="5F2A40E2"/>
    <w:rsid w:val="5F56EF00"/>
    <w:rsid w:val="5FA6996B"/>
    <w:rsid w:val="5FA9B4AE"/>
    <w:rsid w:val="5FDAEFEF"/>
    <w:rsid w:val="5FF13458"/>
    <w:rsid w:val="5FFD2795"/>
    <w:rsid w:val="60024670"/>
    <w:rsid w:val="6050EF99"/>
    <w:rsid w:val="607B0D61"/>
    <w:rsid w:val="60A36AB2"/>
    <w:rsid w:val="60D00A5E"/>
    <w:rsid w:val="611C869D"/>
    <w:rsid w:val="615207E9"/>
    <w:rsid w:val="61DA779C"/>
    <w:rsid w:val="622AF19F"/>
    <w:rsid w:val="62A40DED"/>
    <w:rsid w:val="62F34A1E"/>
    <w:rsid w:val="630674A2"/>
    <w:rsid w:val="632E3357"/>
    <w:rsid w:val="633105B2"/>
    <w:rsid w:val="63A00136"/>
    <w:rsid w:val="63B5D6F9"/>
    <w:rsid w:val="63DCDEE4"/>
    <w:rsid w:val="63E36E3B"/>
    <w:rsid w:val="6421105C"/>
    <w:rsid w:val="646286D5"/>
    <w:rsid w:val="65050AB8"/>
    <w:rsid w:val="652C292F"/>
    <w:rsid w:val="65635FB8"/>
    <w:rsid w:val="658C215C"/>
    <w:rsid w:val="6592AEBD"/>
    <w:rsid w:val="65CE700B"/>
    <w:rsid w:val="65DB0675"/>
    <w:rsid w:val="65E5B981"/>
    <w:rsid w:val="65FE9F5A"/>
    <w:rsid w:val="65FF8469"/>
    <w:rsid w:val="66321BFE"/>
    <w:rsid w:val="66904FF5"/>
    <w:rsid w:val="669ADB52"/>
    <w:rsid w:val="66D56D3C"/>
    <w:rsid w:val="670C9150"/>
    <w:rsid w:val="671AAB3B"/>
    <w:rsid w:val="67624878"/>
    <w:rsid w:val="6764449A"/>
    <w:rsid w:val="6787406A"/>
    <w:rsid w:val="679C0917"/>
    <w:rsid w:val="67D1AA6E"/>
    <w:rsid w:val="6851FF4A"/>
    <w:rsid w:val="6852D9EB"/>
    <w:rsid w:val="688A833F"/>
    <w:rsid w:val="68A99C13"/>
    <w:rsid w:val="68C1108B"/>
    <w:rsid w:val="6961A9F2"/>
    <w:rsid w:val="6984A934"/>
    <w:rsid w:val="698F7FC1"/>
    <w:rsid w:val="69C60E0E"/>
    <w:rsid w:val="6A3ADEB7"/>
    <w:rsid w:val="6A89A0E8"/>
    <w:rsid w:val="6AC4780C"/>
    <w:rsid w:val="6ACCB655"/>
    <w:rsid w:val="6AD23AC7"/>
    <w:rsid w:val="6B0B52D5"/>
    <w:rsid w:val="6B370627"/>
    <w:rsid w:val="6B4C1A0D"/>
    <w:rsid w:val="6B9493F3"/>
    <w:rsid w:val="6BA1CA5D"/>
    <w:rsid w:val="6BCA9DE6"/>
    <w:rsid w:val="6BDF8950"/>
    <w:rsid w:val="6CBD19AB"/>
    <w:rsid w:val="6CFEA410"/>
    <w:rsid w:val="6D2A3DD3"/>
    <w:rsid w:val="6D4522A6"/>
    <w:rsid w:val="6DA4EFBD"/>
    <w:rsid w:val="6E2041BE"/>
    <w:rsid w:val="6E6B609D"/>
    <w:rsid w:val="6ECA1368"/>
    <w:rsid w:val="6F5B025D"/>
    <w:rsid w:val="6F8322C4"/>
    <w:rsid w:val="7005B108"/>
    <w:rsid w:val="70262C5A"/>
    <w:rsid w:val="705AB3F2"/>
    <w:rsid w:val="706DB3E2"/>
    <w:rsid w:val="71037589"/>
    <w:rsid w:val="710D472F"/>
    <w:rsid w:val="710D499C"/>
    <w:rsid w:val="7119910B"/>
    <w:rsid w:val="71286289"/>
    <w:rsid w:val="713AC6E7"/>
    <w:rsid w:val="713CFBA9"/>
    <w:rsid w:val="713E0CB2"/>
    <w:rsid w:val="717EE1C0"/>
    <w:rsid w:val="71CAC10F"/>
    <w:rsid w:val="71D1E4CE"/>
    <w:rsid w:val="71F78A60"/>
    <w:rsid w:val="726444CF"/>
    <w:rsid w:val="72D4DD6D"/>
    <w:rsid w:val="72F98647"/>
    <w:rsid w:val="730E9972"/>
    <w:rsid w:val="7355F785"/>
    <w:rsid w:val="7356F4DD"/>
    <w:rsid w:val="73E23D13"/>
    <w:rsid w:val="73EFD82A"/>
    <w:rsid w:val="73F93C98"/>
    <w:rsid w:val="7434DF6A"/>
    <w:rsid w:val="74622D09"/>
    <w:rsid w:val="74FDD8EA"/>
    <w:rsid w:val="7516ECD3"/>
    <w:rsid w:val="75429D25"/>
    <w:rsid w:val="7583F5A7"/>
    <w:rsid w:val="75926144"/>
    <w:rsid w:val="75BABA51"/>
    <w:rsid w:val="76FD58BC"/>
    <w:rsid w:val="77168498"/>
    <w:rsid w:val="775AD8B7"/>
    <w:rsid w:val="77B768EA"/>
    <w:rsid w:val="78089596"/>
    <w:rsid w:val="783DBC72"/>
    <w:rsid w:val="7840B001"/>
    <w:rsid w:val="7857CC3B"/>
    <w:rsid w:val="79117266"/>
    <w:rsid w:val="79FA0463"/>
    <w:rsid w:val="7A2FE267"/>
    <w:rsid w:val="7A53F11B"/>
    <w:rsid w:val="7A5779FA"/>
    <w:rsid w:val="7A807ED8"/>
    <w:rsid w:val="7AB4ED65"/>
    <w:rsid w:val="7AD24117"/>
    <w:rsid w:val="7B0BA345"/>
    <w:rsid w:val="7B6B27BB"/>
    <w:rsid w:val="7BB59AE6"/>
    <w:rsid w:val="7BEF845F"/>
    <w:rsid w:val="7C25863E"/>
    <w:rsid w:val="7C278D2F"/>
    <w:rsid w:val="7C2A94B4"/>
    <w:rsid w:val="7C347C04"/>
    <w:rsid w:val="7C41EBDB"/>
    <w:rsid w:val="7C9C6A57"/>
    <w:rsid w:val="7CB3EBE9"/>
    <w:rsid w:val="7CBD1179"/>
    <w:rsid w:val="7D1DBA4F"/>
    <w:rsid w:val="7D3E2CCA"/>
    <w:rsid w:val="7D487C95"/>
    <w:rsid w:val="7D521398"/>
    <w:rsid w:val="7D6DC741"/>
    <w:rsid w:val="7D8216FB"/>
    <w:rsid w:val="7DA55EF8"/>
    <w:rsid w:val="7E0043F8"/>
    <w:rsid w:val="7E52D993"/>
    <w:rsid w:val="7E5A1125"/>
    <w:rsid w:val="7E8472EE"/>
    <w:rsid w:val="7EAEFE86"/>
    <w:rsid w:val="7EBD8B6A"/>
    <w:rsid w:val="7EC084EE"/>
    <w:rsid w:val="7F659E77"/>
    <w:rsid w:val="7F9B266B"/>
    <w:rsid w:val="7FC7EA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72801A"/>
  <w15:chartTrackingRefBased/>
  <w15:docId w15:val="{7F729901-6525-4DDF-8844-B9655CF44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Pr>
      <w:color w:val="467886"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NormalWeb">
    <w:name w:val="Normal (Web)"/>
    <w:basedOn w:val="Normal"/>
    <w:uiPriority w:val="99"/>
    <w:semiHidden/>
    <w:unhideWhenUsed/>
    <w:rsid w:val="008A27E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33730675">
      <w:bodyDiv w:val="1"/>
      <w:marLeft w:val="0"/>
      <w:marRight w:val="0"/>
      <w:marTop w:val="0"/>
      <w:marBottom w:val="0"/>
      <w:divBdr>
        <w:top w:val="none" w:sz="0" w:space="0" w:color="auto"/>
        <w:left w:val="none" w:sz="0" w:space="0" w:color="auto"/>
        <w:bottom w:val="none" w:sz="0" w:space="0" w:color="auto"/>
        <w:right w:val="none" w:sz="0" w:space="0" w:color="auto"/>
      </w:divBdr>
    </w:div>
    <w:div w:id="1416629502">
      <w:bodyDiv w:val="1"/>
      <w:marLeft w:val="0"/>
      <w:marRight w:val="0"/>
      <w:marTop w:val="0"/>
      <w:marBottom w:val="0"/>
      <w:divBdr>
        <w:top w:val="none" w:sz="0" w:space="0" w:color="auto"/>
        <w:left w:val="none" w:sz="0" w:space="0" w:color="auto"/>
        <w:bottom w:val="none" w:sz="0" w:space="0" w:color="auto"/>
        <w:right w:val="none" w:sz="0" w:space="0" w:color="auto"/>
      </w:divBdr>
      <w:divsChild>
        <w:div w:id="1303388004">
          <w:marLeft w:val="0"/>
          <w:marRight w:val="0"/>
          <w:marTop w:val="0"/>
          <w:marBottom w:val="0"/>
          <w:divBdr>
            <w:top w:val="none" w:sz="0" w:space="0" w:color="auto"/>
            <w:left w:val="none" w:sz="0" w:space="0" w:color="auto"/>
            <w:bottom w:val="none" w:sz="0" w:space="0" w:color="auto"/>
            <w:right w:val="none" w:sz="0" w:space="0" w:color="auto"/>
          </w:divBdr>
        </w:div>
      </w:divsChild>
    </w:div>
    <w:div w:id="1543249010">
      <w:bodyDiv w:val="1"/>
      <w:marLeft w:val="0"/>
      <w:marRight w:val="0"/>
      <w:marTop w:val="0"/>
      <w:marBottom w:val="0"/>
      <w:divBdr>
        <w:top w:val="none" w:sz="0" w:space="0" w:color="auto"/>
        <w:left w:val="none" w:sz="0" w:space="0" w:color="auto"/>
        <w:bottom w:val="none" w:sz="0" w:space="0" w:color="auto"/>
        <w:right w:val="none" w:sz="0" w:space="0" w:color="auto"/>
      </w:divBdr>
    </w:div>
    <w:div w:id="1691570392">
      <w:bodyDiv w:val="1"/>
      <w:marLeft w:val="0"/>
      <w:marRight w:val="0"/>
      <w:marTop w:val="0"/>
      <w:marBottom w:val="0"/>
      <w:divBdr>
        <w:top w:val="none" w:sz="0" w:space="0" w:color="auto"/>
        <w:left w:val="none" w:sz="0" w:space="0" w:color="auto"/>
        <w:bottom w:val="none" w:sz="0" w:space="0" w:color="auto"/>
        <w:right w:val="none" w:sz="0" w:space="0" w:color="auto"/>
      </w:divBdr>
    </w:div>
    <w:div w:id="1921257540">
      <w:bodyDiv w:val="1"/>
      <w:marLeft w:val="0"/>
      <w:marRight w:val="0"/>
      <w:marTop w:val="0"/>
      <w:marBottom w:val="0"/>
      <w:divBdr>
        <w:top w:val="none" w:sz="0" w:space="0" w:color="auto"/>
        <w:left w:val="none" w:sz="0" w:space="0" w:color="auto"/>
        <w:bottom w:val="none" w:sz="0" w:space="0" w:color="auto"/>
        <w:right w:val="none" w:sz="0" w:space="0" w:color="auto"/>
      </w:divBdr>
      <w:divsChild>
        <w:div w:id="1316376811">
          <w:marLeft w:val="0"/>
          <w:marRight w:val="0"/>
          <w:marTop w:val="0"/>
          <w:marBottom w:val="0"/>
          <w:divBdr>
            <w:top w:val="none" w:sz="0" w:space="0" w:color="auto"/>
            <w:left w:val="none" w:sz="0" w:space="0" w:color="auto"/>
            <w:bottom w:val="none" w:sz="0" w:space="0" w:color="auto"/>
            <w:right w:val="none" w:sz="0" w:space="0" w:color="auto"/>
          </w:divBdr>
        </w:div>
      </w:divsChild>
    </w:div>
    <w:div w:id="2112160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microsoft.com/office/2020/10/relationships/intelligence" Target="intelligence2.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141</TotalTime>
  <Pages>14</Pages>
  <Words>5182</Words>
  <Characters>29544</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 Colclough (2100479)</dc:creator>
  <cp:keywords/>
  <dc:description/>
  <cp:lastModifiedBy>Nia Colclough (2100479)</cp:lastModifiedBy>
  <cp:revision>130</cp:revision>
  <dcterms:created xsi:type="dcterms:W3CDTF">2024-11-04T10:16:00Z</dcterms:created>
  <dcterms:modified xsi:type="dcterms:W3CDTF">2024-12-08T12:45:00Z</dcterms:modified>
</cp:coreProperties>
</file>