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CE0C8F" w14:textId="4C1526E7" w:rsidR="00F50ACB" w:rsidRDefault="00F50ACB" w:rsidP="002D100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Pr>
          <w:noProof/>
        </w:rPr>
        <w:drawing>
          <wp:anchor distT="0" distB="0" distL="114300" distR="114300" simplePos="0" relativeHeight="251658240" behindDoc="0" locked="0" layoutInCell="1" allowOverlap="1" wp14:anchorId="62823CC4" wp14:editId="369F90D1">
            <wp:simplePos x="0" y="0"/>
            <wp:positionH relativeFrom="column">
              <wp:posOffset>-581025</wp:posOffset>
            </wp:positionH>
            <wp:positionV relativeFrom="paragraph">
              <wp:posOffset>0</wp:posOffset>
            </wp:positionV>
            <wp:extent cx="2679700" cy="2238375"/>
            <wp:effectExtent l="0" t="0" r="6350" b="9525"/>
            <wp:wrapSquare wrapText="bothSides"/>
            <wp:docPr id="9" name="Picture 8" descr="UWTSD Named UK University of the Year ...">
              <a:extLst xmlns:a="http://schemas.openxmlformats.org/drawingml/2006/main">
                <a:ext uri="{FF2B5EF4-FFF2-40B4-BE49-F238E27FC236}">
                  <a16:creationId xmlns:a16="http://schemas.microsoft.com/office/drawing/2014/main" id="{5C781555-CF4E-0AB9-BF03-9208145365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UWTSD Named UK University of the Year ...">
                      <a:extLst>
                        <a:ext uri="{FF2B5EF4-FFF2-40B4-BE49-F238E27FC236}">
                          <a16:creationId xmlns:a16="http://schemas.microsoft.com/office/drawing/2014/main" id="{5C781555-CF4E-0AB9-BF03-92081453657A}"/>
                        </a:ext>
                      </a:extLst>
                    </pic:cNvPr>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79700" cy="22383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30E987" w14:textId="77777777" w:rsidR="00F50ACB" w:rsidRDefault="00F50ACB" w:rsidP="002D100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11E735A5" w14:textId="77777777" w:rsidR="00F50ACB" w:rsidRDefault="00F50ACB" w:rsidP="002D100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53F714BD" w14:textId="77777777" w:rsidR="00F50ACB" w:rsidRDefault="00F50ACB" w:rsidP="002D100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57C47728" w14:textId="77777777" w:rsidR="00F50ACB" w:rsidRDefault="00F50ACB" w:rsidP="002D100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79E98326" w14:textId="77777777" w:rsidR="00F50ACB" w:rsidRDefault="00F50ACB" w:rsidP="002D100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68BEDCD9" w14:textId="5C8B74A0" w:rsidR="00F50ACB" w:rsidRPr="00C523E7" w:rsidRDefault="00F50ACB" w:rsidP="00F50ACB">
      <w:pPr>
        <w:pStyle w:val="NormalWeb"/>
        <w:spacing w:before="0" w:beforeAutospacing="0" w:after="0" w:afterAutospacing="0" w:line="360" w:lineRule="auto"/>
        <w:jc w:val="center"/>
        <w:rPr>
          <w:sz w:val="28"/>
          <w:szCs w:val="28"/>
        </w:rPr>
      </w:pPr>
      <w:r w:rsidRPr="00C523E7">
        <w:rPr>
          <w:rFonts w:ascii="Arial" w:eastAsia="Aptos" w:hAnsi="Arial" w:cs="Arial"/>
          <w:b/>
          <w:bCs/>
          <w:color w:val="000000"/>
          <w:kern w:val="2"/>
          <w:sz w:val="28"/>
          <w:szCs w:val="28"/>
          <w:lang w:val="nl-NL"/>
        </w:rPr>
        <w:t>Module name:</w:t>
      </w:r>
    </w:p>
    <w:p w14:paraId="35F39442" w14:textId="77777777" w:rsidR="00F50ACB" w:rsidRPr="00C523E7" w:rsidRDefault="00F50ACB" w:rsidP="00F50ACB">
      <w:pPr>
        <w:pStyle w:val="NormalWeb"/>
        <w:shd w:val="clear" w:color="auto" w:fill="FFFFFF"/>
        <w:spacing w:before="0" w:beforeAutospacing="0"/>
        <w:jc w:val="center"/>
        <w:rPr>
          <w:rFonts w:ascii="Segoe UI" w:hAnsi="Segoe UI" w:cs="Segoe UI"/>
          <w:color w:val="1D2125"/>
          <w:sz w:val="28"/>
          <w:szCs w:val="28"/>
        </w:rPr>
      </w:pPr>
      <w:r w:rsidRPr="00C523E7">
        <w:rPr>
          <w:rStyle w:val="Strong"/>
          <w:rFonts w:ascii="Arial" w:eastAsiaTheme="majorEastAsia" w:hAnsi="Arial" w:cs="Arial"/>
          <w:color w:val="1D2125"/>
          <w:sz w:val="28"/>
          <w:szCs w:val="28"/>
        </w:rPr>
        <w:t>Health Care System Organisation and Leadership</w:t>
      </w:r>
    </w:p>
    <w:p w14:paraId="0E70354F" w14:textId="77777777" w:rsidR="00F50ACB" w:rsidRPr="00C523E7" w:rsidRDefault="00F50ACB" w:rsidP="00F50ACB">
      <w:pPr>
        <w:pStyle w:val="NormalWeb"/>
        <w:spacing w:before="0" w:beforeAutospacing="0" w:after="0" w:afterAutospacing="0" w:line="360" w:lineRule="auto"/>
        <w:jc w:val="center"/>
        <w:rPr>
          <w:rFonts w:ascii="Arial" w:eastAsia="Aptos" w:hAnsi="Arial" w:cs="Arial"/>
          <w:color w:val="000000"/>
          <w:kern w:val="2"/>
          <w:sz w:val="28"/>
          <w:szCs w:val="28"/>
          <w:lang w:val="nl-NL"/>
        </w:rPr>
      </w:pPr>
    </w:p>
    <w:p w14:paraId="028BA6C3" w14:textId="7595C9EB" w:rsidR="00F50ACB" w:rsidRPr="00C523E7" w:rsidRDefault="00F50ACB" w:rsidP="00F50ACB">
      <w:pPr>
        <w:pStyle w:val="NormalWeb"/>
        <w:spacing w:before="0" w:beforeAutospacing="0" w:after="0" w:afterAutospacing="0" w:line="360" w:lineRule="auto"/>
        <w:jc w:val="center"/>
        <w:rPr>
          <w:sz w:val="28"/>
          <w:szCs w:val="28"/>
        </w:rPr>
      </w:pPr>
      <w:r w:rsidRPr="00C523E7">
        <w:rPr>
          <w:rFonts w:ascii="Arial" w:eastAsia="Aptos" w:hAnsi="Arial" w:cs="Arial"/>
          <w:color w:val="000000"/>
          <w:kern w:val="2"/>
          <w:sz w:val="28"/>
          <w:szCs w:val="28"/>
        </w:rPr>
        <w:tab/>
      </w:r>
      <w:r w:rsidRPr="00C523E7">
        <w:rPr>
          <w:rFonts w:ascii="Arial" w:eastAsia="Aptos" w:hAnsi="Arial" w:cs="Arial"/>
          <w:b/>
          <w:bCs/>
          <w:color w:val="000000"/>
          <w:kern w:val="2"/>
          <w:sz w:val="28"/>
          <w:szCs w:val="28"/>
          <w:lang w:val="nl-NL"/>
        </w:rPr>
        <w:t>Student</w:t>
      </w:r>
      <w:r w:rsidRPr="00C523E7">
        <w:rPr>
          <w:rFonts w:ascii="Arial" w:eastAsia="Aptos" w:hAnsi="Arial" w:cs="Arial"/>
          <w:b/>
          <w:bCs/>
          <w:smallCaps/>
          <w:color w:val="000000"/>
          <w:kern w:val="2"/>
          <w:sz w:val="28"/>
          <w:szCs w:val="28"/>
          <w:lang w:val="nl-NL"/>
        </w:rPr>
        <w:t xml:space="preserve"> </w:t>
      </w:r>
      <w:r w:rsidRPr="00C523E7">
        <w:rPr>
          <w:rFonts w:ascii="Arial" w:eastAsia="Aptos" w:hAnsi="Arial" w:cs="Arial"/>
          <w:b/>
          <w:bCs/>
          <w:color w:val="000000"/>
          <w:kern w:val="2"/>
          <w:sz w:val="28"/>
          <w:szCs w:val="28"/>
          <w:lang w:val="nl-NL"/>
        </w:rPr>
        <w:t>name:</w:t>
      </w:r>
      <w:r w:rsidRPr="00C523E7">
        <w:rPr>
          <w:rFonts w:ascii="Arial" w:eastAsia="Aptos" w:hAnsi="Arial" w:cs="Arial"/>
          <w:b/>
          <w:bCs/>
          <w:smallCaps/>
          <w:color w:val="000000"/>
          <w:kern w:val="2"/>
          <w:sz w:val="28"/>
          <w:szCs w:val="28"/>
          <w:lang w:val="nl-NL"/>
        </w:rPr>
        <w:t xml:space="preserve"> </w:t>
      </w:r>
      <w:r w:rsidRPr="00C523E7">
        <w:rPr>
          <w:rFonts w:ascii="Arial" w:eastAsia="Aptos" w:hAnsi="Arial" w:cs="Arial"/>
          <w:color w:val="000000"/>
          <w:kern w:val="2"/>
          <w:sz w:val="28"/>
          <w:szCs w:val="28"/>
          <w:lang w:val="nl-NL"/>
        </w:rPr>
        <w:t>Josephine</w:t>
      </w:r>
      <w:r w:rsidRPr="00C523E7">
        <w:rPr>
          <w:rFonts w:ascii="Arial" w:eastAsia="Aptos" w:hAnsi="Arial" w:cs="Arial"/>
          <w:smallCaps/>
          <w:color w:val="000000"/>
          <w:kern w:val="2"/>
          <w:sz w:val="28"/>
          <w:szCs w:val="28"/>
          <w:lang w:val="nl-NL"/>
        </w:rPr>
        <w:t xml:space="preserve"> </w:t>
      </w:r>
      <w:r w:rsidRPr="00C523E7">
        <w:rPr>
          <w:rFonts w:ascii="Arial" w:eastAsia="Aptos" w:hAnsi="Arial" w:cs="Arial"/>
          <w:color w:val="000000"/>
          <w:kern w:val="2"/>
          <w:sz w:val="28"/>
          <w:szCs w:val="28"/>
          <w:lang w:val="nl-NL"/>
        </w:rPr>
        <w:t>Osei</w:t>
      </w:r>
      <w:r w:rsidRPr="00C523E7">
        <w:rPr>
          <w:rFonts w:ascii="Arial" w:eastAsia="Aptos" w:hAnsi="Arial" w:cs="Arial"/>
          <w:smallCaps/>
          <w:color w:val="000000"/>
          <w:kern w:val="2"/>
          <w:sz w:val="28"/>
          <w:szCs w:val="28"/>
          <w:lang w:val="nl-NL"/>
        </w:rPr>
        <w:t xml:space="preserve"> </w:t>
      </w:r>
      <w:r w:rsidRPr="00C523E7">
        <w:rPr>
          <w:rFonts w:ascii="Arial" w:eastAsia="Aptos" w:hAnsi="Arial" w:cs="Arial"/>
          <w:color w:val="000000"/>
          <w:kern w:val="2"/>
          <w:sz w:val="28"/>
          <w:szCs w:val="28"/>
          <w:lang w:val="nl-NL"/>
        </w:rPr>
        <w:t>Amoah</w:t>
      </w:r>
    </w:p>
    <w:p w14:paraId="42893585" w14:textId="77777777" w:rsidR="00F50ACB" w:rsidRPr="00C523E7" w:rsidRDefault="00F50ACB" w:rsidP="00F50ACB">
      <w:pPr>
        <w:pStyle w:val="NormalWeb"/>
        <w:spacing w:before="0" w:beforeAutospacing="0" w:after="0" w:afterAutospacing="0" w:line="360" w:lineRule="auto"/>
        <w:jc w:val="center"/>
        <w:rPr>
          <w:sz w:val="28"/>
          <w:szCs w:val="28"/>
        </w:rPr>
      </w:pPr>
      <w:r w:rsidRPr="00C523E7">
        <w:rPr>
          <w:rFonts w:ascii="Arial" w:eastAsia="Aptos" w:hAnsi="Arial" w:cs="Arial"/>
          <w:color w:val="000000"/>
          <w:kern w:val="2"/>
          <w:sz w:val="28"/>
          <w:szCs w:val="28"/>
          <w:lang w:val="nl-NL"/>
        </w:rPr>
        <w:t>Student</w:t>
      </w:r>
      <w:r w:rsidRPr="00C523E7">
        <w:rPr>
          <w:rFonts w:ascii="Arial" w:eastAsia="Aptos" w:hAnsi="Arial" w:cs="Arial"/>
          <w:smallCaps/>
          <w:color w:val="000000"/>
          <w:kern w:val="2"/>
          <w:sz w:val="28"/>
          <w:szCs w:val="28"/>
          <w:lang w:val="nl-NL"/>
        </w:rPr>
        <w:t xml:space="preserve"> </w:t>
      </w:r>
      <w:r w:rsidRPr="00C523E7">
        <w:rPr>
          <w:rFonts w:ascii="Arial" w:eastAsia="Aptos" w:hAnsi="Arial" w:cs="Arial"/>
          <w:color w:val="000000"/>
          <w:kern w:val="2"/>
          <w:sz w:val="28"/>
          <w:szCs w:val="28"/>
          <w:lang w:val="nl-NL"/>
        </w:rPr>
        <w:t>ID:</w:t>
      </w:r>
      <w:r w:rsidRPr="00C523E7">
        <w:rPr>
          <w:rFonts w:ascii="Arial" w:eastAsia="Aptos" w:hAnsi="Arial" w:cs="Arial"/>
          <w:smallCaps/>
          <w:color w:val="000000"/>
          <w:kern w:val="2"/>
          <w:sz w:val="28"/>
          <w:szCs w:val="28"/>
          <w:lang w:val="nl-NL"/>
        </w:rPr>
        <w:t xml:space="preserve"> </w:t>
      </w:r>
      <w:r w:rsidRPr="00C523E7">
        <w:rPr>
          <w:rFonts w:ascii="Arial" w:eastAsia="Aptos" w:hAnsi="Arial" w:cs="Arial"/>
          <w:color w:val="000000"/>
          <w:kern w:val="2"/>
          <w:sz w:val="28"/>
          <w:szCs w:val="28"/>
          <w:lang w:val="nl-NL"/>
        </w:rPr>
        <w:t>2233505</w:t>
      </w:r>
    </w:p>
    <w:p w14:paraId="24D70F61" w14:textId="088FCB32" w:rsidR="00F50ACB" w:rsidRPr="00C523E7" w:rsidRDefault="00F50ACB" w:rsidP="00F50ACB">
      <w:pPr>
        <w:pStyle w:val="NormalWeb"/>
        <w:shd w:val="clear" w:color="auto" w:fill="FFFFFF"/>
        <w:spacing w:before="0" w:beforeAutospacing="0"/>
        <w:jc w:val="center"/>
        <w:rPr>
          <w:rFonts w:ascii="Segoe UI" w:hAnsi="Segoe UI" w:cs="Segoe UI"/>
          <w:color w:val="1D2125"/>
          <w:sz w:val="28"/>
          <w:szCs w:val="28"/>
        </w:rPr>
      </w:pPr>
      <w:r w:rsidRPr="00C523E7">
        <w:rPr>
          <w:rFonts w:ascii="Arial" w:eastAsia="Aptos" w:hAnsi="Arial" w:cs="Arial"/>
          <w:b/>
          <w:bCs/>
          <w:color w:val="000000"/>
          <w:kern w:val="2"/>
          <w:sz w:val="28"/>
          <w:szCs w:val="28"/>
          <w:lang w:val="en-US"/>
        </w:rPr>
        <w:t>Module</w:t>
      </w:r>
      <w:r w:rsidRPr="00C523E7">
        <w:rPr>
          <w:rFonts w:ascii="Arial" w:eastAsia="Aptos" w:hAnsi="Arial" w:cs="Arial"/>
          <w:b/>
          <w:bCs/>
          <w:smallCaps/>
          <w:color w:val="000000"/>
          <w:kern w:val="2"/>
          <w:sz w:val="28"/>
          <w:szCs w:val="28"/>
          <w:lang w:val="en-US"/>
        </w:rPr>
        <w:t xml:space="preserve"> </w:t>
      </w:r>
      <w:r w:rsidRPr="00C523E7">
        <w:rPr>
          <w:rFonts w:ascii="Arial" w:eastAsia="Aptos" w:hAnsi="Arial" w:cs="Arial"/>
          <w:b/>
          <w:bCs/>
          <w:color w:val="000000"/>
          <w:kern w:val="2"/>
          <w:sz w:val="28"/>
          <w:szCs w:val="28"/>
          <w:lang w:val="en-US"/>
        </w:rPr>
        <w:t>code:</w:t>
      </w:r>
      <w:r w:rsidRPr="00C523E7">
        <w:rPr>
          <w:rStyle w:val="Strong"/>
          <w:rFonts w:ascii="Arial" w:eastAsiaTheme="majorEastAsia" w:hAnsi="Arial" w:cs="Arial"/>
          <w:color w:val="1D2125"/>
          <w:sz w:val="28"/>
          <w:szCs w:val="28"/>
        </w:rPr>
        <w:t xml:space="preserve"> </w:t>
      </w:r>
      <w:r w:rsidRPr="00C523E7">
        <w:rPr>
          <w:rStyle w:val="Strong"/>
          <w:rFonts w:ascii="Arial" w:eastAsiaTheme="majorEastAsia" w:hAnsi="Arial" w:cs="Arial"/>
          <w:b w:val="0"/>
          <w:bCs w:val="0"/>
          <w:color w:val="1D2125"/>
          <w:sz w:val="28"/>
          <w:szCs w:val="28"/>
        </w:rPr>
        <w:t>(LCHS7002_LON</w:t>
      </w:r>
      <w:r w:rsidRPr="00C523E7">
        <w:rPr>
          <w:rFonts w:ascii="Arial" w:eastAsia="Aptos" w:hAnsi="Arial" w:cs="Arial"/>
          <w:color w:val="000000"/>
          <w:kern w:val="2"/>
          <w:sz w:val="28"/>
          <w:szCs w:val="28"/>
          <w:lang w:val="en-US"/>
        </w:rPr>
        <w:t>)</w:t>
      </w:r>
    </w:p>
    <w:p w14:paraId="6975C178" w14:textId="1F3DB159" w:rsidR="00F50ACB" w:rsidRPr="00C523E7" w:rsidRDefault="00F50ACB" w:rsidP="00F50ACB">
      <w:pPr>
        <w:pStyle w:val="NormalWeb"/>
        <w:spacing w:before="0" w:beforeAutospacing="0" w:after="0" w:afterAutospacing="0" w:line="360" w:lineRule="auto"/>
        <w:jc w:val="center"/>
        <w:rPr>
          <w:sz w:val="28"/>
          <w:szCs w:val="28"/>
        </w:rPr>
      </w:pPr>
      <w:r w:rsidRPr="00C523E7">
        <w:rPr>
          <w:rFonts w:ascii="Arial" w:eastAsia="Aptos" w:hAnsi="Arial" w:cs="Arial"/>
          <w:b/>
          <w:bCs/>
          <w:color w:val="000000"/>
          <w:kern w:val="2"/>
          <w:sz w:val="28"/>
          <w:szCs w:val="28"/>
          <w:lang w:val="en-US"/>
        </w:rPr>
        <w:t>Lecturer</w:t>
      </w:r>
      <w:r w:rsidRPr="00C523E7">
        <w:rPr>
          <w:rFonts w:ascii="Arial" w:eastAsia="Aptos" w:hAnsi="Arial" w:cs="Arial"/>
          <w:b/>
          <w:bCs/>
          <w:smallCaps/>
          <w:color w:val="000000"/>
          <w:kern w:val="2"/>
          <w:sz w:val="28"/>
          <w:szCs w:val="28"/>
          <w:lang w:val="en-US"/>
        </w:rPr>
        <w:t xml:space="preserve"> </w:t>
      </w:r>
      <w:r w:rsidRPr="00C523E7">
        <w:rPr>
          <w:rFonts w:ascii="Arial" w:eastAsia="Aptos" w:hAnsi="Arial" w:cs="Arial"/>
          <w:b/>
          <w:bCs/>
          <w:color w:val="000000"/>
          <w:kern w:val="2"/>
          <w:sz w:val="28"/>
          <w:szCs w:val="28"/>
          <w:lang w:val="en-US"/>
        </w:rPr>
        <w:t xml:space="preserve">name: </w:t>
      </w:r>
      <w:r w:rsidRPr="00C523E7">
        <w:rPr>
          <w:rFonts w:ascii="Arial" w:hAnsi="Arial" w:cs="Arial"/>
          <w:color w:val="1D2125"/>
          <w:sz w:val="28"/>
          <w:szCs w:val="28"/>
          <w:shd w:val="clear" w:color="auto" w:fill="FFFFFF"/>
        </w:rPr>
        <w:t>Shaila Hussain</w:t>
      </w:r>
    </w:p>
    <w:p w14:paraId="658C1280" w14:textId="77777777" w:rsidR="00F50ACB" w:rsidRPr="00C523E7" w:rsidRDefault="00F50ACB" w:rsidP="00F50ACB">
      <w:pPr>
        <w:pStyle w:val="NormalWeb"/>
        <w:spacing w:before="0" w:beforeAutospacing="0" w:after="0" w:afterAutospacing="0" w:line="360" w:lineRule="auto"/>
        <w:jc w:val="center"/>
        <w:rPr>
          <w:sz w:val="28"/>
          <w:szCs w:val="28"/>
        </w:rPr>
      </w:pPr>
      <w:r w:rsidRPr="00C523E7">
        <w:rPr>
          <w:rFonts w:ascii="Arial" w:eastAsia="Aptos" w:hAnsi="Arial" w:cs="Arial"/>
          <w:b/>
          <w:bCs/>
          <w:color w:val="000000"/>
          <w:kern w:val="2"/>
          <w:sz w:val="28"/>
          <w:szCs w:val="28"/>
          <w:lang w:val="en-US"/>
        </w:rPr>
        <w:t xml:space="preserve">Institution Name: </w:t>
      </w:r>
      <w:r w:rsidRPr="00C523E7">
        <w:rPr>
          <w:rFonts w:ascii="Arial" w:eastAsia="Aptos" w:hAnsi="Arial" w:cs="Arial"/>
          <w:color w:val="000000"/>
          <w:kern w:val="2"/>
          <w:sz w:val="28"/>
          <w:szCs w:val="28"/>
          <w:lang w:val="en-US"/>
        </w:rPr>
        <w:t>University of Wales Trinity Saint David</w:t>
      </w:r>
    </w:p>
    <w:p w14:paraId="0FF6FEA3" w14:textId="77777777" w:rsidR="00F50ACB" w:rsidRPr="00C523E7" w:rsidRDefault="00F50ACB" w:rsidP="002D1004">
      <w:p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p>
    <w:p w14:paraId="5D47D7F3" w14:textId="77777777" w:rsidR="00F50ACB" w:rsidRPr="00C523E7" w:rsidRDefault="00F50ACB" w:rsidP="002D1004">
      <w:p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p>
    <w:p w14:paraId="7BBBF8DF" w14:textId="77777777" w:rsidR="00F50ACB" w:rsidRPr="00C523E7" w:rsidRDefault="00F50ACB" w:rsidP="002D1004">
      <w:p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p>
    <w:p w14:paraId="5003AEDF" w14:textId="77777777" w:rsidR="00F50ACB" w:rsidRDefault="00F50ACB" w:rsidP="002D100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4765641E" w14:textId="77777777" w:rsidR="00C523E7" w:rsidRDefault="00C523E7" w:rsidP="002D100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09433CD8" w14:textId="77777777" w:rsidR="00C523E7" w:rsidRDefault="00C523E7" w:rsidP="002D100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58ADB8C4" w14:textId="77777777" w:rsidR="00C523E7" w:rsidRDefault="00C523E7" w:rsidP="002D100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67FE9A52" w14:textId="77777777" w:rsidR="00C523E7" w:rsidRDefault="00C523E7" w:rsidP="002D100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37B8347C" w14:textId="77777777" w:rsidR="00F50ACB" w:rsidRDefault="00F50ACB" w:rsidP="002D100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5C5C928B" w14:textId="77777777" w:rsidR="00E61B16" w:rsidRPr="00C523E7" w:rsidRDefault="00E61B16" w:rsidP="00E61B16">
      <w:pPr>
        <w:pStyle w:val="NormalWeb"/>
        <w:spacing w:before="96" w:beforeAutospacing="0" w:after="0" w:afterAutospacing="0" w:line="216" w:lineRule="auto"/>
        <w:ind w:left="547" w:hanging="547"/>
        <w:jc w:val="center"/>
        <w:rPr>
          <w:sz w:val="28"/>
          <w:szCs w:val="28"/>
        </w:rPr>
      </w:pPr>
      <w:r w:rsidRPr="00C523E7">
        <w:rPr>
          <w:rFonts w:ascii="Arial" w:hAnsi="Arial" w:cs="Arial"/>
          <w:color w:val="000000"/>
          <w:kern w:val="24"/>
          <w:sz w:val="28"/>
          <w:szCs w:val="28"/>
          <w14:textFill>
            <w14:solidFill>
              <w14:srgbClr w14:val="000000">
                <w14:alpha w14:val="45000"/>
              </w14:srgbClr>
            </w14:solidFill>
          </w14:textFill>
        </w:rPr>
        <w:t>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w:t>
      </w:r>
    </w:p>
    <w:p w14:paraId="2A5FDB39" w14:textId="77777777" w:rsidR="00F50ACB" w:rsidRPr="00C523E7" w:rsidRDefault="00F50ACB" w:rsidP="002D1004">
      <w:p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p>
    <w:p w14:paraId="0D2719BE" w14:textId="77777777" w:rsidR="00F50ACB" w:rsidRDefault="00F50ACB" w:rsidP="002D100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7EAD5793" w14:textId="77777777" w:rsidR="00C523E7" w:rsidRDefault="00C523E7" w:rsidP="002D100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00F9F48B" w14:textId="77777777" w:rsidR="00C523E7" w:rsidRDefault="00C523E7" w:rsidP="002D100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4AF6D3CF" w14:textId="77777777" w:rsidR="00C523E7" w:rsidRDefault="00C523E7" w:rsidP="002D100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00F42077" w14:textId="77777777" w:rsidR="00C523E7" w:rsidRDefault="00C523E7" w:rsidP="002D100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567213CF" w14:textId="77777777" w:rsidR="00C523E7" w:rsidRDefault="00C523E7" w:rsidP="002D100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42D9C1F5" w14:textId="77777777" w:rsidR="00C523E7" w:rsidRDefault="00C523E7" w:rsidP="002D100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16CA8BBB" w14:textId="77777777" w:rsidR="00C523E7" w:rsidRDefault="00C523E7" w:rsidP="002D100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27CD1CC4" w14:textId="77777777" w:rsidR="00C523E7" w:rsidRDefault="00C523E7" w:rsidP="002D100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4C844BD8" w14:textId="77777777" w:rsidR="00C523E7" w:rsidRDefault="00C523E7" w:rsidP="002D100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6644ACAA" w14:textId="77777777" w:rsidR="00C523E7" w:rsidRDefault="00C523E7" w:rsidP="002D100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7D627A11" w14:textId="77777777" w:rsidR="00C523E7" w:rsidRDefault="00C523E7" w:rsidP="002D100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6A5D4773" w14:textId="77777777" w:rsidR="00C523E7" w:rsidRDefault="00C523E7" w:rsidP="002D100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48F41B3F" w14:textId="77777777" w:rsidR="00C523E7" w:rsidRDefault="00C523E7" w:rsidP="002D100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6E995399" w14:textId="77777777" w:rsidR="00F50ACB" w:rsidRDefault="00F50ACB" w:rsidP="002D100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00E447D4" w14:textId="77777777" w:rsidR="00C523E7" w:rsidRDefault="00C523E7" w:rsidP="002D100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4248B22E" w14:textId="14197B47" w:rsidR="00F50ACB" w:rsidRPr="00EE46C5" w:rsidRDefault="00EE46C5" w:rsidP="002D1004">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EE46C5">
        <w:rPr>
          <w:rFonts w:ascii="Arial" w:eastAsia="Times New Roman" w:hAnsi="Arial" w:cs="Arial"/>
          <w:b/>
          <w:bCs/>
          <w:kern w:val="0"/>
          <w:sz w:val="36"/>
          <w:szCs w:val="36"/>
          <w:lang w:eastAsia="en-GB"/>
          <w14:ligatures w14:val="none"/>
        </w:rPr>
        <w:lastRenderedPageBreak/>
        <w:t xml:space="preserve">THE CASE STUDY </w:t>
      </w:r>
      <w:r w:rsidR="00C46381" w:rsidRPr="00EE46C5">
        <w:rPr>
          <w:rFonts w:ascii="Arial" w:eastAsia="Times New Roman" w:hAnsi="Arial" w:cs="Arial"/>
          <w:b/>
          <w:bCs/>
          <w:kern w:val="0"/>
          <w:sz w:val="36"/>
          <w:szCs w:val="36"/>
          <w:lang w:eastAsia="en-GB"/>
          <w14:ligatures w14:val="none"/>
        </w:rPr>
        <w:t xml:space="preserve">OF </w:t>
      </w:r>
      <w:proofErr w:type="gramStart"/>
      <w:r w:rsidR="00C46381" w:rsidRPr="00EE46C5">
        <w:rPr>
          <w:rFonts w:ascii="Arial" w:eastAsia="Times New Roman" w:hAnsi="Arial" w:cs="Arial"/>
          <w:b/>
          <w:bCs/>
          <w:kern w:val="0"/>
          <w:sz w:val="36"/>
          <w:szCs w:val="36"/>
          <w:lang w:eastAsia="en-GB"/>
          <w14:ligatures w14:val="none"/>
        </w:rPr>
        <w:t>LEN</w:t>
      </w:r>
      <w:r w:rsidRPr="00EE46C5">
        <w:rPr>
          <w:rFonts w:ascii="Arial" w:eastAsia="Times New Roman" w:hAnsi="Arial" w:cs="Arial"/>
          <w:b/>
          <w:bCs/>
          <w:kern w:val="0"/>
          <w:sz w:val="36"/>
          <w:szCs w:val="36"/>
          <w:lang w:eastAsia="en-GB"/>
          <w14:ligatures w14:val="none"/>
        </w:rPr>
        <w:t>,</w:t>
      </w:r>
      <w:r w:rsidR="00C46381">
        <w:rPr>
          <w:rFonts w:ascii="Arial" w:eastAsia="Times New Roman" w:hAnsi="Arial" w:cs="Arial"/>
          <w:b/>
          <w:bCs/>
          <w:kern w:val="0"/>
          <w:sz w:val="36"/>
          <w:szCs w:val="36"/>
          <w:lang w:eastAsia="en-GB"/>
          <w14:ligatures w14:val="none"/>
        </w:rPr>
        <w:t xml:space="preserve"> </w:t>
      </w:r>
      <w:r w:rsidRPr="00EE46C5">
        <w:rPr>
          <w:rFonts w:ascii="Arial" w:eastAsia="Times New Roman" w:hAnsi="Arial" w:cs="Arial"/>
          <w:b/>
          <w:bCs/>
          <w:kern w:val="0"/>
          <w:sz w:val="36"/>
          <w:szCs w:val="36"/>
          <w:lang w:eastAsia="en-GB"/>
          <w14:ligatures w14:val="none"/>
        </w:rPr>
        <w:t xml:space="preserve"> 89</w:t>
      </w:r>
      <w:proofErr w:type="gramEnd"/>
      <w:r w:rsidRPr="00EE46C5">
        <w:rPr>
          <w:rFonts w:ascii="Arial" w:eastAsia="Times New Roman" w:hAnsi="Arial" w:cs="Arial"/>
          <w:b/>
          <w:bCs/>
          <w:kern w:val="0"/>
          <w:sz w:val="36"/>
          <w:szCs w:val="36"/>
          <w:lang w:eastAsia="en-GB"/>
          <w14:ligatures w14:val="none"/>
        </w:rPr>
        <w:t>-YEAR-OLD MAN</w:t>
      </w:r>
    </w:p>
    <w:p w14:paraId="641F5978" w14:textId="77777777" w:rsidR="00F50ACB" w:rsidRDefault="00F50ACB" w:rsidP="002D100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35E6C075" w14:textId="77777777" w:rsidR="00F50ACB" w:rsidRDefault="00F50ACB" w:rsidP="002D100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7F9790DE" w14:textId="21B84975" w:rsidR="002D1004" w:rsidRPr="002D1004" w:rsidRDefault="002D1004" w:rsidP="002D1004">
      <w:pPr>
        <w:spacing w:before="100" w:beforeAutospacing="1" w:after="100" w:afterAutospacing="1" w:line="240" w:lineRule="auto"/>
        <w:outlineLvl w:val="1"/>
        <w:rPr>
          <w:rFonts w:ascii="Arial" w:eastAsia="Times New Roman" w:hAnsi="Arial" w:cs="Arial"/>
          <w:b/>
          <w:bCs/>
          <w:kern w:val="0"/>
          <w:sz w:val="48"/>
          <w:szCs w:val="48"/>
          <w:lang w:eastAsia="en-GB"/>
          <w14:ligatures w14:val="none"/>
        </w:rPr>
      </w:pPr>
      <w:r w:rsidRPr="002D1004">
        <w:rPr>
          <w:rFonts w:ascii="Times New Roman" w:eastAsia="Times New Roman" w:hAnsi="Times New Roman" w:cs="Times New Roman"/>
          <w:b/>
          <w:bCs/>
          <w:kern w:val="0"/>
          <w:sz w:val="36"/>
          <w:szCs w:val="36"/>
          <w:lang w:eastAsia="en-GB"/>
          <w14:ligatures w14:val="none"/>
        </w:rPr>
        <w:t xml:space="preserve"> </w:t>
      </w:r>
      <w:r w:rsidRPr="002D1004">
        <w:rPr>
          <w:rFonts w:ascii="Arial" w:eastAsia="Times New Roman" w:hAnsi="Arial" w:cs="Arial"/>
          <w:b/>
          <w:bCs/>
          <w:kern w:val="0"/>
          <w:sz w:val="48"/>
          <w:szCs w:val="48"/>
          <w:lang w:eastAsia="en-GB"/>
          <w14:ligatures w14:val="none"/>
        </w:rPr>
        <w:t xml:space="preserve">Introduction </w:t>
      </w:r>
    </w:p>
    <w:p w14:paraId="749D98E5" w14:textId="1C58768E"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Patient safety is a fundamental component of high-quality health and social care systems, yet preventable harm</w:t>
      </w:r>
      <w:r w:rsidR="00861354">
        <w:rPr>
          <w:rFonts w:ascii="Arial" w:eastAsia="Times New Roman" w:hAnsi="Arial" w:cs="Arial"/>
          <w:kern w:val="0"/>
          <w:sz w:val="24"/>
          <w:szCs w:val="24"/>
          <w:lang w:eastAsia="en-GB"/>
          <w14:ligatures w14:val="none"/>
        </w:rPr>
        <w:t>,</w:t>
      </w:r>
      <w:r w:rsidR="00E55F00">
        <w:rPr>
          <w:rFonts w:ascii="Arial" w:eastAsia="Times New Roman" w:hAnsi="Arial" w:cs="Arial"/>
          <w:kern w:val="0"/>
          <w:sz w:val="24"/>
          <w:szCs w:val="24"/>
          <w:lang w:eastAsia="en-GB"/>
          <w14:ligatures w14:val="none"/>
        </w:rPr>
        <w:t xml:space="preserve"> </w:t>
      </w:r>
      <w:r w:rsidRPr="002D1004">
        <w:rPr>
          <w:rFonts w:ascii="Arial" w:eastAsia="Times New Roman" w:hAnsi="Arial" w:cs="Arial"/>
          <w:kern w:val="0"/>
          <w:sz w:val="24"/>
          <w:szCs w:val="24"/>
          <w:lang w:eastAsia="en-GB"/>
          <w14:ligatures w14:val="none"/>
        </w:rPr>
        <w:t>particularly medication-related harm</w:t>
      </w:r>
      <w:r w:rsidR="00861354">
        <w:rPr>
          <w:rFonts w:ascii="Arial" w:eastAsia="Times New Roman" w:hAnsi="Arial" w:cs="Arial"/>
          <w:kern w:val="0"/>
          <w:sz w:val="24"/>
          <w:szCs w:val="24"/>
          <w:lang w:eastAsia="en-GB"/>
          <w14:ligatures w14:val="none"/>
        </w:rPr>
        <w:t>,</w:t>
      </w:r>
      <w:r w:rsidR="00E55F00">
        <w:rPr>
          <w:rFonts w:ascii="Arial" w:eastAsia="Times New Roman" w:hAnsi="Arial" w:cs="Arial"/>
          <w:kern w:val="0"/>
          <w:sz w:val="24"/>
          <w:szCs w:val="24"/>
          <w:lang w:eastAsia="en-GB"/>
          <w14:ligatures w14:val="none"/>
        </w:rPr>
        <w:t xml:space="preserve"> </w:t>
      </w:r>
      <w:r w:rsidRPr="002D1004">
        <w:rPr>
          <w:rFonts w:ascii="Arial" w:eastAsia="Times New Roman" w:hAnsi="Arial" w:cs="Arial"/>
          <w:kern w:val="0"/>
          <w:sz w:val="24"/>
          <w:szCs w:val="24"/>
          <w:lang w:eastAsia="en-GB"/>
          <w14:ligatures w14:val="none"/>
        </w:rPr>
        <w:t>remains a persistent global challenge. The case of Len, an 89-year-old man with Charcot-Marie-Tooth (CMT) disease, exemplifies how failures in leadership, communication, and system design can lead to fatal outcomes. Following a fall and subsequent symptoms of chest pain and breathlessness, Len was prescribed oral morphine solution. However, due to a misunderstanding of the medication label, he consumed a significantly higher dose than intended, resulting in an unintentional overdose, deterioration, and death (HSSIB, 2020). This case highlights the complex interplay between human factors, governance structures, and leadership effectiveness in ensuring patient safety.</w:t>
      </w:r>
    </w:p>
    <w:p w14:paraId="5CFF79F5"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Leadership in health and social care refers to the ability to influence individuals and teams to achieve shared goals, particularly the delivery of safe, effective, and patient-centred care (Northouse, 2021). Effective leadership is essential in managing complex systems, responding to crises, and implementing change. Within healthcare organisations, leadership operates alongside governance structures that may be centralised or decentralised. Centralisation involves decision-making concentrated at higher organisational levels, often promoting standardisation and control, while decentralisation distributes authority across local units, enabling flexibility and responsiveness to patient needs (Greenwood and Hinings, 1996; Fulop et al., 2012).</w:t>
      </w:r>
    </w:p>
    <w:p w14:paraId="4FF69414"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Several leadership theories provide insight into how leaders influence organisational performance. Transformational leadership emphasises vision, innovation, and cultural change; transactional leadership focuses on compliance with rules and procedures; and situational leadership highlights the need to adapt leadership styles based on context and individual needs (Bass and Riggio, 2006; Hersey et al., 2013). The selection of an appropriate leadership style is critical in healthcare, where ineffective leadership can contribute to adverse outcomes, particularly in high-risk situations such as medication management.</w:t>
      </w:r>
    </w:p>
    <w:p w14:paraId="5807EA55" w14:textId="267BBEB4" w:rsidR="00E55F00" w:rsidRPr="00475667" w:rsidRDefault="002D1004" w:rsidP="00475667">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This report aims to critically analyse Len’s case using systems thinking, leadership theory, and governance frameworks. It will examine the underlying causes of the medication error, explore the influence of centralisation and decentralisation, and evaluate leadership effectiveness using empirical evidence. The report will also identify lessons learned and propose evidence-based recommendations to improve patient safety and organisational performance. Through this analysis, the report demonstrates the importance of integrating leadership, governance, and systems thinking to prevent harm and enhance the </w:t>
      </w:r>
      <w:r w:rsidR="00475667" w:rsidRPr="002D1004">
        <w:rPr>
          <w:rFonts w:ascii="Arial" w:eastAsia="Times New Roman" w:hAnsi="Arial" w:cs="Arial"/>
          <w:kern w:val="0"/>
          <w:sz w:val="24"/>
          <w:szCs w:val="24"/>
          <w:lang w:eastAsia="en-GB"/>
          <w14:ligatures w14:val="none"/>
        </w:rPr>
        <w:t>quality-of-care</w:t>
      </w:r>
      <w:r w:rsidRPr="002D1004">
        <w:rPr>
          <w:rFonts w:ascii="Arial" w:eastAsia="Times New Roman" w:hAnsi="Arial" w:cs="Arial"/>
          <w:kern w:val="0"/>
          <w:sz w:val="24"/>
          <w:szCs w:val="24"/>
          <w:lang w:eastAsia="en-GB"/>
          <w14:ligatures w14:val="none"/>
        </w:rPr>
        <w:t xml:space="preserve"> delivery.</w:t>
      </w:r>
    </w:p>
    <w:p w14:paraId="6AD15426" w14:textId="1D73E35B" w:rsidR="002D1004" w:rsidRPr="002D1004" w:rsidRDefault="002D1004" w:rsidP="002D1004">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2D1004">
        <w:rPr>
          <w:rFonts w:ascii="Times New Roman" w:eastAsia="Times New Roman" w:hAnsi="Times New Roman" w:cs="Times New Roman"/>
          <w:b/>
          <w:bCs/>
          <w:kern w:val="0"/>
          <w:sz w:val="36"/>
          <w:szCs w:val="36"/>
          <w:lang w:eastAsia="en-GB"/>
          <w14:ligatures w14:val="none"/>
        </w:rPr>
        <w:lastRenderedPageBreak/>
        <w:t>Identifying the Problem and System Context</w:t>
      </w:r>
      <w:r w:rsidR="00D1702B">
        <w:rPr>
          <w:rFonts w:ascii="Times New Roman" w:eastAsia="Times New Roman" w:hAnsi="Times New Roman" w:cs="Times New Roman"/>
          <w:b/>
          <w:bCs/>
          <w:kern w:val="0"/>
          <w:sz w:val="36"/>
          <w:szCs w:val="36"/>
          <w:lang w:eastAsia="en-GB"/>
          <w14:ligatures w14:val="none"/>
        </w:rPr>
        <w:t>:</w:t>
      </w:r>
      <w:r w:rsidRPr="002D1004">
        <w:rPr>
          <w:rFonts w:ascii="Times New Roman" w:eastAsia="Times New Roman" w:hAnsi="Times New Roman" w:cs="Times New Roman"/>
          <w:b/>
          <w:bCs/>
          <w:kern w:val="0"/>
          <w:sz w:val="36"/>
          <w:szCs w:val="36"/>
          <w:lang w:eastAsia="en-GB"/>
          <w14:ligatures w14:val="none"/>
        </w:rPr>
        <w:t xml:space="preserve"> Systems Thinking Approach </w:t>
      </w:r>
    </w:p>
    <w:p w14:paraId="7B962632" w14:textId="6C2B517C"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The central problem in Len’s case is an unintentional morphine overdose caused by misinterpretation of medication labelling and inadequate communication</w:t>
      </w:r>
      <w:r w:rsidR="002703FC">
        <w:rPr>
          <w:rFonts w:ascii="Arial" w:eastAsia="Times New Roman" w:hAnsi="Arial" w:cs="Arial"/>
          <w:kern w:val="0"/>
          <w:sz w:val="24"/>
          <w:szCs w:val="24"/>
          <w:lang w:eastAsia="en-GB"/>
          <w14:ligatures w14:val="none"/>
        </w:rPr>
        <w:t xml:space="preserve"> which in my place of work many </w:t>
      </w:r>
      <w:proofErr w:type="gramStart"/>
      <w:r w:rsidR="002703FC">
        <w:rPr>
          <w:rFonts w:ascii="Arial" w:eastAsia="Times New Roman" w:hAnsi="Arial" w:cs="Arial"/>
          <w:kern w:val="0"/>
          <w:sz w:val="24"/>
          <w:szCs w:val="24"/>
          <w:lang w:eastAsia="en-GB"/>
          <w14:ligatures w14:val="none"/>
        </w:rPr>
        <w:t>patient</w:t>
      </w:r>
      <w:proofErr w:type="gramEnd"/>
      <w:r w:rsidR="002703FC">
        <w:rPr>
          <w:rFonts w:ascii="Arial" w:eastAsia="Times New Roman" w:hAnsi="Arial" w:cs="Arial"/>
          <w:kern w:val="0"/>
          <w:sz w:val="24"/>
          <w:szCs w:val="24"/>
          <w:lang w:eastAsia="en-GB"/>
          <w14:ligatures w14:val="none"/>
        </w:rPr>
        <w:t xml:space="preserve"> are admitted due to overdose of medication and the impact the patients are very visible to see.</w:t>
      </w:r>
      <w:r w:rsidRPr="002D1004">
        <w:rPr>
          <w:rFonts w:ascii="Arial" w:eastAsia="Times New Roman" w:hAnsi="Arial" w:cs="Arial"/>
          <w:kern w:val="0"/>
          <w:sz w:val="24"/>
          <w:szCs w:val="24"/>
          <w:lang w:eastAsia="en-GB"/>
          <w14:ligatures w14:val="none"/>
        </w:rPr>
        <w:t xml:space="preserve"> While the prescribed dose was between 1.25 ml and 2.5 ml, Len consumed 5 ml doses, misunderstanding the strength information (10 mg/5 ml) as the correct dosage (HSSIB, 2020). This error reflects not only an individual misunderstanding but a broader systemic failure involving multiple layers of healthcare delivery.</w:t>
      </w:r>
    </w:p>
    <w:p w14:paraId="4A4437B0" w14:textId="77777777" w:rsidR="002D1004" w:rsidRPr="002D1004" w:rsidRDefault="002D1004"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r w:rsidRPr="002D1004">
        <w:rPr>
          <w:rFonts w:ascii="Arial" w:eastAsia="Times New Roman" w:hAnsi="Arial" w:cs="Arial"/>
          <w:b/>
          <w:bCs/>
          <w:kern w:val="0"/>
          <w:sz w:val="24"/>
          <w:szCs w:val="24"/>
          <w:lang w:eastAsia="en-GB"/>
          <w14:ligatures w14:val="none"/>
        </w:rPr>
        <w:t>Global Context of Medication Errors</w:t>
      </w:r>
    </w:p>
    <w:p w14:paraId="36192797" w14:textId="76525891"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Medication errors are a significant global patient safety concern. According to the World Health Organization</w:t>
      </w:r>
      <w:r w:rsidR="00B048E3">
        <w:rPr>
          <w:rFonts w:ascii="Arial" w:eastAsia="Times New Roman" w:hAnsi="Arial" w:cs="Arial"/>
          <w:kern w:val="0"/>
          <w:sz w:val="24"/>
          <w:szCs w:val="24"/>
          <w:lang w:eastAsia="en-GB"/>
          <w14:ligatures w14:val="none"/>
        </w:rPr>
        <w:t xml:space="preserve"> (WHO)</w:t>
      </w:r>
      <w:r w:rsidRPr="002D1004">
        <w:rPr>
          <w:rFonts w:ascii="Arial" w:eastAsia="Times New Roman" w:hAnsi="Arial" w:cs="Arial"/>
          <w:kern w:val="0"/>
          <w:sz w:val="24"/>
          <w:szCs w:val="24"/>
          <w:lang w:eastAsia="en-GB"/>
          <w14:ligatures w14:val="none"/>
        </w:rPr>
        <w:t>, medication-related harm accounts for millions of adverse events annually and is responsible for an estimated global cost of $42 billion per year (WHO, 2017). These errors occur across all stages of the medication process, including prescribing, dispensing, and administration. Importantly, the WHO emphasises that most medication errors are preventable and often arise from system-level weaknesses rather than individual negligence.</w:t>
      </w:r>
    </w:p>
    <w:p w14:paraId="7E109EB9"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Further global evidence indicates that older adults are disproportionately affected due to factors such as polypharmacy, age-related physiological changes, and increased vulnerability to adverse drug reactions (Maher et al., 2014; Wimmer et al., 2017). This is highly relevant to Len’s case, as his advanced age and underlying condition increased his susceptibility to harm.</w:t>
      </w:r>
    </w:p>
    <w:p w14:paraId="5EA61B5D" w14:textId="77777777" w:rsidR="002D1004" w:rsidRPr="002D1004" w:rsidRDefault="002D1004"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r w:rsidRPr="002D1004">
        <w:rPr>
          <w:rFonts w:ascii="Arial" w:eastAsia="Times New Roman" w:hAnsi="Arial" w:cs="Arial"/>
          <w:b/>
          <w:bCs/>
          <w:kern w:val="0"/>
          <w:sz w:val="24"/>
          <w:szCs w:val="24"/>
          <w:lang w:eastAsia="en-GB"/>
          <w14:ligatures w14:val="none"/>
        </w:rPr>
        <w:t>National Context (United Kingdom)</w:t>
      </w:r>
    </w:p>
    <w:p w14:paraId="257497E0"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Within the UK, medication errors remain a widespread issue. The NHS England reports approximately 237 million medication errors occur annually in England, with around 66 million considered potentially clinically significant (Elliott et al., 2018). Of these, a substantial number contribute to hospital admissions, prolonged hospital stays, and mortality.</w:t>
      </w:r>
    </w:p>
    <w:p w14:paraId="04F34518"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The elderly population is particularly at risk. Studies suggest that medication errors in older adults are frequently linked to communication failures, complex dosing instructions, and inadequate patient education (Alldred et al., 2016). This aligns closely with the circumstances of Len’s case, where confusion over dosing instructions played a central role.</w:t>
      </w:r>
    </w:p>
    <w:p w14:paraId="03AE5F99" w14:textId="77777777" w:rsidR="002D1004" w:rsidRPr="002D1004" w:rsidRDefault="002D1004"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r w:rsidRPr="002D1004">
        <w:rPr>
          <w:rFonts w:ascii="Arial" w:eastAsia="Times New Roman" w:hAnsi="Arial" w:cs="Arial"/>
          <w:b/>
          <w:bCs/>
          <w:kern w:val="0"/>
          <w:sz w:val="24"/>
          <w:szCs w:val="24"/>
          <w:lang w:eastAsia="en-GB"/>
          <w14:ligatures w14:val="none"/>
        </w:rPr>
        <w:t>Organisational Context and Investigation Findings</w:t>
      </w:r>
    </w:p>
    <w:p w14:paraId="539614B2"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The investigation conducted by the Health Services Safety Investigations Body identified recurring issues associated with morphine sulphate oral solution, particularly concerning labelling design and patient misunderstanding (HSSIB, 2020). The prominence of strength information on medication bottles, compared to dosing instructions, creates a high risk of misinterpretation. Additionally, the investigation </w:t>
      </w:r>
      <w:r w:rsidRPr="002D1004">
        <w:rPr>
          <w:rFonts w:ascii="Arial" w:eastAsia="Times New Roman" w:hAnsi="Arial" w:cs="Arial"/>
          <w:kern w:val="0"/>
          <w:sz w:val="24"/>
          <w:szCs w:val="24"/>
          <w:lang w:eastAsia="en-GB"/>
          <w14:ligatures w14:val="none"/>
        </w:rPr>
        <w:lastRenderedPageBreak/>
        <w:t>highlighted the lack of standardisation in how dosing information is presented, further increasing the likelihood of error.</w:t>
      </w:r>
    </w:p>
    <w:p w14:paraId="3FA4DFA2" w14:textId="77777777" w:rsidR="002D1004" w:rsidRPr="002D1004" w:rsidRDefault="002D1004"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r w:rsidRPr="002D1004">
        <w:rPr>
          <w:rFonts w:ascii="Arial" w:eastAsia="Times New Roman" w:hAnsi="Arial" w:cs="Arial"/>
          <w:b/>
          <w:bCs/>
          <w:kern w:val="0"/>
          <w:sz w:val="24"/>
          <w:szCs w:val="24"/>
          <w:lang w:eastAsia="en-GB"/>
          <w14:ligatures w14:val="none"/>
        </w:rPr>
        <w:t>Systems Thinking Analysis</w:t>
      </w:r>
    </w:p>
    <w:p w14:paraId="33242411"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Applying systems thinking reveals that the error in Len’s case was not the result of a single failure but rather the outcome of interconnected system weaknesses. Systems thinking focuses on understanding how different components within a system interact and influence outcomes (Senge, 2006).</w:t>
      </w:r>
    </w:p>
    <w:p w14:paraId="0C886E54"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Key components involved in this case include:</w:t>
      </w:r>
    </w:p>
    <w:p w14:paraId="68FD514C" w14:textId="77777777" w:rsidR="002D1004" w:rsidRPr="002D1004" w:rsidRDefault="002D1004" w:rsidP="00E55F00">
      <w:pPr>
        <w:numPr>
          <w:ilvl w:val="0"/>
          <w:numId w:val="1"/>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Prescribing practices by healthcare professionals </w:t>
      </w:r>
    </w:p>
    <w:p w14:paraId="5924C712" w14:textId="77777777" w:rsidR="002D1004" w:rsidRPr="002D1004" w:rsidRDefault="002D1004" w:rsidP="00E55F00">
      <w:pPr>
        <w:numPr>
          <w:ilvl w:val="0"/>
          <w:numId w:val="1"/>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Dispensing processes in community pharmacies </w:t>
      </w:r>
    </w:p>
    <w:p w14:paraId="72F5DE0B" w14:textId="77777777" w:rsidR="002D1004" w:rsidRPr="002D1004" w:rsidRDefault="002D1004" w:rsidP="00E55F00">
      <w:pPr>
        <w:numPr>
          <w:ilvl w:val="0"/>
          <w:numId w:val="1"/>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Medication labelling and packaging design </w:t>
      </w:r>
    </w:p>
    <w:p w14:paraId="5D544A66" w14:textId="77777777" w:rsidR="002D1004" w:rsidRPr="002D1004" w:rsidRDefault="002D1004" w:rsidP="00E55F00">
      <w:pPr>
        <w:numPr>
          <w:ilvl w:val="0"/>
          <w:numId w:val="1"/>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Patient and caregiver understanding </w:t>
      </w:r>
    </w:p>
    <w:p w14:paraId="05B71562" w14:textId="77777777" w:rsidR="002D1004" w:rsidRPr="002D1004" w:rsidRDefault="002D1004" w:rsidP="00E55F00">
      <w:pPr>
        <w:numPr>
          <w:ilvl w:val="0"/>
          <w:numId w:val="1"/>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Monitoring and follow-up mechanisms </w:t>
      </w:r>
    </w:p>
    <w:p w14:paraId="5BBBFA69"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The failure occurred due to poor alignment between these components, leading to a breakdown in safe medication use.</w:t>
      </w:r>
    </w:p>
    <w:p w14:paraId="5582759F" w14:textId="77777777" w:rsidR="002D1004" w:rsidRPr="002D1004" w:rsidRDefault="002D1004" w:rsidP="00E55F00">
      <w:pPr>
        <w:spacing w:before="100" w:beforeAutospacing="1" w:after="100" w:afterAutospacing="1" w:line="240" w:lineRule="auto"/>
        <w:jc w:val="both"/>
        <w:outlineLvl w:val="2"/>
        <w:rPr>
          <w:rFonts w:ascii="Arial" w:eastAsia="Times New Roman" w:hAnsi="Arial" w:cs="Arial"/>
          <w:kern w:val="0"/>
          <w:sz w:val="24"/>
          <w:szCs w:val="24"/>
          <w:lang w:eastAsia="en-GB"/>
          <w14:ligatures w14:val="none"/>
        </w:rPr>
      </w:pPr>
      <w:r w:rsidRPr="002D1004">
        <w:rPr>
          <w:rFonts w:ascii="Arial" w:eastAsia="Times New Roman" w:hAnsi="Arial" w:cs="Arial"/>
          <w:b/>
          <w:bCs/>
          <w:kern w:val="0"/>
          <w:sz w:val="24"/>
          <w:szCs w:val="24"/>
          <w:lang w:eastAsia="en-GB"/>
          <w14:ligatures w14:val="none"/>
        </w:rPr>
        <w:t>Systemic Weaknesses</w:t>
      </w:r>
    </w:p>
    <w:p w14:paraId="08E728AF"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Several systemic weaknesses contributed to the incident:</w:t>
      </w:r>
    </w:p>
    <w:p w14:paraId="271085D6" w14:textId="77777777" w:rsidR="002D1004" w:rsidRPr="002D1004" w:rsidRDefault="002D1004" w:rsidP="00E55F00">
      <w:pPr>
        <w:numPr>
          <w:ilvl w:val="0"/>
          <w:numId w:val="2"/>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Communication gaps: Healthcare professionals did not adequately ensure that Len and his wife understood the dosage instructions. </w:t>
      </w:r>
    </w:p>
    <w:p w14:paraId="3FEB286D" w14:textId="77777777" w:rsidR="002D1004" w:rsidRPr="002D1004" w:rsidRDefault="002D1004" w:rsidP="00E55F00">
      <w:pPr>
        <w:numPr>
          <w:ilvl w:val="0"/>
          <w:numId w:val="2"/>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Poor labelling design: The emphasis on medication strength rather than dosage created confusion. </w:t>
      </w:r>
    </w:p>
    <w:p w14:paraId="3B7AB497" w14:textId="77777777" w:rsidR="002D1004" w:rsidRPr="002D1004" w:rsidRDefault="002D1004" w:rsidP="00E55F00">
      <w:pPr>
        <w:numPr>
          <w:ilvl w:val="0"/>
          <w:numId w:val="2"/>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Lack of verification processes: There was no use of strategies such as the teach-back method to confirm patient understanding. </w:t>
      </w:r>
    </w:p>
    <w:p w14:paraId="6D6EDA45" w14:textId="77777777" w:rsidR="002D1004" w:rsidRPr="002D1004" w:rsidRDefault="002D1004" w:rsidP="00E55F00">
      <w:pPr>
        <w:numPr>
          <w:ilvl w:val="0"/>
          <w:numId w:val="2"/>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Insufficient safeguards for high-risk medications: Morphine, being a high-risk opioid, requires enhanced monitoring and safety measures. </w:t>
      </w:r>
    </w:p>
    <w:p w14:paraId="50B88BF7"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These weaknesses indicate a failure of both leadership and governance in ensuring safe systems of care.</w:t>
      </w:r>
    </w:p>
    <w:p w14:paraId="52DE6928" w14:textId="77777777" w:rsidR="002D1004" w:rsidRPr="002D1004" w:rsidRDefault="002D1004"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r w:rsidRPr="002D1004">
        <w:rPr>
          <w:rFonts w:ascii="Arial" w:eastAsia="Times New Roman" w:hAnsi="Arial" w:cs="Arial"/>
          <w:b/>
          <w:bCs/>
          <w:kern w:val="0"/>
          <w:sz w:val="24"/>
          <w:szCs w:val="24"/>
          <w:lang w:eastAsia="en-GB"/>
          <w14:ligatures w14:val="none"/>
        </w:rPr>
        <w:t>Governance and System Levels</w:t>
      </w:r>
    </w:p>
    <w:p w14:paraId="397508FC"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The problem spans multiple levels of governance:</w:t>
      </w:r>
    </w:p>
    <w:p w14:paraId="59E68323" w14:textId="77777777" w:rsidR="002D1004" w:rsidRPr="002D1004" w:rsidRDefault="002D1004" w:rsidP="00E55F00">
      <w:pPr>
        <w:numPr>
          <w:ilvl w:val="0"/>
          <w:numId w:val="3"/>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National level: Regulation of medication labelling and safety standards </w:t>
      </w:r>
    </w:p>
    <w:p w14:paraId="7B41BC83" w14:textId="77777777" w:rsidR="002D1004" w:rsidRPr="002D1004" w:rsidRDefault="002D1004" w:rsidP="00E55F00">
      <w:pPr>
        <w:numPr>
          <w:ilvl w:val="0"/>
          <w:numId w:val="3"/>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Local level: Prescribing practices and patient education </w:t>
      </w:r>
    </w:p>
    <w:p w14:paraId="23E9F5E3"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This highlights the need for coordinated governance across different levels to ensure consistency and safety.</w:t>
      </w:r>
    </w:p>
    <w:p w14:paraId="618AC886" w14:textId="77777777" w:rsidR="002D1004" w:rsidRPr="002D1004" w:rsidRDefault="002D1004"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r w:rsidRPr="002D1004">
        <w:rPr>
          <w:rFonts w:ascii="Arial" w:eastAsia="Times New Roman" w:hAnsi="Arial" w:cs="Arial"/>
          <w:b/>
          <w:bCs/>
          <w:kern w:val="0"/>
          <w:sz w:val="24"/>
          <w:szCs w:val="24"/>
          <w:lang w:eastAsia="en-GB"/>
          <w14:ligatures w14:val="none"/>
        </w:rPr>
        <w:t>Underlying Challenges</w:t>
      </w:r>
    </w:p>
    <w:p w14:paraId="243BAC53"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Additional factors contributing to the problem include:</w:t>
      </w:r>
    </w:p>
    <w:p w14:paraId="204EB85B" w14:textId="77777777" w:rsidR="002D1004" w:rsidRPr="002D1004" w:rsidRDefault="002D1004" w:rsidP="00E55F00">
      <w:pPr>
        <w:numPr>
          <w:ilvl w:val="0"/>
          <w:numId w:val="4"/>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lastRenderedPageBreak/>
        <w:t xml:space="preserve">Workforce pressures and time constraints in primary care (Baird et al., 2016) </w:t>
      </w:r>
    </w:p>
    <w:p w14:paraId="07034A7D" w14:textId="77777777" w:rsidR="002D1004" w:rsidRPr="002D1004" w:rsidRDefault="002D1004" w:rsidP="00E55F00">
      <w:pPr>
        <w:numPr>
          <w:ilvl w:val="0"/>
          <w:numId w:val="4"/>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Increasing demand for healthcare services </w:t>
      </w:r>
    </w:p>
    <w:p w14:paraId="244D3F34" w14:textId="77777777" w:rsidR="002D1004" w:rsidRPr="002D1004" w:rsidRDefault="002D1004" w:rsidP="00E55F00">
      <w:pPr>
        <w:numPr>
          <w:ilvl w:val="0"/>
          <w:numId w:val="4"/>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Limited patient health literacy </w:t>
      </w:r>
    </w:p>
    <w:p w14:paraId="427E84A8"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These challenges exacerbate the risk of medication errors and highlight the importance of system-level interventions.</w:t>
      </w:r>
    </w:p>
    <w:p w14:paraId="0AB407E9" w14:textId="77777777" w:rsidR="002D1004" w:rsidRPr="002D1004" w:rsidRDefault="002D1004"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r w:rsidRPr="002D1004">
        <w:rPr>
          <w:rFonts w:ascii="Arial" w:eastAsia="Times New Roman" w:hAnsi="Arial" w:cs="Arial"/>
          <w:b/>
          <w:bCs/>
          <w:kern w:val="0"/>
          <w:sz w:val="24"/>
          <w:szCs w:val="24"/>
          <w:lang w:eastAsia="en-GB"/>
          <w14:ligatures w14:val="none"/>
        </w:rPr>
        <w:t>Rich Picture (Explanation for Your Assignment)</w:t>
      </w:r>
    </w:p>
    <w:p w14:paraId="37A0382F"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For your assignment, you should draw a Rich Picture diagram that includes:</w:t>
      </w:r>
    </w:p>
    <w:p w14:paraId="189821F1" w14:textId="77777777" w:rsidR="002D1004" w:rsidRPr="002D1004" w:rsidRDefault="002D1004" w:rsidP="00E55F00">
      <w:pPr>
        <w:numPr>
          <w:ilvl w:val="0"/>
          <w:numId w:val="5"/>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Len and his wife (patient and caregiver) </w:t>
      </w:r>
    </w:p>
    <w:p w14:paraId="1F5ADD3D" w14:textId="77777777" w:rsidR="002D1004" w:rsidRPr="002D1004" w:rsidRDefault="002D1004" w:rsidP="00E55F00">
      <w:pPr>
        <w:numPr>
          <w:ilvl w:val="0"/>
          <w:numId w:val="5"/>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GP prescribing morphine </w:t>
      </w:r>
    </w:p>
    <w:p w14:paraId="7BE639F5" w14:textId="77777777" w:rsidR="002D1004" w:rsidRPr="002D1004" w:rsidRDefault="002D1004" w:rsidP="00E55F00">
      <w:pPr>
        <w:numPr>
          <w:ilvl w:val="0"/>
          <w:numId w:val="5"/>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Pharmacist dispensing medication </w:t>
      </w:r>
    </w:p>
    <w:p w14:paraId="4A4A732D" w14:textId="77777777" w:rsidR="002D1004" w:rsidRPr="002D1004" w:rsidRDefault="002D1004" w:rsidP="00E55F00">
      <w:pPr>
        <w:numPr>
          <w:ilvl w:val="0"/>
          <w:numId w:val="5"/>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Medication bottle with conflicting labelling </w:t>
      </w:r>
    </w:p>
    <w:p w14:paraId="253152E7" w14:textId="77777777" w:rsidR="002D1004" w:rsidRPr="002D1004" w:rsidRDefault="002D1004" w:rsidP="00E55F00">
      <w:pPr>
        <w:numPr>
          <w:ilvl w:val="0"/>
          <w:numId w:val="5"/>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Communication pathways between stakeholders </w:t>
      </w:r>
    </w:p>
    <w:p w14:paraId="70461B51" w14:textId="77777777" w:rsidR="002D1004" w:rsidRPr="002D1004" w:rsidRDefault="002D1004" w:rsidP="00E55F00">
      <w:pPr>
        <w:numPr>
          <w:ilvl w:val="0"/>
          <w:numId w:val="5"/>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Points of misunderstanding and breakdown </w:t>
      </w:r>
    </w:p>
    <w:p w14:paraId="4C92E37E"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The diagram should visually represent:</w:t>
      </w:r>
    </w:p>
    <w:p w14:paraId="3A2E365C" w14:textId="77777777" w:rsidR="002D1004" w:rsidRPr="002D1004" w:rsidRDefault="002D1004" w:rsidP="00E55F00">
      <w:pPr>
        <w:numPr>
          <w:ilvl w:val="0"/>
          <w:numId w:val="6"/>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Feedback loops (e.g., misunderstanding → overdose → hospitalisation) </w:t>
      </w:r>
    </w:p>
    <w:p w14:paraId="19E83C3E" w14:textId="77777777" w:rsidR="002D1004" w:rsidRPr="002D1004" w:rsidRDefault="002D1004" w:rsidP="00E55F00">
      <w:pPr>
        <w:numPr>
          <w:ilvl w:val="0"/>
          <w:numId w:val="6"/>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Dependencies (e.g., patient reliance on clear instructions) </w:t>
      </w:r>
    </w:p>
    <w:p w14:paraId="7D5BE1AC" w14:textId="77777777" w:rsidR="002D1004" w:rsidRPr="002D1004" w:rsidRDefault="002D1004" w:rsidP="00E55F00">
      <w:pPr>
        <w:numPr>
          <w:ilvl w:val="0"/>
          <w:numId w:val="6"/>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Communication gaps </w:t>
      </w:r>
    </w:p>
    <w:p w14:paraId="48ED8ACE" w14:textId="77777777" w:rsidR="002D1004" w:rsidRPr="002D1004" w:rsidRDefault="002D1004"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r w:rsidRPr="002D1004">
        <w:rPr>
          <w:rFonts w:ascii="Arial" w:eastAsia="Times New Roman" w:hAnsi="Arial" w:cs="Arial"/>
          <w:b/>
          <w:bCs/>
          <w:kern w:val="0"/>
          <w:sz w:val="24"/>
          <w:szCs w:val="24"/>
          <w:lang w:eastAsia="en-GB"/>
          <w14:ligatures w14:val="none"/>
        </w:rPr>
        <w:t>Feedback Loops and System Failure</w:t>
      </w:r>
    </w:p>
    <w:p w14:paraId="5BF2DC79"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The absence of effective feedback loops prevented early identification of the error. For example:</w:t>
      </w:r>
    </w:p>
    <w:p w14:paraId="0F00ED6B" w14:textId="77777777" w:rsidR="002D1004" w:rsidRPr="002D1004" w:rsidRDefault="002D1004" w:rsidP="00E55F00">
      <w:pPr>
        <w:numPr>
          <w:ilvl w:val="0"/>
          <w:numId w:val="7"/>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No follow-up consultation to check medication use </w:t>
      </w:r>
    </w:p>
    <w:p w14:paraId="31A0E515" w14:textId="77777777" w:rsidR="002D1004" w:rsidRPr="002D1004" w:rsidRDefault="002D1004" w:rsidP="00E55F00">
      <w:pPr>
        <w:numPr>
          <w:ilvl w:val="0"/>
          <w:numId w:val="7"/>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No monitoring of patient response to morphine </w:t>
      </w:r>
    </w:p>
    <w:p w14:paraId="5BEC120A" w14:textId="77777777" w:rsidR="00E55F00"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This lack of system feedback allowed the error to escalate, ultimately resulting in a fatal outcome.</w:t>
      </w:r>
    </w:p>
    <w:p w14:paraId="63F2BF63" w14:textId="10D1CE82"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b/>
          <w:bCs/>
          <w:kern w:val="0"/>
          <w:sz w:val="24"/>
          <w:szCs w:val="24"/>
          <w:lang w:eastAsia="en-GB"/>
          <w14:ligatures w14:val="none"/>
        </w:rPr>
        <w:t xml:space="preserve"> Centralisation vs Decentralisation within the Case Study </w:t>
      </w:r>
    </w:p>
    <w:p w14:paraId="72A5350B"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Healthcare systems are complex and multifaceted, often structured through a combination of centralised and decentralised governance mechanisms. In the United Kingdom, the National Health Service operates as a hybrid system, where strategic decision-making is largely centralised while operational responsibilities are decentralised across local organisations (Checkland et al., 2013). Len’s case provides a valuable opportunity to critically examine how this structural arrangement influenced patient safety outcomes.</w:t>
      </w:r>
    </w:p>
    <w:p w14:paraId="46F0DF68" w14:textId="77777777" w:rsidR="002D1004" w:rsidRPr="002D1004" w:rsidRDefault="002D1004"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r w:rsidRPr="002D1004">
        <w:rPr>
          <w:rFonts w:ascii="Arial" w:eastAsia="Times New Roman" w:hAnsi="Arial" w:cs="Arial"/>
          <w:b/>
          <w:bCs/>
          <w:kern w:val="0"/>
          <w:sz w:val="24"/>
          <w:szCs w:val="24"/>
          <w:lang w:eastAsia="en-GB"/>
          <w14:ligatures w14:val="none"/>
        </w:rPr>
        <w:t>Centralisation in the Case Context</w:t>
      </w:r>
    </w:p>
    <w:p w14:paraId="21B76EBA"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Centralisation refers to the concentration of decision-making authority at higher levels of an organisation, typically involving national policies, regulatory frameworks, and </w:t>
      </w:r>
      <w:r w:rsidRPr="002D1004">
        <w:rPr>
          <w:rFonts w:ascii="Arial" w:eastAsia="Times New Roman" w:hAnsi="Arial" w:cs="Arial"/>
          <w:kern w:val="0"/>
          <w:sz w:val="24"/>
          <w:szCs w:val="24"/>
          <w:lang w:eastAsia="en-GB"/>
          <w14:ligatures w14:val="none"/>
        </w:rPr>
        <w:lastRenderedPageBreak/>
        <w:t>standardised procedures (Mintzberg, 1983). In Len’s case, centralised elements include:</w:t>
      </w:r>
    </w:p>
    <w:p w14:paraId="151F9629" w14:textId="77777777" w:rsidR="002D1004" w:rsidRPr="002D1004" w:rsidRDefault="002D1004" w:rsidP="00E55F00">
      <w:pPr>
        <w:numPr>
          <w:ilvl w:val="0"/>
          <w:numId w:val="8"/>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National prescribing guidelines for opioids </w:t>
      </w:r>
    </w:p>
    <w:p w14:paraId="77D06C65" w14:textId="77777777" w:rsidR="002D1004" w:rsidRPr="002D1004" w:rsidRDefault="002D1004" w:rsidP="00E55F00">
      <w:pPr>
        <w:numPr>
          <w:ilvl w:val="0"/>
          <w:numId w:val="8"/>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Regulatory standards for medication labelling </w:t>
      </w:r>
    </w:p>
    <w:p w14:paraId="11DB662A" w14:textId="77777777" w:rsidR="002D1004" w:rsidRPr="002D1004" w:rsidRDefault="002D1004" w:rsidP="00E55F00">
      <w:pPr>
        <w:numPr>
          <w:ilvl w:val="0"/>
          <w:numId w:val="8"/>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Safety frameworks governing high-risk medicines </w:t>
      </w:r>
    </w:p>
    <w:p w14:paraId="28EB1C52"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One of the key advantages of centralisation is consistency. Standardised guidelines aim to reduce variability in care and ensure adherence to evidence-based practices (Exworthy et al., 2019). For example, opioid prescribing in the UK is guided by national frameworks intended to minimise harm and promote safe usage.</w:t>
      </w:r>
    </w:p>
    <w:p w14:paraId="5EAA3F11"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However, Len’s case demonstrates significant limitations of centralisation. The design of morphine labelling—regulated at a national level—prioritised the presentation of drug strength (e.g., 10 mg/5 ml) over clear dosage instructions. This reflects a system design failure, where centralised decisions did not adequately consider patient usability or human factors (HSSIB, 2020).</w:t>
      </w:r>
    </w:p>
    <w:p w14:paraId="444261BE"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Furthermore, centralised systems may lack flexibility, making it difficult to adapt policies to individual patient needs. In this case, the standardised labelling format failed to account for the cognitive and perceptual challenges faced by older adults, ultimately contributing to misinterpretation.</w:t>
      </w:r>
    </w:p>
    <w:p w14:paraId="41AC8573" w14:textId="77777777" w:rsidR="002D1004" w:rsidRPr="002D1004" w:rsidRDefault="002D1004"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r w:rsidRPr="002D1004">
        <w:rPr>
          <w:rFonts w:ascii="Arial" w:eastAsia="Times New Roman" w:hAnsi="Arial" w:cs="Arial"/>
          <w:b/>
          <w:bCs/>
          <w:kern w:val="0"/>
          <w:sz w:val="24"/>
          <w:szCs w:val="24"/>
          <w:lang w:eastAsia="en-GB"/>
          <w14:ligatures w14:val="none"/>
        </w:rPr>
        <w:t>Decentralisation in the Case Context</w:t>
      </w:r>
    </w:p>
    <w:p w14:paraId="128854F0"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Decentralisation involves the distribution of decision-making authority to local levels, enabling healthcare professionals to tailor care to individual patients (Saltman et al., 2007). In Len’s case, decentralised elements include:</w:t>
      </w:r>
    </w:p>
    <w:p w14:paraId="132F2B98" w14:textId="77777777" w:rsidR="002D1004" w:rsidRPr="002D1004" w:rsidRDefault="002D1004" w:rsidP="00E55F00">
      <w:pPr>
        <w:numPr>
          <w:ilvl w:val="0"/>
          <w:numId w:val="9"/>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GP prescribing decisions </w:t>
      </w:r>
    </w:p>
    <w:p w14:paraId="13A826BC" w14:textId="77777777" w:rsidR="002D1004" w:rsidRPr="002D1004" w:rsidRDefault="002D1004" w:rsidP="00E55F00">
      <w:pPr>
        <w:numPr>
          <w:ilvl w:val="0"/>
          <w:numId w:val="9"/>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Pharmacist responsibilities for dispensing and patient counselling </w:t>
      </w:r>
    </w:p>
    <w:p w14:paraId="34E2BCD6" w14:textId="77777777" w:rsidR="002D1004" w:rsidRPr="002D1004" w:rsidRDefault="002D1004" w:rsidP="00E55F00">
      <w:pPr>
        <w:numPr>
          <w:ilvl w:val="0"/>
          <w:numId w:val="9"/>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Local clinical judgement in patient management </w:t>
      </w:r>
    </w:p>
    <w:p w14:paraId="79731C9B"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The primary advantage of decentralisation is responsiveness. Healthcare professionals can adapt their approach based on patient-specific factors, such as age, health literacy, and comorbidities (Ferlie and Shortell, 2001). For example, the pharmacist had the opportunity to provide tailored counselling to Len and his wife regarding medication use.</w:t>
      </w:r>
    </w:p>
    <w:p w14:paraId="501D4F5B"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However, decentralisation also introduces variability in practice. Evidence suggests that communication quality in primary care settings can be inconsistent, particularly under conditions of high workload and time pressure (Irving et al., 2017). In Len’s case, the failure to ensure patient understanding indicates a gap in the execution of decentralised responsibilities.</w:t>
      </w:r>
    </w:p>
    <w:p w14:paraId="0F7A4960" w14:textId="77777777" w:rsidR="002D1004" w:rsidRPr="002D1004" w:rsidRDefault="002D1004"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r w:rsidRPr="002D1004">
        <w:rPr>
          <w:rFonts w:ascii="Arial" w:eastAsia="Times New Roman" w:hAnsi="Arial" w:cs="Arial"/>
          <w:b/>
          <w:bCs/>
          <w:kern w:val="0"/>
          <w:sz w:val="24"/>
          <w:szCs w:val="24"/>
          <w:lang w:eastAsia="en-GB"/>
          <w14:ligatures w14:val="none"/>
        </w:rPr>
        <w:t>Critical Evaluation of System Structure</w:t>
      </w:r>
    </w:p>
    <w:p w14:paraId="615DB041"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The interaction between centralised and decentralised elements in this case reveals a lack of system integration. While centralised policies established the framework for </w:t>
      </w:r>
      <w:r w:rsidRPr="002D1004">
        <w:rPr>
          <w:rFonts w:ascii="Arial" w:eastAsia="Times New Roman" w:hAnsi="Arial" w:cs="Arial"/>
          <w:kern w:val="0"/>
          <w:sz w:val="24"/>
          <w:szCs w:val="24"/>
          <w:lang w:eastAsia="en-GB"/>
          <w14:ligatures w14:val="none"/>
        </w:rPr>
        <w:lastRenderedPageBreak/>
        <w:t>medication use, decentralised actors were responsible for implementation without sufficient support or safeguards.</w:t>
      </w:r>
    </w:p>
    <w:p w14:paraId="623F9949"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This misalignment created several risks:</w:t>
      </w:r>
    </w:p>
    <w:p w14:paraId="3CE86009" w14:textId="77777777" w:rsidR="002D1004" w:rsidRPr="002D1004" w:rsidRDefault="002D1004" w:rsidP="00E55F00">
      <w:pPr>
        <w:numPr>
          <w:ilvl w:val="0"/>
          <w:numId w:val="10"/>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Centralised labelling design was not user-friendly </w:t>
      </w:r>
    </w:p>
    <w:p w14:paraId="39B8FCEE" w14:textId="77777777" w:rsidR="002D1004" w:rsidRPr="002D1004" w:rsidRDefault="002D1004" w:rsidP="00E55F00">
      <w:pPr>
        <w:numPr>
          <w:ilvl w:val="0"/>
          <w:numId w:val="10"/>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Decentralised communication was insufficient to mitigate confusion </w:t>
      </w:r>
    </w:p>
    <w:p w14:paraId="08CC1121" w14:textId="77777777" w:rsidR="002D1004" w:rsidRPr="002D1004" w:rsidRDefault="002D1004" w:rsidP="00E55F00">
      <w:pPr>
        <w:numPr>
          <w:ilvl w:val="0"/>
          <w:numId w:val="10"/>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No feedback mechanism existed to identify and correct misunderstandings </w:t>
      </w:r>
    </w:p>
    <w:p w14:paraId="17B9CA3A"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Quantitative evidence highlights the impact of such structural issues. Research indicates that communication failures contribute to a significant proportion of medication errors, with some studies attributing up to 60% of adverse events to breakdowns in communication (The Joint Commission, 2015). Additionally, staffing pressures in UK primary care have been linked to reduced consultation times, limiting opportunities for effective patient education (Baird et al., 2016).</w:t>
      </w:r>
    </w:p>
    <w:p w14:paraId="4D8FBF21" w14:textId="77777777" w:rsidR="002D1004" w:rsidRPr="002D1004" w:rsidRDefault="002D1004"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r w:rsidRPr="002D1004">
        <w:rPr>
          <w:rFonts w:ascii="Arial" w:eastAsia="Times New Roman" w:hAnsi="Arial" w:cs="Arial"/>
          <w:b/>
          <w:bCs/>
          <w:kern w:val="0"/>
          <w:sz w:val="24"/>
          <w:szCs w:val="24"/>
          <w:lang w:eastAsia="en-GB"/>
          <w14:ligatures w14:val="none"/>
        </w:rPr>
        <w:t>Impact on Crisis Management and Accountability</w:t>
      </w:r>
    </w:p>
    <w:p w14:paraId="1EA42756"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The hybrid system structure also influenced crisis management and accountability. In a centralised system, accountability is typically clearer, as responsibility is concentrated at higher levels. In contrast, decentralised systems distribute responsibility across multiple actors, which can obscure accountability.</w:t>
      </w:r>
    </w:p>
    <w:p w14:paraId="1A85D99F"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In Len’s case:</w:t>
      </w:r>
    </w:p>
    <w:p w14:paraId="1BFA7843" w14:textId="77777777" w:rsidR="002D1004" w:rsidRPr="002D1004" w:rsidRDefault="002D1004" w:rsidP="00E55F00">
      <w:pPr>
        <w:numPr>
          <w:ilvl w:val="0"/>
          <w:numId w:val="11"/>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Responsibility for safe prescribing lay with the GP </w:t>
      </w:r>
    </w:p>
    <w:p w14:paraId="72E47176" w14:textId="77777777" w:rsidR="002D1004" w:rsidRPr="002D1004" w:rsidRDefault="002D1004" w:rsidP="00E55F00">
      <w:pPr>
        <w:numPr>
          <w:ilvl w:val="0"/>
          <w:numId w:val="11"/>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Responsibility for patient education lay with the pharmacist </w:t>
      </w:r>
    </w:p>
    <w:p w14:paraId="40E1B4E0" w14:textId="77777777" w:rsidR="002D1004" w:rsidRPr="002D1004" w:rsidRDefault="002D1004" w:rsidP="00E55F00">
      <w:pPr>
        <w:numPr>
          <w:ilvl w:val="0"/>
          <w:numId w:val="11"/>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Responsibility for labelling design lay with national regulatory bodies </w:t>
      </w:r>
    </w:p>
    <w:p w14:paraId="2DE4DCB4"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This distribution of responsibility created ambiguity, making it difficult to identify a single point of failure. As a result, the system lacked coordinated accountability, allowing the error to occur and escalate.</w:t>
      </w:r>
    </w:p>
    <w:p w14:paraId="7AF80A05" w14:textId="6AE3E22F" w:rsidR="002D1004" w:rsidRPr="002D1004" w:rsidRDefault="002D1004" w:rsidP="00E55F00">
      <w:pPr>
        <w:spacing w:before="100" w:beforeAutospacing="1" w:after="100" w:afterAutospacing="1" w:line="240" w:lineRule="auto"/>
        <w:jc w:val="both"/>
        <w:outlineLvl w:val="1"/>
        <w:rPr>
          <w:rFonts w:ascii="Arial" w:eastAsia="Times New Roman" w:hAnsi="Arial" w:cs="Arial"/>
          <w:b/>
          <w:bCs/>
          <w:kern w:val="0"/>
          <w:sz w:val="24"/>
          <w:szCs w:val="24"/>
          <w:lang w:eastAsia="en-GB"/>
          <w14:ligatures w14:val="none"/>
        </w:rPr>
      </w:pPr>
      <w:r w:rsidRPr="002D1004">
        <w:rPr>
          <w:rFonts w:ascii="Arial" w:eastAsia="Times New Roman" w:hAnsi="Arial" w:cs="Arial"/>
          <w:b/>
          <w:bCs/>
          <w:kern w:val="0"/>
          <w:sz w:val="24"/>
          <w:szCs w:val="24"/>
          <w:lang w:eastAsia="en-GB"/>
          <w14:ligatures w14:val="none"/>
        </w:rPr>
        <w:t xml:space="preserve">Leadership Theories and Application to the Case Study </w:t>
      </w:r>
    </w:p>
    <w:p w14:paraId="18A55116"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Leadership plays a critical role in shaping organisational culture, influencing staff behaviour, and ensuring the delivery of safe and effective care. In Len’s case, the absence of effective leadership contributed to failures in communication, system design, and patient safety. This section critically analyses the case using key leadership theories, including transformational, transactional, and situational leadership.</w:t>
      </w:r>
    </w:p>
    <w:p w14:paraId="192488CB" w14:textId="77777777" w:rsidR="002D1004" w:rsidRPr="002D1004" w:rsidRDefault="002D1004"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r w:rsidRPr="002D1004">
        <w:rPr>
          <w:rFonts w:ascii="Arial" w:eastAsia="Times New Roman" w:hAnsi="Arial" w:cs="Arial"/>
          <w:b/>
          <w:bCs/>
          <w:kern w:val="0"/>
          <w:sz w:val="24"/>
          <w:szCs w:val="24"/>
          <w:lang w:eastAsia="en-GB"/>
          <w14:ligatures w14:val="none"/>
        </w:rPr>
        <w:t>Transformational Leadership</w:t>
      </w:r>
    </w:p>
    <w:p w14:paraId="29A09862"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Transformational leadership is characterised by the ability to inspire and motivate individuals to achieve a shared vision, often focusing on innovation and cultural change (Bass and Riggio, 2006). In healthcare, transformational leaders promote a culture of safety, encourage continuous improvement, and prioritise patient-centred care (West et al., 2015).</w:t>
      </w:r>
    </w:p>
    <w:p w14:paraId="1102A9C4"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lastRenderedPageBreak/>
        <w:t>In Len’s case, there is limited evidence of transformational leadership. A strong safety culture would have prioritised:</w:t>
      </w:r>
    </w:p>
    <w:p w14:paraId="2E378697" w14:textId="77777777" w:rsidR="002D1004" w:rsidRPr="002D1004" w:rsidRDefault="002D1004" w:rsidP="00E55F00">
      <w:pPr>
        <w:numPr>
          <w:ilvl w:val="0"/>
          <w:numId w:val="12"/>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Clear and patient-friendly medication labelling </w:t>
      </w:r>
    </w:p>
    <w:p w14:paraId="23332626" w14:textId="77777777" w:rsidR="002D1004" w:rsidRPr="002D1004" w:rsidRDefault="002D1004" w:rsidP="00E55F00">
      <w:pPr>
        <w:numPr>
          <w:ilvl w:val="0"/>
          <w:numId w:val="12"/>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Proactive identification of risks associated with morphine use </w:t>
      </w:r>
    </w:p>
    <w:p w14:paraId="7C4B4ABB" w14:textId="77777777" w:rsidR="002D1004" w:rsidRPr="002D1004" w:rsidRDefault="002D1004" w:rsidP="00E55F00">
      <w:pPr>
        <w:numPr>
          <w:ilvl w:val="0"/>
          <w:numId w:val="12"/>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Continuous improvement of communication practices </w:t>
      </w:r>
    </w:p>
    <w:p w14:paraId="6F7EDA59"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The absence of these elements suggests a lack of visionary leadership. Instead of anticipating potential risks, the system reacted only after harm occurred. This aligns with findings from the The King’s Fund, which emphasise that effective leadership is essential for embedding patient safety within organisational culture (West et al., 2015).</w:t>
      </w:r>
    </w:p>
    <w:p w14:paraId="708B7041" w14:textId="77777777" w:rsidR="002D1004" w:rsidRPr="002D1004" w:rsidRDefault="002D1004"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r w:rsidRPr="002D1004">
        <w:rPr>
          <w:rFonts w:ascii="Arial" w:eastAsia="Times New Roman" w:hAnsi="Arial" w:cs="Arial"/>
          <w:b/>
          <w:bCs/>
          <w:kern w:val="0"/>
          <w:sz w:val="24"/>
          <w:szCs w:val="24"/>
          <w:lang w:eastAsia="en-GB"/>
          <w14:ligatures w14:val="none"/>
        </w:rPr>
        <w:t>Transactional Leadership</w:t>
      </w:r>
    </w:p>
    <w:p w14:paraId="305E6B6B"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Transactional leadership focuses on maintaining stability through adherence to rules, procedures, and performance monitoring (Burns, 1978). In healthcare settings, this approach is often reflected in compliance with clinical guidelines and protocols.</w:t>
      </w:r>
    </w:p>
    <w:p w14:paraId="314BC0D0"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In Len’s case, transactional leadership was evident in the existence of prescribing guidelines and standard operating procedures. However, this approach proved insufficient for ensuring patient safety. While rules were followed, they did not address the critical issue of patient understanding.</w:t>
      </w:r>
    </w:p>
    <w:p w14:paraId="4230B657"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This highlights a key limitation of transactional leadership: it emphasises compliance rather than comprehension. Research indicates that strict adherence to protocols without considering patient-specific factors can lead to adverse outcomes (Braithwaite et al., 2017).</w:t>
      </w:r>
    </w:p>
    <w:p w14:paraId="61D00C15" w14:textId="77777777" w:rsidR="002D1004" w:rsidRPr="002D1004" w:rsidRDefault="002D1004"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r w:rsidRPr="002D1004">
        <w:rPr>
          <w:rFonts w:ascii="Arial" w:eastAsia="Times New Roman" w:hAnsi="Arial" w:cs="Arial"/>
          <w:b/>
          <w:bCs/>
          <w:kern w:val="0"/>
          <w:sz w:val="24"/>
          <w:szCs w:val="24"/>
          <w:lang w:eastAsia="en-GB"/>
          <w14:ligatures w14:val="none"/>
        </w:rPr>
        <w:t>Situational Leadership</w:t>
      </w:r>
    </w:p>
    <w:p w14:paraId="056C71BA"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Situational leadership emphasises the need to adapt leadership style based on the context and the needs of individuals (Hersey et al., 2013). In healthcare, this involves tailoring communication and care delivery to meet the unique needs of each patient.</w:t>
      </w:r>
    </w:p>
    <w:p w14:paraId="2C5395DB"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In Len’s case, situational leadership was notably absent. Given his advanced age and potential vulnerabilities, healthcare professionals should have:</w:t>
      </w:r>
    </w:p>
    <w:p w14:paraId="1DA8CF9F" w14:textId="77777777" w:rsidR="002D1004" w:rsidRPr="002D1004" w:rsidRDefault="002D1004" w:rsidP="00E55F00">
      <w:pPr>
        <w:numPr>
          <w:ilvl w:val="0"/>
          <w:numId w:val="13"/>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Simplified communication </w:t>
      </w:r>
    </w:p>
    <w:p w14:paraId="7031D12A" w14:textId="77777777" w:rsidR="002D1004" w:rsidRPr="002D1004" w:rsidRDefault="002D1004" w:rsidP="00E55F00">
      <w:pPr>
        <w:numPr>
          <w:ilvl w:val="0"/>
          <w:numId w:val="13"/>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Provided clear and explicit instructions </w:t>
      </w:r>
    </w:p>
    <w:p w14:paraId="42322042" w14:textId="77777777" w:rsidR="002D1004" w:rsidRPr="002D1004" w:rsidRDefault="002D1004" w:rsidP="00E55F00">
      <w:pPr>
        <w:numPr>
          <w:ilvl w:val="0"/>
          <w:numId w:val="13"/>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Verified understanding using techniques such as teach-back </w:t>
      </w:r>
    </w:p>
    <w:p w14:paraId="180C6250"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The failure to adapt communication strategies demonstrates a lack of situational awareness, which is critical in preventing errors.</w:t>
      </w:r>
    </w:p>
    <w:p w14:paraId="2E2464D7" w14:textId="4610926E" w:rsidR="002D1004" w:rsidRPr="00475667" w:rsidRDefault="002D1004" w:rsidP="00475667">
      <w:pPr>
        <w:pStyle w:val="ListParagraph"/>
        <w:numPr>
          <w:ilvl w:val="0"/>
          <w:numId w:val="32"/>
        </w:num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r w:rsidRPr="00475667">
        <w:rPr>
          <w:rFonts w:ascii="Arial" w:eastAsia="Times New Roman" w:hAnsi="Arial" w:cs="Arial"/>
          <w:b/>
          <w:bCs/>
          <w:kern w:val="0"/>
          <w:sz w:val="24"/>
          <w:szCs w:val="24"/>
          <w:lang w:eastAsia="en-GB"/>
          <w14:ligatures w14:val="none"/>
        </w:rPr>
        <w:t>Leadership Effectiveness and Data Insights</w:t>
      </w:r>
    </w:p>
    <w:p w14:paraId="453D5469"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Evidence suggests that effective leadership is strongly associated with improved patient outcomes. A study by West et al. (2015) found that organisations with strong leadership demonstrate better safety performance, higher staff engagement, and lower mortality rates.</w:t>
      </w:r>
    </w:p>
    <w:p w14:paraId="5CDC24D9"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lastRenderedPageBreak/>
        <w:t>Conversely, poor leadership is linked to increased risk of errors. In Len’s case, the absence of proactive leadership contributed to:</w:t>
      </w:r>
    </w:p>
    <w:p w14:paraId="047E7778" w14:textId="77777777" w:rsidR="002D1004" w:rsidRPr="002D1004" w:rsidRDefault="002D1004" w:rsidP="00E55F00">
      <w:pPr>
        <w:numPr>
          <w:ilvl w:val="0"/>
          <w:numId w:val="14"/>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Failure to identify risks </w:t>
      </w:r>
    </w:p>
    <w:p w14:paraId="02B9F9E2" w14:textId="77777777" w:rsidR="002D1004" w:rsidRPr="002D1004" w:rsidRDefault="002D1004" w:rsidP="00E55F00">
      <w:pPr>
        <w:numPr>
          <w:ilvl w:val="0"/>
          <w:numId w:val="14"/>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Lack of system improvement </w:t>
      </w:r>
    </w:p>
    <w:p w14:paraId="33B40AED" w14:textId="77777777" w:rsidR="002D1004" w:rsidRPr="002D1004" w:rsidRDefault="002D1004" w:rsidP="00E55F00">
      <w:pPr>
        <w:numPr>
          <w:ilvl w:val="0"/>
          <w:numId w:val="14"/>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Inadequate patient communication </w:t>
      </w:r>
    </w:p>
    <w:p w14:paraId="1D13E5F1" w14:textId="77777777" w:rsidR="002D1004" w:rsidRPr="002D1004" w:rsidRDefault="002D1004"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r w:rsidRPr="002D1004">
        <w:rPr>
          <w:rFonts w:ascii="Arial" w:eastAsia="Times New Roman" w:hAnsi="Arial" w:cs="Arial"/>
          <w:b/>
          <w:bCs/>
          <w:kern w:val="0"/>
          <w:sz w:val="24"/>
          <w:szCs w:val="24"/>
          <w:lang w:eastAsia="en-GB"/>
          <w14:ligatures w14:val="none"/>
        </w:rPr>
        <w:t>Reactive vs Proactive Leadership</w:t>
      </w:r>
    </w:p>
    <w:p w14:paraId="1F690FBE"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Leadership in this case can be characterised as reactive rather than proactive. The system responded to the incident after it occurred but failed to implement preventive measures beforehand.</w:t>
      </w:r>
    </w:p>
    <w:p w14:paraId="1C8DA08D"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Proactive leadership would have involved:</w:t>
      </w:r>
    </w:p>
    <w:p w14:paraId="0055015E" w14:textId="77777777" w:rsidR="002D1004" w:rsidRPr="002D1004" w:rsidRDefault="002D1004" w:rsidP="00E55F00">
      <w:pPr>
        <w:numPr>
          <w:ilvl w:val="0"/>
          <w:numId w:val="15"/>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Anticipating risks associated with high-risk medications </w:t>
      </w:r>
    </w:p>
    <w:p w14:paraId="582212D8" w14:textId="77777777" w:rsidR="002D1004" w:rsidRPr="002D1004" w:rsidRDefault="002D1004" w:rsidP="00E55F00">
      <w:pPr>
        <w:numPr>
          <w:ilvl w:val="0"/>
          <w:numId w:val="15"/>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Implementing safeguards such as improved labelling and patient education </w:t>
      </w:r>
    </w:p>
    <w:p w14:paraId="2E39BBF1" w14:textId="77777777" w:rsidR="002D1004" w:rsidRPr="002D1004" w:rsidRDefault="002D1004" w:rsidP="00E55F00">
      <w:pPr>
        <w:numPr>
          <w:ilvl w:val="0"/>
          <w:numId w:val="15"/>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 xml:space="preserve">Continuously monitoring and evaluating system performance </w:t>
      </w:r>
    </w:p>
    <w:p w14:paraId="77EBDBBF" w14:textId="77777777" w:rsidR="002D1004" w:rsidRPr="002D1004" w:rsidRDefault="002D1004"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r w:rsidRPr="002D1004">
        <w:rPr>
          <w:rFonts w:ascii="Arial" w:eastAsia="Times New Roman" w:hAnsi="Arial" w:cs="Arial"/>
          <w:b/>
          <w:bCs/>
          <w:kern w:val="0"/>
          <w:sz w:val="24"/>
          <w:szCs w:val="24"/>
          <w:lang w:eastAsia="en-GB"/>
          <w14:ligatures w14:val="none"/>
        </w:rPr>
        <w:t>Emotional Intelligence and Patient-Centred Leadership</w:t>
      </w:r>
    </w:p>
    <w:p w14:paraId="2E5A2E5E"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Another critical aspect of leadership is emotional intelligence, which involves understanding and responding to the needs of others (Goleman, 1998). In healthcare, emotionally intelligent leaders prioritise empathy, communication, and patient engagement.</w:t>
      </w:r>
    </w:p>
    <w:p w14:paraId="54B188EA" w14:textId="77777777" w:rsidR="002D1004" w:rsidRPr="002D1004" w:rsidRDefault="002D1004"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In this case, greater emphasis on patient-centred communication could have prevented the error. Ensuring that Len and his wife fully understood the medication instructions would have been a key responsibility of healthcare professionals.</w:t>
      </w:r>
    </w:p>
    <w:p w14:paraId="7146E272" w14:textId="77777777" w:rsidR="004F6459" w:rsidRDefault="004F6459" w:rsidP="00E55F00">
      <w:pPr>
        <w:spacing w:before="100" w:beforeAutospacing="1" w:after="100" w:afterAutospacing="1" w:line="240" w:lineRule="auto"/>
        <w:jc w:val="both"/>
        <w:outlineLvl w:val="0"/>
        <w:rPr>
          <w:rFonts w:ascii="Arial" w:eastAsia="Times New Roman" w:hAnsi="Arial" w:cs="Arial"/>
          <w:b/>
          <w:bCs/>
          <w:kern w:val="36"/>
          <w:sz w:val="24"/>
          <w:szCs w:val="24"/>
          <w:lang w:eastAsia="en-GB"/>
          <w14:ligatures w14:val="none"/>
        </w:rPr>
      </w:pPr>
    </w:p>
    <w:p w14:paraId="5F26A59E" w14:textId="1A7F9263" w:rsidR="00FC2351" w:rsidRPr="00FC2351" w:rsidRDefault="00FC2351" w:rsidP="00E55F00">
      <w:pPr>
        <w:spacing w:before="100" w:beforeAutospacing="1" w:after="100" w:afterAutospacing="1" w:line="240" w:lineRule="auto"/>
        <w:jc w:val="both"/>
        <w:outlineLvl w:val="1"/>
        <w:rPr>
          <w:rFonts w:ascii="Arial" w:eastAsia="Times New Roman" w:hAnsi="Arial" w:cs="Arial"/>
          <w:b/>
          <w:bCs/>
          <w:kern w:val="0"/>
          <w:sz w:val="24"/>
          <w:szCs w:val="24"/>
          <w:lang w:eastAsia="en-GB"/>
          <w14:ligatures w14:val="none"/>
        </w:rPr>
      </w:pPr>
      <w:r w:rsidRPr="00FC2351">
        <w:rPr>
          <w:rFonts w:ascii="Arial" w:eastAsia="Times New Roman" w:hAnsi="Arial" w:cs="Arial"/>
          <w:b/>
          <w:bCs/>
          <w:kern w:val="0"/>
          <w:sz w:val="24"/>
          <w:szCs w:val="24"/>
          <w:lang w:eastAsia="en-GB"/>
          <w14:ligatures w14:val="none"/>
        </w:rPr>
        <w:t xml:space="preserve">Improvement, and Lessons Learned </w:t>
      </w:r>
    </w:p>
    <w:p w14:paraId="68AC8340" w14:textId="77777777"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Len’s case provides a critical opportunity to evaluate how leadership, governance, and system design interacted to produce a preventable adverse outcome. The analysis demonstrates that the incident was not caused by a single failure but by a combination of systemic weaknesses, ineffective leadership, and poor communication practices. Addressing these issues requires a comprehensive understanding of both the problems and the evidence-based solutions available.</w:t>
      </w:r>
    </w:p>
    <w:p w14:paraId="5BD4800E" w14:textId="77777777" w:rsidR="004F6459" w:rsidRDefault="004F6459"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p>
    <w:p w14:paraId="3D341AD2" w14:textId="11BB5C66" w:rsidR="00FC2351" w:rsidRPr="00FC2351" w:rsidRDefault="00FC2351"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r w:rsidRPr="00FC2351">
        <w:rPr>
          <w:rFonts w:ascii="Arial" w:eastAsia="Times New Roman" w:hAnsi="Arial" w:cs="Arial"/>
          <w:b/>
          <w:bCs/>
          <w:kern w:val="0"/>
          <w:sz w:val="24"/>
          <w:szCs w:val="24"/>
          <w:lang w:eastAsia="en-GB"/>
          <w14:ligatures w14:val="none"/>
        </w:rPr>
        <w:t>Problem 1: Inadequate Medication Labelling and Human Factors Design</w:t>
      </w:r>
    </w:p>
    <w:p w14:paraId="12F5CBB3" w14:textId="77777777"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One of the most significant issues identified in the case is the poor design of medication labelling. The prominence of strength information (10 mg/5 ml) over dosage instructions created confusion, leading to an incorrect administration of morphine (HSSIB, 2020). This reflects a failure to incorporate human factors principles into system design.</w:t>
      </w:r>
    </w:p>
    <w:p w14:paraId="7A944A98" w14:textId="7E7A214A"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lastRenderedPageBreak/>
        <w:t>Human factors engineering emphasises designing systems that align with human capabilities and limitations (Carayon et al., 2014). In healthcare, poorly designed interfaces</w:t>
      </w:r>
      <w:r w:rsidR="004F6459">
        <w:rPr>
          <w:rFonts w:ascii="Arial" w:eastAsia="Times New Roman" w:hAnsi="Arial" w:cs="Arial"/>
          <w:kern w:val="0"/>
          <w:sz w:val="24"/>
          <w:szCs w:val="24"/>
          <w:lang w:eastAsia="en-GB"/>
          <w14:ligatures w14:val="none"/>
        </w:rPr>
        <w:t xml:space="preserve"> </w:t>
      </w:r>
      <w:r w:rsidRPr="00FC2351">
        <w:rPr>
          <w:rFonts w:ascii="Arial" w:eastAsia="Times New Roman" w:hAnsi="Arial" w:cs="Arial"/>
          <w:kern w:val="0"/>
          <w:sz w:val="24"/>
          <w:szCs w:val="24"/>
          <w:lang w:eastAsia="en-GB"/>
          <w14:ligatures w14:val="none"/>
        </w:rPr>
        <w:t>such as medication labels</w:t>
      </w:r>
      <w:r w:rsidR="004F6459">
        <w:rPr>
          <w:rFonts w:ascii="Arial" w:eastAsia="Times New Roman" w:hAnsi="Arial" w:cs="Arial"/>
          <w:kern w:val="0"/>
          <w:sz w:val="24"/>
          <w:szCs w:val="24"/>
          <w:lang w:eastAsia="en-GB"/>
          <w14:ligatures w14:val="none"/>
        </w:rPr>
        <w:t xml:space="preserve"> </w:t>
      </w:r>
      <w:r w:rsidRPr="00FC2351">
        <w:rPr>
          <w:rFonts w:ascii="Arial" w:eastAsia="Times New Roman" w:hAnsi="Arial" w:cs="Arial"/>
          <w:kern w:val="0"/>
          <w:sz w:val="24"/>
          <w:szCs w:val="24"/>
          <w:lang w:eastAsia="en-GB"/>
          <w14:ligatures w14:val="none"/>
        </w:rPr>
        <w:t>can significantly increase the likelihood of error. Research indicates that unclear labelling contributes to a substantial proportion of medication errors, particularly among older adults (Institute of Medicine, 2007).</w:t>
      </w:r>
    </w:p>
    <w:p w14:paraId="25FEAEBE" w14:textId="77777777"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b/>
          <w:bCs/>
          <w:kern w:val="0"/>
          <w:sz w:val="24"/>
          <w:szCs w:val="24"/>
          <w:lang w:eastAsia="en-GB"/>
          <w14:ligatures w14:val="none"/>
        </w:rPr>
        <w:t>Improvement:</w:t>
      </w:r>
    </w:p>
    <w:p w14:paraId="36827CE0" w14:textId="77777777" w:rsidR="00FC2351" w:rsidRPr="00FC2351" w:rsidRDefault="00FC2351" w:rsidP="00E55F00">
      <w:pPr>
        <w:numPr>
          <w:ilvl w:val="0"/>
          <w:numId w:val="16"/>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Redesign medication labels to prioritise dosage instructions </w:t>
      </w:r>
    </w:p>
    <w:p w14:paraId="46FD6CA6" w14:textId="77777777" w:rsidR="00FC2351" w:rsidRPr="00FC2351" w:rsidRDefault="00FC2351" w:rsidP="00E55F00">
      <w:pPr>
        <w:numPr>
          <w:ilvl w:val="0"/>
          <w:numId w:val="16"/>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Use plain language and larger fonts </w:t>
      </w:r>
    </w:p>
    <w:p w14:paraId="7C1B6F78" w14:textId="09E1F164" w:rsidR="00FC2351" w:rsidRPr="00FC2351" w:rsidRDefault="00FC2351" w:rsidP="00E55F00">
      <w:pPr>
        <w:numPr>
          <w:ilvl w:val="0"/>
          <w:numId w:val="16"/>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Incorporate visual aids and colour coding </w:t>
      </w:r>
    </w:p>
    <w:p w14:paraId="43905B16" w14:textId="77777777" w:rsidR="00FC2351" w:rsidRPr="00FC2351" w:rsidRDefault="00FC2351"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r w:rsidRPr="00FC2351">
        <w:rPr>
          <w:rFonts w:ascii="Arial" w:eastAsia="Times New Roman" w:hAnsi="Arial" w:cs="Arial"/>
          <w:b/>
          <w:bCs/>
          <w:kern w:val="0"/>
          <w:sz w:val="24"/>
          <w:szCs w:val="24"/>
          <w:lang w:eastAsia="en-GB"/>
          <w14:ligatures w14:val="none"/>
        </w:rPr>
        <w:t>Problem 2: Communication Failures and Lack of Patient Understanding</w:t>
      </w:r>
    </w:p>
    <w:p w14:paraId="14033B94" w14:textId="77777777"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Communication breakdown was a central factor in Len’s case. Healthcare professionals failed to ensure that Len and his wife understood how to correctly administer the medication. This highlights the importance of effective communication in patient safety.</w:t>
      </w:r>
    </w:p>
    <w:p w14:paraId="5B115569" w14:textId="77777777"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Evidence suggests that poor communication is responsible for a large proportion of adverse events in healthcare (The Joint Commission, 2015). Additionally, studies show that patients often misunderstand medication instructions, particularly when they involve complex dosing information (Kripalani et al., 2006).</w:t>
      </w:r>
    </w:p>
    <w:p w14:paraId="43068346" w14:textId="77777777"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b/>
          <w:bCs/>
          <w:kern w:val="0"/>
          <w:sz w:val="24"/>
          <w:szCs w:val="24"/>
          <w:lang w:eastAsia="en-GB"/>
          <w14:ligatures w14:val="none"/>
        </w:rPr>
        <w:t>Improvement:</w:t>
      </w:r>
    </w:p>
    <w:p w14:paraId="6BE6DE02" w14:textId="1E0DFB38" w:rsidR="00FC2351" w:rsidRPr="00FC2351" w:rsidRDefault="00FC2351" w:rsidP="00E55F00">
      <w:pPr>
        <w:numPr>
          <w:ilvl w:val="0"/>
          <w:numId w:val="17"/>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Implement the teach</w:t>
      </w:r>
      <w:r w:rsidR="004F6459">
        <w:rPr>
          <w:rFonts w:ascii="Arial" w:eastAsia="Times New Roman" w:hAnsi="Arial" w:cs="Arial"/>
          <w:kern w:val="0"/>
          <w:sz w:val="24"/>
          <w:szCs w:val="24"/>
          <w:lang w:eastAsia="en-GB"/>
          <w14:ligatures w14:val="none"/>
        </w:rPr>
        <w:t xml:space="preserve"> </w:t>
      </w:r>
      <w:r w:rsidRPr="00FC2351">
        <w:rPr>
          <w:rFonts w:ascii="Arial" w:eastAsia="Times New Roman" w:hAnsi="Arial" w:cs="Arial"/>
          <w:kern w:val="0"/>
          <w:sz w:val="24"/>
          <w:szCs w:val="24"/>
          <w:lang w:eastAsia="en-GB"/>
          <w14:ligatures w14:val="none"/>
        </w:rPr>
        <w:t xml:space="preserve">back method, where patients repeat instructions to confirm understanding </w:t>
      </w:r>
    </w:p>
    <w:p w14:paraId="12DFDACE" w14:textId="77777777" w:rsidR="00FC2351" w:rsidRPr="00FC2351" w:rsidRDefault="00FC2351" w:rsidP="00E55F00">
      <w:pPr>
        <w:numPr>
          <w:ilvl w:val="0"/>
          <w:numId w:val="17"/>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Provide written and verbal instructions </w:t>
      </w:r>
    </w:p>
    <w:p w14:paraId="2F07AED2" w14:textId="2391D581" w:rsidR="00FC2351" w:rsidRPr="00FC2351" w:rsidRDefault="00FC2351" w:rsidP="00E55F00">
      <w:pPr>
        <w:numPr>
          <w:ilvl w:val="0"/>
          <w:numId w:val="17"/>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Use patient-centred communication strategies </w:t>
      </w:r>
    </w:p>
    <w:p w14:paraId="488D9E27" w14:textId="77777777" w:rsidR="004F6459" w:rsidRDefault="004F6459"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p>
    <w:p w14:paraId="54CA72D9" w14:textId="196B6851" w:rsidR="00FC2351" w:rsidRPr="00FC2351" w:rsidRDefault="00FC2351"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r w:rsidRPr="00FC2351">
        <w:rPr>
          <w:rFonts w:ascii="Arial" w:eastAsia="Times New Roman" w:hAnsi="Arial" w:cs="Arial"/>
          <w:b/>
          <w:bCs/>
          <w:kern w:val="0"/>
          <w:sz w:val="24"/>
          <w:szCs w:val="24"/>
          <w:lang w:eastAsia="en-GB"/>
          <w14:ligatures w14:val="none"/>
        </w:rPr>
        <w:t>Problem 3: Risks Associated with High-Risk Medications</w:t>
      </w:r>
    </w:p>
    <w:p w14:paraId="75A4D063" w14:textId="77777777"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Morphine is classified as a high-risk medication due to its potential to cause respiratory depression and overdose. Older adults are particularly vulnerable due to age-related physiological changes and comorbidities (Davies and O’Mahony, 2015).</w:t>
      </w:r>
    </w:p>
    <w:p w14:paraId="4EDB52D6" w14:textId="77777777"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The increasing use of opioids globally has been associated with rising rates of adverse events and mortality (Volkow and McLellan, 2016). This underscores the need for enhanced safeguards when prescribing such medications.</w:t>
      </w:r>
    </w:p>
    <w:p w14:paraId="7BA8B1D6" w14:textId="77777777" w:rsidR="004F6459" w:rsidRDefault="004F6459" w:rsidP="00E55F00">
      <w:pPr>
        <w:spacing w:before="100" w:beforeAutospacing="1" w:after="100" w:afterAutospacing="1" w:line="240" w:lineRule="auto"/>
        <w:jc w:val="both"/>
        <w:rPr>
          <w:rFonts w:ascii="Arial" w:eastAsia="Times New Roman" w:hAnsi="Arial" w:cs="Arial"/>
          <w:b/>
          <w:bCs/>
          <w:kern w:val="0"/>
          <w:sz w:val="24"/>
          <w:szCs w:val="24"/>
          <w:lang w:eastAsia="en-GB"/>
          <w14:ligatures w14:val="none"/>
        </w:rPr>
      </w:pPr>
    </w:p>
    <w:p w14:paraId="4F05B2BC" w14:textId="23E74E04"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b/>
          <w:bCs/>
          <w:kern w:val="0"/>
          <w:sz w:val="24"/>
          <w:szCs w:val="24"/>
          <w:lang w:eastAsia="en-GB"/>
          <w14:ligatures w14:val="none"/>
        </w:rPr>
        <w:t>Improvement:</w:t>
      </w:r>
    </w:p>
    <w:p w14:paraId="28A6ABB8" w14:textId="77777777" w:rsidR="00FC2351" w:rsidRPr="00FC2351" w:rsidRDefault="00FC2351" w:rsidP="00E55F00">
      <w:pPr>
        <w:numPr>
          <w:ilvl w:val="0"/>
          <w:numId w:val="18"/>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Introduce stricter monitoring for high-risk medications </w:t>
      </w:r>
    </w:p>
    <w:p w14:paraId="1D166805" w14:textId="77777777" w:rsidR="00FC2351" w:rsidRPr="00FC2351" w:rsidRDefault="00FC2351" w:rsidP="00E55F00">
      <w:pPr>
        <w:numPr>
          <w:ilvl w:val="0"/>
          <w:numId w:val="18"/>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Consider alternative pain management strategies where appropriate </w:t>
      </w:r>
    </w:p>
    <w:p w14:paraId="694C8851" w14:textId="518CFDF9" w:rsidR="00FC2351" w:rsidRPr="00FC2351" w:rsidRDefault="00FC2351" w:rsidP="00E55F00">
      <w:pPr>
        <w:numPr>
          <w:ilvl w:val="0"/>
          <w:numId w:val="18"/>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Use pre-measured dosing devices to reduce error </w:t>
      </w:r>
    </w:p>
    <w:p w14:paraId="38168D94" w14:textId="77777777" w:rsidR="00FC2351" w:rsidRPr="00FC2351" w:rsidRDefault="00FC2351"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r w:rsidRPr="00FC2351">
        <w:rPr>
          <w:rFonts w:ascii="Arial" w:eastAsia="Times New Roman" w:hAnsi="Arial" w:cs="Arial"/>
          <w:b/>
          <w:bCs/>
          <w:kern w:val="0"/>
          <w:sz w:val="24"/>
          <w:szCs w:val="24"/>
          <w:lang w:eastAsia="en-GB"/>
          <w14:ligatures w14:val="none"/>
        </w:rPr>
        <w:lastRenderedPageBreak/>
        <w:t>Problem 4: Weak Governance and Accountability Structures</w:t>
      </w:r>
    </w:p>
    <w:p w14:paraId="54422DCC" w14:textId="77777777"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The case also highlights gaps in governance and accountability. Responsibility for medication safety was distributed across multiple actors, including prescribers, pharmacists, and regulatory bodies. However, there was no clear mechanism to ensure coordination or accountability.</w:t>
      </w:r>
    </w:p>
    <w:p w14:paraId="09E3CC72" w14:textId="77777777"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Effective governance requires clear roles, responsibilities, and oversight mechanisms (Smith et al., 2012). In Len’s case, the lack of coordination between different levels of the system contributed to the failure.</w:t>
      </w:r>
    </w:p>
    <w:p w14:paraId="0326E305" w14:textId="77777777"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b/>
          <w:bCs/>
          <w:kern w:val="0"/>
          <w:sz w:val="24"/>
          <w:szCs w:val="24"/>
          <w:lang w:eastAsia="en-GB"/>
          <w14:ligatures w14:val="none"/>
        </w:rPr>
        <w:t>Improvement:</w:t>
      </w:r>
    </w:p>
    <w:p w14:paraId="05DFF3BD" w14:textId="77777777" w:rsidR="00FC2351" w:rsidRPr="00FC2351" w:rsidRDefault="00FC2351" w:rsidP="00E55F00">
      <w:pPr>
        <w:numPr>
          <w:ilvl w:val="0"/>
          <w:numId w:val="19"/>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Strengthen governance frameworks to ensure accountability </w:t>
      </w:r>
    </w:p>
    <w:p w14:paraId="7B96409F" w14:textId="77777777" w:rsidR="00FC2351" w:rsidRPr="00FC2351" w:rsidRDefault="00FC2351" w:rsidP="00E55F00">
      <w:pPr>
        <w:numPr>
          <w:ilvl w:val="0"/>
          <w:numId w:val="19"/>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Implement regular audits of medication safety practices </w:t>
      </w:r>
    </w:p>
    <w:p w14:paraId="2569FD0D" w14:textId="2DF96A86" w:rsidR="00FC2351" w:rsidRPr="00FC2351" w:rsidRDefault="00FC2351" w:rsidP="00E55F00">
      <w:pPr>
        <w:numPr>
          <w:ilvl w:val="0"/>
          <w:numId w:val="19"/>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Enhance coordination between national and local systems </w:t>
      </w:r>
    </w:p>
    <w:p w14:paraId="6E1D9E68" w14:textId="77777777" w:rsidR="00FC2351" w:rsidRPr="00FC2351" w:rsidRDefault="00FC2351"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r w:rsidRPr="00FC2351">
        <w:rPr>
          <w:rFonts w:ascii="Arial" w:eastAsia="Times New Roman" w:hAnsi="Arial" w:cs="Arial"/>
          <w:b/>
          <w:bCs/>
          <w:kern w:val="0"/>
          <w:sz w:val="24"/>
          <w:szCs w:val="24"/>
          <w:lang w:eastAsia="en-GB"/>
          <w14:ligatures w14:val="none"/>
        </w:rPr>
        <w:t>Problem 5: Lack of Feedback Loops and Continuous Learning</w:t>
      </w:r>
    </w:p>
    <w:p w14:paraId="0152EEF3" w14:textId="77777777"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A critical aspect of systems thinking is the presence of feedback loops that allow organisations to learn and adapt (Senge, 2006). In Len’s case, the absence of effective feedback mechanisms meant that the error was not identified or corrected in time.</w:t>
      </w:r>
    </w:p>
    <w:p w14:paraId="65A59ACB" w14:textId="77777777"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b/>
          <w:bCs/>
          <w:kern w:val="0"/>
          <w:sz w:val="24"/>
          <w:szCs w:val="24"/>
          <w:lang w:eastAsia="en-GB"/>
          <w14:ligatures w14:val="none"/>
        </w:rPr>
        <w:t>Improvement:</w:t>
      </w:r>
    </w:p>
    <w:p w14:paraId="1D3058A2" w14:textId="77777777" w:rsidR="00FC2351" w:rsidRPr="00FC2351" w:rsidRDefault="00FC2351" w:rsidP="00E55F00">
      <w:pPr>
        <w:numPr>
          <w:ilvl w:val="0"/>
          <w:numId w:val="20"/>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Implement incident reporting systems </w:t>
      </w:r>
    </w:p>
    <w:p w14:paraId="62C4F998" w14:textId="77777777" w:rsidR="00FC2351" w:rsidRPr="00FC2351" w:rsidRDefault="00FC2351" w:rsidP="00E55F00">
      <w:pPr>
        <w:numPr>
          <w:ilvl w:val="0"/>
          <w:numId w:val="20"/>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Use data analytics to identify patterns and risks </w:t>
      </w:r>
    </w:p>
    <w:p w14:paraId="39A825A5" w14:textId="77777777" w:rsidR="00FC2351" w:rsidRPr="00FC2351" w:rsidRDefault="00FC2351" w:rsidP="00E55F00">
      <w:pPr>
        <w:numPr>
          <w:ilvl w:val="0"/>
          <w:numId w:val="20"/>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Promote a culture of continuous learning </w:t>
      </w:r>
    </w:p>
    <w:p w14:paraId="02B8F43A" w14:textId="66BD4554" w:rsidR="00FC2351" w:rsidRPr="00FC2351" w:rsidRDefault="00FC2351" w:rsidP="00E55F00">
      <w:pPr>
        <w:spacing w:after="0" w:line="240" w:lineRule="auto"/>
        <w:jc w:val="both"/>
        <w:rPr>
          <w:rFonts w:ascii="Arial" w:eastAsia="Times New Roman" w:hAnsi="Arial" w:cs="Arial"/>
          <w:kern w:val="0"/>
          <w:sz w:val="24"/>
          <w:szCs w:val="24"/>
          <w:lang w:eastAsia="en-GB"/>
          <w14:ligatures w14:val="none"/>
        </w:rPr>
      </w:pPr>
    </w:p>
    <w:p w14:paraId="0C7DFAEA" w14:textId="107FAC2A" w:rsidR="00FC2351" w:rsidRPr="00FC2351" w:rsidRDefault="00FC2351"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r w:rsidRPr="00FC2351">
        <w:rPr>
          <w:rFonts w:ascii="Arial" w:eastAsia="Times New Roman" w:hAnsi="Arial" w:cs="Arial"/>
          <w:b/>
          <w:bCs/>
          <w:kern w:val="0"/>
          <w:sz w:val="24"/>
          <w:szCs w:val="24"/>
          <w:lang w:eastAsia="en-GB"/>
          <w14:ligatures w14:val="none"/>
        </w:rPr>
        <w:t>Integration of System Structure, Leadership, and Feedback</w:t>
      </w:r>
    </w:p>
    <w:p w14:paraId="580F8C12" w14:textId="77777777"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The outcome of Len’s case was shaped by the interaction of:</w:t>
      </w:r>
    </w:p>
    <w:p w14:paraId="677D6DB0" w14:textId="77777777" w:rsidR="00FC2351" w:rsidRPr="00FC2351" w:rsidRDefault="00FC2351" w:rsidP="00E55F00">
      <w:pPr>
        <w:numPr>
          <w:ilvl w:val="0"/>
          <w:numId w:val="21"/>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A hybrid centralised-decentralised system </w:t>
      </w:r>
    </w:p>
    <w:p w14:paraId="51E5DDB7" w14:textId="77777777" w:rsidR="00FC2351" w:rsidRPr="00FC2351" w:rsidRDefault="00FC2351" w:rsidP="00E55F00">
      <w:pPr>
        <w:numPr>
          <w:ilvl w:val="0"/>
          <w:numId w:val="21"/>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Ineffective leadership approaches </w:t>
      </w:r>
    </w:p>
    <w:p w14:paraId="7A779B14" w14:textId="77777777" w:rsidR="00FC2351" w:rsidRPr="00FC2351" w:rsidRDefault="00FC2351" w:rsidP="00E55F00">
      <w:pPr>
        <w:numPr>
          <w:ilvl w:val="0"/>
          <w:numId w:val="21"/>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Weak feedback mechanisms </w:t>
      </w:r>
    </w:p>
    <w:p w14:paraId="6BE08F2A" w14:textId="3275A810"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These elements combined to create a system that was unable to prevent or mitigate the error. This highlights the importance of adopting a systems approach to patient safety, where all components are aligned and supported by effective leadership.</w:t>
      </w:r>
    </w:p>
    <w:p w14:paraId="20E127E9" w14:textId="77777777" w:rsidR="00FC2351" w:rsidRPr="00FC2351" w:rsidRDefault="00FC2351"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r w:rsidRPr="00FC2351">
        <w:rPr>
          <w:rFonts w:ascii="Arial" w:eastAsia="Times New Roman" w:hAnsi="Arial" w:cs="Arial"/>
          <w:b/>
          <w:bCs/>
          <w:kern w:val="0"/>
          <w:sz w:val="24"/>
          <w:szCs w:val="24"/>
          <w:lang w:eastAsia="en-GB"/>
          <w14:ligatures w14:val="none"/>
        </w:rPr>
        <w:t>Lessons for Healthcare Organisations</w:t>
      </w:r>
    </w:p>
    <w:p w14:paraId="78C4CD9D" w14:textId="77777777"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Key lessons from this case include:</w:t>
      </w:r>
    </w:p>
    <w:p w14:paraId="3110F42D" w14:textId="77777777" w:rsidR="00FC2351" w:rsidRPr="00FC2351" w:rsidRDefault="00FC2351" w:rsidP="00E55F00">
      <w:pPr>
        <w:numPr>
          <w:ilvl w:val="0"/>
          <w:numId w:val="22"/>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Patient safety must be prioritised at all levels of the system </w:t>
      </w:r>
    </w:p>
    <w:p w14:paraId="72742ACD" w14:textId="77777777" w:rsidR="00FC2351" w:rsidRPr="00FC2351" w:rsidRDefault="00FC2351" w:rsidP="00E55F00">
      <w:pPr>
        <w:numPr>
          <w:ilvl w:val="0"/>
          <w:numId w:val="22"/>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Leadership plays a crucial role in shaping organisational culture </w:t>
      </w:r>
    </w:p>
    <w:p w14:paraId="6D9AED1C" w14:textId="77777777" w:rsidR="00FC2351" w:rsidRPr="00FC2351" w:rsidRDefault="00FC2351" w:rsidP="00E55F00">
      <w:pPr>
        <w:numPr>
          <w:ilvl w:val="0"/>
          <w:numId w:val="22"/>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Systems must be designed with end-users in mind </w:t>
      </w:r>
    </w:p>
    <w:p w14:paraId="3FE4F950" w14:textId="304E9EF5" w:rsidR="00FC2351" w:rsidRDefault="00FC2351" w:rsidP="00E55F00">
      <w:pPr>
        <w:numPr>
          <w:ilvl w:val="0"/>
          <w:numId w:val="22"/>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lastRenderedPageBreak/>
        <w:t xml:space="preserve">Continuous improvement and learning are essential </w:t>
      </w:r>
    </w:p>
    <w:p w14:paraId="3184E510" w14:textId="77777777" w:rsidR="00475667" w:rsidRDefault="00475667" w:rsidP="00475667">
      <w:pPr>
        <w:spacing w:before="100" w:beforeAutospacing="1" w:after="100" w:afterAutospacing="1" w:line="240" w:lineRule="auto"/>
        <w:jc w:val="both"/>
        <w:rPr>
          <w:rFonts w:ascii="Arial" w:eastAsia="Times New Roman" w:hAnsi="Arial" w:cs="Arial"/>
          <w:kern w:val="0"/>
          <w:sz w:val="24"/>
          <w:szCs w:val="24"/>
          <w:lang w:eastAsia="en-GB"/>
          <w14:ligatures w14:val="none"/>
        </w:rPr>
      </w:pPr>
    </w:p>
    <w:p w14:paraId="0964AB85" w14:textId="77777777" w:rsidR="00475667" w:rsidRPr="00FC2351" w:rsidRDefault="00475667" w:rsidP="00475667">
      <w:pPr>
        <w:spacing w:before="100" w:beforeAutospacing="1" w:after="100" w:afterAutospacing="1" w:line="240" w:lineRule="auto"/>
        <w:jc w:val="both"/>
        <w:rPr>
          <w:rFonts w:ascii="Arial" w:eastAsia="Times New Roman" w:hAnsi="Arial" w:cs="Arial"/>
          <w:kern w:val="0"/>
          <w:sz w:val="24"/>
          <w:szCs w:val="24"/>
          <w:lang w:eastAsia="en-GB"/>
          <w14:ligatures w14:val="none"/>
        </w:rPr>
      </w:pPr>
    </w:p>
    <w:p w14:paraId="4E3D4801" w14:textId="4B7381B0" w:rsidR="00FC2351" w:rsidRPr="00FC2351" w:rsidRDefault="00FC2351" w:rsidP="00E55F00">
      <w:pPr>
        <w:spacing w:before="100" w:beforeAutospacing="1" w:after="100" w:afterAutospacing="1" w:line="240" w:lineRule="auto"/>
        <w:jc w:val="both"/>
        <w:outlineLvl w:val="1"/>
        <w:rPr>
          <w:rFonts w:ascii="Arial" w:eastAsia="Times New Roman" w:hAnsi="Arial" w:cs="Arial"/>
          <w:b/>
          <w:bCs/>
          <w:kern w:val="0"/>
          <w:sz w:val="24"/>
          <w:szCs w:val="24"/>
          <w:lang w:eastAsia="en-GB"/>
          <w14:ligatures w14:val="none"/>
        </w:rPr>
      </w:pPr>
      <w:r w:rsidRPr="00FC2351">
        <w:rPr>
          <w:rFonts w:ascii="Arial" w:eastAsia="Times New Roman" w:hAnsi="Arial" w:cs="Arial"/>
          <w:b/>
          <w:bCs/>
          <w:kern w:val="0"/>
          <w:sz w:val="24"/>
          <w:szCs w:val="24"/>
          <w:lang w:eastAsia="en-GB"/>
          <w14:ligatures w14:val="none"/>
        </w:rPr>
        <w:t xml:space="preserve">3. Recommendations </w:t>
      </w:r>
    </w:p>
    <w:p w14:paraId="20003551" w14:textId="77777777"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Based on the analysis, several recommendations can be proposed to improve patient safety and organisational performance.</w:t>
      </w:r>
    </w:p>
    <w:p w14:paraId="430A2DEE" w14:textId="77777777" w:rsidR="00FC2351" w:rsidRPr="00FC2351" w:rsidRDefault="00FC2351"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r w:rsidRPr="00FC2351">
        <w:rPr>
          <w:rFonts w:ascii="Arial" w:eastAsia="Times New Roman" w:hAnsi="Arial" w:cs="Arial"/>
          <w:b/>
          <w:bCs/>
          <w:kern w:val="0"/>
          <w:sz w:val="24"/>
          <w:szCs w:val="24"/>
          <w:lang w:eastAsia="en-GB"/>
          <w14:ligatures w14:val="none"/>
        </w:rPr>
        <w:t>1. Leadership Development</w:t>
      </w:r>
    </w:p>
    <w:p w14:paraId="7890E491" w14:textId="77777777"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Healthcare organisations should adopt a combination of transformational and situational leadership styles. Transformational leadership can foster a culture of safety and innovation, while situational leadership ensures adaptability to patient needs.</w:t>
      </w:r>
    </w:p>
    <w:p w14:paraId="699D7819" w14:textId="77777777"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Leaders should:</w:t>
      </w:r>
    </w:p>
    <w:p w14:paraId="591546CD" w14:textId="77777777" w:rsidR="00FC2351" w:rsidRPr="00FC2351" w:rsidRDefault="00FC2351" w:rsidP="00E55F00">
      <w:pPr>
        <w:numPr>
          <w:ilvl w:val="0"/>
          <w:numId w:val="23"/>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Promote patient-centred care </w:t>
      </w:r>
    </w:p>
    <w:p w14:paraId="2049F9A5" w14:textId="77777777" w:rsidR="00FC2351" w:rsidRPr="00FC2351" w:rsidRDefault="00FC2351" w:rsidP="00E55F00">
      <w:pPr>
        <w:numPr>
          <w:ilvl w:val="0"/>
          <w:numId w:val="23"/>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Encourage staff engagement </w:t>
      </w:r>
    </w:p>
    <w:p w14:paraId="475F0B6B" w14:textId="603CF8B9" w:rsidR="00FC2351" w:rsidRPr="00FC2351" w:rsidRDefault="00FC2351" w:rsidP="00E55F00">
      <w:pPr>
        <w:numPr>
          <w:ilvl w:val="0"/>
          <w:numId w:val="23"/>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Support continuous improvement initiatives </w:t>
      </w:r>
    </w:p>
    <w:p w14:paraId="2445DB1E" w14:textId="77777777" w:rsidR="00FC2351" w:rsidRPr="00FC2351" w:rsidRDefault="00FC2351"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r w:rsidRPr="00FC2351">
        <w:rPr>
          <w:rFonts w:ascii="Arial" w:eastAsia="Times New Roman" w:hAnsi="Arial" w:cs="Arial"/>
          <w:b/>
          <w:bCs/>
          <w:kern w:val="0"/>
          <w:sz w:val="24"/>
          <w:szCs w:val="24"/>
          <w:lang w:eastAsia="en-GB"/>
          <w14:ligatures w14:val="none"/>
        </w:rPr>
        <w:t>2. Strengthening Governance Frameworks</w:t>
      </w:r>
    </w:p>
    <w:p w14:paraId="26F3E02C" w14:textId="77777777"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Governance structures should be enhanced to ensure clear accountability and coordination across all levels of the system.</w:t>
      </w:r>
    </w:p>
    <w:p w14:paraId="74EBBC64" w14:textId="77777777"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Actions include:</w:t>
      </w:r>
    </w:p>
    <w:p w14:paraId="12A74251" w14:textId="77777777" w:rsidR="00FC2351" w:rsidRPr="00FC2351" w:rsidRDefault="00FC2351" w:rsidP="00E55F00">
      <w:pPr>
        <w:numPr>
          <w:ilvl w:val="0"/>
          <w:numId w:val="24"/>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Standardising medication safety protocols </w:t>
      </w:r>
    </w:p>
    <w:p w14:paraId="35A7C5D0" w14:textId="77777777" w:rsidR="00FC2351" w:rsidRPr="00FC2351" w:rsidRDefault="00FC2351" w:rsidP="00E55F00">
      <w:pPr>
        <w:numPr>
          <w:ilvl w:val="0"/>
          <w:numId w:val="24"/>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Conducting regular audits and inspections </w:t>
      </w:r>
    </w:p>
    <w:p w14:paraId="7A75E56C" w14:textId="2F42D150" w:rsidR="00FC2351" w:rsidRPr="00FC2351" w:rsidRDefault="00FC2351" w:rsidP="00E55F00">
      <w:pPr>
        <w:numPr>
          <w:ilvl w:val="0"/>
          <w:numId w:val="24"/>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Aligning national and local policies </w:t>
      </w:r>
    </w:p>
    <w:p w14:paraId="0C1B957F" w14:textId="77777777" w:rsidR="004F6459" w:rsidRDefault="004F6459"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p>
    <w:p w14:paraId="17EF6A1B" w14:textId="29430B77" w:rsidR="00FC2351" w:rsidRPr="00FC2351" w:rsidRDefault="00FC2351"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r w:rsidRPr="00FC2351">
        <w:rPr>
          <w:rFonts w:ascii="Arial" w:eastAsia="Times New Roman" w:hAnsi="Arial" w:cs="Arial"/>
          <w:b/>
          <w:bCs/>
          <w:kern w:val="0"/>
          <w:sz w:val="24"/>
          <w:szCs w:val="24"/>
          <w:lang w:eastAsia="en-GB"/>
          <w14:ligatures w14:val="none"/>
        </w:rPr>
        <w:t>3. Improving Communication and Patient Education</w:t>
      </w:r>
    </w:p>
    <w:p w14:paraId="56C65810" w14:textId="77777777"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Effective communication is critical for preventing medication errors.</w:t>
      </w:r>
    </w:p>
    <w:p w14:paraId="122D37E1" w14:textId="77777777"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Recommendations:</w:t>
      </w:r>
    </w:p>
    <w:p w14:paraId="6BC572F3" w14:textId="77777777" w:rsidR="00FC2351" w:rsidRPr="00FC2351" w:rsidRDefault="00FC2351" w:rsidP="00E55F00">
      <w:pPr>
        <w:numPr>
          <w:ilvl w:val="0"/>
          <w:numId w:val="25"/>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Implement mandatory patient counselling for high-risk medications </w:t>
      </w:r>
    </w:p>
    <w:p w14:paraId="10D7C7AC" w14:textId="77777777" w:rsidR="00FC2351" w:rsidRPr="00FC2351" w:rsidRDefault="00FC2351" w:rsidP="00E55F00">
      <w:pPr>
        <w:numPr>
          <w:ilvl w:val="0"/>
          <w:numId w:val="25"/>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Use teach-back methods </w:t>
      </w:r>
    </w:p>
    <w:p w14:paraId="2CE57525" w14:textId="15463583" w:rsidR="00FC2351" w:rsidRPr="00FC2351" w:rsidRDefault="00FC2351" w:rsidP="00E55F00">
      <w:pPr>
        <w:numPr>
          <w:ilvl w:val="0"/>
          <w:numId w:val="25"/>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Provide accessible and easy-to-understand information </w:t>
      </w:r>
    </w:p>
    <w:p w14:paraId="79CBE754" w14:textId="77777777" w:rsidR="00FC2351" w:rsidRPr="00FC2351" w:rsidRDefault="00FC2351"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r w:rsidRPr="00FC2351">
        <w:rPr>
          <w:rFonts w:ascii="Arial" w:eastAsia="Times New Roman" w:hAnsi="Arial" w:cs="Arial"/>
          <w:b/>
          <w:bCs/>
          <w:kern w:val="0"/>
          <w:sz w:val="24"/>
          <w:szCs w:val="24"/>
          <w:lang w:eastAsia="en-GB"/>
          <w14:ligatures w14:val="none"/>
        </w:rPr>
        <w:t>4. System Redesign and Integration</w:t>
      </w:r>
    </w:p>
    <w:p w14:paraId="1E766805" w14:textId="77777777"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Healthcare systems should be redesigned to incorporate human factors principles.</w:t>
      </w:r>
    </w:p>
    <w:p w14:paraId="3F814DE0" w14:textId="77777777"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lastRenderedPageBreak/>
        <w:t>Actions include:</w:t>
      </w:r>
    </w:p>
    <w:p w14:paraId="5E955DD8" w14:textId="77777777" w:rsidR="00FC2351" w:rsidRPr="00FC2351" w:rsidRDefault="00FC2351" w:rsidP="00E55F00">
      <w:pPr>
        <w:numPr>
          <w:ilvl w:val="0"/>
          <w:numId w:val="26"/>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Redesigning medication labelling </w:t>
      </w:r>
    </w:p>
    <w:p w14:paraId="233E0EA6" w14:textId="77777777" w:rsidR="00FC2351" w:rsidRPr="00FC2351" w:rsidRDefault="00FC2351" w:rsidP="00E55F00">
      <w:pPr>
        <w:numPr>
          <w:ilvl w:val="0"/>
          <w:numId w:val="26"/>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Introducing digital prescribing systems with alerts </w:t>
      </w:r>
    </w:p>
    <w:p w14:paraId="1EC4AE5A" w14:textId="77777777" w:rsidR="00FC2351" w:rsidRPr="00FC2351" w:rsidRDefault="00FC2351" w:rsidP="00E55F00">
      <w:pPr>
        <w:numPr>
          <w:ilvl w:val="0"/>
          <w:numId w:val="26"/>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Providing pre-measured dosing tools </w:t>
      </w:r>
    </w:p>
    <w:p w14:paraId="7A618770" w14:textId="5F15AC17" w:rsidR="00FC2351" w:rsidRPr="00FC2351" w:rsidRDefault="00FC2351" w:rsidP="00E55F00">
      <w:pPr>
        <w:spacing w:after="0" w:line="240" w:lineRule="auto"/>
        <w:jc w:val="both"/>
        <w:rPr>
          <w:rFonts w:ascii="Arial" w:eastAsia="Times New Roman" w:hAnsi="Arial" w:cs="Arial"/>
          <w:kern w:val="0"/>
          <w:sz w:val="24"/>
          <w:szCs w:val="24"/>
          <w:lang w:eastAsia="en-GB"/>
          <w14:ligatures w14:val="none"/>
        </w:rPr>
      </w:pPr>
    </w:p>
    <w:p w14:paraId="0A95BE3D" w14:textId="77777777" w:rsidR="00FC2351" w:rsidRPr="00FC2351" w:rsidRDefault="00FC2351"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r w:rsidRPr="00FC2351">
        <w:rPr>
          <w:rFonts w:ascii="Arial" w:eastAsia="Times New Roman" w:hAnsi="Arial" w:cs="Arial"/>
          <w:b/>
          <w:bCs/>
          <w:kern w:val="0"/>
          <w:sz w:val="24"/>
          <w:szCs w:val="24"/>
          <w:lang w:eastAsia="en-GB"/>
          <w14:ligatures w14:val="none"/>
        </w:rPr>
        <w:t>5. Enhancing Efficiency and Resource Allocation</w:t>
      </w:r>
    </w:p>
    <w:p w14:paraId="2DAFE907" w14:textId="77777777"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Improving efficiency can reduce the burden on healthcare systems and enhance patient safety.</w:t>
      </w:r>
    </w:p>
    <w:p w14:paraId="508B743A" w14:textId="77777777"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Strategies include:</w:t>
      </w:r>
    </w:p>
    <w:p w14:paraId="10F6C83D" w14:textId="77777777" w:rsidR="00FC2351" w:rsidRPr="00FC2351" w:rsidRDefault="00FC2351" w:rsidP="00E55F00">
      <w:pPr>
        <w:numPr>
          <w:ilvl w:val="0"/>
          <w:numId w:val="27"/>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Reducing medication-related hospital admissions </w:t>
      </w:r>
    </w:p>
    <w:p w14:paraId="666C869A" w14:textId="77777777" w:rsidR="00FC2351" w:rsidRPr="00FC2351" w:rsidRDefault="00FC2351" w:rsidP="00E55F00">
      <w:pPr>
        <w:numPr>
          <w:ilvl w:val="0"/>
          <w:numId w:val="27"/>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Optimising resource allocation </w:t>
      </w:r>
    </w:p>
    <w:p w14:paraId="6C74B5DB" w14:textId="77777777" w:rsidR="00FC2351" w:rsidRPr="00FC2351" w:rsidRDefault="00FC2351" w:rsidP="00E55F00">
      <w:pPr>
        <w:numPr>
          <w:ilvl w:val="0"/>
          <w:numId w:val="27"/>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Investing in staff training and development </w:t>
      </w:r>
    </w:p>
    <w:p w14:paraId="547192AF" w14:textId="77E674A4" w:rsidR="00FC2351" w:rsidRPr="00FC2351" w:rsidRDefault="00FC2351" w:rsidP="00E55F00">
      <w:pPr>
        <w:spacing w:after="0" w:line="240" w:lineRule="auto"/>
        <w:jc w:val="both"/>
        <w:rPr>
          <w:rFonts w:ascii="Arial" w:eastAsia="Times New Roman" w:hAnsi="Arial" w:cs="Arial"/>
          <w:kern w:val="0"/>
          <w:sz w:val="24"/>
          <w:szCs w:val="24"/>
          <w:lang w:eastAsia="en-GB"/>
          <w14:ligatures w14:val="none"/>
        </w:rPr>
      </w:pPr>
    </w:p>
    <w:p w14:paraId="241534CB" w14:textId="77777777" w:rsidR="00FC2351" w:rsidRPr="00FC2351" w:rsidRDefault="00FC2351"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r w:rsidRPr="00FC2351">
        <w:rPr>
          <w:rFonts w:ascii="Arial" w:eastAsia="Times New Roman" w:hAnsi="Arial" w:cs="Arial"/>
          <w:b/>
          <w:bCs/>
          <w:kern w:val="0"/>
          <w:sz w:val="24"/>
          <w:szCs w:val="24"/>
          <w:lang w:eastAsia="en-GB"/>
          <w14:ligatures w14:val="none"/>
        </w:rPr>
        <w:t>6. Promoting Stakeholder Engagement</w:t>
      </w:r>
    </w:p>
    <w:p w14:paraId="5C9714D4" w14:textId="77777777"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Patients and families should be actively involved in care decisions.</w:t>
      </w:r>
    </w:p>
    <w:p w14:paraId="2B06F4FD" w14:textId="77777777"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Actions include:</w:t>
      </w:r>
    </w:p>
    <w:p w14:paraId="44F15DEF" w14:textId="77777777" w:rsidR="00FC2351" w:rsidRPr="00FC2351" w:rsidRDefault="00FC2351" w:rsidP="00E55F00">
      <w:pPr>
        <w:numPr>
          <w:ilvl w:val="0"/>
          <w:numId w:val="28"/>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Encouraging shared decision-making </w:t>
      </w:r>
    </w:p>
    <w:p w14:paraId="7AAD735C" w14:textId="77777777" w:rsidR="00FC2351" w:rsidRPr="00FC2351" w:rsidRDefault="00FC2351" w:rsidP="00E55F00">
      <w:pPr>
        <w:numPr>
          <w:ilvl w:val="0"/>
          <w:numId w:val="28"/>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Involving patients in safety initiatives </w:t>
      </w:r>
    </w:p>
    <w:p w14:paraId="6B2F92F2" w14:textId="77777777" w:rsidR="00FC2351" w:rsidRPr="00FC2351" w:rsidRDefault="00FC2351" w:rsidP="00E55F00">
      <w:pPr>
        <w:numPr>
          <w:ilvl w:val="0"/>
          <w:numId w:val="28"/>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Gathering feedback to improve services </w:t>
      </w:r>
    </w:p>
    <w:p w14:paraId="1B2537F1" w14:textId="7815D056" w:rsidR="00FC2351" w:rsidRPr="00FC2351" w:rsidRDefault="00FC2351" w:rsidP="00E55F00">
      <w:pPr>
        <w:spacing w:after="0" w:line="240" w:lineRule="auto"/>
        <w:jc w:val="both"/>
        <w:rPr>
          <w:rFonts w:ascii="Arial" w:eastAsia="Times New Roman" w:hAnsi="Arial" w:cs="Arial"/>
          <w:kern w:val="0"/>
          <w:sz w:val="24"/>
          <w:szCs w:val="24"/>
          <w:lang w:eastAsia="en-GB"/>
          <w14:ligatures w14:val="none"/>
        </w:rPr>
      </w:pPr>
    </w:p>
    <w:p w14:paraId="3649D6DF" w14:textId="77777777" w:rsidR="004F6459" w:rsidRDefault="004F6459"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p>
    <w:p w14:paraId="2322B85D" w14:textId="77777777" w:rsidR="004F6459" w:rsidRDefault="004F6459"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p>
    <w:p w14:paraId="7DDFCCEC" w14:textId="49C4EF72" w:rsidR="00FC2351" w:rsidRPr="00FC2351" w:rsidRDefault="00FC2351" w:rsidP="00E55F00">
      <w:pPr>
        <w:spacing w:before="100" w:beforeAutospacing="1" w:after="100" w:afterAutospacing="1" w:line="240" w:lineRule="auto"/>
        <w:jc w:val="both"/>
        <w:outlineLvl w:val="2"/>
        <w:rPr>
          <w:rFonts w:ascii="Arial" w:eastAsia="Times New Roman" w:hAnsi="Arial" w:cs="Arial"/>
          <w:b/>
          <w:bCs/>
          <w:kern w:val="0"/>
          <w:sz w:val="24"/>
          <w:szCs w:val="24"/>
          <w:lang w:eastAsia="en-GB"/>
          <w14:ligatures w14:val="none"/>
        </w:rPr>
      </w:pPr>
      <w:r w:rsidRPr="00FC2351">
        <w:rPr>
          <w:rFonts w:ascii="Arial" w:eastAsia="Times New Roman" w:hAnsi="Arial" w:cs="Arial"/>
          <w:b/>
          <w:bCs/>
          <w:kern w:val="0"/>
          <w:sz w:val="24"/>
          <w:szCs w:val="24"/>
          <w:lang w:eastAsia="en-GB"/>
          <w14:ligatures w14:val="none"/>
        </w:rPr>
        <w:t>7. Supporting Continuous Learning and Improvement</w:t>
      </w:r>
    </w:p>
    <w:p w14:paraId="0DC578AB" w14:textId="77777777"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Organisations should establish systems for continuous learning.</w:t>
      </w:r>
    </w:p>
    <w:p w14:paraId="6BB2E035" w14:textId="77777777"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Recommendations:</w:t>
      </w:r>
    </w:p>
    <w:p w14:paraId="485031E9" w14:textId="77777777" w:rsidR="00FC2351" w:rsidRPr="00FC2351" w:rsidRDefault="00FC2351" w:rsidP="00E55F00">
      <w:pPr>
        <w:numPr>
          <w:ilvl w:val="0"/>
          <w:numId w:val="29"/>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Strengthen incident reporting systems </w:t>
      </w:r>
    </w:p>
    <w:p w14:paraId="47979DC6" w14:textId="77777777" w:rsidR="00FC2351" w:rsidRPr="00FC2351" w:rsidRDefault="00FC2351" w:rsidP="00E55F00">
      <w:pPr>
        <w:numPr>
          <w:ilvl w:val="0"/>
          <w:numId w:val="29"/>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Use data to inform decision-making </w:t>
      </w:r>
    </w:p>
    <w:p w14:paraId="1E8C7E83" w14:textId="77777777" w:rsidR="00FC2351" w:rsidRDefault="00FC2351" w:rsidP="00E55F00">
      <w:pPr>
        <w:numPr>
          <w:ilvl w:val="0"/>
          <w:numId w:val="29"/>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 xml:space="preserve">Promote a culture of transparency and accountability </w:t>
      </w:r>
    </w:p>
    <w:p w14:paraId="72F58E63" w14:textId="77777777" w:rsidR="00475667" w:rsidRDefault="00475667" w:rsidP="00475667">
      <w:pPr>
        <w:spacing w:before="100" w:beforeAutospacing="1" w:after="100" w:afterAutospacing="1" w:line="240" w:lineRule="auto"/>
        <w:jc w:val="both"/>
        <w:rPr>
          <w:rFonts w:ascii="Arial" w:eastAsia="Times New Roman" w:hAnsi="Arial" w:cs="Arial"/>
          <w:kern w:val="0"/>
          <w:sz w:val="24"/>
          <w:szCs w:val="24"/>
          <w:lang w:eastAsia="en-GB"/>
          <w14:ligatures w14:val="none"/>
        </w:rPr>
      </w:pPr>
    </w:p>
    <w:p w14:paraId="13A22A70" w14:textId="77777777" w:rsidR="00475667" w:rsidRDefault="00475667" w:rsidP="00475667">
      <w:pPr>
        <w:spacing w:before="100" w:beforeAutospacing="1" w:after="100" w:afterAutospacing="1" w:line="240" w:lineRule="auto"/>
        <w:jc w:val="both"/>
        <w:rPr>
          <w:rFonts w:ascii="Arial" w:eastAsia="Times New Roman" w:hAnsi="Arial" w:cs="Arial"/>
          <w:kern w:val="0"/>
          <w:sz w:val="24"/>
          <w:szCs w:val="24"/>
          <w:lang w:eastAsia="en-GB"/>
          <w14:ligatures w14:val="none"/>
        </w:rPr>
      </w:pPr>
    </w:p>
    <w:p w14:paraId="514C22FC" w14:textId="77777777" w:rsidR="00475667" w:rsidRDefault="00475667" w:rsidP="00475667">
      <w:pPr>
        <w:spacing w:before="100" w:beforeAutospacing="1" w:after="100" w:afterAutospacing="1" w:line="240" w:lineRule="auto"/>
        <w:jc w:val="both"/>
        <w:rPr>
          <w:rFonts w:ascii="Arial" w:eastAsia="Times New Roman" w:hAnsi="Arial" w:cs="Arial"/>
          <w:kern w:val="0"/>
          <w:sz w:val="24"/>
          <w:szCs w:val="24"/>
          <w:lang w:eastAsia="en-GB"/>
          <w14:ligatures w14:val="none"/>
        </w:rPr>
      </w:pPr>
    </w:p>
    <w:p w14:paraId="6A4B2480" w14:textId="77777777" w:rsidR="00475667" w:rsidRDefault="00475667" w:rsidP="00475667">
      <w:pPr>
        <w:spacing w:before="100" w:beforeAutospacing="1" w:after="100" w:afterAutospacing="1" w:line="240" w:lineRule="auto"/>
        <w:jc w:val="both"/>
        <w:rPr>
          <w:rFonts w:ascii="Arial" w:eastAsia="Times New Roman" w:hAnsi="Arial" w:cs="Arial"/>
          <w:kern w:val="0"/>
          <w:sz w:val="24"/>
          <w:szCs w:val="24"/>
          <w:lang w:eastAsia="en-GB"/>
          <w14:ligatures w14:val="none"/>
        </w:rPr>
      </w:pPr>
    </w:p>
    <w:p w14:paraId="070647A7" w14:textId="77777777" w:rsidR="00475667" w:rsidRPr="00FC2351" w:rsidRDefault="00475667" w:rsidP="00475667">
      <w:pPr>
        <w:spacing w:before="100" w:beforeAutospacing="1" w:after="100" w:afterAutospacing="1" w:line="240" w:lineRule="auto"/>
        <w:jc w:val="both"/>
        <w:rPr>
          <w:rFonts w:ascii="Arial" w:eastAsia="Times New Roman" w:hAnsi="Arial" w:cs="Arial"/>
          <w:kern w:val="0"/>
          <w:sz w:val="24"/>
          <w:szCs w:val="24"/>
          <w:lang w:eastAsia="en-GB"/>
          <w14:ligatures w14:val="none"/>
        </w:rPr>
      </w:pPr>
    </w:p>
    <w:p w14:paraId="0EDE294E" w14:textId="75311C41" w:rsidR="00FC2351" w:rsidRPr="00FC2351" w:rsidRDefault="00FC2351" w:rsidP="00E55F00">
      <w:pPr>
        <w:spacing w:after="0" w:line="240" w:lineRule="auto"/>
        <w:jc w:val="both"/>
        <w:rPr>
          <w:rFonts w:ascii="Arial" w:eastAsia="Times New Roman" w:hAnsi="Arial" w:cs="Arial"/>
          <w:kern w:val="0"/>
          <w:sz w:val="24"/>
          <w:szCs w:val="24"/>
          <w:lang w:eastAsia="en-GB"/>
          <w14:ligatures w14:val="none"/>
        </w:rPr>
      </w:pPr>
    </w:p>
    <w:p w14:paraId="7BE35446" w14:textId="06079A5C" w:rsidR="00FC2351" w:rsidRPr="00FC2351" w:rsidRDefault="00FC2351" w:rsidP="00E55F00">
      <w:pPr>
        <w:spacing w:before="100" w:beforeAutospacing="1" w:after="100" w:afterAutospacing="1" w:line="240" w:lineRule="auto"/>
        <w:jc w:val="both"/>
        <w:outlineLvl w:val="1"/>
        <w:rPr>
          <w:rFonts w:ascii="Arial" w:eastAsia="Times New Roman" w:hAnsi="Arial" w:cs="Arial"/>
          <w:b/>
          <w:bCs/>
          <w:kern w:val="0"/>
          <w:sz w:val="24"/>
          <w:szCs w:val="24"/>
          <w:lang w:eastAsia="en-GB"/>
          <w14:ligatures w14:val="none"/>
        </w:rPr>
      </w:pPr>
      <w:r w:rsidRPr="00FC2351">
        <w:rPr>
          <w:rFonts w:ascii="Arial" w:eastAsia="Times New Roman" w:hAnsi="Arial" w:cs="Arial"/>
          <w:b/>
          <w:bCs/>
          <w:kern w:val="0"/>
          <w:sz w:val="24"/>
          <w:szCs w:val="24"/>
          <w:lang w:eastAsia="en-GB"/>
          <w14:ligatures w14:val="none"/>
        </w:rPr>
        <w:t xml:space="preserve">4. Conclusion </w:t>
      </w:r>
    </w:p>
    <w:p w14:paraId="5B24F172" w14:textId="77777777"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Len’s case highlights the devastating consequences of medication errors and the complex interplay between leadership, governance, and system design. The analysis demonstrates that the incident was not the result of a single mistake but rather a combination of systemic weaknesses, ineffective leadership, and communication failures.</w:t>
      </w:r>
    </w:p>
    <w:p w14:paraId="334F9189" w14:textId="77777777"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Leadership is a critical factor in ensuring patient safety, as it influences organisational culture, decision-making, and the implementation of safety practices. Similarly, governance structures must provide clear accountability and coordination across different levels of the healthcare system. The application of systems thinking reveals that healthcare outcomes are shaped by the interactions between multiple components, including people, processes, and structures.</w:t>
      </w:r>
    </w:p>
    <w:p w14:paraId="0E8EF68F" w14:textId="77777777"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The findings of this report emphasise the importance of adopting a holistic approach to patient safety. By integrating leadership, governance, and systems thinking, healthcare organisations can identify risks, implement effective solutions, and continuously improve their performance.</w:t>
      </w:r>
    </w:p>
    <w:p w14:paraId="1D9591DC" w14:textId="77777777" w:rsidR="00FC2351" w:rsidRPr="00FC2351" w:rsidRDefault="00FC2351" w:rsidP="00E55F00">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C2351">
        <w:rPr>
          <w:rFonts w:ascii="Arial" w:eastAsia="Times New Roman" w:hAnsi="Arial" w:cs="Arial"/>
          <w:kern w:val="0"/>
          <w:sz w:val="24"/>
          <w:szCs w:val="24"/>
          <w:lang w:eastAsia="en-GB"/>
          <w14:ligatures w14:val="none"/>
        </w:rPr>
        <w:t>Ultimately, preventing incidents like Len’s requires a commitment to patient-centred care, effective communication, and evidence-based practice. By implementing the recommendations outlined in this report, healthcare organisations can enhance safety, reduce harm, and ensure better outcomes for patients.</w:t>
      </w:r>
    </w:p>
    <w:p w14:paraId="4AF6BD69" w14:textId="77777777" w:rsidR="004F6459" w:rsidRPr="002D1004" w:rsidRDefault="004F6459"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In conclusion, the leadership approaches observed in Len’s case were insufficient to ensure patient safety. While transactional elements were present, the lack of transformational and situational leadership limited the system’s ability to prevent harm. Effective leadership in healthcare requires a balanced approach that integrates vision, adaptability, and a strong focus on patient-centred care.</w:t>
      </w:r>
    </w:p>
    <w:p w14:paraId="079E9FEA" w14:textId="77777777" w:rsidR="00B048E3" w:rsidRPr="002D1004" w:rsidRDefault="00B048E3" w:rsidP="00B048E3">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2D1004">
        <w:rPr>
          <w:rFonts w:ascii="Arial" w:eastAsia="Times New Roman" w:hAnsi="Arial" w:cs="Arial"/>
          <w:kern w:val="0"/>
          <w:sz w:val="24"/>
          <w:szCs w:val="24"/>
          <w:lang w:eastAsia="en-GB"/>
          <w14:ligatures w14:val="none"/>
        </w:rPr>
        <w:t>Overall, the case demonstrates that neither centralisation nor decentralisation alone is sufficient to ensure patient safety. Instead, effective healthcare systems require integration between centralised policies and decentralised practices, supported by strong leadership and robust communication mechanisms. The failure to achieve this integration in Len’s case contributed significantly to the adverse outcome.</w:t>
      </w:r>
    </w:p>
    <w:p w14:paraId="76CD492C" w14:textId="77777777" w:rsidR="004F6459" w:rsidRPr="00E55F00" w:rsidRDefault="004F6459" w:rsidP="004F6459">
      <w:pPr>
        <w:spacing w:after="0" w:line="240" w:lineRule="auto"/>
        <w:jc w:val="both"/>
        <w:rPr>
          <w:rFonts w:ascii="Arial" w:eastAsia="Times New Roman" w:hAnsi="Arial" w:cs="Arial"/>
          <w:kern w:val="0"/>
          <w:sz w:val="24"/>
          <w:szCs w:val="24"/>
          <w:lang w:eastAsia="en-GB"/>
          <w14:ligatures w14:val="none"/>
        </w:rPr>
      </w:pPr>
    </w:p>
    <w:p w14:paraId="3C7D09A2" w14:textId="77777777" w:rsidR="004F6459" w:rsidRPr="00E55F00" w:rsidRDefault="004F6459" w:rsidP="004F6459">
      <w:pPr>
        <w:spacing w:after="0" w:line="240" w:lineRule="auto"/>
        <w:jc w:val="both"/>
        <w:rPr>
          <w:rFonts w:ascii="Arial" w:eastAsia="Times New Roman" w:hAnsi="Arial" w:cs="Arial"/>
          <w:kern w:val="0"/>
          <w:sz w:val="24"/>
          <w:szCs w:val="24"/>
          <w:lang w:eastAsia="en-GB"/>
          <w14:ligatures w14:val="none"/>
        </w:rPr>
      </w:pPr>
    </w:p>
    <w:p w14:paraId="0E096A75" w14:textId="683C87C2" w:rsidR="00FC2351" w:rsidRPr="00FC2351" w:rsidRDefault="00FC2351" w:rsidP="00E55F00">
      <w:pPr>
        <w:spacing w:after="0" w:line="240" w:lineRule="auto"/>
        <w:jc w:val="both"/>
        <w:rPr>
          <w:rFonts w:ascii="Arial" w:eastAsia="Times New Roman" w:hAnsi="Arial" w:cs="Arial"/>
          <w:kern w:val="0"/>
          <w:sz w:val="24"/>
          <w:szCs w:val="24"/>
          <w:lang w:eastAsia="en-GB"/>
          <w14:ligatures w14:val="none"/>
        </w:rPr>
      </w:pPr>
    </w:p>
    <w:p w14:paraId="21D7741B" w14:textId="77777777" w:rsidR="004F6459" w:rsidRDefault="004F6459" w:rsidP="00E55F00">
      <w:pPr>
        <w:spacing w:before="100" w:beforeAutospacing="1" w:after="100" w:afterAutospacing="1" w:line="240" w:lineRule="auto"/>
        <w:jc w:val="both"/>
        <w:outlineLvl w:val="0"/>
        <w:rPr>
          <w:rFonts w:ascii="Segoe UI Emoji" w:eastAsia="Times New Roman" w:hAnsi="Segoe UI Emoji" w:cs="Segoe UI Emoji"/>
          <w:b/>
          <w:bCs/>
          <w:kern w:val="36"/>
          <w:sz w:val="24"/>
          <w:szCs w:val="24"/>
          <w:lang w:eastAsia="en-GB"/>
          <w14:ligatures w14:val="none"/>
        </w:rPr>
      </w:pPr>
    </w:p>
    <w:p w14:paraId="1FA50788" w14:textId="77777777" w:rsidR="004F6459" w:rsidRDefault="004F6459" w:rsidP="00E55F00">
      <w:pPr>
        <w:spacing w:before="100" w:beforeAutospacing="1" w:after="100" w:afterAutospacing="1" w:line="240" w:lineRule="auto"/>
        <w:jc w:val="both"/>
        <w:outlineLvl w:val="0"/>
        <w:rPr>
          <w:rFonts w:ascii="Segoe UI Emoji" w:eastAsia="Times New Roman" w:hAnsi="Segoe UI Emoji" w:cs="Segoe UI Emoji"/>
          <w:b/>
          <w:bCs/>
          <w:kern w:val="36"/>
          <w:sz w:val="24"/>
          <w:szCs w:val="24"/>
          <w:lang w:eastAsia="en-GB"/>
          <w14:ligatures w14:val="none"/>
        </w:rPr>
      </w:pPr>
    </w:p>
    <w:p w14:paraId="4B2701E3" w14:textId="77777777" w:rsidR="004F6459" w:rsidRDefault="004F6459" w:rsidP="00E55F00">
      <w:pPr>
        <w:spacing w:before="100" w:beforeAutospacing="1" w:after="100" w:afterAutospacing="1" w:line="240" w:lineRule="auto"/>
        <w:jc w:val="both"/>
        <w:outlineLvl w:val="0"/>
        <w:rPr>
          <w:rFonts w:ascii="Segoe UI Emoji" w:eastAsia="Times New Roman" w:hAnsi="Segoe UI Emoji" w:cs="Segoe UI Emoji"/>
          <w:b/>
          <w:bCs/>
          <w:kern w:val="36"/>
          <w:sz w:val="24"/>
          <w:szCs w:val="24"/>
          <w:lang w:eastAsia="en-GB"/>
          <w14:ligatures w14:val="none"/>
        </w:rPr>
      </w:pPr>
    </w:p>
    <w:p w14:paraId="7EA357A8" w14:textId="77777777" w:rsidR="004F6459" w:rsidRDefault="004F6459" w:rsidP="00E55F00">
      <w:pPr>
        <w:spacing w:before="100" w:beforeAutospacing="1" w:after="100" w:afterAutospacing="1" w:line="240" w:lineRule="auto"/>
        <w:jc w:val="both"/>
        <w:outlineLvl w:val="0"/>
        <w:rPr>
          <w:rFonts w:ascii="Segoe UI Emoji" w:eastAsia="Times New Roman" w:hAnsi="Segoe UI Emoji" w:cs="Segoe UI Emoji"/>
          <w:b/>
          <w:bCs/>
          <w:kern w:val="36"/>
          <w:sz w:val="24"/>
          <w:szCs w:val="24"/>
          <w:lang w:eastAsia="en-GB"/>
          <w14:ligatures w14:val="none"/>
        </w:rPr>
      </w:pPr>
    </w:p>
    <w:p w14:paraId="53B1CD97" w14:textId="77777777" w:rsidR="00475667" w:rsidRDefault="00475667" w:rsidP="00E55F00">
      <w:pPr>
        <w:spacing w:before="100" w:beforeAutospacing="1" w:after="100" w:afterAutospacing="1" w:line="240" w:lineRule="auto"/>
        <w:jc w:val="both"/>
        <w:outlineLvl w:val="0"/>
        <w:rPr>
          <w:rFonts w:ascii="Segoe UI Emoji" w:eastAsia="Times New Roman" w:hAnsi="Segoe UI Emoji" w:cs="Segoe UI Emoji"/>
          <w:b/>
          <w:bCs/>
          <w:kern w:val="36"/>
          <w:sz w:val="24"/>
          <w:szCs w:val="24"/>
          <w:lang w:eastAsia="en-GB"/>
          <w14:ligatures w14:val="none"/>
        </w:rPr>
      </w:pPr>
    </w:p>
    <w:p w14:paraId="2A5BB6DA" w14:textId="77777777" w:rsidR="00475667" w:rsidRDefault="00475667" w:rsidP="00E55F00">
      <w:pPr>
        <w:spacing w:before="100" w:beforeAutospacing="1" w:after="100" w:afterAutospacing="1" w:line="240" w:lineRule="auto"/>
        <w:jc w:val="both"/>
        <w:outlineLvl w:val="0"/>
        <w:rPr>
          <w:rFonts w:ascii="Segoe UI Emoji" w:eastAsia="Times New Roman" w:hAnsi="Segoe UI Emoji" w:cs="Segoe UI Emoji"/>
          <w:b/>
          <w:bCs/>
          <w:kern w:val="36"/>
          <w:sz w:val="24"/>
          <w:szCs w:val="24"/>
          <w:lang w:eastAsia="en-GB"/>
          <w14:ligatures w14:val="none"/>
        </w:rPr>
      </w:pPr>
    </w:p>
    <w:p w14:paraId="7D7624C8" w14:textId="77777777" w:rsidR="00475667" w:rsidRDefault="00475667" w:rsidP="00E55F00">
      <w:pPr>
        <w:spacing w:before="100" w:beforeAutospacing="1" w:after="100" w:afterAutospacing="1" w:line="240" w:lineRule="auto"/>
        <w:jc w:val="both"/>
        <w:outlineLvl w:val="0"/>
        <w:rPr>
          <w:rFonts w:ascii="Segoe UI Emoji" w:eastAsia="Times New Roman" w:hAnsi="Segoe UI Emoji" w:cs="Segoe UI Emoji"/>
          <w:b/>
          <w:bCs/>
          <w:kern w:val="36"/>
          <w:sz w:val="24"/>
          <w:szCs w:val="24"/>
          <w:lang w:eastAsia="en-GB"/>
          <w14:ligatures w14:val="none"/>
        </w:rPr>
      </w:pPr>
    </w:p>
    <w:p w14:paraId="10BABBF2" w14:textId="77777777" w:rsidR="004F6459" w:rsidRDefault="004F6459" w:rsidP="00E55F00">
      <w:pPr>
        <w:spacing w:before="100" w:beforeAutospacing="1" w:after="100" w:afterAutospacing="1" w:line="240" w:lineRule="auto"/>
        <w:jc w:val="both"/>
        <w:outlineLvl w:val="0"/>
        <w:rPr>
          <w:rFonts w:ascii="Segoe UI Emoji" w:eastAsia="Times New Roman" w:hAnsi="Segoe UI Emoji" w:cs="Segoe UI Emoji"/>
          <w:b/>
          <w:bCs/>
          <w:kern w:val="36"/>
          <w:sz w:val="24"/>
          <w:szCs w:val="24"/>
          <w:lang w:eastAsia="en-GB"/>
          <w14:ligatures w14:val="none"/>
        </w:rPr>
      </w:pPr>
    </w:p>
    <w:p w14:paraId="1A45D390" w14:textId="4335C7C5" w:rsidR="00FC2351" w:rsidRPr="00FC2351" w:rsidRDefault="00FC2351" w:rsidP="00E55F00">
      <w:pPr>
        <w:spacing w:before="100" w:beforeAutospacing="1" w:after="100" w:afterAutospacing="1" w:line="240" w:lineRule="auto"/>
        <w:jc w:val="both"/>
        <w:outlineLvl w:val="0"/>
        <w:rPr>
          <w:rFonts w:ascii="Arial" w:eastAsia="Times New Roman" w:hAnsi="Arial" w:cs="Arial"/>
          <w:b/>
          <w:bCs/>
          <w:kern w:val="36"/>
          <w:sz w:val="24"/>
          <w:szCs w:val="24"/>
          <w:lang w:eastAsia="en-GB"/>
          <w14:ligatures w14:val="none"/>
        </w:rPr>
      </w:pPr>
      <w:r w:rsidRPr="00FC2351">
        <w:rPr>
          <w:rFonts w:ascii="Arial" w:eastAsia="Times New Roman" w:hAnsi="Arial" w:cs="Arial"/>
          <w:b/>
          <w:bCs/>
          <w:kern w:val="36"/>
          <w:sz w:val="24"/>
          <w:szCs w:val="24"/>
          <w:lang w:eastAsia="en-GB"/>
          <w14:ligatures w14:val="none"/>
        </w:rPr>
        <w:t xml:space="preserve">REFERENCE </w:t>
      </w:r>
    </w:p>
    <w:p w14:paraId="03D1F29D" w14:textId="77777777" w:rsidR="00FC2351" w:rsidRPr="004F6459" w:rsidRDefault="00FC2351"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Alldred, D.P. et al. (2016) ‘Optimising prescribing for older people’, </w:t>
      </w:r>
      <w:r w:rsidRPr="004F6459">
        <w:rPr>
          <w:rFonts w:ascii="Arial" w:eastAsia="Times New Roman" w:hAnsi="Arial" w:cs="Arial"/>
          <w:i/>
          <w:iCs/>
          <w:kern w:val="0"/>
          <w:sz w:val="24"/>
          <w:szCs w:val="24"/>
          <w:lang w:eastAsia="en-GB"/>
          <w14:ligatures w14:val="none"/>
        </w:rPr>
        <w:t>Cochrane Database</w:t>
      </w:r>
      <w:r w:rsidRPr="004F6459">
        <w:rPr>
          <w:rFonts w:ascii="Arial" w:eastAsia="Times New Roman" w:hAnsi="Arial" w:cs="Arial"/>
          <w:kern w:val="0"/>
          <w:sz w:val="24"/>
          <w:szCs w:val="24"/>
          <w:lang w:eastAsia="en-GB"/>
          <w14:ligatures w14:val="none"/>
        </w:rPr>
        <w:t>.</w:t>
      </w:r>
    </w:p>
    <w:p w14:paraId="28552676" w14:textId="77777777" w:rsidR="00FC2351" w:rsidRPr="004F6459" w:rsidRDefault="00FC2351"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Baird, B. et al. (2016) </w:t>
      </w:r>
      <w:r w:rsidRPr="004F6459">
        <w:rPr>
          <w:rFonts w:ascii="Arial" w:eastAsia="Times New Roman" w:hAnsi="Arial" w:cs="Arial"/>
          <w:i/>
          <w:iCs/>
          <w:kern w:val="0"/>
          <w:sz w:val="24"/>
          <w:szCs w:val="24"/>
          <w:lang w:eastAsia="en-GB"/>
          <w14:ligatures w14:val="none"/>
        </w:rPr>
        <w:t>Understanding pressures in general practice</w:t>
      </w:r>
      <w:r w:rsidRPr="004F6459">
        <w:rPr>
          <w:rFonts w:ascii="Arial" w:eastAsia="Times New Roman" w:hAnsi="Arial" w:cs="Arial"/>
          <w:kern w:val="0"/>
          <w:sz w:val="24"/>
          <w:szCs w:val="24"/>
          <w:lang w:eastAsia="en-GB"/>
          <w14:ligatures w14:val="none"/>
        </w:rPr>
        <w:t>. London: King’s Fund.</w:t>
      </w:r>
    </w:p>
    <w:p w14:paraId="65B143E6" w14:textId="77777777" w:rsidR="00FC2351" w:rsidRPr="004F6459" w:rsidRDefault="00FC2351"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Bass, B.M. and Riggio, R.E. (2006) </w:t>
      </w:r>
      <w:r w:rsidRPr="004F6459">
        <w:rPr>
          <w:rFonts w:ascii="Arial" w:eastAsia="Times New Roman" w:hAnsi="Arial" w:cs="Arial"/>
          <w:i/>
          <w:iCs/>
          <w:kern w:val="0"/>
          <w:sz w:val="24"/>
          <w:szCs w:val="24"/>
          <w:lang w:eastAsia="en-GB"/>
          <w14:ligatures w14:val="none"/>
        </w:rPr>
        <w:t>Transformational leadership</w:t>
      </w:r>
      <w:r w:rsidRPr="004F6459">
        <w:rPr>
          <w:rFonts w:ascii="Arial" w:eastAsia="Times New Roman" w:hAnsi="Arial" w:cs="Arial"/>
          <w:kern w:val="0"/>
          <w:sz w:val="24"/>
          <w:szCs w:val="24"/>
          <w:lang w:eastAsia="en-GB"/>
          <w14:ligatures w14:val="none"/>
        </w:rPr>
        <w:t>.</w:t>
      </w:r>
    </w:p>
    <w:p w14:paraId="5C86AFE3" w14:textId="77777777" w:rsidR="00FC2351" w:rsidRPr="004F6459" w:rsidRDefault="00FC2351"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Braithwaite, J. et al. (2017) ‘Complexity science in healthcare’, </w:t>
      </w:r>
      <w:r w:rsidRPr="004F6459">
        <w:rPr>
          <w:rFonts w:ascii="Arial" w:eastAsia="Times New Roman" w:hAnsi="Arial" w:cs="Arial"/>
          <w:i/>
          <w:iCs/>
          <w:kern w:val="0"/>
          <w:sz w:val="24"/>
          <w:szCs w:val="24"/>
          <w:lang w:eastAsia="en-GB"/>
          <w14:ligatures w14:val="none"/>
        </w:rPr>
        <w:t>BMJ Quality &amp; Safety</w:t>
      </w:r>
      <w:r w:rsidRPr="004F6459">
        <w:rPr>
          <w:rFonts w:ascii="Arial" w:eastAsia="Times New Roman" w:hAnsi="Arial" w:cs="Arial"/>
          <w:kern w:val="0"/>
          <w:sz w:val="24"/>
          <w:szCs w:val="24"/>
          <w:lang w:eastAsia="en-GB"/>
          <w14:ligatures w14:val="none"/>
        </w:rPr>
        <w:t>.</w:t>
      </w:r>
    </w:p>
    <w:p w14:paraId="36166F6E" w14:textId="77777777" w:rsidR="00FC2351" w:rsidRPr="004F6459" w:rsidRDefault="00FC2351"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Burns, J.M. (1978) </w:t>
      </w:r>
      <w:r w:rsidRPr="004F6459">
        <w:rPr>
          <w:rFonts w:ascii="Arial" w:eastAsia="Times New Roman" w:hAnsi="Arial" w:cs="Arial"/>
          <w:i/>
          <w:iCs/>
          <w:kern w:val="0"/>
          <w:sz w:val="24"/>
          <w:szCs w:val="24"/>
          <w:lang w:eastAsia="en-GB"/>
          <w14:ligatures w14:val="none"/>
        </w:rPr>
        <w:t>Leadership</w:t>
      </w:r>
      <w:r w:rsidRPr="004F6459">
        <w:rPr>
          <w:rFonts w:ascii="Arial" w:eastAsia="Times New Roman" w:hAnsi="Arial" w:cs="Arial"/>
          <w:kern w:val="0"/>
          <w:sz w:val="24"/>
          <w:szCs w:val="24"/>
          <w:lang w:eastAsia="en-GB"/>
          <w14:ligatures w14:val="none"/>
        </w:rPr>
        <w:t>.</w:t>
      </w:r>
    </w:p>
    <w:p w14:paraId="15BDB23E" w14:textId="77777777" w:rsidR="00FC2351" w:rsidRPr="004F6459" w:rsidRDefault="00FC2351"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Carayon, P. et al. (2014) ‘Human factors in patient safety’, </w:t>
      </w:r>
      <w:r w:rsidRPr="004F6459">
        <w:rPr>
          <w:rFonts w:ascii="Arial" w:eastAsia="Times New Roman" w:hAnsi="Arial" w:cs="Arial"/>
          <w:i/>
          <w:iCs/>
          <w:kern w:val="0"/>
          <w:sz w:val="24"/>
          <w:szCs w:val="24"/>
          <w:lang w:eastAsia="en-GB"/>
          <w14:ligatures w14:val="none"/>
        </w:rPr>
        <w:t>BMJ Quality &amp; Safety</w:t>
      </w:r>
      <w:r w:rsidRPr="004F6459">
        <w:rPr>
          <w:rFonts w:ascii="Arial" w:eastAsia="Times New Roman" w:hAnsi="Arial" w:cs="Arial"/>
          <w:kern w:val="0"/>
          <w:sz w:val="24"/>
          <w:szCs w:val="24"/>
          <w:lang w:eastAsia="en-GB"/>
          <w14:ligatures w14:val="none"/>
        </w:rPr>
        <w:t>.</w:t>
      </w:r>
    </w:p>
    <w:p w14:paraId="296BC1DA" w14:textId="77777777" w:rsidR="00FC2351" w:rsidRPr="004F6459" w:rsidRDefault="00FC2351"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Checkland, K. et al. (2013) ‘Commissioning in the NHS’, </w:t>
      </w:r>
      <w:r w:rsidRPr="004F6459">
        <w:rPr>
          <w:rFonts w:ascii="Arial" w:eastAsia="Times New Roman" w:hAnsi="Arial" w:cs="Arial"/>
          <w:i/>
          <w:iCs/>
          <w:kern w:val="0"/>
          <w:sz w:val="24"/>
          <w:szCs w:val="24"/>
          <w:lang w:eastAsia="en-GB"/>
          <w14:ligatures w14:val="none"/>
        </w:rPr>
        <w:t>BMJ</w:t>
      </w:r>
      <w:r w:rsidRPr="004F6459">
        <w:rPr>
          <w:rFonts w:ascii="Arial" w:eastAsia="Times New Roman" w:hAnsi="Arial" w:cs="Arial"/>
          <w:kern w:val="0"/>
          <w:sz w:val="24"/>
          <w:szCs w:val="24"/>
          <w:lang w:eastAsia="en-GB"/>
          <w14:ligatures w14:val="none"/>
        </w:rPr>
        <w:t>.</w:t>
      </w:r>
    </w:p>
    <w:p w14:paraId="25F88D0E" w14:textId="77777777" w:rsidR="00FC2351" w:rsidRPr="004F6459" w:rsidRDefault="00FC2351"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Davies, E.A. and O’Mahony, M.S. (2015) ‘Adverse drug reactions in older patients’, </w:t>
      </w:r>
      <w:r w:rsidRPr="004F6459">
        <w:rPr>
          <w:rFonts w:ascii="Arial" w:eastAsia="Times New Roman" w:hAnsi="Arial" w:cs="Arial"/>
          <w:i/>
          <w:iCs/>
          <w:kern w:val="0"/>
          <w:sz w:val="24"/>
          <w:szCs w:val="24"/>
          <w:lang w:eastAsia="en-GB"/>
          <w14:ligatures w14:val="none"/>
        </w:rPr>
        <w:t>Age and Ageing</w:t>
      </w:r>
      <w:r w:rsidRPr="004F6459">
        <w:rPr>
          <w:rFonts w:ascii="Arial" w:eastAsia="Times New Roman" w:hAnsi="Arial" w:cs="Arial"/>
          <w:kern w:val="0"/>
          <w:sz w:val="24"/>
          <w:szCs w:val="24"/>
          <w:lang w:eastAsia="en-GB"/>
          <w14:ligatures w14:val="none"/>
        </w:rPr>
        <w:t>.</w:t>
      </w:r>
    </w:p>
    <w:p w14:paraId="4B482927" w14:textId="77777777" w:rsidR="00FC2351" w:rsidRPr="004F6459" w:rsidRDefault="00FC2351"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Elliott, R.A. et al. (2018) ‘Medication errors in England’, </w:t>
      </w:r>
      <w:r w:rsidRPr="004F6459">
        <w:rPr>
          <w:rFonts w:ascii="Arial" w:eastAsia="Times New Roman" w:hAnsi="Arial" w:cs="Arial"/>
          <w:i/>
          <w:iCs/>
          <w:kern w:val="0"/>
          <w:sz w:val="24"/>
          <w:szCs w:val="24"/>
          <w:lang w:eastAsia="en-GB"/>
          <w14:ligatures w14:val="none"/>
        </w:rPr>
        <w:t>BMJ Quality &amp; Safety</w:t>
      </w:r>
      <w:r w:rsidRPr="004F6459">
        <w:rPr>
          <w:rFonts w:ascii="Arial" w:eastAsia="Times New Roman" w:hAnsi="Arial" w:cs="Arial"/>
          <w:kern w:val="0"/>
          <w:sz w:val="24"/>
          <w:szCs w:val="24"/>
          <w:lang w:eastAsia="en-GB"/>
          <w14:ligatures w14:val="none"/>
        </w:rPr>
        <w:t>.</w:t>
      </w:r>
    </w:p>
    <w:p w14:paraId="2A5F998E" w14:textId="77777777" w:rsidR="00FC2351" w:rsidRPr="004F6459" w:rsidRDefault="00FC2351"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Exworthy, M. et al. (2019) ‘Centralisation in healthcare’, </w:t>
      </w:r>
      <w:r w:rsidRPr="004F6459">
        <w:rPr>
          <w:rFonts w:ascii="Arial" w:eastAsia="Times New Roman" w:hAnsi="Arial" w:cs="Arial"/>
          <w:i/>
          <w:iCs/>
          <w:kern w:val="0"/>
          <w:sz w:val="24"/>
          <w:szCs w:val="24"/>
          <w:lang w:eastAsia="en-GB"/>
          <w14:ligatures w14:val="none"/>
        </w:rPr>
        <w:t>Health Policy</w:t>
      </w:r>
      <w:r w:rsidRPr="004F6459">
        <w:rPr>
          <w:rFonts w:ascii="Arial" w:eastAsia="Times New Roman" w:hAnsi="Arial" w:cs="Arial"/>
          <w:kern w:val="0"/>
          <w:sz w:val="24"/>
          <w:szCs w:val="24"/>
          <w:lang w:eastAsia="en-GB"/>
          <w14:ligatures w14:val="none"/>
        </w:rPr>
        <w:t>.</w:t>
      </w:r>
    </w:p>
    <w:p w14:paraId="3092B501" w14:textId="77777777" w:rsidR="00FC2351" w:rsidRPr="004F6459" w:rsidRDefault="00FC2351"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Ferlie, E. and Shortell, S. (2001) ‘Improving quality’, </w:t>
      </w:r>
      <w:r w:rsidRPr="004F6459">
        <w:rPr>
          <w:rFonts w:ascii="Arial" w:eastAsia="Times New Roman" w:hAnsi="Arial" w:cs="Arial"/>
          <w:i/>
          <w:iCs/>
          <w:kern w:val="0"/>
          <w:sz w:val="24"/>
          <w:szCs w:val="24"/>
          <w:lang w:eastAsia="en-GB"/>
          <w14:ligatures w14:val="none"/>
        </w:rPr>
        <w:t>Milbank Quarterly</w:t>
      </w:r>
      <w:r w:rsidRPr="004F6459">
        <w:rPr>
          <w:rFonts w:ascii="Arial" w:eastAsia="Times New Roman" w:hAnsi="Arial" w:cs="Arial"/>
          <w:kern w:val="0"/>
          <w:sz w:val="24"/>
          <w:szCs w:val="24"/>
          <w:lang w:eastAsia="en-GB"/>
          <w14:ligatures w14:val="none"/>
        </w:rPr>
        <w:t>.</w:t>
      </w:r>
    </w:p>
    <w:p w14:paraId="0736A7BB" w14:textId="77777777" w:rsidR="00FC2351" w:rsidRPr="004F6459" w:rsidRDefault="00FC2351"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Fulop, N. et al. (2012) ‘System change’, </w:t>
      </w:r>
      <w:r w:rsidRPr="004F6459">
        <w:rPr>
          <w:rFonts w:ascii="Arial" w:eastAsia="Times New Roman" w:hAnsi="Arial" w:cs="Arial"/>
          <w:i/>
          <w:iCs/>
          <w:kern w:val="0"/>
          <w:sz w:val="24"/>
          <w:szCs w:val="24"/>
          <w:lang w:eastAsia="en-GB"/>
          <w14:ligatures w14:val="none"/>
        </w:rPr>
        <w:t>Medical Care Research</w:t>
      </w:r>
      <w:r w:rsidRPr="004F6459">
        <w:rPr>
          <w:rFonts w:ascii="Arial" w:eastAsia="Times New Roman" w:hAnsi="Arial" w:cs="Arial"/>
          <w:kern w:val="0"/>
          <w:sz w:val="24"/>
          <w:szCs w:val="24"/>
          <w:lang w:eastAsia="en-GB"/>
          <w14:ligatures w14:val="none"/>
        </w:rPr>
        <w:t>.</w:t>
      </w:r>
    </w:p>
    <w:p w14:paraId="56CD6588" w14:textId="77777777" w:rsidR="00FC2351" w:rsidRPr="004F6459" w:rsidRDefault="00FC2351"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Goleman, D. (1998) </w:t>
      </w:r>
      <w:r w:rsidRPr="004F6459">
        <w:rPr>
          <w:rFonts w:ascii="Arial" w:eastAsia="Times New Roman" w:hAnsi="Arial" w:cs="Arial"/>
          <w:i/>
          <w:iCs/>
          <w:kern w:val="0"/>
          <w:sz w:val="24"/>
          <w:szCs w:val="24"/>
          <w:lang w:eastAsia="en-GB"/>
          <w14:ligatures w14:val="none"/>
        </w:rPr>
        <w:t>Emotional intelligence</w:t>
      </w:r>
      <w:r w:rsidRPr="004F6459">
        <w:rPr>
          <w:rFonts w:ascii="Arial" w:eastAsia="Times New Roman" w:hAnsi="Arial" w:cs="Arial"/>
          <w:kern w:val="0"/>
          <w:sz w:val="24"/>
          <w:szCs w:val="24"/>
          <w:lang w:eastAsia="en-GB"/>
          <w14:ligatures w14:val="none"/>
        </w:rPr>
        <w:t>.</w:t>
      </w:r>
    </w:p>
    <w:p w14:paraId="20BCFFE1" w14:textId="77777777" w:rsidR="00FC2351" w:rsidRPr="004F6459" w:rsidRDefault="00FC2351"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Greenwood, R. and Hinings, C.R. (1996) ‘Organisational change’, </w:t>
      </w:r>
      <w:r w:rsidRPr="004F6459">
        <w:rPr>
          <w:rFonts w:ascii="Arial" w:eastAsia="Times New Roman" w:hAnsi="Arial" w:cs="Arial"/>
          <w:i/>
          <w:iCs/>
          <w:kern w:val="0"/>
          <w:sz w:val="24"/>
          <w:szCs w:val="24"/>
          <w:lang w:eastAsia="en-GB"/>
          <w14:ligatures w14:val="none"/>
        </w:rPr>
        <w:t>Academy of Management Review</w:t>
      </w:r>
      <w:r w:rsidRPr="004F6459">
        <w:rPr>
          <w:rFonts w:ascii="Arial" w:eastAsia="Times New Roman" w:hAnsi="Arial" w:cs="Arial"/>
          <w:kern w:val="0"/>
          <w:sz w:val="24"/>
          <w:szCs w:val="24"/>
          <w:lang w:eastAsia="en-GB"/>
          <w14:ligatures w14:val="none"/>
        </w:rPr>
        <w:t>.</w:t>
      </w:r>
    </w:p>
    <w:p w14:paraId="0DB11CAE" w14:textId="77777777" w:rsidR="00FC2351" w:rsidRPr="004F6459" w:rsidRDefault="00FC2351"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Hersey, P. et al. (2013) </w:t>
      </w:r>
      <w:r w:rsidRPr="004F6459">
        <w:rPr>
          <w:rFonts w:ascii="Arial" w:eastAsia="Times New Roman" w:hAnsi="Arial" w:cs="Arial"/>
          <w:i/>
          <w:iCs/>
          <w:kern w:val="0"/>
          <w:sz w:val="24"/>
          <w:szCs w:val="24"/>
          <w:lang w:eastAsia="en-GB"/>
          <w14:ligatures w14:val="none"/>
        </w:rPr>
        <w:t>Management of organisational behaviour</w:t>
      </w:r>
      <w:r w:rsidRPr="004F6459">
        <w:rPr>
          <w:rFonts w:ascii="Arial" w:eastAsia="Times New Roman" w:hAnsi="Arial" w:cs="Arial"/>
          <w:kern w:val="0"/>
          <w:sz w:val="24"/>
          <w:szCs w:val="24"/>
          <w:lang w:eastAsia="en-GB"/>
          <w14:ligatures w14:val="none"/>
        </w:rPr>
        <w:t>.</w:t>
      </w:r>
    </w:p>
    <w:p w14:paraId="5EA5ECB1" w14:textId="77777777" w:rsidR="00FC2351" w:rsidRPr="004F6459" w:rsidRDefault="00FC2351"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lastRenderedPageBreak/>
        <w:t xml:space="preserve">HSSIB (2020) </w:t>
      </w:r>
      <w:r w:rsidRPr="004F6459">
        <w:rPr>
          <w:rFonts w:ascii="Arial" w:eastAsia="Times New Roman" w:hAnsi="Arial" w:cs="Arial"/>
          <w:i/>
          <w:iCs/>
          <w:kern w:val="0"/>
          <w:sz w:val="24"/>
          <w:szCs w:val="24"/>
          <w:lang w:eastAsia="en-GB"/>
          <w14:ligatures w14:val="none"/>
        </w:rPr>
        <w:t>Morphine overdose investigation</w:t>
      </w:r>
      <w:r w:rsidRPr="004F6459">
        <w:rPr>
          <w:rFonts w:ascii="Arial" w:eastAsia="Times New Roman" w:hAnsi="Arial" w:cs="Arial"/>
          <w:kern w:val="0"/>
          <w:sz w:val="24"/>
          <w:szCs w:val="24"/>
          <w:lang w:eastAsia="en-GB"/>
          <w14:ligatures w14:val="none"/>
        </w:rPr>
        <w:t>.</w:t>
      </w:r>
    </w:p>
    <w:p w14:paraId="1E7625F5" w14:textId="77777777" w:rsidR="00FC2351" w:rsidRPr="004F6459" w:rsidRDefault="00FC2351"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Institute of Medicine (2007) </w:t>
      </w:r>
      <w:r w:rsidRPr="004F6459">
        <w:rPr>
          <w:rFonts w:ascii="Arial" w:eastAsia="Times New Roman" w:hAnsi="Arial" w:cs="Arial"/>
          <w:i/>
          <w:iCs/>
          <w:kern w:val="0"/>
          <w:sz w:val="24"/>
          <w:szCs w:val="24"/>
          <w:lang w:eastAsia="en-GB"/>
          <w14:ligatures w14:val="none"/>
        </w:rPr>
        <w:t>Preventing medication errors</w:t>
      </w:r>
      <w:r w:rsidRPr="004F6459">
        <w:rPr>
          <w:rFonts w:ascii="Arial" w:eastAsia="Times New Roman" w:hAnsi="Arial" w:cs="Arial"/>
          <w:kern w:val="0"/>
          <w:sz w:val="24"/>
          <w:szCs w:val="24"/>
          <w:lang w:eastAsia="en-GB"/>
          <w14:ligatures w14:val="none"/>
        </w:rPr>
        <w:t>.</w:t>
      </w:r>
    </w:p>
    <w:p w14:paraId="359AF1CF" w14:textId="77777777" w:rsidR="00FC2351" w:rsidRPr="004F6459" w:rsidRDefault="00FC2351"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Irving, G. et al. (2017) ‘Consultation time’, </w:t>
      </w:r>
      <w:r w:rsidRPr="004F6459">
        <w:rPr>
          <w:rFonts w:ascii="Arial" w:eastAsia="Times New Roman" w:hAnsi="Arial" w:cs="Arial"/>
          <w:i/>
          <w:iCs/>
          <w:kern w:val="0"/>
          <w:sz w:val="24"/>
          <w:szCs w:val="24"/>
          <w:lang w:eastAsia="en-GB"/>
          <w14:ligatures w14:val="none"/>
        </w:rPr>
        <w:t>BMJ Open</w:t>
      </w:r>
      <w:r w:rsidRPr="004F6459">
        <w:rPr>
          <w:rFonts w:ascii="Arial" w:eastAsia="Times New Roman" w:hAnsi="Arial" w:cs="Arial"/>
          <w:kern w:val="0"/>
          <w:sz w:val="24"/>
          <w:szCs w:val="24"/>
          <w:lang w:eastAsia="en-GB"/>
          <w14:ligatures w14:val="none"/>
        </w:rPr>
        <w:t>.</w:t>
      </w:r>
    </w:p>
    <w:p w14:paraId="143B68D2" w14:textId="77777777" w:rsidR="00FC2351" w:rsidRPr="004F6459" w:rsidRDefault="00FC2351"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Kripalani, S. et al. (2006) ‘Medication understanding’, </w:t>
      </w:r>
      <w:r w:rsidRPr="004F6459">
        <w:rPr>
          <w:rFonts w:ascii="Arial" w:eastAsia="Times New Roman" w:hAnsi="Arial" w:cs="Arial"/>
          <w:i/>
          <w:iCs/>
          <w:kern w:val="0"/>
          <w:sz w:val="24"/>
          <w:szCs w:val="24"/>
          <w:lang w:eastAsia="en-GB"/>
          <w14:ligatures w14:val="none"/>
        </w:rPr>
        <w:t>Archives of Internal Medicine</w:t>
      </w:r>
      <w:r w:rsidRPr="004F6459">
        <w:rPr>
          <w:rFonts w:ascii="Arial" w:eastAsia="Times New Roman" w:hAnsi="Arial" w:cs="Arial"/>
          <w:kern w:val="0"/>
          <w:sz w:val="24"/>
          <w:szCs w:val="24"/>
          <w:lang w:eastAsia="en-GB"/>
          <w14:ligatures w14:val="none"/>
        </w:rPr>
        <w:t>.</w:t>
      </w:r>
    </w:p>
    <w:p w14:paraId="4630F2DE" w14:textId="77777777" w:rsidR="00FC2351" w:rsidRPr="004F6459" w:rsidRDefault="00FC2351"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Maher, R.L. et al. (2014) ‘Polypharmacy’, </w:t>
      </w:r>
      <w:r w:rsidRPr="004F6459">
        <w:rPr>
          <w:rFonts w:ascii="Arial" w:eastAsia="Times New Roman" w:hAnsi="Arial" w:cs="Arial"/>
          <w:i/>
          <w:iCs/>
          <w:kern w:val="0"/>
          <w:sz w:val="24"/>
          <w:szCs w:val="24"/>
          <w:lang w:eastAsia="en-GB"/>
          <w14:ligatures w14:val="none"/>
        </w:rPr>
        <w:t>Expert Opinion on Drug Safety</w:t>
      </w:r>
      <w:r w:rsidRPr="004F6459">
        <w:rPr>
          <w:rFonts w:ascii="Arial" w:eastAsia="Times New Roman" w:hAnsi="Arial" w:cs="Arial"/>
          <w:kern w:val="0"/>
          <w:sz w:val="24"/>
          <w:szCs w:val="24"/>
          <w:lang w:eastAsia="en-GB"/>
          <w14:ligatures w14:val="none"/>
        </w:rPr>
        <w:t>.</w:t>
      </w:r>
    </w:p>
    <w:p w14:paraId="5EE1F96D" w14:textId="77777777" w:rsidR="00FC2351" w:rsidRPr="004F6459" w:rsidRDefault="00FC2351"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Mintzberg, H. (1983) </w:t>
      </w:r>
      <w:r w:rsidRPr="004F6459">
        <w:rPr>
          <w:rFonts w:ascii="Arial" w:eastAsia="Times New Roman" w:hAnsi="Arial" w:cs="Arial"/>
          <w:i/>
          <w:iCs/>
          <w:kern w:val="0"/>
          <w:sz w:val="24"/>
          <w:szCs w:val="24"/>
          <w:lang w:eastAsia="en-GB"/>
          <w14:ligatures w14:val="none"/>
        </w:rPr>
        <w:t>Structure in fives</w:t>
      </w:r>
      <w:r w:rsidRPr="004F6459">
        <w:rPr>
          <w:rFonts w:ascii="Arial" w:eastAsia="Times New Roman" w:hAnsi="Arial" w:cs="Arial"/>
          <w:kern w:val="0"/>
          <w:sz w:val="24"/>
          <w:szCs w:val="24"/>
          <w:lang w:eastAsia="en-GB"/>
          <w14:ligatures w14:val="none"/>
        </w:rPr>
        <w:t>.</w:t>
      </w:r>
    </w:p>
    <w:p w14:paraId="1E2AAF14" w14:textId="77777777" w:rsidR="00FC2351" w:rsidRPr="004F6459" w:rsidRDefault="00FC2351"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Northouse, P.G. (2021) </w:t>
      </w:r>
      <w:r w:rsidRPr="004F6459">
        <w:rPr>
          <w:rFonts w:ascii="Arial" w:eastAsia="Times New Roman" w:hAnsi="Arial" w:cs="Arial"/>
          <w:i/>
          <w:iCs/>
          <w:kern w:val="0"/>
          <w:sz w:val="24"/>
          <w:szCs w:val="24"/>
          <w:lang w:eastAsia="en-GB"/>
          <w14:ligatures w14:val="none"/>
        </w:rPr>
        <w:t>Leadership theory</w:t>
      </w:r>
      <w:r w:rsidRPr="004F6459">
        <w:rPr>
          <w:rFonts w:ascii="Arial" w:eastAsia="Times New Roman" w:hAnsi="Arial" w:cs="Arial"/>
          <w:kern w:val="0"/>
          <w:sz w:val="24"/>
          <w:szCs w:val="24"/>
          <w:lang w:eastAsia="en-GB"/>
          <w14:ligatures w14:val="none"/>
        </w:rPr>
        <w:t>.</w:t>
      </w:r>
    </w:p>
    <w:p w14:paraId="668B5BFE" w14:textId="77777777" w:rsidR="00FC2351" w:rsidRPr="004F6459" w:rsidRDefault="00FC2351"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Reason, J. (2000) ‘Human error’, </w:t>
      </w:r>
      <w:r w:rsidRPr="004F6459">
        <w:rPr>
          <w:rFonts w:ascii="Arial" w:eastAsia="Times New Roman" w:hAnsi="Arial" w:cs="Arial"/>
          <w:i/>
          <w:iCs/>
          <w:kern w:val="0"/>
          <w:sz w:val="24"/>
          <w:szCs w:val="24"/>
          <w:lang w:eastAsia="en-GB"/>
          <w14:ligatures w14:val="none"/>
        </w:rPr>
        <w:t>BMJ</w:t>
      </w:r>
      <w:r w:rsidRPr="004F6459">
        <w:rPr>
          <w:rFonts w:ascii="Arial" w:eastAsia="Times New Roman" w:hAnsi="Arial" w:cs="Arial"/>
          <w:kern w:val="0"/>
          <w:sz w:val="24"/>
          <w:szCs w:val="24"/>
          <w:lang w:eastAsia="en-GB"/>
          <w14:ligatures w14:val="none"/>
        </w:rPr>
        <w:t>.</w:t>
      </w:r>
    </w:p>
    <w:p w14:paraId="0B55154A" w14:textId="77777777" w:rsidR="00FC2351" w:rsidRPr="004F6459" w:rsidRDefault="00FC2351"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Senge, P.M. (2006) </w:t>
      </w:r>
      <w:r w:rsidRPr="004F6459">
        <w:rPr>
          <w:rFonts w:ascii="Arial" w:eastAsia="Times New Roman" w:hAnsi="Arial" w:cs="Arial"/>
          <w:i/>
          <w:iCs/>
          <w:kern w:val="0"/>
          <w:sz w:val="24"/>
          <w:szCs w:val="24"/>
          <w:lang w:eastAsia="en-GB"/>
          <w14:ligatures w14:val="none"/>
        </w:rPr>
        <w:t>The fifth discipline</w:t>
      </w:r>
      <w:r w:rsidRPr="004F6459">
        <w:rPr>
          <w:rFonts w:ascii="Arial" w:eastAsia="Times New Roman" w:hAnsi="Arial" w:cs="Arial"/>
          <w:kern w:val="0"/>
          <w:sz w:val="24"/>
          <w:szCs w:val="24"/>
          <w:lang w:eastAsia="en-GB"/>
          <w14:ligatures w14:val="none"/>
        </w:rPr>
        <w:t>.</w:t>
      </w:r>
    </w:p>
    <w:p w14:paraId="5A1E6E94" w14:textId="77777777" w:rsidR="00FC2351" w:rsidRPr="004F6459" w:rsidRDefault="00FC2351"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Smith, P.C. et al. (2012) </w:t>
      </w:r>
      <w:r w:rsidRPr="004F6459">
        <w:rPr>
          <w:rFonts w:ascii="Arial" w:eastAsia="Times New Roman" w:hAnsi="Arial" w:cs="Arial"/>
          <w:i/>
          <w:iCs/>
          <w:kern w:val="0"/>
          <w:sz w:val="24"/>
          <w:szCs w:val="24"/>
          <w:lang w:eastAsia="en-GB"/>
          <w14:ligatures w14:val="none"/>
        </w:rPr>
        <w:t>Governance in healthcare</w:t>
      </w:r>
      <w:r w:rsidRPr="004F6459">
        <w:rPr>
          <w:rFonts w:ascii="Arial" w:eastAsia="Times New Roman" w:hAnsi="Arial" w:cs="Arial"/>
          <w:kern w:val="0"/>
          <w:sz w:val="24"/>
          <w:szCs w:val="24"/>
          <w:lang w:eastAsia="en-GB"/>
          <w14:ligatures w14:val="none"/>
        </w:rPr>
        <w:t>.</w:t>
      </w:r>
    </w:p>
    <w:p w14:paraId="5C851488" w14:textId="77777777" w:rsidR="00FC2351" w:rsidRPr="004F6459" w:rsidRDefault="00FC2351"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The Joint Commission (2015) </w:t>
      </w:r>
      <w:r w:rsidRPr="004F6459">
        <w:rPr>
          <w:rFonts w:ascii="Arial" w:eastAsia="Times New Roman" w:hAnsi="Arial" w:cs="Arial"/>
          <w:i/>
          <w:iCs/>
          <w:kern w:val="0"/>
          <w:sz w:val="24"/>
          <w:szCs w:val="24"/>
          <w:lang w:eastAsia="en-GB"/>
          <w14:ligatures w14:val="none"/>
        </w:rPr>
        <w:t>Sentinel event data</w:t>
      </w:r>
      <w:r w:rsidRPr="004F6459">
        <w:rPr>
          <w:rFonts w:ascii="Arial" w:eastAsia="Times New Roman" w:hAnsi="Arial" w:cs="Arial"/>
          <w:kern w:val="0"/>
          <w:sz w:val="24"/>
          <w:szCs w:val="24"/>
          <w:lang w:eastAsia="en-GB"/>
          <w14:ligatures w14:val="none"/>
        </w:rPr>
        <w:t>.</w:t>
      </w:r>
    </w:p>
    <w:p w14:paraId="78718D67" w14:textId="77777777" w:rsidR="00FC2351" w:rsidRPr="004F6459" w:rsidRDefault="00FC2351"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Volkow, N.D. and McLellan, T.A. (2016) ‘Opioid crisis’, </w:t>
      </w:r>
      <w:r w:rsidRPr="004F6459">
        <w:rPr>
          <w:rFonts w:ascii="Arial" w:eastAsia="Times New Roman" w:hAnsi="Arial" w:cs="Arial"/>
          <w:i/>
          <w:iCs/>
          <w:kern w:val="0"/>
          <w:sz w:val="24"/>
          <w:szCs w:val="24"/>
          <w:lang w:eastAsia="en-GB"/>
          <w14:ligatures w14:val="none"/>
        </w:rPr>
        <w:t>New England Journal of Medicine</w:t>
      </w:r>
      <w:r w:rsidRPr="004F6459">
        <w:rPr>
          <w:rFonts w:ascii="Arial" w:eastAsia="Times New Roman" w:hAnsi="Arial" w:cs="Arial"/>
          <w:kern w:val="0"/>
          <w:sz w:val="24"/>
          <w:szCs w:val="24"/>
          <w:lang w:eastAsia="en-GB"/>
          <w14:ligatures w14:val="none"/>
        </w:rPr>
        <w:t>.</w:t>
      </w:r>
    </w:p>
    <w:p w14:paraId="374AAD1E" w14:textId="77777777" w:rsidR="00FC2351" w:rsidRPr="004F6459" w:rsidRDefault="00FC2351"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West, M. et al. (2015) </w:t>
      </w:r>
      <w:r w:rsidRPr="004F6459">
        <w:rPr>
          <w:rFonts w:ascii="Arial" w:eastAsia="Times New Roman" w:hAnsi="Arial" w:cs="Arial"/>
          <w:i/>
          <w:iCs/>
          <w:kern w:val="0"/>
          <w:sz w:val="24"/>
          <w:szCs w:val="24"/>
          <w:lang w:eastAsia="en-GB"/>
          <w14:ligatures w14:val="none"/>
        </w:rPr>
        <w:t>Collective leadership</w:t>
      </w:r>
      <w:r w:rsidRPr="004F6459">
        <w:rPr>
          <w:rFonts w:ascii="Arial" w:eastAsia="Times New Roman" w:hAnsi="Arial" w:cs="Arial"/>
          <w:kern w:val="0"/>
          <w:sz w:val="24"/>
          <w:szCs w:val="24"/>
          <w:lang w:eastAsia="en-GB"/>
          <w14:ligatures w14:val="none"/>
        </w:rPr>
        <w:t>.</w:t>
      </w:r>
    </w:p>
    <w:p w14:paraId="46E025C0" w14:textId="77777777" w:rsidR="00FC2351" w:rsidRPr="004F6459" w:rsidRDefault="00FC2351"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WHO (2017) </w:t>
      </w:r>
      <w:r w:rsidRPr="004F6459">
        <w:rPr>
          <w:rFonts w:ascii="Arial" w:eastAsia="Times New Roman" w:hAnsi="Arial" w:cs="Arial"/>
          <w:i/>
          <w:iCs/>
          <w:kern w:val="0"/>
          <w:sz w:val="24"/>
          <w:szCs w:val="24"/>
          <w:lang w:eastAsia="en-GB"/>
          <w14:ligatures w14:val="none"/>
        </w:rPr>
        <w:t>Medication without harm</w:t>
      </w:r>
      <w:r w:rsidRPr="004F6459">
        <w:rPr>
          <w:rFonts w:ascii="Arial" w:eastAsia="Times New Roman" w:hAnsi="Arial" w:cs="Arial"/>
          <w:kern w:val="0"/>
          <w:sz w:val="24"/>
          <w:szCs w:val="24"/>
          <w:lang w:eastAsia="en-GB"/>
          <w14:ligatures w14:val="none"/>
        </w:rPr>
        <w:t>.</w:t>
      </w:r>
    </w:p>
    <w:p w14:paraId="20150607" w14:textId="77777777" w:rsidR="00FC2351" w:rsidRPr="004F6459" w:rsidRDefault="00FC2351"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Wimmer, B.C. et al. (2017) ‘Polypharmacy outcomes’, </w:t>
      </w:r>
      <w:r w:rsidRPr="004F6459">
        <w:rPr>
          <w:rFonts w:ascii="Arial" w:eastAsia="Times New Roman" w:hAnsi="Arial" w:cs="Arial"/>
          <w:i/>
          <w:iCs/>
          <w:kern w:val="0"/>
          <w:sz w:val="24"/>
          <w:szCs w:val="24"/>
          <w:lang w:eastAsia="en-GB"/>
          <w14:ligatures w14:val="none"/>
        </w:rPr>
        <w:t>Journal of Geriatrics</w:t>
      </w:r>
      <w:r w:rsidRPr="004F6459">
        <w:rPr>
          <w:rFonts w:ascii="Arial" w:eastAsia="Times New Roman" w:hAnsi="Arial" w:cs="Arial"/>
          <w:kern w:val="0"/>
          <w:sz w:val="24"/>
          <w:szCs w:val="24"/>
          <w:lang w:eastAsia="en-GB"/>
          <w14:ligatures w14:val="none"/>
        </w:rPr>
        <w:t>.</w:t>
      </w:r>
    </w:p>
    <w:p w14:paraId="0FB1049B" w14:textId="77777777" w:rsidR="002D1004" w:rsidRPr="004F6459" w:rsidRDefault="002D1004"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Baird, B. et al. (2016) </w:t>
      </w:r>
      <w:r w:rsidRPr="004F6459">
        <w:rPr>
          <w:rFonts w:ascii="Arial" w:eastAsia="Times New Roman" w:hAnsi="Arial" w:cs="Arial"/>
          <w:i/>
          <w:iCs/>
          <w:kern w:val="0"/>
          <w:sz w:val="24"/>
          <w:szCs w:val="24"/>
          <w:lang w:eastAsia="en-GB"/>
          <w14:ligatures w14:val="none"/>
        </w:rPr>
        <w:t>Understanding pressures in general practice</w:t>
      </w:r>
      <w:r w:rsidRPr="004F6459">
        <w:rPr>
          <w:rFonts w:ascii="Arial" w:eastAsia="Times New Roman" w:hAnsi="Arial" w:cs="Arial"/>
          <w:kern w:val="0"/>
          <w:sz w:val="24"/>
          <w:szCs w:val="24"/>
          <w:lang w:eastAsia="en-GB"/>
          <w14:ligatures w14:val="none"/>
        </w:rPr>
        <w:t>. London: King’s Fund.</w:t>
      </w:r>
    </w:p>
    <w:p w14:paraId="150A71E6" w14:textId="77777777" w:rsidR="002D1004" w:rsidRPr="004F6459" w:rsidRDefault="002D1004"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Bass, B.M. and Riggio, R.E. (2006) </w:t>
      </w:r>
      <w:r w:rsidRPr="004F6459">
        <w:rPr>
          <w:rFonts w:ascii="Arial" w:eastAsia="Times New Roman" w:hAnsi="Arial" w:cs="Arial"/>
          <w:i/>
          <w:iCs/>
          <w:kern w:val="0"/>
          <w:sz w:val="24"/>
          <w:szCs w:val="24"/>
          <w:lang w:eastAsia="en-GB"/>
          <w14:ligatures w14:val="none"/>
        </w:rPr>
        <w:t>Transformational leadership</w:t>
      </w:r>
      <w:r w:rsidRPr="004F6459">
        <w:rPr>
          <w:rFonts w:ascii="Arial" w:eastAsia="Times New Roman" w:hAnsi="Arial" w:cs="Arial"/>
          <w:kern w:val="0"/>
          <w:sz w:val="24"/>
          <w:szCs w:val="24"/>
          <w:lang w:eastAsia="en-GB"/>
          <w14:ligatures w14:val="none"/>
        </w:rPr>
        <w:t>.</w:t>
      </w:r>
    </w:p>
    <w:p w14:paraId="4CC031E3" w14:textId="77777777" w:rsidR="002D1004" w:rsidRPr="004F6459" w:rsidRDefault="002D1004"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Braithwaite, J. et al. (2017) ‘Complexity science in healthcare’, </w:t>
      </w:r>
      <w:r w:rsidRPr="004F6459">
        <w:rPr>
          <w:rFonts w:ascii="Arial" w:eastAsia="Times New Roman" w:hAnsi="Arial" w:cs="Arial"/>
          <w:i/>
          <w:iCs/>
          <w:kern w:val="0"/>
          <w:sz w:val="24"/>
          <w:szCs w:val="24"/>
          <w:lang w:eastAsia="en-GB"/>
          <w14:ligatures w14:val="none"/>
        </w:rPr>
        <w:t>BMJ Quality &amp; Safety</w:t>
      </w:r>
      <w:r w:rsidRPr="004F6459">
        <w:rPr>
          <w:rFonts w:ascii="Arial" w:eastAsia="Times New Roman" w:hAnsi="Arial" w:cs="Arial"/>
          <w:kern w:val="0"/>
          <w:sz w:val="24"/>
          <w:szCs w:val="24"/>
          <w:lang w:eastAsia="en-GB"/>
          <w14:ligatures w14:val="none"/>
        </w:rPr>
        <w:t>, 26(1), pp. 3–6.</w:t>
      </w:r>
    </w:p>
    <w:p w14:paraId="0446A730" w14:textId="77777777" w:rsidR="002D1004" w:rsidRPr="004F6459" w:rsidRDefault="002D1004"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Burns, J.M. (1978) </w:t>
      </w:r>
      <w:r w:rsidRPr="004F6459">
        <w:rPr>
          <w:rFonts w:ascii="Arial" w:eastAsia="Times New Roman" w:hAnsi="Arial" w:cs="Arial"/>
          <w:i/>
          <w:iCs/>
          <w:kern w:val="0"/>
          <w:sz w:val="24"/>
          <w:szCs w:val="24"/>
          <w:lang w:eastAsia="en-GB"/>
          <w14:ligatures w14:val="none"/>
        </w:rPr>
        <w:t>Leadership</w:t>
      </w:r>
      <w:r w:rsidRPr="004F6459">
        <w:rPr>
          <w:rFonts w:ascii="Arial" w:eastAsia="Times New Roman" w:hAnsi="Arial" w:cs="Arial"/>
          <w:kern w:val="0"/>
          <w:sz w:val="24"/>
          <w:szCs w:val="24"/>
          <w:lang w:eastAsia="en-GB"/>
          <w14:ligatures w14:val="none"/>
        </w:rPr>
        <w:t>. New York: Harper &amp; Row.</w:t>
      </w:r>
    </w:p>
    <w:p w14:paraId="2588881F" w14:textId="77777777" w:rsidR="002D1004" w:rsidRPr="004F6459" w:rsidRDefault="002D1004"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Checkland, K. et al. (2013) ‘Commissioning in the English NHS’, </w:t>
      </w:r>
      <w:r w:rsidRPr="004F6459">
        <w:rPr>
          <w:rFonts w:ascii="Arial" w:eastAsia="Times New Roman" w:hAnsi="Arial" w:cs="Arial"/>
          <w:i/>
          <w:iCs/>
          <w:kern w:val="0"/>
          <w:sz w:val="24"/>
          <w:szCs w:val="24"/>
          <w:lang w:eastAsia="en-GB"/>
          <w14:ligatures w14:val="none"/>
        </w:rPr>
        <w:t>BMJ</w:t>
      </w:r>
      <w:r w:rsidRPr="004F6459">
        <w:rPr>
          <w:rFonts w:ascii="Arial" w:eastAsia="Times New Roman" w:hAnsi="Arial" w:cs="Arial"/>
          <w:kern w:val="0"/>
          <w:sz w:val="24"/>
          <w:szCs w:val="24"/>
          <w:lang w:eastAsia="en-GB"/>
          <w14:ligatures w14:val="none"/>
        </w:rPr>
        <w:t>, 346, f2823.</w:t>
      </w:r>
    </w:p>
    <w:p w14:paraId="01DAE322" w14:textId="77777777" w:rsidR="002D1004" w:rsidRPr="004F6459" w:rsidRDefault="002D1004"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Exworthy, M. et al. (2019) ‘Centralisation and decentralisation in healthcare’, </w:t>
      </w:r>
      <w:r w:rsidRPr="004F6459">
        <w:rPr>
          <w:rFonts w:ascii="Arial" w:eastAsia="Times New Roman" w:hAnsi="Arial" w:cs="Arial"/>
          <w:i/>
          <w:iCs/>
          <w:kern w:val="0"/>
          <w:sz w:val="24"/>
          <w:szCs w:val="24"/>
          <w:lang w:eastAsia="en-GB"/>
          <w14:ligatures w14:val="none"/>
        </w:rPr>
        <w:t>Health Policy</w:t>
      </w:r>
      <w:r w:rsidRPr="004F6459">
        <w:rPr>
          <w:rFonts w:ascii="Arial" w:eastAsia="Times New Roman" w:hAnsi="Arial" w:cs="Arial"/>
          <w:kern w:val="0"/>
          <w:sz w:val="24"/>
          <w:szCs w:val="24"/>
          <w:lang w:eastAsia="en-GB"/>
          <w14:ligatures w14:val="none"/>
        </w:rPr>
        <w:t>, 123(2), pp. 128–136.</w:t>
      </w:r>
    </w:p>
    <w:p w14:paraId="454848F9" w14:textId="77777777" w:rsidR="002D1004" w:rsidRPr="004F6459" w:rsidRDefault="002D1004"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Ferlie, E. and Shortell, S. (2001) ‘Improving quality in healthcare’, </w:t>
      </w:r>
      <w:r w:rsidRPr="004F6459">
        <w:rPr>
          <w:rFonts w:ascii="Arial" w:eastAsia="Times New Roman" w:hAnsi="Arial" w:cs="Arial"/>
          <w:i/>
          <w:iCs/>
          <w:kern w:val="0"/>
          <w:sz w:val="24"/>
          <w:szCs w:val="24"/>
          <w:lang w:eastAsia="en-GB"/>
          <w14:ligatures w14:val="none"/>
        </w:rPr>
        <w:t>Milbank Quarterly</w:t>
      </w:r>
      <w:r w:rsidRPr="004F6459">
        <w:rPr>
          <w:rFonts w:ascii="Arial" w:eastAsia="Times New Roman" w:hAnsi="Arial" w:cs="Arial"/>
          <w:kern w:val="0"/>
          <w:sz w:val="24"/>
          <w:szCs w:val="24"/>
          <w:lang w:eastAsia="en-GB"/>
          <w14:ligatures w14:val="none"/>
        </w:rPr>
        <w:t>, 79(2), pp. 281–315.</w:t>
      </w:r>
    </w:p>
    <w:p w14:paraId="01244617" w14:textId="1BA9A660" w:rsidR="002D1004" w:rsidRPr="004F6459" w:rsidRDefault="002D1004"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Goleman, D. (1998)</w:t>
      </w:r>
      <w:r w:rsidR="004F6459">
        <w:rPr>
          <w:rFonts w:ascii="Arial" w:eastAsia="Times New Roman" w:hAnsi="Arial" w:cs="Arial"/>
          <w:kern w:val="0"/>
          <w:sz w:val="24"/>
          <w:szCs w:val="24"/>
          <w:lang w:eastAsia="en-GB"/>
          <w14:ligatures w14:val="none"/>
        </w:rPr>
        <w:t>.</w:t>
      </w:r>
      <w:r w:rsidRPr="004F6459">
        <w:rPr>
          <w:rFonts w:ascii="Arial" w:eastAsia="Times New Roman" w:hAnsi="Arial" w:cs="Arial"/>
          <w:kern w:val="0"/>
          <w:sz w:val="24"/>
          <w:szCs w:val="24"/>
          <w:lang w:eastAsia="en-GB"/>
          <w14:ligatures w14:val="none"/>
        </w:rPr>
        <w:t xml:space="preserve"> </w:t>
      </w:r>
      <w:r w:rsidRPr="004F6459">
        <w:rPr>
          <w:rFonts w:ascii="Arial" w:eastAsia="Times New Roman" w:hAnsi="Arial" w:cs="Arial"/>
          <w:i/>
          <w:iCs/>
          <w:kern w:val="0"/>
          <w:sz w:val="24"/>
          <w:szCs w:val="24"/>
          <w:lang w:eastAsia="en-GB"/>
          <w14:ligatures w14:val="none"/>
        </w:rPr>
        <w:t>Working with emotional intelligence</w:t>
      </w:r>
      <w:r w:rsidRPr="004F6459">
        <w:rPr>
          <w:rFonts w:ascii="Arial" w:eastAsia="Times New Roman" w:hAnsi="Arial" w:cs="Arial"/>
          <w:kern w:val="0"/>
          <w:sz w:val="24"/>
          <w:szCs w:val="24"/>
          <w:lang w:eastAsia="en-GB"/>
          <w14:ligatures w14:val="none"/>
        </w:rPr>
        <w:t>. New York: Bantam.</w:t>
      </w:r>
    </w:p>
    <w:p w14:paraId="67A18B5D" w14:textId="4D3C82F3" w:rsidR="002D1004" w:rsidRPr="004F6459" w:rsidRDefault="002D1004"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lastRenderedPageBreak/>
        <w:t>Hersey, P. et al. (2013)</w:t>
      </w:r>
      <w:r w:rsidR="004F6459">
        <w:rPr>
          <w:rFonts w:ascii="Arial" w:eastAsia="Times New Roman" w:hAnsi="Arial" w:cs="Arial"/>
          <w:kern w:val="0"/>
          <w:sz w:val="24"/>
          <w:szCs w:val="24"/>
          <w:lang w:eastAsia="en-GB"/>
          <w14:ligatures w14:val="none"/>
        </w:rPr>
        <w:t>.</w:t>
      </w:r>
      <w:r w:rsidRPr="004F6459">
        <w:rPr>
          <w:rFonts w:ascii="Arial" w:eastAsia="Times New Roman" w:hAnsi="Arial" w:cs="Arial"/>
          <w:kern w:val="0"/>
          <w:sz w:val="24"/>
          <w:szCs w:val="24"/>
          <w:lang w:eastAsia="en-GB"/>
          <w14:ligatures w14:val="none"/>
        </w:rPr>
        <w:t xml:space="preserve"> </w:t>
      </w:r>
      <w:r w:rsidRPr="004F6459">
        <w:rPr>
          <w:rFonts w:ascii="Arial" w:eastAsia="Times New Roman" w:hAnsi="Arial" w:cs="Arial"/>
          <w:i/>
          <w:iCs/>
          <w:kern w:val="0"/>
          <w:sz w:val="24"/>
          <w:szCs w:val="24"/>
          <w:lang w:eastAsia="en-GB"/>
          <w14:ligatures w14:val="none"/>
        </w:rPr>
        <w:t>Management of organisational behaviour</w:t>
      </w:r>
      <w:r w:rsidRPr="004F6459">
        <w:rPr>
          <w:rFonts w:ascii="Arial" w:eastAsia="Times New Roman" w:hAnsi="Arial" w:cs="Arial"/>
          <w:kern w:val="0"/>
          <w:sz w:val="24"/>
          <w:szCs w:val="24"/>
          <w:lang w:eastAsia="en-GB"/>
          <w14:ligatures w14:val="none"/>
        </w:rPr>
        <w:t>.</w:t>
      </w:r>
    </w:p>
    <w:p w14:paraId="3B6C52AB" w14:textId="77777777" w:rsidR="002D1004" w:rsidRPr="004F6459" w:rsidRDefault="002D1004"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HSSIB (2020) </w:t>
      </w:r>
      <w:r w:rsidRPr="004F6459">
        <w:rPr>
          <w:rFonts w:ascii="Arial" w:eastAsia="Times New Roman" w:hAnsi="Arial" w:cs="Arial"/>
          <w:i/>
          <w:iCs/>
          <w:kern w:val="0"/>
          <w:sz w:val="24"/>
          <w:szCs w:val="24"/>
          <w:lang w:eastAsia="en-GB"/>
          <w14:ligatures w14:val="none"/>
        </w:rPr>
        <w:t>Unintentional overdose of morphine sulphate oral solution</w:t>
      </w:r>
      <w:r w:rsidRPr="004F6459">
        <w:rPr>
          <w:rFonts w:ascii="Arial" w:eastAsia="Times New Roman" w:hAnsi="Arial" w:cs="Arial"/>
          <w:kern w:val="0"/>
          <w:sz w:val="24"/>
          <w:szCs w:val="24"/>
          <w:lang w:eastAsia="en-GB"/>
          <w14:ligatures w14:val="none"/>
        </w:rPr>
        <w:t>.</w:t>
      </w:r>
    </w:p>
    <w:p w14:paraId="45AC2DEE" w14:textId="77777777" w:rsidR="002D1004" w:rsidRPr="004F6459" w:rsidRDefault="002D1004"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Irving, G. et al. (2017) ‘International variations in primary care consultation time’, </w:t>
      </w:r>
      <w:r w:rsidRPr="004F6459">
        <w:rPr>
          <w:rFonts w:ascii="Arial" w:eastAsia="Times New Roman" w:hAnsi="Arial" w:cs="Arial"/>
          <w:i/>
          <w:iCs/>
          <w:kern w:val="0"/>
          <w:sz w:val="24"/>
          <w:szCs w:val="24"/>
          <w:lang w:eastAsia="en-GB"/>
          <w14:ligatures w14:val="none"/>
        </w:rPr>
        <w:t>BMJ Open</w:t>
      </w:r>
      <w:r w:rsidRPr="004F6459">
        <w:rPr>
          <w:rFonts w:ascii="Arial" w:eastAsia="Times New Roman" w:hAnsi="Arial" w:cs="Arial"/>
          <w:kern w:val="0"/>
          <w:sz w:val="24"/>
          <w:szCs w:val="24"/>
          <w:lang w:eastAsia="en-GB"/>
          <w14:ligatures w14:val="none"/>
        </w:rPr>
        <w:t>, 7(10).</w:t>
      </w:r>
    </w:p>
    <w:p w14:paraId="796AEC0F" w14:textId="43EC2FAC" w:rsidR="002D1004" w:rsidRPr="004F6459" w:rsidRDefault="002D1004"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Mintzberg, H. (1983)</w:t>
      </w:r>
      <w:r w:rsidR="004F6459">
        <w:rPr>
          <w:rFonts w:ascii="Arial" w:eastAsia="Times New Roman" w:hAnsi="Arial" w:cs="Arial"/>
          <w:kern w:val="0"/>
          <w:sz w:val="24"/>
          <w:szCs w:val="24"/>
          <w:lang w:eastAsia="en-GB"/>
          <w14:ligatures w14:val="none"/>
        </w:rPr>
        <w:t>.</w:t>
      </w:r>
      <w:r w:rsidRPr="004F6459">
        <w:rPr>
          <w:rFonts w:ascii="Arial" w:eastAsia="Times New Roman" w:hAnsi="Arial" w:cs="Arial"/>
          <w:kern w:val="0"/>
          <w:sz w:val="24"/>
          <w:szCs w:val="24"/>
          <w:lang w:eastAsia="en-GB"/>
          <w14:ligatures w14:val="none"/>
        </w:rPr>
        <w:t xml:space="preserve"> </w:t>
      </w:r>
      <w:r w:rsidRPr="004F6459">
        <w:rPr>
          <w:rFonts w:ascii="Arial" w:eastAsia="Times New Roman" w:hAnsi="Arial" w:cs="Arial"/>
          <w:i/>
          <w:iCs/>
          <w:kern w:val="0"/>
          <w:sz w:val="24"/>
          <w:szCs w:val="24"/>
          <w:lang w:eastAsia="en-GB"/>
          <w14:ligatures w14:val="none"/>
        </w:rPr>
        <w:t>Structure in fives</w:t>
      </w:r>
      <w:r w:rsidRPr="004F6459">
        <w:rPr>
          <w:rFonts w:ascii="Arial" w:eastAsia="Times New Roman" w:hAnsi="Arial" w:cs="Arial"/>
          <w:kern w:val="0"/>
          <w:sz w:val="24"/>
          <w:szCs w:val="24"/>
          <w:lang w:eastAsia="en-GB"/>
          <w14:ligatures w14:val="none"/>
        </w:rPr>
        <w:t>. Englewood Cliffs: Prentice Hall.</w:t>
      </w:r>
    </w:p>
    <w:p w14:paraId="15EEEB2C" w14:textId="77777777" w:rsidR="002D1004" w:rsidRPr="004F6459" w:rsidRDefault="002D1004"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Saltman, R.B., Bankauskaite, V. and Vrangbaek, K. (2007) </w:t>
      </w:r>
      <w:r w:rsidRPr="004F6459">
        <w:rPr>
          <w:rFonts w:ascii="Arial" w:eastAsia="Times New Roman" w:hAnsi="Arial" w:cs="Arial"/>
          <w:i/>
          <w:iCs/>
          <w:kern w:val="0"/>
          <w:sz w:val="24"/>
          <w:szCs w:val="24"/>
          <w:lang w:eastAsia="en-GB"/>
          <w14:ligatures w14:val="none"/>
        </w:rPr>
        <w:t>Decentralization in health care</w:t>
      </w:r>
      <w:r w:rsidRPr="004F6459">
        <w:rPr>
          <w:rFonts w:ascii="Arial" w:eastAsia="Times New Roman" w:hAnsi="Arial" w:cs="Arial"/>
          <w:kern w:val="0"/>
          <w:sz w:val="24"/>
          <w:szCs w:val="24"/>
          <w:lang w:eastAsia="en-GB"/>
          <w14:ligatures w14:val="none"/>
        </w:rPr>
        <w:t>.</w:t>
      </w:r>
    </w:p>
    <w:p w14:paraId="09C0A3DF" w14:textId="77777777" w:rsidR="002D1004" w:rsidRPr="004F6459" w:rsidRDefault="002D1004"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The Joint Commission (2015) </w:t>
      </w:r>
      <w:r w:rsidRPr="004F6459">
        <w:rPr>
          <w:rFonts w:ascii="Arial" w:eastAsia="Times New Roman" w:hAnsi="Arial" w:cs="Arial"/>
          <w:i/>
          <w:iCs/>
          <w:kern w:val="0"/>
          <w:sz w:val="24"/>
          <w:szCs w:val="24"/>
          <w:lang w:eastAsia="en-GB"/>
          <w14:ligatures w14:val="none"/>
        </w:rPr>
        <w:t>Sentinel event data root causes</w:t>
      </w:r>
      <w:r w:rsidRPr="004F6459">
        <w:rPr>
          <w:rFonts w:ascii="Arial" w:eastAsia="Times New Roman" w:hAnsi="Arial" w:cs="Arial"/>
          <w:kern w:val="0"/>
          <w:sz w:val="24"/>
          <w:szCs w:val="24"/>
          <w:lang w:eastAsia="en-GB"/>
          <w14:ligatures w14:val="none"/>
        </w:rPr>
        <w:t>.</w:t>
      </w:r>
    </w:p>
    <w:p w14:paraId="3E5B4DEC" w14:textId="77777777" w:rsidR="002D1004" w:rsidRPr="004F6459" w:rsidRDefault="002D1004"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West, M. et al. (2015) </w:t>
      </w:r>
      <w:r w:rsidRPr="004F6459">
        <w:rPr>
          <w:rFonts w:ascii="Arial" w:eastAsia="Times New Roman" w:hAnsi="Arial" w:cs="Arial"/>
          <w:i/>
          <w:iCs/>
          <w:kern w:val="0"/>
          <w:sz w:val="24"/>
          <w:szCs w:val="24"/>
          <w:lang w:eastAsia="en-GB"/>
          <w14:ligatures w14:val="none"/>
        </w:rPr>
        <w:t>Developing collective leadership for healthcare</w:t>
      </w:r>
      <w:r w:rsidRPr="004F6459">
        <w:rPr>
          <w:rFonts w:ascii="Arial" w:eastAsia="Times New Roman" w:hAnsi="Arial" w:cs="Arial"/>
          <w:kern w:val="0"/>
          <w:sz w:val="24"/>
          <w:szCs w:val="24"/>
          <w:lang w:eastAsia="en-GB"/>
          <w14:ligatures w14:val="none"/>
        </w:rPr>
        <w:t>. London: King’s Fund.</w:t>
      </w:r>
    </w:p>
    <w:p w14:paraId="7A09F6FE" w14:textId="77777777" w:rsidR="002D1004" w:rsidRPr="004F6459" w:rsidRDefault="002D1004"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Alldred, D.P., Kennedy, M.C., Hughes, C., Chen, T.F. and Miller, P. (2016) ‘Interventions to optimise prescribing for older people in care homes’, </w:t>
      </w:r>
      <w:r w:rsidRPr="004F6459">
        <w:rPr>
          <w:rFonts w:ascii="Arial" w:eastAsia="Times New Roman" w:hAnsi="Arial" w:cs="Arial"/>
          <w:i/>
          <w:iCs/>
          <w:kern w:val="0"/>
          <w:sz w:val="24"/>
          <w:szCs w:val="24"/>
          <w:lang w:eastAsia="en-GB"/>
          <w14:ligatures w14:val="none"/>
        </w:rPr>
        <w:t>Cochrane Database of Systematic Reviews</w:t>
      </w:r>
      <w:r w:rsidRPr="004F6459">
        <w:rPr>
          <w:rFonts w:ascii="Arial" w:eastAsia="Times New Roman" w:hAnsi="Arial" w:cs="Arial"/>
          <w:kern w:val="0"/>
          <w:sz w:val="24"/>
          <w:szCs w:val="24"/>
          <w:lang w:eastAsia="en-GB"/>
          <w14:ligatures w14:val="none"/>
        </w:rPr>
        <w:t>, 2(2), pp. 1–167.</w:t>
      </w:r>
    </w:p>
    <w:p w14:paraId="6B55767E" w14:textId="77777777" w:rsidR="002D1004" w:rsidRPr="004F6459" w:rsidRDefault="002D1004"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Baird, B., Charles, A., Honeyman, M., Maguire, D. and Das, P. (2016) </w:t>
      </w:r>
      <w:r w:rsidRPr="004F6459">
        <w:rPr>
          <w:rFonts w:ascii="Arial" w:eastAsia="Times New Roman" w:hAnsi="Arial" w:cs="Arial"/>
          <w:i/>
          <w:iCs/>
          <w:kern w:val="0"/>
          <w:sz w:val="24"/>
          <w:szCs w:val="24"/>
          <w:lang w:eastAsia="en-GB"/>
          <w14:ligatures w14:val="none"/>
        </w:rPr>
        <w:t>Understanding pressures in general practice</w:t>
      </w:r>
      <w:r w:rsidRPr="004F6459">
        <w:rPr>
          <w:rFonts w:ascii="Arial" w:eastAsia="Times New Roman" w:hAnsi="Arial" w:cs="Arial"/>
          <w:kern w:val="0"/>
          <w:sz w:val="24"/>
          <w:szCs w:val="24"/>
          <w:lang w:eastAsia="en-GB"/>
          <w14:ligatures w14:val="none"/>
        </w:rPr>
        <w:t>. London: King’s Fund.</w:t>
      </w:r>
    </w:p>
    <w:p w14:paraId="48AFA24E" w14:textId="77777777" w:rsidR="002D1004" w:rsidRPr="004F6459" w:rsidRDefault="002D1004"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Bass, B.M. and Riggio, R.E. (2006) </w:t>
      </w:r>
      <w:r w:rsidRPr="004F6459">
        <w:rPr>
          <w:rFonts w:ascii="Arial" w:eastAsia="Times New Roman" w:hAnsi="Arial" w:cs="Arial"/>
          <w:i/>
          <w:iCs/>
          <w:kern w:val="0"/>
          <w:sz w:val="24"/>
          <w:szCs w:val="24"/>
          <w:lang w:eastAsia="en-GB"/>
          <w14:ligatures w14:val="none"/>
        </w:rPr>
        <w:t>Transformational leadership</w:t>
      </w:r>
      <w:r w:rsidRPr="004F6459">
        <w:rPr>
          <w:rFonts w:ascii="Arial" w:eastAsia="Times New Roman" w:hAnsi="Arial" w:cs="Arial"/>
          <w:kern w:val="0"/>
          <w:sz w:val="24"/>
          <w:szCs w:val="24"/>
          <w:lang w:eastAsia="en-GB"/>
          <w14:ligatures w14:val="none"/>
        </w:rPr>
        <w:t>. 2nd edn. Mahwah: Lawrence Erlbaum.</w:t>
      </w:r>
    </w:p>
    <w:p w14:paraId="14F25EC8" w14:textId="77777777" w:rsidR="002D1004" w:rsidRPr="004F6459" w:rsidRDefault="002D1004"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Elliott, R.A., Camacho, E., Jankovic, D., Sculpher, M.J. and Faria, R. (2018) ‘Economic analysis of medication error in England’, </w:t>
      </w:r>
      <w:r w:rsidRPr="004F6459">
        <w:rPr>
          <w:rFonts w:ascii="Arial" w:eastAsia="Times New Roman" w:hAnsi="Arial" w:cs="Arial"/>
          <w:i/>
          <w:iCs/>
          <w:kern w:val="0"/>
          <w:sz w:val="24"/>
          <w:szCs w:val="24"/>
          <w:lang w:eastAsia="en-GB"/>
          <w14:ligatures w14:val="none"/>
        </w:rPr>
        <w:t>BMJ Quality &amp; Safety</w:t>
      </w:r>
      <w:r w:rsidRPr="004F6459">
        <w:rPr>
          <w:rFonts w:ascii="Arial" w:eastAsia="Times New Roman" w:hAnsi="Arial" w:cs="Arial"/>
          <w:kern w:val="0"/>
          <w:sz w:val="24"/>
          <w:szCs w:val="24"/>
          <w:lang w:eastAsia="en-GB"/>
          <w14:ligatures w14:val="none"/>
        </w:rPr>
        <w:t>, 27(7), pp. 550–560.</w:t>
      </w:r>
    </w:p>
    <w:p w14:paraId="312AED55" w14:textId="77777777" w:rsidR="002D1004" w:rsidRPr="004F6459" w:rsidRDefault="002D1004"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Fulop, N., Ramsay, A.I.G., Perry, C., Boaden, R., McKevitt, C., Rudd, A.G. and Turner, S. (2012) ‘Explaining outcomes in major system change’, </w:t>
      </w:r>
      <w:r w:rsidRPr="004F6459">
        <w:rPr>
          <w:rFonts w:ascii="Arial" w:eastAsia="Times New Roman" w:hAnsi="Arial" w:cs="Arial"/>
          <w:i/>
          <w:iCs/>
          <w:kern w:val="0"/>
          <w:sz w:val="24"/>
          <w:szCs w:val="24"/>
          <w:lang w:eastAsia="en-GB"/>
          <w14:ligatures w14:val="none"/>
        </w:rPr>
        <w:t>Medical Care Research and Review</w:t>
      </w:r>
      <w:r w:rsidRPr="004F6459">
        <w:rPr>
          <w:rFonts w:ascii="Arial" w:eastAsia="Times New Roman" w:hAnsi="Arial" w:cs="Arial"/>
          <w:kern w:val="0"/>
          <w:sz w:val="24"/>
          <w:szCs w:val="24"/>
          <w:lang w:eastAsia="en-GB"/>
          <w14:ligatures w14:val="none"/>
        </w:rPr>
        <w:t>, 69(2), pp. 131–160.</w:t>
      </w:r>
    </w:p>
    <w:p w14:paraId="56DFA514" w14:textId="77777777" w:rsidR="002D1004" w:rsidRPr="004F6459" w:rsidRDefault="002D1004"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Greenwood, R. and Hinings, C.R. (1996) ‘Understanding radical organisational change’, </w:t>
      </w:r>
      <w:r w:rsidRPr="004F6459">
        <w:rPr>
          <w:rFonts w:ascii="Arial" w:eastAsia="Times New Roman" w:hAnsi="Arial" w:cs="Arial"/>
          <w:i/>
          <w:iCs/>
          <w:kern w:val="0"/>
          <w:sz w:val="24"/>
          <w:szCs w:val="24"/>
          <w:lang w:eastAsia="en-GB"/>
          <w14:ligatures w14:val="none"/>
        </w:rPr>
        <w:t>Academy of Management Review</w:t>
      </w:r>
      <w:r w:rsidRPr="004F6459">
        <w:rPr>
          <w:rFonts w:ascii="Arial" w:eastAsia="Times New Roman" w:hAnsi="Arial" w:cs="Arial"/>
          <w:kern w:val="0"/>
          <w:sz w:val="24"/>
          <w:szCs w:val="24"/>
          <w:lang w:eastAsia="en-GB"/>
          <w14:ligatures w14:val="none"/>
        </w:rPr>
        <w:t>, 21(4), pp. 1022–1054.</w:t>
      </w:r>
    </w:p>
    <w:p w14:paraId="5CCCC9E1" w14:textId="77777777" w:rsidR="002D1004" w:rsidRPr="004F6459" w:rsidRDefault="002D1004"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Hersey, P., Blanchard, K.H. and Johnson, D.E. (2013) </w:t>
      </w:r>
      <w:r w:rsidRPr="004F6459">
        <w:rPr>
          <w:rFonts w:ascii="Arial" w:eastAsia="Times New Roman" w:hAnsi="Arial" w:cs="Arial"/>
          <w:i/>
          <w:iCs/>
          <w:kern w:val="0"/>
          <w:sz w:val="24"/>
          <w:szCs w:val="24"/>
          <w:lang w:eastAsia="en-GB"/>
          <w14:ligatures w14:val="none"/>
        </w:rPr>
        <w:t>Management of organisational behaviour</w:t>
      </w:r>
      <w:r w:rsidRPr="004F6459">
        <w:rPr>
          <w:rFonts w:ascii="Arial" w:eastAsia="Times New Roman" w:hAnsi="Arial" w:cs="Arial"/>
          <w:kern w:val="0"/>
          <w:sz w:val="24"/>
          <w:szCs w:val="24"/>
          <w:lang w:eastAsia="en-GB"/>
          <w14:ligatures w14:val="none"/>
        </w:rPr>
        <w:t>. 10th edn. Harlow: Pearson.</w:t>
      </w:r>
    </w:p>
    <w:p w14:paraId="37699FDF" w14:textId="77777777" w:rsidR="002D1004" w:rsidRPr="004F6459" w:rsidRDefault="002D1004"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HSSIB (2020) </w:t>
      </w:r>
      <w:r w:rsidRPr="004F6459">
        <w:rPr>
          <w:rFonts w:ascii="Arial" w:eastAsia="Times New Roman" w:hAnsi="Arial" w:cs="Arial"/>
          <w:i/>
          <w:iCs/>
          <w:kern w:val="0"/>
          <w:sz w:val="24"/>
          <w:szCs w:val="24"/>
          <w:lang w:eastAsia="en-GB"/>
          <w14:ligatures w14:val="none"/>
        </w:rPr>
        <w:t>Unintentional overdose of morphine sulphate oral solution</w:t>
      </w:r>
      <w:r w:rsidRPr="004F6459">
        <w:rPr>
          <w:rFonts w:ascii="Arial" w:eastAsia="Times New Roman" w:hAnsi="Arial" w:cs="Arial"/>
          <w:kern w:val="0"/>
          <w:sz w:val="24"/>
          <w:szCs w:val="24"/>
          <w:lang w:eastAsia="en-GB"/>
          <w14:ligatures w14:val="none"/>
        </w:rPr>
        <w:t xml:space="preserve">. Available at: </w:t>
      </w:r>
      <w:hyperlink r:id="rId6" w:tgtFrame="_new" w:history="1">
        <w:r w:rsidRPr="004F6459">
          <w:rPr>
            <w:rFonts w:ascii="Arial" w:eastAsia="Times New Roman" w:hAnsi="Arial" w:cs="Arial"/>
            <w:color w:val="0000FF"/>
            <w:kern w:val="0"/>
            <w:sz w:val="24"/>
            <w:szCs w:val="24"/>
            <w:u w:val="single"/>
            <w:lang w:eastAsia="en-GB"/>
            <w14:ligatures w14:val="none"/>
          </w:rPr>
          <w:t>https://www.hssib.org.uk</w:t>
        </w:r>
      </w:hyperlink>
    </w:p>
    <w:p w14:paraId="6A26ED66" w14:textId="77777777" w:rsidR="002D1004" w:rsidRPr="004F6459" w:rsidRDefault="002D1004"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Maher, R.L., Hanlon, J. and Hajjar, E.R. (2014) ‘Clinical consequences of polypharmacy in elderly’, </w:t>
      </w:r>
      <w:r w:rsidRPr="004F6459">
        <w:rPr>
          <w:rFonts w:ascii="Arial" w:eastAsia="Times New Roman" w:hAnsi="Arial" w:cs="Arial"/>
          <w:i/>
          <w:iCs/>
          <w:kern w:val="0"/>
          <w:sz w:val="24"/>
          <w:szCs w:val="24"/>
          <w:lang w:eastAsia="en-GB"/>
          <w14:ligatures w14:val="none"/>
        </w:rPr>
        <w:t>Expert Opinion on Drug Safety</w:t>
      </w:r>
      <w:r w:rsidRPr="004F6459">
        <w:rPr>
          <w:rFonts w:ascii="Arial" w:eastAsia="Times New Roman" w:hAnsi="Arial" w:cs="Arial"/>
          <w:kern w:val="0"/>
          <w:sz w:val="24"/>
          <w:szCs w:val="24"/>
          <w:lang w:eastAsia="en-GB"/>
          <w14:ligatures w14:val="none"/>
        </w:rPr>
        <w:t>, 13(1), pp. 57–65.</w:t>
      </w:r>
    </w:p>
    <w:p w14:paraId="726E5584" w14:textId="77777777" w:rsidR="002D1004" w:rsidRPr="004F6459" w:rsidRDefault="002D1004"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Northouse, P.G. (2021) </w:t>
      </w:r>
      <w:r w:rsidRPr="004F6459">
        <w:rPr>
          <w:rFonts w:ascii="Arial" w:eastAsia="Times New Roman" w:hAnsi="Arial" w:cs="Arial"/>
          <w:i/>
          <w:iCs/>
          <w:kern w:val="0"/>
          <w:sz w:val="24"/>
          <w:szCs w:val="24"/>
          <w:lang w:eastAsia="en-GB"/>
          <w14:ligatures w14:val="none"/>
        </w:rPr>
        <w:t>Leadership: Theory and practice</w:t>
      </w:r>
      <w:r w:rsidRPr="004F6459">
        <w:rPr>
          <w:rFonts w:ascii="Arial" w:eastAsia="Times New Roman" w:hAnsi="Arial" w:cs="Arial"/>
          <w:kern w:val="0"/>
          <w:sz w:val="24"/>
          <w:szCs w:val="24"/>
          <w:lang w:eastAsia="en-GB"/>
          <w14:ligatures w14:val="none"/>
        </w:rPr>
        <w:t>. 9th edn. Thousand Oaks: Sage.</w:t>
      </w:r>
    </w:p>
    <w:p w14:paraId="0DD3A5A3" w14:textId="77777777" w:rsidR="002D1004" w:rsidRPr="004F6459" w:rsidRDefault="002D1004"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Senge, P.M. (2006) </w:t>
      </w:r>
      <w:r w:rsidRPr="004F6459">
        <w:rPr>
          <w:rFonts w:ascii="Arial" w:eastAsia="Times New Roman" w:hAnsi="Arial" w:cs="Arial"/>
          <w:i/>
          <w:iCs/>
          <w:kern w:val="0"/>
          <w:sz w:val="24"/>
          <w:szCs w:val="24"/>
          <w:lang w:eastAsia="en-GB"/>
          <w14:ligatures w14:val="none"/>
        </w:rPr>
        <w:t>The fifth discipline</w:t>
      </w:r>
      <w:r w:rsidRPr="004F6459">
        <w:rPr>
          <w:rFonts w:ascii="Arial" w:eastAsia="Times New Roman" w:hAnsi="Arial" w:cs="Arial"/>
          <w:kern w:val="0"/>
          <w:sz w:val="24"/>
          <w:szCs w:val="24"/>
          <w:lang w:eastAsia="en-GB"/>
          <w14:ligatures w14:val="none"/>
        </w:rPr>
        <w:t>. New York: Doubleday.</w:t>
      </w:r>
    </w:p>
    <w:p w14:paraId="0B861B49" w14:textId="77777777" w:rsidR="002D1004" w:rsidRPr="004F6459" w:rsidRDefault="002D1004"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lastRenderedPageBreak/>
        <w:t xml:space="preserve">WHO (2017) </w:t>
      </w:r>
      <w:r w:rsidRPr="004F6459">
        <w:rPr>
          <w:rFonts w:ascii="Arial" w:eastAsia="Times New Roman" w:hAnsi="Arial" w:cs="Arial"/>
          <w:i/>
          <w:iCs/>
          <w:kern w:val="0"/>
          <w:sz w:val="24"/>
          <w:szCs w:val="24"/>
          <w:lang w:eastAsia="en-GB"/>
          <w14:ligatures w14:val="none"/>
        </w:rPr>
        <w:t>Medication without harm</w:t>
      </w:r>
      <w:r w:rsidRPr="004F6459">
        <w:rPr>
          <w:rFonts w:ascii="Arial" w:eastAsia="Times New Roman" w:hAnsi="Arial" w:cs="Arial"/>
          <w:kern w:val="0"/>
          <w:sz w:val="24"/>
          <w:szCs w:val="24"/>
          <w:lang w:eastAsia="en-GB"/>
          <w14:ligatures w14:val="none"/>
        </w:rPr>
        <w:t>. Geneva: World Health Organization.</w:t>
      </w:r>
    </w:p>
    <w:p w14:paraId="32D1746C" w14:textId="77777777" w:rsidR="002D1004" w:rsidRPr="004F6459" w:rsidRDefault="002D1004" w:rsidP="004F6459">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F6459">
        <w:rPr>
          <w:rFonts w:ascii="Arial" w:eastAsia="Times New Roman" w:hAnsi="Arial" w:cs="Arial"/>
          <w:kern w:val="0"/>
          <w:sz w:val="24"/>
          <w:szCs w:val="24"/>
          <w:lang w:eastAsia="en-GB"/>
          <w14:ligatures w14:val="none"/>
        </w:rPr>
        <w:t xml:space="preserve">Wimmer, B.C., Cross, A.J., Jokanovic, N., Wiese, M.D., George, J. and Johnell, K. (2017) ‘Clinical outcomes associated with polypharmacy’, </w:t>
      </w:r>
      <w:r w:rsidRPr="004F6459">
        <w:rPr>
          <w:rFonts w:ascii="Arial" w:eastAsia="Times New Roman" w:hAnsi="Arial" w:cs="Arial"/>
          <w:i/>
          <w:iCs/>
          <w:kern w:val="0"/>
          <w:sz w:val="24"/>
          <w:szCs w:val="24"/>
          <w:lang w:eastAsia="en-GB"/>
          <w14:ligatures w14:val="none"/>
        </w:rPr>
        <w:t>Journal of the American Geriatrics Society</w:t>
      </w:r>
      <w:r w:rsidRPr="004F6459">
        <w:rPr>
          <w:rFonts w:ascii="Arial" w:eastAsia="Times New Roman" w:hAnsi="Arial" w:cs="Arial"/>
          <w:kern w:val="0"/>
          <w:sz w:val="24"/>
          <w:szCs w:val="24"/>
          <w:lang w:eastAsia="en-GB"/>
          <w14:ligatures w14:val="none"/>
        </w:rPr>
        <w:t>, 65(5), pp. 989–996.</w:t>
      </w:r>
    </w:p>
    <w:p w14:paraId="286C0FDA" w14:textId="683F960D" w:rsidR="002D1004" w:rsidRPr="002D1004" w:rsidRDefault="002D1004" w:rsidP="004F6459">
      <w:pPr>
        <w:spacing w:after="0" w:line="240" w:lineRule="auto"/>
        <w:jc w:val="both"/>
        <w:rPr>
          <w:rFonts w:ascii="Arial" w:eastAsia="Times New Roman" w:hAnsi="Arial" w:cs="Arial"/>
          <w:kern w:val="0"/>
          <w:sz w:val="24"/>
          <w:szCs w:val="24"/>
          <w:lang w:eastAsia="en-GB"/>
          <w14:ligatures w14:val="none"/>
        </w:rPr>
      </w:pPr>
    </w:p>
    <w:p w14:paraId="350D37BA" w14:textId="77777777" w:rsidR="002E162F" w:rsidRPr="00E55F00" w:rsidRDefault="002E162F" w:rsidP="004F6459">
      <w:pPr>
        <w:jc w:val="both"/>
        <w:rPr>
          <w:rFonts w:ascii="Arial" w:hAnsi="Arial" w:cs="Arial"/>
          <w:sz w:val="24"/>
          <w:szCs w:val="24"/>
        </w:rPr>
      </w:pPr>
    </w:p>
    <w:sectPr w:rsidR="002E162F" w:rsidRPr="00E55F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31353"/>
    <w:multiLevelType w:val="multilevel"/>
    <w:tmpl w:val="2BF83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31711"/>
    <w:multiLevelType w:val="multilevel"/>
    <w:tmpl w:val="13922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FF458F"/>
    <w:multiLevelType w:val="multilevel"/>
    <w:tmpl w:val="A2C29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C955EA"/>
    <w:multiLevelType w:val="multilevel"/>
    <w:tmpl w:val="80F6E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461F87"/>
    <w:multiLevelType w:val="multilevel"/>
    <w:tmpl w:val="5F2A5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1A17B0"/>
    <w:multiLevelType w:val="multilevel"/>
    <w:tmpl w:val="DA78C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693B7A"/>
    <w:multiLevelType w:val="multilevel"/>
    <w:tmpl w:val="E3C48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27432D"/>
    <w:multiLevelType w:val="multilevel"/>
    <w:tmpl w:val="D2BE4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841A1C"/>
    <w:multiLevelType w:val="multilevel"/>
    <w:tmpl w:val="D0863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C6070B"/>
    <w:multiLevelType w:val="multilevel"/>
    <w:tmpl w:val="A9304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137F40"/>
    <w:multiLevelType w:val="multilevel"/>
    <w:tmpl w:val="35288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A81EBF"/>
    <w:multiLevelType w:val="multilevel"/>
    <w:tmpl w:val="982C7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8555BC"/>
    <w:multiLevelType w:val="multilevel"/>
    <w:tmpl w:val="874A8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E22CBB"/>
    <w:multiLevelType w:val="multilevel"/>
    <w:tmpl w:val="7332E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E827AD"/>
    <w:multiLevelType w:val="multilevel"/>
    <w:tmpl w:val="AFEEE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077978"/>
    <w:multiLevelType w:val="hybridMultilevel"/>
    <w:tmpl w:val="6BE0F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3262F8"/>
    <w:multiLevelType w:val="multilevel"/>
    <w:tmpl w:val="1FEE4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A371C6"/>
    <w:multiLevelType w:val="multilevel"/>
    <w:tmpl w:val="F6BE8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BE6076"/>
    <w:multiLevelType w:val="multilevel"/>
    <w:tmpl w:val="D5B87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12679F"/>
    <w:multiLevelType w:val="multilevel"/>
    <w:tmpl w:val="213ED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4F71AD"/>
    <w:multiLevelType w:val="multilevel"/>
    <w:tmpl w:val="779E7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037842"/>
    <w:multiLevelType w:val="multilevel"/>
    <w:tmpl w:val="9538E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5F79BA"/>
    <w:multiLevelType w:val="multilevel"/>
    <w:tmpl w:val="537E9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DF784B"/>
    <w:multiLevelType w:val="multilevel"/>
    <w:tmpl w:val="60DA2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5245B1"/>
    <w:multiLevelType w:val="multilevel"/>
    <w:tmpl w:val="C85E4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EE0811"/>
    <w:multiLevelType w:val="multilevel"/>
    <w:tmpl w:val="39389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F633F0"/>
    <w:multiLevelType w:val="multilevel"/>
    <w:tmpl w:val="8C424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400377"/>
    <w:multiLevelType w:val="multilevel"/>
    <w:tmpl w:val="3A542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E56583"/>
    <w:multiLevelType w:val="hybridMultilevel"/>
    <w:tmpl w:val="5D82C3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C5B1124"/>
    <w:multiLevelType w:val="multilevel"/>
    <w:tmpl w:val="AB00C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010E8D"/>
    <w:multiLevelType w:val="multilevel"/>
    <w:tmpl w:val="E11EE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2F77BC"/>
    <w:multiLevelType w:val="multilevel"/>
    <w:tmpl w:val="80BAC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9806469">
    <w:abstractNumId w:val="0"/>
  </w:num>
  <w:num w:numId="2" w16cid:durableId="663093347">
    <w:abstractNumId w:val="11"/>
  </w:num>
  <w:num w:numId="3" w16cid:durableId="1162814391">
    <w:abstractNumId w:val="1"/>
  </w:num>
  <w:num w:numId="4" w16cid:durableId="361832869">
    <w:abstractNumId w:val="19"/>
  </w:num>
  <w:num w:numId="5" w16cid:durableId="1812283440">
    <w:abstractNumId w:val="23"/>
  </w:num>
  <w:num w:numId="6" w16cid:durableId="1627155412">
    <w:abstractNumId w:val="10"/>
  </w:num>
  <w:num w:numId="7" w16cid:durableId="146359459">
    <w:abstractNumId w:val="27"/>
  </w:num>
  <w:num w:numId="8" w16cid:durableId="1610700505">
    <w:abstractNumId w:val="30"/>
  </w:num>
  <w:num w:numId="9" w16cid:durableId="1685665085">
    <w:abstractNumId w:val="29"/>
  </w:num>
  <w:num w:numId="10" w16cid:durableId="1617718209">
    <w:abstractNumId w:val="12"/>
  </w:num>
  <w:num w:numId="11" w16cid:durableId="1822848758">
    <w:abstractNumId w:val="5"/>
  </w:num>
  <w:num w:numId="12" w16cid:durableId="947735330">
    <w:abstractNumId w:val="2"/>
  </w:num>
  <w:num w:numId="13" w16cid:durableId="1403142817">
    <w:abstractNumId w:val="4"/>
  </w:num>
  <w:num w:numId="14" w16cid:durableId="1984237450">
    <w:abstractNumId w:val="21"/>
  </w:num>
  <w:num w:numId="15" w16cid:durableId="1009140688">
    <w:abstractNumId w:val="22"/>
  </w:num>
  <w:num w:numId="16" w16cid:durableId="504517508">
    <w:abstractNumId w:val="7"/>
  </w:num>
  <w:num w:numId="17" w16cid:durableId="1372153152">
    <w:abstractNumId w:val="16"/>
  </w:num>
  <w:num w:numId="18" w16cid:durableId="1812166293">
    <w:abstractNumId w:val="9"/>
  </w:num>
  <w:num w:numId="19" w16cid:durableId="2001033493">
    <w:abstractNumId w:val="3"/>
  </w:num>
  <w:num w:numId="20" w16cid:durableId="1266615630">
    <w:abstractNumId w:val="17"/>
  </w:num>
  <w:num w:numId="21" w16cid:durableId="1945991978">
    <w:abstractNumId w:val="14"/>
  </w:num>
  <w:num w:numId="22" w16cid:durableId="884411558">
    <w:abstractNumId w:val="20"/>
  </w:num>
  <w:num w:numId="23" w16cid:durableId="108551199">
    <w:abstractNumId w:val="26"/>
  </w:num>
  <w:num w:numId="24" w16cid:durableId="1936741435">
    <w:abstractNumId w:val="18"/>
  </w:num>
  <w:num w:numId="25" w16cid:durableId="342824772">
    <w:abstractNumId w:val="6"/>
  </w:num>
  <w:num w:numId="26" w16cid:durableId="273289520">
    <w:abstractNumId w:val="13"/>
  </w:num>
  <w:num w:numId="27" w16cid:durableId="215705756">
    <w:abstractNumId w:val="8"/>
  </w:num>
  <w:num w:numId="28" w16cid:durableId="222108976">
    <w:abstractNumId w:val="24"/>
  </w:num>
  <w:num w:numId="29" w16cid:durableId="726535734">
    <w:abstractNumId w:val="31"/>
  </w:num>
  <w:num w:numId="30" w16cid:durableId="2017151273">
    <w:abstractNumId w:val="25"/>
  </w:num>
  <w:num w:numId="31" w16cid:durableId="841892117">
    <w:abstractNumId w:val="28"/>
  </w:num>
  <w:num w:numId="32" w16cid:durableId="12537770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004"/>
    <w:rsid w:val="00145F02"/>
    <w:rsid w:val="002703FC"/>
    <w:rsid w:val="002D1004"/>
    <w:rsid w:val="002E162F"/>
    <w:rsid w:val="00367017"/>
    <w:rsid w:val="00475667"/>
    <w:rsid w:val="004A4CEE"/>
    <w:rsid w:val="004F6459"/>
    <w:rsid w:val="006C54D8"/>
    <w:rsid w:val="00735860"/>
    <w:rsid w:val="00861354"/>
    <w:rsid w:val="00B048E3"/>
    <w:rsid w:val="00C40C28"/>
    <w:rsid w:val="00C46381"/>
    <w:rsid w:val="00C523E7"/>
    <w:rsid w:val="00D1702B"/>
    <w:rsid w:val="00E55F00"/>
    <w:rsid w:val="00E61B16"/>
    <w:rsid w:val="00EE46C5"/>
    <w:rsid w:val="00F50ACB"/>
    <w:rsid w:val="00FC23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6F7C1"/>
  <w15:chartTrackingRefBased/>
  <w15:docId w15:val="{C79714B9-1F0F-4A77-B835-95E5548CB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10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10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10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10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10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10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10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10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10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10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10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10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10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10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10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10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10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1004"/>
    <w:rPr>
      <w:rFonts w:eastAsiaTheme="majorEastAsia" w:cstheme="majorBidi"/>
      <w:color w:val="272727" w:themeColor="text1" w:themeTint="D8"/>
    </w:rPr>
  </w:style>
  <w:style w:type="paragraph" w:styleId="Title">
    <w:name w:val="Title"/>
    <w:basedOn w:val="Normal"/>
    <w:next w:val="Normal"/>
    <w:link w:val="TitleChar"/>
    <w:uiPriority w:val="10"/>
    <w:qFormat/>
    <w:rsid w:val="002D10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10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10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10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1004"/>
    <w:pPr>
      <w:spacing w:before="160"/>
      <w:jc w:val="center"/>
    </w:pPr>
    <w:rPr>
      <w:i/>
      <w:iCs/>
      <w:color w:val="404040" w:themeColor="text1" w:themeTint="BF"/>
    </w:rPr>
  </w:style>
  <w:style w:type="character" w:customStyle="1" w:styleId="QuoteChar">
    <w:name w:val="Quote Char"/>
    <w:basedOn w:val="DefaultParagraphFont"/>
    <w:link w:val="Quote"/>
    <w:uiPriority w:val="29"/>
    <w:rsid w:val="002D1004"/>
    <w:rPr>
      <w:i/>
      <w:iCs/>
      <w:color w:val="404040" w:themeColor="text1" w:themeTint="BF"/>
    </w:rPr>
  </w:style>
  <w:style w:type="paragraph" w:styleId="ListParagraph">
    <w:name w:val="List Paragraph"/>
    <w:basedOn w:val="Normal"/>
    <w:uiPriority w:val="34"/>
    <w:qFormat/>
    <w:rsid w:val="002D1004"/>
    <w:pPr>
      <w:ind w:left="720"/>
      <w:contextualSpacing/>
    </w:pPr>
  </w:style>
  <w:style w:type="character" w:styleId="IntenseEmphasis">
    <w:name w:val="Intense Emphasis"/>
    <w:basedOn w:val="DefaultParagraphFont"/>
    <w:uiPriority w:val="21"/>
    <w:qFormat/>
    <w:rsid w:val="002D1004"/>
    <w:rPr>
      <w:i/>
      <w:iCs/>
      <w:color w:val="0F4761" w:themeColor="accent1" w:themeShade="BF"/>
    </w:rPr>
  </w:style>
  <w:style w:type="paragraph" w:styleId="IntenseQuote">
    <w:name w:val="Intense Quote"/>
    <w:basedOn w:val="Normal"/>
    <w:next w:val="Normal"/>
    <w:link w:val="IntenseQuoteChar"/>
    <w:uiPriority w:val="30"/>
    <w:qFormat/>
    <w:rsid w:val="002D10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1004"/>
    <w:rPr>
      <w:i/>
      <w:iCs/>
      <w:color w:val="0F4761" w:themeColor="accent1" w:themeShade="BF"/>
    </w:rPr>
  </w:style>
  <w:style w:type="character" w:styleId="IntenseReference">
    <w:name w:val="Intense Reference"/>
    <w:basedOn w:val="DefaultParagraphFont"/>
    <w:uiPriority w:val="32"/>
    <w:qFormat/>
    <w:rsid w:val="002D1004"/>
    <w:rPr>
      <w:b/>
      <w:bCs/>
      <w:smallCaps/>
      <w:color w:val="0F4761" w:themeColor="accent1" w:themeShade="BF"/>
      <w:spacing w:val="5"/>
    </w:rPr>
  </w:style>
  <w:style w:type="paragraph" w:styleId="NormalWeb">
    <w:name w:val="Normal (Web)"/>
    <w:basedOn w:val="Normal"/>
    <w:uiPriority w:val="99"/>
    <w:semiHidden/>
    <w:unhideWhenUsed/>
    <w:rsid w:val="00F50AC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F50AC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ssib.org.uk"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1794</TotalTime>
  <Pages>19</Pages>
  <Words>4963</Words>
  <Characters>28291</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Josephine Amoah (2233505)</dc:creator>
  <cp:keywords/>
  <dc:description/>
  <cp:lastModifiedBy>Josephine Amoah (2233505)</cp:lastModifiedBy>
  <cp:revision>5</cp:revision>
  <dcterms:created xsi:type="dcterms:W3CDTF">2026-03-21T20:51:00Z</dcterms:created>
  <dcterms:modified xsi:type="dcterms:W3CDTF">2026-04-16T13:41:00Z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a5a8a374-8d7d-4fc9-ba2f-780306581a95</vt:lpwstr>
  </property>
</Properties>
</file>