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F7B770" w14:textId="4D444620" w:rsidR="0062411A" w:rsidRDefault="00E84C53">
      <w:r>
        <w:rPr>
          <w:noProof/>
        </w:rPr>
        <w:drawing>
          <wp:inline distT="0" distB="0" distL="0" distR="0" wp14:anchorId="4F432AB1" wp14:editId="353F1817">
            <wp:extent cx="4295775" cy="1980565"/>
            <wp:effectExtent l="0" t="0" r="9525" b="635"/>
            <wp:docPr id="12" name="Picture 3" descr="Text&#10;&#10;Description automatically generated">
              <a:extLst xmlns:a="http://schemas.openxmlformats.org/drawingml/2006/main">
                <a:ext uri="{FF2B5EF4-FFF2-40B4-BE49-F238E27FC236}">
                  <a16:creationId xmlns:a16="http://schemas.microsoft.com/office/drawing/2014/main" id="{054AFF62-695A-4C8C-B657-83E4CC0F1DB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ext&#10;&#10;Description automatically generated">
                      <a:extLst>
                        <a:ext uri="{FF2B5EF4-FFF2-40B4-BE49-F238E27FC236}">
                          <a16:creationId xmlns:a16="http://schemas.microsoft.com/office/drawing/2014/main" id="{054AFF62-695A-4C8C-B657-83E4CC0F1DBC}"/>
                        </a:ext>
                      </a:extLst>
                    </pic:cNvPr>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51275" cy="2006153"/>
                    </a:xfrm>
                    <a:prstGeom prst="rect">
                      <a:avLst/>
                    </a:prstGeom>
                    <a:noFill/>
                    <a:ln>
                      <a:noFill/>
                    </a:ln>
                  </pic:spPr>
                </pic:pic>
              </a:graphicData>
            </a:graphic>
          </wp:inline>
        </w:drawing>
      </w:r>
    </w:p>
    <w:p w14:paraId="5B40CC94" w14:textId="5FF53942" w:rsidR="00CC0338" w:rsidRDefault="00CC0338"/>
    <w:p w14:paraId="5DA27D9B" w14:textId="3DB97AFA" w:rsidR="00CC0338" w:rsidRDefault="00CC0338"/>
    <w:p w14:paraId="0FAF903B" w14:textId="5D3CDEE1" w:rsidR="00CC0338" w:rsidRDefault="00CC0338"/>
    <w:p w14:paraId="033F4777" w14:textId="110A8960" w:rsidR="00CC0338" w:rsidRPr="00CC0338" w:rsidRDefault="00CC0338" w:rsidP="00CC0338">
      <w:pPr>
        <w:jc w:val="center"/>
        <w:rPr>
          <w:rFonts w:ascii="Arial" w:hAnsi="Arial" w:cs="Arial"/>
          <w:sz w:val="56"/>
          <w:szCs w:val="56"/>
        </w:rPr>
      </w:pPr>
      <w:r w:rsidRPr="00CC0338">
        <w:rPr>
          <w:rFonts w:ascii="Arial" w:hAnsi="Arial" w:cs="Arial"/>
          <w:sz w:val="56"/>
          <w:szCs w:val="56"/>
        </w:rPr>
        <w:t>Assignement 2</w:t>
      </w:r>
    </w:p>
    <w:p w14:paraId="62D858F7" w14:textId="7D26F6C8" w:rsidR="00CC0338" w:rsidRDefault="00CC0338" w:rsidP="00CC0338">
      <w:pPr>
        <w:jc w:val="center"/>
        <w:rPr>
          <w:rFonts w:ascii="Arial" w:hAnsi="Arial" w:cs="Arial"/>
          <w:sz w:val="56"/>
          <w:szCs w:val="56"/>
        </w:rPr>
      </w:pPr>
      <w:r w:rsidRPr="00CC0338">
        <w:rPr>
          <w:rFonts w:ascii="Arial" w:hAnsi="Arial" w:cs="Arial"/>
          <w:sz w:val="56"/>
          <w:szCs w:val="56"/>
        </w:rPr>
        <w:t>Childhood as a social construction</w:t>
      </w:r>
    </w:p>
    <w:p w14:paraId="5AD64087" w14:textId="68766E35" w:rsidR="00CC0338" w:rsidRDefault="00CC0338" w:rsidP="00CC0338">
      <w:pPr>
        <w:jc w:val="center"/>
        <w:rPr>
          <w:rFonts w:ascii="Arial" w:hAnsi="Arial" w:cs="Arial"/>
          <w:sz w:val="56"/>
          <w:szCs w:val="56"/>
        </w:rPr>
      </w:pPr>
    </w:p>
    <w:tbl>
      <w:tblPr>
        <w:tblpPr w:leftFromText="180" w:rightFromText="180" w:vertAnchor="text" w:horzAnchor="margin" w:tblpY="842"/>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114"/>
        <w:gridCol w:w="5902"/>
      </w:tblGrid>
      <w:tr w:rsidR="00CC0338" w:rsidRPr="0088447F" w14:paraId="435F6048" w14:textId="77777777" w:rsidTr="00CC0338">
        <w:trPr>
          <w:trHeight w:val="1328"/>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D92B83" w14:textId="77777777" w:rsidR="00CC0338" w:rsidRPr="0088447F" w:rsidRDefault="00CC0338" w:rsidP="00CC0338">
            <w:pPr>
              <w:pStyle w:val="Body"/>
              <w:spacing w:line="360" w:lineRule="auto"/>
              <w:jc w:val="center"/>
              <w:rPr>
                <w:rFonts w:ascii="Arial" w:hAnsi="Arial" w:cs="Arial"/>
                <w:color w:val="auto"/>
                <w:sz w:val="36"/>
                <w:szCs w:val="36"/>
              </w:rPr>
            </w:pPr>
            <w:r w:rsidRPr="0088447F">
              <w:rPr>
                <w:rFonts w:ascii="Arial" w:hAnsi="Arial" w:cs="Arial"/>
                <w:b/>
                <w:bCs/>
                <w:color w:val="auto"/>
                <w:sz w:val="36"/>
                <w:szCs w:val="36"/>
                <w:u w:color="FFC000"/>
                <w:lang w:val="en-US"/>
              </w:rPr>
              <w:t>Module</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671A0E" w14:textId="77777777" w:rsidR="00CC0338" w:rsidRPr="0088447F" w:rsidRDefault="00CC0338" w:rsidP="00CC0338">
            <w:pPr>
              <w:spacing w:after="0" w:line="360" w:lineRule="auto"/>
              <w:jc w:val="center"/>
              <w:rPr>
                <w:rFonts w:ascii="Arial" w:hAnsi="Arial" w:cs="Arial"/>
                <w:sz w:val="36"/>
                <w:szCs w:val="36"/>
              </w:rPr>
            </w:pPr>
            <w:r w:rsidRPr="0088447F">
              <w:rPr>
                <w:rFonts w:ascii="Arial" w:hAnsi="Arial" w:cs="Arial"/>
                <w:sz w:val="36"/>
                <w:szCs w:val="36"/>
              </w:rPr>
              <w:t>Children, Young People, and Families</w:t>
            </w:r>
          </w:p>
        </w:tc>
      </w:tr>
      <w:tr w:rsidR="00CC0338" w:rsidRPr="0088447F" w14:paraId="2CBEEFA9" w14:textId="77777777" w:rsidTr="00CC0338">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FD71CA" w14:textId="77777777" w:rsidR="00CC0338" w:rsidRPr="0088447F" w:rsidRDefault="00CC0338" w:rsidP="00CC0338">
            <w:pPr>
              <w:pStyle w:val="Body"/>
              <w:spacing w:after="0" w:line="360" w:lineRule="auto"/>
              <w:jc w:val="center"/>
              <w:rPr>
                <w:rFonts w:ascii="Arial" w:hAnsi="Arial" w:cs="Arial"/>
                <w:color w:val="auto"/>
                <w:sz w:val="36"/>
                <w:szCs w:val="36"/>
              </w:rPr>
            </w:pPr>
            <w:r w:rsidRPr="0088447F">
              <w:rPr>
                <w:rFonts w:ascii="Arial" w:hAnsi="Arial" w:cs="Arial"/>
                <w:b/>
                <w:bCs/>
                <w:color w:val="auto"/>
                <w:sz w:val="36"/>
                <w:szCs w:val="36"/>
                <w:u w:color="FFC000"/>
                <w:lang w:val="en-US"/>
              </w:rPr>
              <w:t>Module code</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031EBC" w14:textId="77777777" w:rsidR="00CC0338" w:rsidRPr="0088447F" w:rsidRDefault="00CC0338" w:rsidP="00CC0338">
            <w:pPr>
              <w:spacing w:line="360" w:lineRule="auto"/>
              <w:jc w:val="center"/>
              <w:rPr>
                <w:rFonts w:ascii="Arial" w:hAnsi="Arial" w:cs="Arial"/>
                <w:sz w:val="36"/>
                <w:szCs w:val="36"/>
              </w:rPr>
            </w:pPr>
            <w:r w:rsidRPr="0088447F">
              <w:rPr>
                <w:rFonts w:ascii="Arial" w:hAnsi="Arial" w:cs="Arial"/>
                <w:sz w:val="36"/>
                <w:szCs w:val="36"/>
              </w:rPr>
              <w:t>BMHP5004_LON</w:t>
            </w:r>
          </w:p>
        </w:tc>
      </w:tr>
      <w:tr w:rsidR="00CC0338" w:rsidRPr="0088447F" w14:paraId="3E3EE9D0" w14:textId="77777777" w:rsidTr="00CC0338">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FCE64F" w14:textId="77777777" w:rsidR="00CC0338" w:rsidRPr="0088447F" w:rsidRDefault="00CC0338" w:rsidP="00CC0338">
            <w:pPr>
              <w:pStyle w:val="Body"/>
              <w:spacing w:after="0" w:line="360" w:lineRule="auto"/>
              <w:jc w:val="center"/>
              <w:rPr>
                <w:rFonts w:ascii="Arial" w:hAnsi="Arial" w:cs="Arial"/>
                <w:color w:val="auto"/>
                <w:sz w:val="36"/>
                <w:szCs w:val="36"/>
              </w:rPr>
            </w:pPr>
            <w:r w:rsidRPr="0088447F">
              <w:rPr>
                <w:rFonts w:ascii="Arial" w:hAnsi="Arial" w:cs="Arial"/>
                <w:b/>
                <w:bCs/>
                <w:color w:val="auto"/>
                <w:sz w:val="36"/>
                <w:szCs w:val="36"/>
                <w:u w:color="FFC000"/>
                <w:lang w:val="en-US"/>
              </w:rPr>
              <w:t>Lecturer</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1C3C38" w14:textId="77777777" w:rsidR="00CC0338" w:rsidRPr="0088447F" w:rsidRDefault="00CC0338" w:rsidP="00CC0338">
            <w:pPr>
              <w:spacing w:line="360" w:lineRule="auto"/>
              <w:jc w:val="center"/>
              <w:rPr>
                <w:rFonts w:ascii="Arial" w:hAnsi="Arial" w:cs="Arial"/>
                <w:sz w:val="36"/>
                <w:szCs w:val="36"/>
              </w:rPr>
            </w:pPr>
            <w:r w:rsidRPr="0088447F">
              <w:rPr>
                <w:rFonts w:ascii="Arial" w:hAnsi="Arial" w:cs="Arial"/>
                <w:sz w:val="36"/>
                <w:szCs w:val="36"/>
              </w:rPr>
              <w:t>Bianca Sanfilippo</w:t>
            </w:r>
          </w:p>
        </w:tc>
      </w:tr>
      <w:tr w:rsidR="00CC0338" w:rsidRPr="0088447F" w14:paraId="5552CEEC" w14:textId="77777777" w:rsidTr="00CC0338">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9CB69E" w14:textId="77777777" w:rsidR="00CC0338" w:rsidRPr="0088447F" w:rsidRDefault="00CC0338" w:rsidP="00CC0338">
            <w:pPr>
              <w:pStyle w:val="Body"/>
              <w:spacing w:after="0" w:line="360" w:lineRule="auto"/>
              <w:jc w:val="center"/>
              <w:rPr>
                <w:rFonts w:ascii="Arial" w:hAnsi="Arial" w:cs="Arial"/>
                <w:color w:val="auto"/>
                <w:sz w:val="36"/>
                <w:szCs w:val="36"/>
              </w:rPr>
            </w:pPr>
            <w:r w:rsidRPr="0088447F">
              <w:rPr>
                <w:rFonts w:ascii="Arial" w:hAnsi="Arial" w:cs="Arial"/>
                <w:b/>
                <w:bCs/>
                <w:color w:val="auto"/>
                <w:sz w:val="36"/>
                <w:szCs w:val="36"/>
                <w:u w:color="FFC000"/>
                <w:lang w:val="en-US"/>
              </w:rPr>
              <w:t>Student</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168E03" w14:textId="77777777" w:rsidR="00CC0338" w:rsidRPr="0088447F" w:rsidRDefault="00CC0338" w:rsidP="00CC0338">
            <w:pPr>
              <w:pStyle w:val="Body"/>
              <w:spacing w:after="0" w:line="360" w:lineRule="auto"/>
              <w:jc w:val="center"/>
              <w:rPr>
                <w:rFonts w:ascii="Arial" w:hAnsi="Arial" w:cs="Arial"/>
                <w:color w:val="auto"/>
                <w:sz w:val="36"/>
                <w:szCs w:val="36"/>
              </w:rPr>
            </w:pPr>
            <w:r w:rsidRPr="0088447F">
              <w:rPr>
                <w:rFonts w:ascii="Arial" w:hAnsi="Arial" w:cs="Arial"/>
                <w:color w:val="auto"/>
                <w:sz w:val="36"/>
                <w:szCs w:val="36"/>
                <w:lang w:val="en-US"/>
              </w:rPr>
              <w:t>Camilla Torello</w:t>
            </w:r>
          </w:p>
        </w:tc>
      </w:tr>
      <w:tr w:rsidR="00CC0338" w:rsidRPr="0088447F" w14:paraId="03A7F41D" w14:textId="77777777" w:rsidTr="00CC0338">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D918A9" w14:textId="77777777" w:rsidR="00CC0338" w:rsidRPr="0088447F" w:rsidRDefault="00CC0338" w:rsidP="00CC0338">
            <w:pPr>
              <w:pStyle w:val="Body"/>
              <w:spacing w:after="0" w:line="360" w:lineRule="auto"/>
              <w:jc w:val="center"/>
              <w:rPr>
                <w:rFonts w:ascii="Arial" w:hAnsi="Arial" w:cs="Arial"/>
                <w:color w:val="auto"/>
                <w:sz w:val="36"/>
                <w:szCs w:val="36"/>
              </w:rPr>
            </w:pPr>
            <w:r w:rsidRPr="0088447F">
              <w:rPr>
                <w:rFonts w:ascii="Arial" w:hAnsi="Arial" w:cs="Arial"/>
                <w:b/>
                <w:bCs/>
                <w:color w:val="auto"/>
                <w:sz w:val="36"/>
                <w:szCs w:val="36"/>
                <w:u w:color="FFC000"/>
                <w:lang w:val="en-US"/>
              </w:rPr>
              <w:t>Student ID</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93FEEE" w14:textId="77777777" w:rsidR="00CC0338" w:rsidRPr="0088447F" w:rsidRDefault="00CC0338" w:rsidP="00CC0338">
            <w:pPr>
              <w:pStyle w:val="Body"/>
              <w:spacing w:after="0" w:line="360" w:lineRule="auto"/>
              <w:jc w:val="center"/>
              <w:rPr>
                <w:rFonts w:ascii="Arial" w:hAnsi="Arial" w:cs="Arial"/>
                <w:color w:val="auto"/>
                <w:sz w:val="36"/>
                <w:szCs w:val="36"/>
              </w:rPr>
            </w:pPr>
            <w:r w:rsidRPr="0088447F">
              <w:rPr>
                <w:rFonts w:ascii="Arial" w:hAnsi="Arial" w:cs="Arial"/>
                <w:color w:val="auto"/>
                <w:sz w:val="36"/>
                <w:szCs w:val="36"/>
                <w:lang w:val="en-US"/>
              </w:rPr>
              <w:t>2010042</w:t>
            </w:r>
          </w:p>
        </w:tc>
      </w:tr>
    </w:tbl>
    <w:p w14:paraId="6FAB2351" w14:textId="775A332D" w:rsidR="00CC0338" w:rsidRDefault="00CC0338" w:rsidP="00CC0338">
      <w:pPr>
        <w:rPr>
          <w:rFonts w:ascii="Arial" w:hAnsi="Arial" w:cs="Arial"/>
          <w:sz w:val="56"/>
          <w:szCs w:val="56"/>
        </w:rPr>
      </w:pPr>
    </w:p>
    <w:p w14:paraId="5A6A3E81" w14:textId="56C0A3A7" w:rsidR="00CC0338" w:rsidRDefault="00CC0338" w:rsidP="00CC0338">
      <w:pPr>
        <w:ind w:firstLine="720"/>
        <w:rPr>
          <w:rFonts w:ascii="Arial" w:hAnsi="Arial" w:cs="Arial"/>
          <w:sz w:val="56"/>
          <w:szCs w:val="56"/>
        </w:rPr>
      </w:pPr>
    </w:p>
    <w:p w14:paraId="735E6DF9" w14:textId="77777777" w:rsidR="005E2BD7" w:rsidRDefault="005E2BD7" w:rsidP="00CC0338">
      <w:pPr>
        <w:ind w:firstLine="720"/>
        <w:rPr>
          <w:rFonts w:ascii="Arial" w:hAnsi="Arial" w:cs="Arial"/>
          <w:sz w:val="56"/>
          <w:szCs w:val="56"/>
        </w:rPr>
      </w:pPr>
    </w:p>
    <w:p w14:paraId="30433598" w14:textId="1D6BDD57" w:rsidR="00CC0338" w:rsidRPr="005E2BD7" w:rsidRDefault="00CC0338" w:rsidP="00CC0338">
      <w:pPr>
        <w:ind w:firstLine="720"/>
        <w:rPr>
          <w:rFonts w:ascii="Arial" w:hAnsi="Arial" w:cs="Arial"/>
          <w:sz w:val="40"/>
          <w:szCs w:val="40"/>
        </w:rPr>
      </w:pPr>
    </w:p>
    <w:p w14:paraId="4E171345" w14:textId="0CB56156" w:rsidR="00CC0338" w:rsidRDefault="00CC0338" w:rsidP="00CC0338">
      <w:pPr>
        <w:ind w:firstLine="720"/>
        <w:rPr>
          <w:rFonts w:ascii="Arial" w:hAnsi="Arial" w:cs="Arial"/>
          <w:sz w:val="40"/>
          <w:szCs w:val="40"/>
        </w:rPr>
      </w:pPr>
      <w:r w:rsidRPr="005E2BD7">
        <w:rPr>
          <w:rFonts w:ascii="Arial" w:hAnsi="Arial" w:cs="Arial"/>
          <w:sz w:val="40"/>
          <w:szCs w:val="40"/>
        </w:rPr>
        <w:t xml:space="preserve">Table of Contents </w:t>
      </w:r>
    </w:p>
    <w:p w14:paraId="2563D824" w14:textId="77777777" w:rsidR="005E2BD7" w:rsidRPr="005E2BD7" w:rsidRDefault="005E2BD7" w:rsidP="00CC0338">
      <w:pPr>
        <w:ind w:firstLine="720"/>
        <w:rPr>
          <w:rFonts w:ascii="Arial" w:hAnsi="Arial" w:cs="Arial"/>
          <w:sz w:val="40"/>
          <w:szCs w:val="40"/>
        </w:rPr>
      </w:pPr>
    </w:p>
    <w:p w14:paraId="08AFEA7F" w14:textId="3369EC2E" w:rsidR="004B556B" w:rsidRPr="005E2BD7" w:rsidRDefault="004B556B" w:rsidP="00CE07A8">
      <w:pPr>
        <w:pStyle w:val="NormalWeb"/>
        <w:spacing w:after="0" w:line="360" w:lineRule="auto"/>
        <w:rPr>
          <w:rFonts w:ascii="Arial" w:hAnsi="Arial" w:cs="Arial"/>
          <w:color w:val="0E101A"/>
        </w:rPr>
      </w:pPr>
      <w:r w:rsidRPr="005E2BD7">
        <w:rPr>
          <w:rFonts w:ascii="Arial" w:hAnsi="Arial" w:cs="Arial"/>
          <w:color w:val="0E101A"/>
        </w:rPr>
        <w:t>Introduction</w:t>
      </w:r>
      <w:r w:rsidR="00F863CC" w:rsidRPr="005E2BD7">
        <w:rPr>
          <w:rFonts w:ascii="Arial" w:hAnsi="Arial" w:cs="Arial"/>
          <w:color w:val="0E101A"/>
        </w:rPr>
        <w:t xml:space="preserve">                                                                          page</w:t>
      </w:r>
      <w:r w:rsidR="00B01909">
        <w:rPr>
          <w:rFonts w:ascii="Arial" w:hAnsi="Arial" w:cs="Arial"/>
          <w:color w:val="0E101A"/>
        </w:rPr>
        <w:t xml:space="preserve"> 2</w:t>
      </w:r>
    </w:p>
    <w:p w14:paraId="1EF9282F" w14:textId="592E7854" w:rsidR="004B556B" w:rsidRPr="005E2BD7" w:rsidRDefault="004B556B" w:rsidP="00CE07A8">
      <w:pPr>
        <w:spacing w:after="0" w:line="360" w:lineRule="auto"/>
        <w:rPr>
          <w:rFonts w:ascii="Arial" w:eastAsia="Times New Roman" w:hAnsi="Arial" w:cs="Arial"/>
          <w:color w:val="0E101A"/>
          <w:sz w:val="24"/>
          <w:szCs w:val="24"/>
          <w:lang w:eastAsia="en-GB"/>
        </w:rPr>
      </w:pPr>
      <w:r w:rsidRPr="005E2BD7">
        <w:rPr>
          <w:rFonts w:ascii="Arial" w:eastAsia="Times New Roman" w:hAnsi="Arial" w:cs="Arial"/>
          <w:color w:val="0E101A"/>
          <w:sz w:val="24"/>
          <w:szCs w:val="24"/>
          <w:lang w:eastAsia="en-GB"/>
        </w:rPr>
        <w:t>Childhood</w:t>
      </w:r>
      <w:r w:rsidR="00F863CC" w:rsidRPr="005E2BD7">
        <w:rPr>
          <w:rFonts w:ascii="Arial" w:eastAsia="Times New Roman" w:hAnsi="Arial" w:cs="Arial"/>
          <w:color w:val="0E101A"/>
          <w:sz w:val="24"/>
          <w:szCs w:val="24"/>
          <w:lang w:eastAsia="en-GB"/>
        </w:rPr>
        <w:t xml:space="preserve">                                                                             page</w:t>
      </w:r>
      <w:r w:rsidR="00B01909">
        <w:rPr>
          <w:rFonts w:ascii="Arial" w:eastAsia="Times New Roman" w:hAnsi="Arial" w:cs="Arial"/>
          <w:color w:val="0E101A"/>
          <w:sz w:val="24"/>
          <w:szCs w:val="24"/>
          <w:lang w:eastAsia="en-GB"/>
        </w:rPr>
        <w:t xml:space="preserve"> 2-3</w:t>
      </w:r>
    </w:p>
    <w:p w14:paraId="4EA3F043" w14:textId="369D75F1" w:rsidR="004B556B" w:rsidRPr="005E2BD7" w:rsidRDefault="004B556B" w:rsidP="00CE07A8">
      <w:pPr>
        <w:pStyle w:val="NormalWeb"/>
        <w:spacing w:after="0" w:line="360" w:lineRule="auto"/>
        <w:rPr>
          <w:rFonts w:ascii="Arial" w:hAnsi="Arial" w:cs="Arial"/>
          <w:color w:val="0E101A"/>
        </w:rPr>
      </w:pPr>
      <w:r w:rsidRPr="005E2BD7">
        <w:rPr>
          <w:rFonts w:ascii="Arial" w:hAnsi="Arial" w:cs="Arial"/>
          <w:color w:val="0E101A"/>
        </w:rPr>
        <w:t>Key elements of family life</w:t>
      </w:r>
      <w:r w:rsidR="00F863CC" w:rsidRPr="005E2BD7">
        <w:rPr>
          <w:rFonts w:ascii="Arial" w:hAnsi="Arial" w:cs="Arial"/>
          <w:color w:val="0E101A"/>
        </w:rPr>
        <w:t xml:space="preserve">                                                   page </w:t>
      </w:r>
      <w:r w:rsidR="00B01909">
        <w:rPr>
          <w:rFonts w:ascii="Arial" w:hAnsi="Arial" w:cs="Arial"/>
          <w:color w:val="0E101A"/>
        </w:rPr>
        <w:t>3</w:t>
      </w:r>
    </w:p>
    <w:p w14:paraId="62C68215" w14:textId="5CA93F3F" w:rsidR="004B556B" w:rsidRPr="005E2BD7" w:rsidRDefault="004B556B" w:rsidP="00CE07A8">
      <w:pPr>
        <w:pStyle w:val="NormalWeb"/>
        <w:spacing w:after="0" w:line="360" w:lineRule="auto"/>
        <w:rPr>
          <w:rFonts w:ascii="Arial" w:hAnsi="Arial" w:cs="Arial"/>
          <w:color w:val="0E101A"/>
        </w:rPr>
      </w:pPr>
      <w:r w:rsidRPr="005E2BD7">
        <w:rPr>
          <w:rFonts w:ascii="Arial" w:hAnsi="Arial" w:cs="Arial"/>
          <w:color w:val="0E101A"/>
        </w:rPr>
        <w:t>History of childhood</w:t>
      </w:r>
      <w:r w:rsidR="00F863CC" w:rsidRPr="005E2BD7">
        <w:rPr>
          <w:rFonts w:ascii="Arial" w:hAnsi="Arial" w:cs="Arial"/>
          <w:color w:val="0E101A"/>
        </w:rPr>
        <w:t xml:space="preserve">                                                             page</w:t>
      </w:r>
      <w:r w:rsidR="00B01909">
        <w:rPr>
          <w:rFonts w:ascii="Arial" w:hAnsi="Arial" w:cs="Arial"/>
          <w:color w:val="0E101A"/>
        </w:rPr>
        <w:t xml:space="preserve"> 3-4</w:t>
      </w:r>
    </w:p>
    <w:p w14:paraId="35ABBFEF" w14:textId="0DE73C8D" w:rsidR="004B556B" w:rsidRPr="005E2BD7" w:rsidRDefault="004B556B" w:rsidP="00CE07A8">
      <w:pPr>
        <w:pStyle w:val="NormalWeb"/>
        <w:spacing w:after="0" w:line="360" w:lineRule="auto"/>
        <w:rPr>
          <w:rFonts w:ascii="Arial" w:hAnsi="Arial" w:cs="Arial"/>
          <w:color w:val="0E101A"/>
        </w:rPr>
      </w:pPr>
      <w:r w:rsidRPr="005E2BD7">
        <w:rPr>
          <w:rFonts w:ascii="Arial" w:hAnsi="Arial" w:cs="Arial"/>
          <w:color w:val="0E101A"/>
        </w:rPr>
        <w:t>Policy and Legislation</w:t>
      </w:r>
      <w:r w:rsidR="00F863CC" w:rsidRPr="005E2BD7">
        <w:rPr>
          <w:rFonts w:ascii="Arial" w:hAnsi="Arial" w:cs="Arial"/>
          <w:color w:val="0E101A"/>
        </w:rPr>
        <w:t xml:space="preserve">                                                        </w:t>
      </w:r>
      <w:r w:rsidR="005E2BD7">
        <w:rPr>
          <w:rFonts w:ascii="Arial" w:hAnsi="Arial" w:cs="Arial"/>
          <w:color w:val="0E101A"/>
        </w:rPr>
        <w:t xml:space="preserve"> </w:t>
      </w:r>
      <w:r w:rsidR="00F863CC" w:rsidRPr="005E2BD7">
        <w:rPr>
          <w:rFonts w:ascii="Arial" w:hAnsi="Arial" w:cs="Arial"/>
          <w:color w:val="0E101A"/>
        </w:rPr>
        <w:t xml:space="preserve"> page</w:t>
      </w:r>
      <w:r w:rsidR="00B01909">
        <w:rPr>
          <w:rFonts w:ascii="Arial" w:hAnsi="Arial" w:cs="Arial"/>
          <w:color w:val="0E101A"/>
        </w:rPr>
        <w:t xml:space="preserve"> 4-5</w:t>
      </w:r>
    </w:p>
    <w:p w14:paraId="73E9610B" w14:textId="76F0A72E" w:rsidR="004B556B" w:rsidRPr="005E2BD7" w:rsidRDefault="004B556B" w:rsidP="00CE07A8">
      <w:pPr>
        <w:pStyle w:val="NormalWeb"/>
        <w:spacing w:after="0" w:line="360" w:lineRule="auto"/>
        <w:rPr>
          <w:rFonts w:ascii="Arial" w:hAnsi="Arial" w:cs="Arial"/>
          <w:color w:val="0E101A"/>
        </w:rPr>
      </w:pPr>
      <w:r w:rsidRPr="005E2BD7">
        <w:rPr>
          <w:rFonts w:ascii="Arial" w:hAnsi="Arial" w:cs="Arial"/>
          <w:color w:val="0E101A"/>
        </w:rPr>
        <w:t xml:space="preserve">Bronfenbrenner s ecological model </w:t>
      </w:r>
      <w:r w:rsidR="00F863CC" w:rsidRPr="005E2BD7">
        <w:rPr>
          <w:rFonts w:ascii="Arial" w:hAnsi="Arial" w:cs="Arial"/>
          <w:color w:val="0E101A"/>
        </w:rPr>
        <w:t xml:space="preserve">                                   </w:t>
      </w:r>
      <w:r w:rsidR="005E2BD7">
        <w:rPr>
          <w:rFonts w:ascii="Arial" w:hAnsi="Arial" w:cs="Arial"/>
          <w:color w:val="0E101A"/>
        </w:rPr>
        <w:t xml:space="preserve">  </w:t>
      </w:r>
      <w:r w:rsidR="00F863CC" w:rsidRPr="005E2BD7">
        <w:rPr>
          <w:rFonts w:ascii="Arial" w:hAnsi="Arial" w:cs="Arial"/>
          <w:color w:val="0E101A"/>
        </w:rPr>
        <w:t xml:space="preserve">page </w:t>
      </w:r>
      <w:r w:rsidR="00B01909">
        <w:rPr>
          <w:rFonts w:ascii="Arial" w:hAnsi="Arial" w:cs="Arial"/>
          <w:color w:val="0E101A"/>
        </w:rPr>
        <w:t>5-7</w:t>
      </w:r>
    </w:p>
    <w:p w14:paraId="0A956756" w14:textId="62AB353B" w:rsidR="004B556B" w:rsidRPr="005E2BD7" w:rsidRDefault="004B556B" w:rsidP="00CE07A8">
      <w:pPr>
        <w:pStyle w:val="NormalWeb"/>
        <w:spacing w:after="0" w:line="360" w:lineRule="auto"/>
        <w:rPr>
          <w:rFonts w:ascii="Arial" w:hAnsi="Arial" w:cs="Arial"/>
          <w:color w:val="0E101A"/>
        </w:rPr>
      </w:pPr>
      <w:r w:rsidRPr="005E2BD7">
        <w:rPr>
          <w:rFonts w:ascii="Arial" w:hAnsi="Arial" w:cs="Arial"/>
          <w:color w:val="0E101A"/>
        </w:rPr>
        <w:t>Maslow theory</w:t>
      </w:r>
      <w:r w:rsidR="00F863CC" w:rsidRPr="005E2BD7">
        <w:rPr>
          <w:rFonts w:ascii="Arial" w:hAnsi="Arial" w:cs="Arial"/>
          <w:color w:val="0E101A"/>
        </w:rPr>
        <w:t xml:space="preserve">                                                                      page </w:t>
      </w:r>
      <w:r w:rsidR="00B01909">
        <w:rPr>
          <w:rFonts w:ascii="Arial" w:hAnsi="Arial" w:cs="Arial"/>
          <w:color w:val="0E101A"/>
        </w:rPr>
        <w:t>7-8</w:t>
      </w:r>
    </w:p>
    <w:p w14:paraId="551FBD61" w14:textId="1AA3CC3E" w:rsidR="00CE07A8" w:rsidRPr="005E2BD7" w:rsidRDefault="004B556B" w:rsidP="00CE07A8">
      <w:pPr>
        <w:spacing w:after="0" w:line="360" w:lineRule="auto"/>
        <w:rPr>
          <w:rFonts w:ascii="Arial" w:eastAsia="Times New Roman" w:hAnsi="Arial" w:cs="Arial"/>
          <w:color w:val="0E101A"/>
          <w:sz w:val="24"/>
          <w:szCs w:val="24"/>
          <w:lang w:eastAsia="en-GB"/>
        </w:rPr>
      </w:pPr>
      <w:r w:rsidRPr="005E2BD7">
        <w:rPr>
          <w:rFonts w:ascii="Arial" w:eastAsia="Times New Roman" w:hAnsi="Arial" w:cs="Arial"/>
          <w:color w:val="0E101A"/>
          <w:sz w:val="24"/>
          <w:szCs w:val="24"/>
          <w:lang w:eastAsia="en-GB"/>
        </w:rPr>
        <w:t xml:space="preserve">Current Interventions and approaches to help children </w:t>
      </w:r>
      <w:r w:rsidR="00F863CC" w:rsidRPr="005E2BD7">
        <w:rPr>
          <w:rFonts w:ascii="Arial" w:eastAsia="Times New Roman" w:hAnsi="Arial" w:cs="Arial"/>
          <w:color w:val="0E101A"/>
          <w:sz w:val="24"/>
          <w:szCs w:val="24"/>
          <w:lang w:eastAsia="en-GB"/>
        </w:rPr>
        <w:t xml:space="preserve">       page </w:t>
      </w:r>
      <w:r w:rsidR="00B01909">
        <w:rPr>
          <w:rFonts w:ascii="Arial" w:eastAsia="Times New Roman" w:hAnsi="Arial" w:cs="Arial"/>
          <w:color w:val="0E101A"/>
          <w:sz w:val="24"/>
          <w:szCs w:val="24"/>
          <w:lang w:eastAsia="en-GB"/>
        </w:rPr>
        <w:t>8-10</w:t>
      </w:r>
    </w:p>
    <w:p w14:paraId="17AF805B" w14:textId="6E1E9C18" w:rsidR="004B556B" w:rsidRPr="005E2BD7" w:rsidRDefault="00CE07A8" w:rsidP="00CE07A8">
      <w:pPr>
        <w:spacing w:after="0" w:line="360" w:lineRule="auto"/>
        <w:rPr>
          <w:rFonts w:ascii="Arial" w:eastAsia="Times New Roman" w:hAnsi="Arial" w:cs="Arial"/>
          <w:color w:val="0E101A"/>
          <w:sz w:val="24"/>
          <w:szCs w:val="24"/>
          <w:lang w:eastAsia="en-GB"/>
        </w:rPr>
      </w:pPr>
      <w:r w:rsidRPr="005E2BD7">
        <w:rPr>
          <w:rFonts w:ascii="Arial" w:eastAsia="Times New Roman" w:hAnsi="Arial" w:cs="Arial"/>
          <w:color w:val="0E101A"/>
          <w:sz w:val="24"/>
          <w:szCs w:val="24"/>
          <w:lang w:eastAsia="en-GB"/>
        </w:rPr>
        <w:t xml:space="preserve">             </w:t>
      </w:r>
      <w:r w:rsidR="004B556B" w:rsidRPr="005E2BD7">
        <w:rPr>
          <w:rFonts w:ascii="Arial" w:eastAsia="Times New Roman" w:hAnsi="Arial" w:cs="Arial"/>
          <w:color w:val="0E101A"/>
          <w:sz w:val="24"/>
          <w:szCs w:val="24"/>
          <w:lang w:eastAsia="en-GB"/>
        </w:rPr>
        <w:t>and different families</w:t>
      </w:r>
    </w:p>
    <w:p w14:paraId="2E7F6167" w14:textId="3FDA1519" w:rsidR="00CE07A8" w:rsidRDefault="00CE07A8" w:rsidP="00CE07A8">
      <w:pPr>
        <w:spacing w:after="0" w:line="360" w:lineRule="auto"/>
        <w:rPr>
          <w:rFonts w:ascii="Arial" w:eastAsia="Times New Roman" w:hAnsi="Arial" w:cs="Arial"/>
          <w:color w:val="0E101A"/>
          <w:sz w:val="24"/>
          <w:szCs w:val="24"/>
          <w:lang w:eastAsia="en-GB"/>
        </w:rPr>
      </w:pPr>
      <w:r w:rsidRPr="005E2BD7">
        <w:rPr>
          <w:rFonts w:ascii="Arial" w:eastAsia="Times New Roman" w:hAnsi="Arial" w:cs="Arial"/>
          <w:color w:val="0E101A"/>
          <w:sz w:val="24"/>
          <w:szCs w:val="24"/>
          <w:lang w:eastAsia="en-GB"/>
        </w:rPr>
        <w:t>Conclusion</w:t>
      </w:r>
      <w:r w:rsidR="00F863CC" w:rsidRPr="005E2BD7">
        <w:rPr>
          <w:rFonts w:ascii="Arial" w:eastAsia="Times New Roman" w:hAnsi="Arial" w:cs="Arial"/>
          <w:color w:val="0E101A"/>
          <w:sz w:val="24"/>
          <w:szCs w:val="24"/>
          <w:lang w:eastAsia="en-GB"/>
        </w:rPr>
        <w:t xml:space="preserve">                                                                           </w:t>
      </w:r>
      <w:r w:rsidR="005E2BD7">
        <w:rPr>
          <w:rFonts w:ascii="Arial" w:eastAsia="Times New Roman" w:hAnsi="Arial" w:cs="Arial"/>
          <w:color w:val="0E101A"/>
          <w:sz w:val="24"/>
          <w:szCs w:val="24"/>
          <w:lang w:eastAsia="en-GB"/>
        </w:rPr>
        <w:t xml:space="preserve"> </w:t>
      </w:r>
      <w:r w:rsidR="00F863CC" w:rsidRPr="005E2BD7">
        <w:rPr>
          <w:rFonts w:ascii="Arial" w:eastAsia="Times New Roman" w:hAnsi="Arial" w:cs="Arial"/>
          <w:color w:val="0E101A"/>
          <w:sz w:val="24"/>
          <w:szCs w:val="24"/>
          <w:lang w:eastAsia="en-GB"/>
        </w:rPr>
        <w:t xml:space="preserve">page </w:t>
      </w:r>
      <w:r w:rsidR="00B01909">
        <w:rPr>
          <w:rFonts w:ascii="Arial" w:eastAsia="Times New Roman" w:hAnsi="Arial" w:cs="Arial"/>
          <w:color w:val="0E101A"/>
          <w:sz w:val="24"/>
          <w:szCs w:val="24"/>
          <w:lang w:eastAsia="en-GB"/>
        </w:rPr>
        <w:t>10</w:t>
      </w:r>
    </w:p>
    <w:p w14:paraId="2C683726" w14:textId="7EDA92FC" w:rsidR="00B01909" w:rsidRDefault="00B01909" w:rsidP="00CE07A8">
      <w:pPr>
        <w:spacing w:after="0" w:line="360" w:lineRule="auto"/>
        <w:rPr>
          <w:rFonts w:ascii="Arial" w:eastAsia="Times New Roman" w:hAnsi="Arial" w:cs="Arial"/>
          <w:color w:val="0E101A"/>
          <w:sz w:val="24"/>
          <w:szCs w:val="24"/>
          <w:lang w:eastAsia="en-GB"/>
        </w:rPr>
      </w:pPr>
      <w:r>
        <w:rPr>
          <w:rFonts w:ascii="Arial" w:eastAsia="Times New Roman" w:hAnsi="Arial" w:cs="Arial"/>
          <w:color w:val="0E101A"/>
          <w:sz w:val="24"/>
          <w:szCs w:val="24"/>
          <w:lang w:eastAsia="en-GB"/>
        </w:rPr>
        <w:t>Appendix                                                                               page 11-12</w:t>
      </w:r>
    </w:p>
    <w:p w14:paraId="2245DB8A" w14:textId="3B2CF45F" w:rsidR="00B01909" w:rsidRPr="005E2BD7" w:rsidRDefault="00B01909" w:rsidP="00CE07A8">
      <w:pPr>
        <w:spacing w:after="0" w:line="360" w:lineRule="auto"/>
        <w:rPr>
          <w:rFonts w:ascii="Arial" w:eastAsia="Times New Roman" w:hAnsi="Arial" w:cs="Arial"/>
          <w:color w:val="0E101A"/>
          <w:sz w:val="24"/>
          <w:szCs w:val="24"/>
          <w:lang w:eastAsia="en-GB"/>
        </w:rPr>
      </w:pPr>
      <w:r>
        <w:rPr>
          <w:rFonts w:ascii="Arial" w:eastAsia="Times New Roman" w:hAnsi="Arial" w:cs="Arial"/>
          <w:color w:val="0E101A"/>
          <w:sz w:val="24"/>
          <w:szCs w:val="24"/>
          <w:lang w:eastAsia="en-GB"/>
        </w:rPr>
        <w:t xml:space="preserve">References                                                                            page 13-15          </w:t>
      </w:r>
    </w:p>
    <w:p w14:paraId="3E805CB4" w14:textId="77777777" w:rsidR="00CC0338" w:rsidRPr="005E2BD7" w:rsidRDefault="00CC0338" w:rsidP="00CC0338">
      <w:pPr>
        <w:ind w:firstLine="720"/>
        <w:rPr>
          <w:rFonts w:ascii="Arial" w:hAnsi="Arial" w:cs="Arial"/>
          <w:sz w:val="24"/>
          <w:szCs w:val="24"/>
        </w:rPr>
      </w:pPr>
    </w:p>
    <w:p w14:paraId="6FF93FBA" w14:textId="480EB62F" w:rsidR="00CC0338" w:rsidRPr="005E2BD7" w:rsidRDefault="00CC0338" w:rsidP="00CC0338">
      <w:pPr>
        <w:rPr>
          <w:rFonts w:ascii="Arial" w:hAnsi="Arial" w:cs="Arial"/>
          <w:sz w:val="24"/>
          <w:szCs w:val="24"/>
        </w:rPr>
      </w:pPr>
    </w:p>
    <w:p w14:paraId="77700D66" w14:textId="20BF0A94" w:rsidR="00CC0338" w:rsidRPr="005E2BD7" w:rsidRDefault="00CC0338" w:rsidP="00CC0338">
      <w:pPr>
        <w:rPr>
          <w:rFonts w:ascii="Arial" w:hAnsi="Arial" w:cs="Arial"/>
          <w:sz w:val="24"/>
          <w:szCs w:val="24"/>
        </w:rPr>
      </w:pPr>
    </w:p>
    <w:p w14:paraId="5C058171" w14:textId="5A43B64C" w:rsidR="00CC0338" w:rsidRPr="005E2BD7" w:rsidRDefault="00CC0338" w:rsidP="00CC0338">
      <w:pPr>
        <w:rPr>
          <w:rFonts w:ascii="Arial" w:hAnsi="Arial" w:cs="Arial"/>
        </w:rPr>
      </w:pPr>
    </w:p>
    <w:p w14:paraId="72B5712D" w14:textId="35C3B6F2" w:rsidR="00CC0338" w:rsidRPr="005E2BD7" w:rsidRDefault="00CC0338" w:rsidP="00CC0338">
      <w:pPr>
        <w:rPr>
          <w:rFonts w:ascii="Arial" w:hAnsi="Arial" w:cs="Arial"/>
        </w:rPr>
      </w:pPr>
    </w:p>
    <w:p w14:paraId="304E3576" w14:textId="33938FEE" w:rsidR="00CC0338" w:rsidRPr="005E2BD7" w:rsidRDefault="00CC0338" w:rsidP="00CC0338">
      <w:pPr>
        <w:rPr>
          <w:rFonts w:ascii="Arial" w:hAnsi="Arial" w:cs="Arial"/>
        </w:rPr>
      </w:pPr>
    </w:p>
    <w:p w14:paraId="3F057607" w14:textId="4F8DB8D8" w:rsidR="00DA6666" w:rsidRPr="005E2BD7" w:rsidRDefault="00DA6666" w:rsidP="00CC0338">
      <w:pPr>
        <w:rPr>
          <w:rFonts w:ascii="Arial" w:hAnsi="Arial" w:cs="Arial"/>
        </w:rPr>
      </w:pPr>
    </w:p>
    <w:p w14:paraId="0AF90931" w14:textId="616A6D83" w:rsidR="00DA6666" w:rsidRDefault="00DA6666" w:rsidP="00CC0338">
      <w:pPr>
        <w:rPr>
          <w:rFonts w:ascii="Arial" w:hAnsi="Arial" w:cs="Arial"/>
        </w:rPr>
      </w:pPr>
    </w:p>
    <w:p w14:paraId="4AF833C0" w14:textId="2EE61B93" w:rsidR="00EB6E61" w:rsidRDefault="00EB6E61" w:rsidP="00CC0338">
      <w:pPr>
        <w:rPr>
          <w:rFonts w:ascii="Arial" w:hAnsi="Arial" w:cs="Arial"/>
        </w:rPr>
      </w:pPr>
    </w:p>
    <w:p w14:paraId="4CBCB38A" w14:textId="7E408680" w:rsidR="00EB6E61" w:rsidRDefault="00EB6E61" w:rsidP="00CC0338">
      <w:pPr>
        <w:rPr>
          <w:rFonts w:ascii="Arial" w:hAnsi="Arial" w:cs="Arial"/>
        </w:rPr>
      </w:pPr>
    </w:p>
    <w:p w14:paraId="0C74E6BF" w14:textId="7BC4E5CE" w:rsidR="00EB6E61" w:rsidRDefault="00EB6E61" w:rsidP="00CC0338">
      <w:pPr>
        <w:rPr>
          <w:rFonts w:ascii="Arial" w:hAnsi="Arial" w:cs="Arial"/>
        </w:rPr>
      </w:pPr>
    </w:p>
    <w:p w14:paraId="4BB1076C" w14:textId="6176902D" w:rsidR="00EB6E61" w:rsidRDefault="00EB6E61" w:rsidP="00CC0338">
      <w:pPr>
        <w:rPr>
          <w:rFonts w:ascii="Arial" w:hAnsi="Arial" w:cs="Arial"/>
        </w:rPr>
      </w:pPr>
    </w:p>
    <w:p w14:paraId="1C85F54D" w14:textId="77777777" w:rsidR="00EB6E61" w:rsidRPr="005E2BD7" w:rsidRDefault="00EB6E61" w:rsidP="00CC0338">
      <w:pPr>
        <w:rPr>
          <w:rFonts w:ascii="Arial" w:hAnsi="Arial" w:cs="Arial"/>
        </w:rPr>
      </w:pPr>
    </w:p>
    <w:p w14:paraId="5A095CAA" w14:textId="77777777" w:rsidR="00DA6666" w:rsidRPr="00EB6E61" w:rsidRDefault="00DA6666" w:rsidP="00DA6666">
      <w:pPr>
        <w:pStyle w:val="NormalWeb"/>
        <w:spacing w:after="0"/>
        <w:rPr>
          <w:rFonts w:ascii="Arial" w:hAnsi="Arial" w:cs="Arial"/>
          <w:color w:val="0E101A"/>
          <w:sz w:val="32"/>
          <w:szCs w:val="32"/>
        </w:rPr>
      </w:pPr>
      <w:r w:rsidRPr="00EB6E61">
        <w:rPr>
          <w:rFonts w:ascii="Arial" w:hAnsi="Arial" w:cs="Arial"/>
          <w:color w:val="0E101A"/>
          <w:sz w:val="32"/>
          <w:szCs w:val="32"/>
        </w:rPr>
        <w:t>Introduction</w:t>
      </w:r>
    </w:p>
    <w:p w14:paraId="3434C25F" w14:textId="77777777" w:rsidR="00DA6666" w:rsidRPr="005E2BD7" w:rsidRDefault="00DA6666" w:rsidP="00DA6666">
      <w:pPr>
        <w:pStyle w:val="NormalWeb"/>
        <w:spacing w:after="0" w:line="360" w:lineRule="auto"/>
        <w:rPr>
          <w:rFonts w:ascii="Arial" w:hAnsi="Arial" w:cs="Arial"/>
          <w:color w:val="0E101A"/>
          <w:sz w:val="22"/>
          <w:szCs w:val="22"/>
        </w:rPr>
      </w:pPr>
      <w:r w:rsidRPr="005E2BD7">
        <w:rPr>
          <w:rFonts w:ascii="Arial" w:hAnsi="Arial" w:cs="Arial"/>
          <w:color w:val="0E101A"/>
          <w:sz w:val="22"/>
          <w:szCs w:val="22"/>
          <w:shd w:val="clear" w:color="auto" w:fill="FFFFFF"/>
        </w:rPr>
        <w:t>This academic paper is discussing childhood. There will be an analysis of what childhood is, as well as what the word children means. The analysis will be presented and supported by an overview of the historical construction of childhood. This will be demonstrated by the changes in childhood meaning that have taken place in Britain during the past century due to social construction. By analysing the past, the factors will be evaluated and discussed with the aim of highlighting the progress made since that time. When the When the current time is described, the background of social construction will be examined by theories and models of intervention.</w:t>
      </w:r>
    </w:p>
    <w:p w14:paraId="67117D77" w14:textId="77777777" w:rsidR="00DA6666" w:rsidRPr="00063C97" w:rsidRDefault="00DA6666" w:rsidP="00DA6666">
      <w:pPr>
        <w:spacing w:after="0" w:line="360" w:lineRule="auto"/>
        <w:rPr>
          <w:rFonts w:ascii="Arial" w:eastAsia="Times New Roman" w:hAnsi="Arial" w:cs="Arial"/>
          <w:color w:val="0E101A"/>
          <w:sz w:val="32"/>
          <w:szCs w:val="32"/>
          <w:lang w:eastAsia="en-GB"/>
        </w:rPr>
      </w:pPr>
      <w:r w:rsidRPr="00063C97">
        <w:rPr>
          <w:rFonts w:ascii="Arial" w:eastAsia="Times New Roman" w:hAnsi="Arial" w:cs="Arial"/>
          <w:color w:val="0E101A"/>
          <w:sz w:val="32"/>
          <w:szCs w:val="32"/>
          <w:lang w:eastAsia="en-GB"/>
        </w:rPr>
        <w:t>Childhood</w:t>
      </w:r>
    </w:p>
    <w:p w14:paraId="25073EF6" w14:textId="77777777" w:rsidR="00DA6666" w:rsidRPr="005E2BD7" w:rsidRDefault="00DA6666" w:rsidP="00DA6666">
      <w:pPr>
        <w:spacing w:after="0" w:line="360" w:lineRule="auto"/>
        <w:rPr>
          <w:rFonts w:ascii="Arial" w:eastAsia="Times New Roman" w:hAnsi="Arial" w:cs="Arial"/>
          <w:color w:val="0E101A"/>
          <w:lang w:eastAsia="en-GB"/>
        </w:rPr>
      </w:pPr>
      <w:r w:rsidRPr="005E2BD7">
        <w:rPr>
          <w:rFonts w:ascii="Arial" w:hAnsi="Arial" w:cs="Arial"/>
          <w:color w:val="0E101A"/>
          <w:shd w:val="clear" w:color="auto" w:fill="FFFFFF"/>
        </w:rPr>
        <w:t xml:space="preserve">Childhood is influenced by different conceptions of what it means to be a child. Various definitions and perspectives can be seen according to the United Nations Convention on the Rights of the Child (UNCRC), the child is someone under 18 years of age. According to the Child Support Act 1991 section 55, a child is “a young person between the ages of 0 and 16 or under the age of 19 and enrolled in a full-time educational program” (Kheily, 2013). Any human being that hasn’t reached the adult stage is referred to as a child in the past and in the present. This is because childhood and children have been influenced by social, biological, cultural, and legal factors. There is no universally agreed definition of childhood as there are different conditions that apply to the terms. “Socio-political constructs” is what Steve Wagg refers to when he describes childhood as social construction: “Circumstances that shape lives are socially built.” (Wagg, 1992). According to Wagg, childhood is shaped by culture, period, and location, as well as by legislation underlying the origins of beliefs in a particular population. Since childhood is not just a biological process, there is no universal terminology applicable to everyone. According to Mcdowall-Clark, children may have social and psychological issues due to family needs, bonding, and material deprivation. The family is the nuclear environment in which childhood gets constructed, but it is influenced by different factors such as politics, socioeconomics, culture, and lifestyle. It is quite common to notice the difference between childhoods by looking, for example, at the different ages of children's marriage or the children's work duties: in the UK, work is only permitted for those over 16. While in a country like Bolivia, children can start their job career at the age of 10. </w:t>
      </w:r>
      <w:r w:rsidRPr="005E2BD7">
        <w:rPr>
          <w:rFonts w:ascii="Arial" w:hAnsi="Arial" w:cs="Arial"/>
          <w:color w:val="0E101A"/>
          <w:shd w:val="clear" w:color="auto" w:fill="FFFFFF"/>
        </w:rPr>
        <w:lastRenderedPageBreak/>
        <w:t>The same is happening with children's marriage: in Yemen, it is believed that children are ready to be married by the age of 9, but according to Human Rights Watch (HRW) the minimum age should be 15</w:t>
      </w:r>
      <w:r w:rsidRPr="005E2BD7">
        <w:rPr>
          <w:rFonts w:ascii="Arial" w:eastAsia="Times New Roman" w:hAnsi="Arial" w:cs="Arial"/>
          <w:color w:val="0E101A"/>
          <w:lang w:eastAsia="en-GB"/>
        </w:rPr>
        <w:t>.</w:t>
      </w:r>
    </w:p>
    <w:p w14:paraId="22071918" w14:textId="77777777" w:rsidR="00DA6666" w:rsidRPr="005E2BD7" w:rsidRDefault="00DA6666" w:rsidP="00DA6666">
      <w:pPr>
        <w:pStyle w:val="NormalWeb"/>
        <w:spacing w:before="0" w:beforeAutospacing="0" w:after="0" w:afterAutospacing="0"/>
        <w:rPr>
          <w:rFonts w:ascii="Arial" w:hAnsi="Arial" w:cs="Arial"/>
          <w:color w:val="0E101A"/>
          <w:sz w:val="22"/>
          <w:szCs w:val="22"/>
        </w:rPr>
      </w:pPr>
    </w:p>
    <w:p w14:paraId="055A6A44" w14:textId="77777777" w:rsidR="00DA6666" w:rsidRPr="00063C97" w:rsidRDefault="00DA6666" w:rsidP="00DA6666">
      <w:pPr>
        <w:pStyle w:val="NormalWeb"/>
        <w:spacing w:after="0"/>
        <w:rPr>
          <w:rFonts w:ascii="Arial" w:hAnsi="Arial" w:cs="Arial"/>
          <w:color w:val="0E101A"/>
          <w:sz w:val="32"/>
          <w:szCs w:val="32"/>
        </w:rPr>
      </w:pPr>
      <w:r w:rsidRPr="00063C97">
        <w:rPr>
          <w:rFonts w:ascii="Arial" w:hAnsi="Arial" w:cs="Arial"/>
          <w:color w:val="0E101A"/>
          <w:sz w:val="32"/>
          <w:szCs w:val="32"/>
        </w:rPr>
        <w:t>Key elements of family life</w:t>
      </w:r>
    </w:p>
    <w:p w14:paraId="78AB5D2F"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00000"/>
          <w:lang w:eastAsia="en-GB"/>
        </w:rPr>
      </w:pPr>
      <w:r w:rsidRPr="005E2BD7">
        <w:rPr>
          <w:rFonts w:ascii="Arial" w:eastAsia="Times New Roman" w:hAnsi="Arial" w:cs="Arial"/>
          <w:color w:val="0E101A"/>
          <w:lang w:eastAsia="en-GB"/>
        </w:rPr>
        <w:t>According to Mondal, the family “is an intimate domestic group made up of people related to one another by bonds of blood, sexual mating, or legal ties. It is the smallest and most basic social unit, which is also the most significant primary group found in any society.” (Mondal,2021)</w:t>
      </w:r>
    </w:p>
    <w:p w14:paraId="6122D3E6"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00000"/>
          <w:lang w:eastAsia="en-GB"/>
        </w:rPr>
      </w:pPr>
      <w:r w:rsidRPr="005E2BD7">
        <w:rPr>
          <w:rFonts w:ascii="Arial" w:eastAsia="Times New Roman" w:hAnsi="Arial" w:cs="Arial"/>
          <w:color w:val="0E101A"/>
          <w:lang w:eastAsia="en-GB"/>
        </w:rPr>
        <w:t>The purpose of the family is to maintain the well-being of individuals and is the primary step of socialisation for children. The family also functions as cultural transmission. The concept of family has always existed, but its meaning has changed throughout history.</w:t>
      </w:r>
    </w:p>
    <w:p w14:paraId="10281A44"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00000"/>
          <w:lang w:eastAsia="en-GB"/>
        </w:rPr>
      </w:pPr>
      <w:r w:rsidRPr="005E2BD7">
        <w:rPr>
          <w:rFonts w:ascii="Arial" w:eastAsia="Times New Roman" w:hAnsi="Arial" w:cs="Arial"/>
          <w:color w:val="0E101A"/>
          <w:lang w:eastAsia="en-GB"/>
        </w:rPr>
        <w:t>The first conception of the family was based on a biological factor: a father and a mother and their respective biological children. Social-economic factors and lifestyle changes have affected the social construction of the family: women start to work, divorce becomes legal, adoption and fostering become a reality. Now there are different types of settings that are considered families, such as a single-parent family, blended family, extended family, and the chosen family, just to mention some. </w:t>
      </w:r>
      <w:r w:rsidRPr="005E2BD7">
        <w:rPr>
          <w:rFonts w:ascii="Arial" w:hAnsi="Arial" w:cs="Arial"/>
          <w:color w:val="0E101A"/>
          <w:shd w:val="clear" w:color="auto" w:fill="FFFFFF"/>
        </w:rPr>
        <w:t>The family normally has key elements that have universal characteristics such as mutual respect, emotional support, provision of basic needs and cooperation as a unique entity.</w:t>
      </w:r>
    </w:p>
    <w:p w14:paraId="6D8451E8" w14:textId="77777777" w:rsidR="00DA6666" w:rsidRPr="00063C97" w:rsidRDefault="00DA6666" w:rsidP="00DA6666">
      <w:pPr>
        <w:pStyle w:val="NormalWeb"/>
        <w:spacing w:after="0"/>
        <w:rPr>
          <w:rFonts w:ascii="Arial" w:hAnsi="Arial" w:cs="Arial"/>
          <w:color w:val="0E101A"/>
          <w:sz w:val="32"/>
          <w:szCs w:val="32"/>
        </w:rPr>
      </w:pPr>
      <w:r w:rsidRPr="00063C97">
        <w:rPr>
          <w:rFonts w:ascii="Arial" w:hAnsi="Arial" w:cs="Arial"/>
          <w:color w:val="0E101A"/>
          <w:sz w:val="32"/>
          <w:szCs w:val="32"/>
        </w:rPr>
        <w:t>History of childhood</w:t>
      </w:r>
    </w:p>
    <w:p w14:paraId="08471BC2"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00000"/>
          <w:lang w:eastAsia="en-GB"/>
        </w:rPr>
      </w:pPr>
      <w:r w:rsidRPr="005E2BD7">
        <w:rPr>
          <w:rFonts w:ascii="Arial" w:eastAsia="Times New Roman" w:hAnsi="Arial" w:cs="Arial"/>
          <w:color w:val="0E101A"/>
          <w:lang w:eastAsia="en-GB"/>
        </w:rPr>
        <w:t>Before 1970 there was not much written about childhood, and the primary discussions were more related to the right to be called children and their universal definition seek. (Aries, 2013).</w:t>
      </w:r>
    </w:p>
    <w:p w14:paraId="2B00994D"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00000"/>
          <w:lang w:eastAsia="en-GB"/>
        </w:rPr>
      </w:pPr>
      <w:r w:rsidRPr="005E2BD7">
        <w:rPr>
          <w:rFonts w:ascii="Arial" w:eastAsia="Times New Roman" w:hAnsi="Arial" w:cs="Arial"/>
          <w:color w:val="0E101A"/>
          <w:lang w:eastAsia="en-GB"/>
        </w:rPr>
        <w:t>As ancient Roman children were used as a workforce, a child was considered an adult at age 12 for women and 14 for men. Gordian III, who governs from 238 to 244, became a king at the age of 13.</w:t>
      </w:r>
    </w:p>
    <w:p w14:paraId="5105DED0"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00000"/>
          <w:lang w:eastAsia="en-GB"/>
        </w:rPr>
      </w:pPr>
      <w:r w:rsidRPr="005E2BD7">
        <w:rPr>
          <w:rFonts w:ascii="Arial" w:eastAsia="Times New Roman" w:hAnsi="Arial" w:cs="Arial"/>
          <w:color w:val="0E101A"/>
          <w:lang w:eastAsia="en-GB"/>
        </w:rPr>
        <w:t>During the medieval ages, children were employed in the family business or were recommended to relatives or friends with the aim of helping the household economy. According to Hedegaard, “the interconnection of employment, residences, home labour demands, subsidies comprise family economics” (Hedergaard, 2020)</w:t>
      </w:r>
    </w:p>
    <w:p w14:paraId="6941A21C"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E101A"/>
          <w:lang w:eastAsia="en-GB"/>
        </w:rPr>
      </w:pPr>
      <w:r w:rsidRPr="005E2BD7">
        <w:rPr>
          <w:rFonts w:ascii="Arial" w:eastAsia="Times New Roman" w:hAnsi="Arial" w:cs="Arial"/>
          <w:color w:val="0E101A"/>
          <w:lang w:eastAsia="en-GB"/>
        </w:rPr>
        <w:lastRenderedPageBreak/>
        <w:t>Regarding the UK, it is necessary to mention the industrial revolution era. Great Britain became industrialised in 1760. child labour became a political and social issue because of the high demand of industrial bodies, and it officially becomes the first country to highlight childhood as a social construction problem (Adekundle,2022). Children's inactivity was considered an issue, but their exploitation wasn’t. The textile industry employed a considerable number of young people, according to Cruikshank (Cruikshank, 0000). The industrial revolution was one of the factors in children's inequality improvement: because the UK had a high improvement in living standards, children started to receive home education with the mother supervising the house while the husband was in the factory (Sterns, 2020).</w:t>
      </w:r>
    </w:p>
    <w:p w14:paraId="15F4F021"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00000"/>
          <w:lang w:eastAsia="en-GB"/>
        </w:rPr>
      </w:pPr>
      <w:r w:rsidRPr="005E2BD7">
        <w:rPr>
          <w:rFonts w:ascii="Arial" w:eastAsia="Times New Roman" w:hAnsi="Arial" w:cs="Arial"/>
          <w:color w:val="0E101A"/>
          <w:lang w:eastAsia="en-GB"/>
        </w:rPr>
        <w:t>In the Victorian era, Queen Victoria was the monarch of the United Kingdom. As the population grows and the industrial sector develops continuously, this era is characterized by population growth. Children were working as coal miners, chimney sweeps or on farms (Dickens, 2022). Furthermore, many of them were railway workers despite the heavy work involved.</w:t>
      </w:r>
    </w:p>
    <w:p w14:paraId="70ACE14D"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00000"/>
          <w:lang w:eastAsia="en-GB"/>
        </w:rPr>
      </w:pPr>
      <w:r w:rsidRPr="005E2BD7">
        <w:rPr>
          <w:rFonts w:ascii="Arial" w:eastAsia="Times New Roman" w:hAnsi="Arial" w:cs="Arial"/>
          <w:color w:val="0E101A"/>
          <w:lang w:eastAsia="en-GB"/>
        </w:rPr>
        <w:t>If we consider a childlike point of view from Locke's perspective, as "tabula rasa" (children learn by surrounding as they are born with no knowledge), it can be said that social constructions are easily malleable, and childhood is influenced negatively by the surrounding environment.</w:t>
      </w:r>
    </w:p>
    <w:p w14:paraId="334C3378" w14:textId="77777777" w:rsidR="00DA6666" w:rsidRPr="005E2BD7" w:rsidRDefault="00DA6666" w:rsidP="00DA6666">
      <w:pPr>
        <w:shd w:val="clear" w:color="auto" w:fill="FFFFFF"/>
        <w:spacing w:after="0" w:line="360" w:lineRule="auto"/>
        <w:rPr>
          <w:rFonts w:ascii="Arial" w:eastAsia="Times New Roman" w:hAnsi="Arial" w:cs="Arial"/>
          <w:color w:val="000000"/>
          <w:lang w:eastAsia="en-GB"/>
        </w:rPr>
      </w:pPr>
      <w:r w:rsidRPr="005E2BD7">
        <w:rPr>
          <w:rFonts w:ascii="Arial" w:eastAsia="Times New Roman" w:hAnsi="Arial" w:cs="Arial"/>
          <w:color w:val="0E101A"/>
          <w:lang w:eastAsia="en-GB"/>
        </w:rPr>
        <w:t>According to Rousseau, children are born innocent (in contrast to Hobe’s belief that children are born with an evil nature) (Rosseau, 2017). Rousseau also thought that if individuals were allowed to grow organically, without the restraint put out by society, they would develop their most educational and moral potential.</w:t>
      </w:r>
    </w:p>
    <w:p w14:paraId="0D5F5D09" w14:textId="77777777" w:rsidR="00DA6666" w:rsidRPr="00063C97" w:rsidRDefault="00DA6666" w:rsidP="00DA6666">
      <w:pPr>
        <w:pStyle w:val="NormalWeb"/>
        <w:spacing w:after="0"/>
        <w:rPr>
          <w:rFonts w:ascii="Arial" w:hAnsi="Arial" w:cs="Arial"/>
          <w:color w:val="0E101A"/>
          <w:sz w:val="32"/>
          <w:szCs w:val="32"/>
        </w:rPr>
      </w:pPr>
      <w:r w:rsidRPr="00063C97">
        <w:rPr>
          <w:rFonts w:ascii="Arial" w:hAnsi="Arial" w:cs="Arial"/>
          <w:color w:val="0E101A"/>
          <w:sz w:val="32"/>
          <w:szCs w:val="32"/>
        </w:rPr>
        <w:t>Policy and Legislation</w:t>
      </w:r>
    </w:p>
    <w:p w14:paraId="1E80DEF7"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00000"/>
          <w:lang w:eastAsia="en-GB"/>
        </w:rPr>
      </w:pPr>
      <w:r w:rsidRPr="005E2BD7">
        <w:rPr>
          <w:rFonts w:ascii="Arial" w:eastAsia="Times New Roman" w:hAnsi="Arial" w:cs="Arial"/>
          <w:color w:val="0E101A"/>
          <w:lang w:eastAsia="en-GB"/>
        </w:rPr>
        <w:t>In the industrial period, child labour becomes a concern due to the lack of regulations on working conditions. As a result, many children were armed, and the government was persuaded by economic growth instead of enhancing the protection of children. It was common practice to put children in mines for 12 to 18 hours with hardly any air or space (Walker, 2013). This automatically causes a rise in catastrophes and deaths. An organisation was created with the aim of protecting children in 1875 in the USA (Antoniu et al, 2012). The protection was then reinforced with the introduction of mandatory education in 1880 (Education Act) and the restriction of child labour.</w:t>
      </w:r>
    </w:p>
    <w:p w14:paraId="50F66227"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00000"/>
          <w:lang w:eastAsia="en-GB"/>
        </w:rPr>
      </w:pPr>
      <w:r w:rsidRPr="005E2BD7">
        <w:rPr>
          <w:rFonts w:ascii="Arial" w:eastAsia="Times New Roman" w:hAnsi="Arial" w:cs="Arial"/>
          <w:color w:val="0E101A"/>
          <w:lang w:eastAsia="en-GB"/>
        </w:rPr>
        <w:lastRenderedPageBreak/>
        <w:t>The NHS in UK improves the quality of life for children by increasing free services and decreasing mortality rates dramatically. In 1880, a law protecting children from cruelty was introduced in the UK. The first children Act was recorded in 1948, and the care and protection of vulnerable children were one of the key points of the legislation. The first time that neglect was recognised as a crime was in 1973 with the revised Children Act 1975 (NSCPP, 2021), after the death of a 7-year-old girl, killed by her stepfather.</w:t>
      </w:r>
    </w:p>
    <w:p w14:paraId="17204365"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00000"/>
          <w:lang w:eastAsia="en-GB"/>
        </w:rPr>
      </w:pPr>
      <w:r w:rsidRPr="005E2BD7">
        <w:rPr>
          <w:rFonts w:ascii="Arial" w:eastAsia="Times New Roman" w:hAnsi="Arial" w:cs="Arial"/>
          <w:color w:val="0E101A"/>
          <w:lang w:eastAsia="en-GB"/>
        </w:rPr>
        <w:t>The Children's Act has been revised and tailored in 1975, 1989 and 2004, introducing every time more strict and appropriate rules for children's safety.</w:t>
      </w:r>
    </w:p>
    <w:p w14:paraId="4BC62945"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00000"/>
          <w:lang w:eastAsia="en-GB"/>
        </w:rPr>
      </w:pPr>
      <w:r w:rsidRPr="005E2BD7">
        <w:rPr>
          <w:rFonts w:ascii="Arial" w:eastAsia="Times New Roman" w:hAnsi="Arial" w:cs="Arial"/>
          <w:color w:val="0E101A"/>
          <w:lang w:eastAsia="en-GB"/>
        </w:rPr>
        <w:t>One of the biggest steps toward the recognition of the children was the “convention on the right of the child” (UNCR), where the children have gained a voice in society with a new concept of the “right of the child”.  Children differ in abilities, religion, color, culture, social status, politics, economics, and civil rights. However, they all desire the protection of the government in order to satisfy their basic needs. (Goldfield and Hayes,2012) They have the right to life, survival, and growth. They need support to achieve their full potential and be safeguarded from abuse, violence, exploitation, and neglect. In 2000 the convention also banned children in the military (considered now a war crime) and the illegality of children prostitution (Morrison et al. 2016).</w:t>
      </w:r>
    </w:p>
    <w:p w14:paraId="0C2A2305"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00000"/>
          <w:lang w:eastAsia="en-GB"/>
        </w:rPr>
      </w:pPr>
      <w:r w:rsidRPr="005E2BD7">
        <w:rPr>
          <w:rFonts w:ascii="Arial" w:eastAsia="Times New Roman" w:hAnsi="Arial" w:cs="Arial"/>
          <w:color w:val="0E101A"/>
          <w:lang w:eastAsia="en-GB"/>
        </w:rPr>
        <w:t>The laws are made to protect the childhood period from the arm. It should be remembered that welfare and stability at an early age will lead to a better future and a more productive development. According to numerous studies conducted by the neuroscientist, early-stage traumas and problems are affecting children's development and their experience.” By 3 years of age, a baby’s brain has reached almost 90 per cent of its adult size. The growth in each region of the brain largely depends on receiving stimulation, which spurs activity in that region. This stimulation provides the foundation for learning.” (Child Welfare, 2015). At an early age, a child will recognize and experience situations that could seriously affect his well-being.</w:t>
      </w:r>
    </w:p>
    <w:p w14:paraId="478E4052"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00000"/>
          <w:lang w:eastAsia="en-GB"/>
        </w:rPr>
      </w:pPr>
      <w:r w:rsidRPr="005E2BD7">
        <w:rPr>
          <w:rFonts w:ascii="Arial" w:eastAsia="Times New Roman" w:hAnsi="Arial" w:cs="Arial"/>
          <w:color w:val="0E101A"/>
          <w:lang w:eastAsia="en-GB"/>
        </w:rPr>
        <w:t>All of these factors lead modern society to invest a lot in children: government funds are invested in educational and sociological development, the NHS and Department of Health protect them on the health and safety side, and parents are always looking for new methods and approaches to enhance children's potential.</w:t>
      </w:r>
    </w:p>
    <w:p w14:paraId="37466AE6" w14:textId="77777777" w:rsidR="00DA6666" w:rsidRPr="00063C97" w:rsidRDefault="00DA6666" w:rsidP="00DA6666">
      <w:pPr>
        <w:pStyle w:val="NormalWeb"/>
        <w:spacing w:after="0"/>
        <w:rPr>
          <w:rFonts w:ascii="Arial" w:hAnsi="Arial" w:cs="Arial"/>
          <w:color w:val="0E101A"/>
          <w:sz w:val="32"/>
          <w:szCs w:val="32"/>
        </w:rPr>
      </w:pPr>
      <w:r w:rsidRPr="00063C97">
        <w:rPr>
          <w:rFonts w:ascii="Arial" w:hAnsi="Arial" w:cs="Arial"/>
          <w:color w:val="0E101A"/>
          <w:sz w:val="32"/>
          <w:szCs w:val="32"/>
        </w:rPr>
        <w:t xml:space="preserve">Bronfenbrenner s ecological model </w:t>
      </w:r>
    </w:p>
    <w:p w14:paraId="237FBC9E"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E101A"/>
          <w:lang w:eastAsia="en-GB"/>
        </w:rPr>
      </w:pPr>
      <w:r w:rsidRPr="005E2BD7">
        <w:rPr>
          <w:rFonts w:ascii="Arial" w:eastAsia="Times New Roman" w:hAnsi="Arial" w:cs="Arial"/>
          <w:color w:val="0E101A"/>
          <w:lang w:eastAsia="en-GB"/>
        </w:rPr>
        <w:lastRenderedPageBreak/>
        <w:t>In order to analyse childhood background, the theorist creates a model of socio-cultural development. “Children are defined as growing and dynamic entities that move within the environment and change the environment”. (Fullerton et al., 2017). In 1979 he creates the “ecological model of infancy: “This theory explains human development as the result of nested relationships between the individual and family, friends, schools, neighbourhoods, society, and the period in which the individual lived" (Fullerton et al., 2017). According to Bronfenbrenner, ecology is the study of an individual's environment that is influenced by another environmental system, such as socioeconomics and culture (Bronfenbrenner, 2017).</w:t>
      </w:r>
    </w:p>
    <w:p w14:paraId="7673C2AD"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00000"/>
          <w:lang w:eastAsia="en-GB"/>
        </w:rPr>
      </w:pPr>
      <w:r w:rsidRPr="005E2BD7">
        <w:rPr>
          <w:rFonts w:ascii="Arial" w:hAnsi="Arial" w:cs="Arial"/>
          <w:noProof/>
        </w:rPr>
        <w:drawing>
          <wp:inline distT="0" distB="0" distL="0" distR="0" wp14:anchorId="5EB6CA9F" wp14:editId="258819DE">
            <wp:extent cx="4124325" cy="3829050"/>
            <wp:effectExtent l="0" t="0" r="9525" b="0"/>
            <wp:docPr id="4" name="Picture 4" descr="An expat child has many layers of influence | Systems theory, Child  development theories, Social work the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expat child has many layers of influence | Systems theory, Child  development theories, Social work theori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24325" cy="3829050"/>
                    </a:xfrm>
                    <a:prstGeom prst="rect">
                      <a:avLst/>
                    </a:prstGeom>
                    <a:noFill/>
                    <a:ln>
                      <a:noFill/>
                    </a:ln>
                  </pic:spPr>
                </pic:pic>
              </a:graphicData>
            </a:graphic>
          </wp:inline>
        </w:drawing>
      </w:r>
    </w:p>
    <w:p w14:paraId="5200596A"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00000"/>
          <w:lang w:eastAsia="en-GB"/>
        </w:rPr>
      </w:pPr>
      <w:r w:rsidRPr="005E2BD7">
        <w:rPr>
          <w:rFonts w:ascii="Arial" w:eastAsia="Times New Roman" w:hAnsi="Arial" w:cs="Arial"/>
          <w:color w:val="0E101A"/>
          <w:lang w:eastAsia="en-GB"/>
        </w:rPr>
        <w:t>According to the professor, childhood is structured in 4 systems:</w:t>
      </w:r>
    </w:p>
    <w:p w14:paraId="72730701"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00000"/>
          <w:lang w:eastAsia="en-GB"/>
        </w:rPr>
      </w:pPr>
      <w:r w:rsidRPr="005E2BD7">
        <w:rPr>
          <w:rFonts w:ascii="Arial" w:eastAsia="Times New Roman" w:hAnsi="Arial" w:cs="Arial"/>
          <w:color w:val="0E101A"/>
          <w:lang w:eastAsia="en-GB"/>
        </w:rPr>
        <w:t>Children's microsystems are their households, while their closest influences are their main sources of influence.</w:t>
      </w:r>
    </w:p>
    <w:p w14:paraId="41E0A6DA"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00000"/>
          <w:lang w:eastAsia="en-GB"/>
        </w:rPr>
      </w:pPr>
      <w:r w:rsidRPr="005E2BD7">
        <w:rPr>
          <w:rFonts w:ascii="Arial" w:eastAsia="Times New Roman" w:hAnsi="Arial" w:cs="Arial"/>
          <w:color w:val="0E101A"/>
          <w:lang w:eastAsia="en-GB"/>
        </w:rPr>
        <w:t> The mesosystem is the system where two microsystems are meeting and interacting: for example, a teacher meets the child's parents. According to him, it is critical to have a strong connection between systems.</w:t>
      </w:r>
    </w:p>
    <w:p w14:paraId="626DCBD7"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00000"/>
          <w:lang w:eastAsia="en-GB"/>
        </w:rPr>
      </w:pPr>
      <w:r w:rsidRPr="005E2BD7">
        <w:rPr>
          <w:rFonts w:ascii="Arial" w:eastAsia="Times New Roman" w:hAnsi="Arial" w:cs="Arial"/>
          <w:color w:val="0E101A"/>
          <w:lang w:eastAsia="en-GB"/>
        </w:rPr>
        <w:t>Exosystems define parts of the environment that indirectly influence a child, as the child doesn't take part but feels the impact of them: the parent-child work environment, health care practices, and local communities. An indirect influence will be exerted on the child.</w:t>
      </w:r>
    </w:p>
    <w:p w14:paraId="2931DE5C"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00000"/>
          <w:lang w:eastAsia="en-GB"/>
        </w:rPr>
      </w:pPr>
      <w:r w:rsidRPr="005E2BD7">
        <w:rPr>
          <w:rFonts w:ascii="Arial" w:eastAsia="Times New Roman" w:hAnsi="Arial" w:cs="Arial"/>
          <w:color w:val="0E101A"/>
          <w:lang w:eastAsia="en-GB"/>
        </w:rPr>
        <w:lastRenderedPageBreak/>
        <w:t>The macrosystem is defined as the nation's condition, such as laws, culture and economic factors that can impact childhood. The macrosystem contributes to developing the values and vision of the child.</w:t>
      </w:r>
    </w:p>
    <w:p w14:paraId="792C2E6F" w14:textId="77777777" w:rsidR="00DA6666" w:rsidRPr="005E2BD7" w:rsidRDefault="00DA6666" w:rsidP="00DA6666">
      <w:pPr>
        <w:shd w:val="clear" w:color="auto" w:fill="FFFFFF"/>
        <w:spacing w:after="0" w:line="360" w:lineRule="auto"/>
        <w:rPr>
          <w:rFonts w:ascii="Arial" w:eastAsia="Times New Roman" w:hAnsi="Arial" w:cs="Arial"/>
          <w:color w:val="000000"/>
          <w:lang w:eastAsia="en-GB"/>
        </w:rPr>
      </w:pPr>
      <w:r w:rsidRPr="005E2BD7">
        <w:rPr>
          <w:rFonts w:ascii="Arial" w:eastAsia="Times New Roman" w:hAnsi="Arial" w:cs="Arial"/>
          <w:color w:val="0E101A"/>
          <w:lang w:eastAsia="en-GB"/>
        </w:rPr>
        <w:t>At last, the chronosystem speaks to the socio-historical context: how the social aspect is expressed in each time. Nowadays, it is considered normal to have children spend longer hours in childcare settings: this is because the social role of women and the economy have changed in this era. (Perron, 2017)</w:t>
      </w:r>
    </w:p>
    <w:p w14:paraId="2EFE4F50" w14:textId="77777777" w:rsidR="00DA6666" w:rsidRPr="00063C97" w:rsidRDefault="00DA6666" w:rsidP="00DA6666">
      <w:pPr>
        <w:pStyle w:val="NormalWeb"/>
        <w:spacing w:after="0"/>
        <w:rPr>
          <w:rFonts w:ascii="Arial" w:hAnsi="Arial" w:cs="Arial"/>
          <w:color w:val="0E101A"/>
          <w:sz w:val="32"/>
          <w:szCs w:val="32"/>
        </w:rPr>
      </w:pPr>
      <w:r w:rsidRPr="00063C97">
        <w:rPr>
          <w:rFonts w:ascii="Arial" w:hAnsi="Arial" w:cs="Arial"/>
          <w:color w:val="0E101A"/>
          <w:sz w:val="32"/>
          <w:szCs w:val="32"/>
        </w:rPr>
        <w:t>Maslow theory</w:t>
      </w:r>
    </w:p>
    <w:p w14:paraId="6D35749F"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E101A"/>
          <w:lang w:eastAsia="en-GB"/>
        </w:rPr>
      </w:pPr>
      <w:r w:rsidRPr="005E2BD7">
        <w:rPr>
          <w:rFonts w:ascii="Arial" w:eastAsia="Times New Roman" w:hAnsi="Arial" w:cs="Arial"/>
          <w:color w:val="0E101A"/>
          <w:lang w:eastAsia="en-GB"/>
        </w:rPr>
        <w:t>To drive people's behaviour, Maslow developed a theory that is based on the need for satisfaction. The theorist believes in a pyramid scheme: at the base of the pyramid, there is the basic need of every human being, while at the top there is the most complicated goal for a person to achieve. The ultimate aim is self-actualization, where individuals become the most valuable version of themselves.</w:t>
      </w:r>
    </w:p>
    <w:p w14:paraId="36C7D952"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00000"/>
          <w:lang w:eastAsia="en-GB"/>
        </w:rPr>
      </w:pPr>
      <w:r w:rsidRPr="005E2BD7">
        <w:rPr>
          <w:rFonts w:ascii="Arial" w:hAnsi="Arial" w:cs="Arial"/>
          <w:noProof/>
        </w:rPr>
        <w:drawing>
          <wp:inline distT="0" distB="0" distL="0" distR="0" wp14:anchorId="715526E6" wp14:editId="6AC229CE">
            <wp:extent cx="5543550" cy="4124553"/>
            <wp:effectExtent l="0" t="0" r="0" b="952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rotWithShape="1">
                    <a:blip r:embed="rId8"/>
                    <a:srcRect l="11966" t="10640" r="39342" b="24926"/>
                    <a:stretch/>
                  </pic:blipFill>
                  <pic:spPr bwMode="auto">
                    <a:xfrm>
                      <a:off x="0" y="0"/>
                      <a:ext cx="5549549" cy="4129016"/>
                    </a:xfrm>
                    <a:prstGeom prst="rect">
                      <a:avLst/>
                    </a:prstGeom>
                    <a:ln>
                      <a:noFill/>
                    </a:ln>
                    <a:extLst>
                      <a:ext uri="{53640926-AAD7-44D8-BBD7-CCE9431645EC}">
                        <a14:shadowObscured xmlns:a14="http://schemas.microsoft.com/office/drawing/2010/main"/>
                      </a:ext>
                    </a:extLst>
                  </pic:spPr>
                </pic:pic>
              </a:graphicData>
            </a:graphic>
          </wp:inline>
        </w:drawing>
      </w:r>
    </w:p>
    <w:p w14:paraId="2BE8E573"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00000"/>
          <w:lang w:eastAsia="en-GB"/>
        </w:rPr>
      </w:pPr>
      <w:r w:rsidRPr="005E2BD7">
        <w:rPr>
          <w:rFonts w:ascii="Arial" w:eastAsia="Times New Roman" w:hAnsi="Arial" w:cs="Arial"/>
          <w:color w:val="0E101A"/>
          <w:lang w:eastAsia="en-GB"/>
        </w:rPr>
        <w:t>The pyramid describes the different stages of achievement:</w:t>
      </w:r>
    </w:p>
    <w:p w14:paraId="20B72B45"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00000"/>
          <w:lang w:eastAsia="en-GB"/>
        </w:rPr>
      </w:pPr>
      <w:r w:rsidRPr="005E2BD7">
        <w:rPr>
          <w:rFonts w:ascii="Arial" w:eastAsia="Times New Roman" w:hAnsi="Arial" w:cs="Arial"/>
          <w:color w:val="0E101A"/>
          <w:lang w:eastAsia="en-GB"/>
        </w:rPr>
        <w:lastRenderedPageBreak/>
        <w:t>The first stage is the physiological need: air, water, food, sleep and all the basic needs that an individual needs to survive.</w:t>
      </w:r>
    </w:p>
    <w:p w14:paraId="2E03BC47"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00000"/>
          <w:lang w:eastAsia="en-GB"/>
        </w:rPr>
      </w:pPr>
      <w:r w:rsidRPr="005E2BD7">
        <w:rPr>
          <w:rFonts w:ascii="Arial" w:eastAsia="Times New Roman" w:hAnsi="Arial" w:cs="Arial"/>
          <w:color w:val="0E101A"/>
          <w:lang w:eastAsia="en-GB"/>
        </w:rPr>
        <w:t>Having met the physiological need, individuals can attain their safety level, which is the most fundamental aspect of safety and well-being. Getting a job, buying a house, and saving money are all factors that can contribute to achieving safety and stability.</w:t>
      </w:r>
    </w:p>
    <w:p w14:paraId="605AAAD6" w14:textId="77777777" w:rsidR="00DA6666" w:rsidRPr="005E2BD7" w:rsidRDefault="00DA6666" w:rsidP="00DA6666">
      <w:pPr>
        <w:shd w:val="clear" w:color="auto" w:fill="FFFFFF"/>
        <w:spacing w:before="100" w:beforeAutospacing="1" w:after="100" w:afterAutospacing="1" w:line="360" w:lineRule="auto"/>
        <w:rPr>
          <w:rFonts w:ascii="Arial" w:eastAsia="Times New Roman" w:hAnsi="Arial" w:cs="Arial"/>
          <w:color w:val="000000"/>
          <w:lang w:eastAsia="en-GB"/>
        </w:rPr>
      </w:pPr>
      <w:r w:rsidRPr="005E2BD7">
        <w:rPr>
          <w:rFonts w:ascii="Arial" w:eastAsia="Times New Roman" w:hAnsi="Arial" w:cs="Arial"/>
          <w:color w:val="0E101A"/>
          <w:lang w:eastAsia="en-GB"/>
        </w:rPr>
        <w:t>The third level is considered the love and acceptance level: human conduct is driven by an emotional connection of necessity with others. In this regard, romantic bonds, families, social groups, communities, and friendship are the things that contribute to achievement and realisation (Mata-Mcmahon et al., 2018).</w:t>
      </w:r>
    </w:p>
    <w:p w14:paraId="1158B2AE" w14:textId="54CC5EEB" w:rsidR="00DA6666" w:rsidRDefault="00DA6666" w:rsidP="00DA6666">
      <w:pPr>
        <w:shd w:val="clear" w:color="auto" w:fill="FFFFFF"/>
        <w:spacing w:after="0" w:line="360" w:lineRule="auto"/>
        <w:rPr>
          <w:rFonts w:ascii="Arial" w:eastAsia="Times New Roman" w:hAnsi="Arial" w:cs="Arial"/>
          <w:color w:val="0E101A"/>
          <w:lang w:eastAsia="en-GB"/>
        </w:rPr>
      </w:pPr>
      <w:r w:rsidRPr="005E2BD7">
        <w:rPr>
          <w:rFonts w:ascii="Arial" w:eastAsia="Times New Roman" w:hAnsi="Arial" w:cs="Arial"/>
          <w:color w:val="0E101A"/>
          <w:lang w:eastAsia="en-GB"/>
        </w:rPr>
        <w:t>The fourth level is described as self-esteem. They want recognition. At this level, the human being has achieved the stability necessary to focus on their personal development as the individual will not be worried about lacking further necessities. Self-actualisation, as Maslow defines it, is “the full application and exploitation of skills, capacities and potentialities”. (Maslow,1943)</w:t>
      </w:r>
    </w:p>
    <w:p w14:paraId="3F624153" w14:textId="77777777" w:rsidR="00063C97" w:rsidRPr="005E2BD7" w:rsidRDefault="00063C97" w:rsidP="00DA6666">
      <w:pPr>
        <w:shd w:val="clear" w:color="auto" w:fill="FFFFFF"/>
        <w:spacing w:after="0" w:line="360" w:lineRule="auto"/>
        <w:rPr>
          <w:rFonts w:ascii="Arial" w:eastAsia="Times New Roman" w:hAnsi="Arial" w:cs="Arial"/>
          <w:color w:val="000000"/>
          <w:lang w:eastAsia="en-GB"/>
        </w:rPr>
      </w:pPr>
    </w:p>
    <w:p w14:paraId="12CB7602" w14:textId="77777777" w:rsidR="00DA6666" w:rsidRPr="00063C97" w:rsidRDefault="00DA6666" w:rsidP="00DA6666">
      <w:pPr>
        <w:spacing w:after="0" w:line="240" w:lineRule="auto"/>
        <w:rPr>
          <w:rFonts w:ascii="Arial" w:eastAsia="Times New Roman" w:hAnsi="Arial" w:cs="Arial"/>
          <w:color w:val="0E101A"/>
          <w:sz w:val="32"/>
          <w:szCs w:val="32"/>
          <w:lang w:eastAsia="en-GB"/>
        </w:rPr>
      </w:pPr>
      <w:r w:rsidRPr="00063C97">
        <w:rPr>
          <w:rFonts w:ascii="Arial" w:eastAsia="Times New Roman" w:hAnsi="Arial" w:cs="Arial"/>
          <w:color w:val="0E101A"/>
          <w:sz w:val="32"/>
          <w:szCs w:val="32"/>
          <w:lang w:eastAsia="en-GB"/>
        </w:rPr>
        <w:t>Current Interventions and approaches to help children and different families</w:t>
      </w:r>
    </w:p>
    <w:p w14:paraId="227AF86E" w14:textId="77777777" w:rsidR="00DA6666" w:rsidRPr="005E2BD7" w:rsidRDefault="00DA6666" w:rsidP="00DA6666">
      <w:pPr>
        <w:shd w:val="clear" w:color="auto" w:fill="FFFFFF"/>
        <w:spacing w:before="100" w:beforeAutospacing="1" w:after="0" w:line="360" w:lineRule="auto"/>
        <w:rPr>
          <w:rFonts w:ascii="Arial" w:eastAsia="Times New Roman" w:hAnsi="Arial" w:cs="Arial"/>
          <w:color w:val="000000"/>
          <w:lang w:eastAsia="en-GB"/>
        </w:rPr>
      </w:pPr>
      <w:r w:rsidRPr="005E2BD7">
        <w:rPr>
          <w:rFonts w:ascii="Arial" w:eastAsia="Times New Roman" w:hAnsi="Arial" w:cs="Arial"/>
          <w:color w:val="0E101A"/>
          <w:lang w:eastAsia="en-GB"/>
        </w:rPr>
        <w:t>Humans require the intervention of governments and other organizations to protect them from harm and to assure them of the basic needs they need to reach their full potential.</w:t>
      </w:r>
    </w:p>
    <w:p w14:paraId="6299554C" w14:textId="77777777" w:rsidR="00DA6666" w:rsidRPr="005E2BD7" w:rsidRDefault="00DA6666" w:rsidP="00DA6666">
      <w:pPr>
        <w:shd w:val="clear" w:color="auto" w:fill="FFFFFF"/>
        <w:spacing w:before="100" w:beforeAutospacing="1" w:after="0" w:line="360" w:lineRule="auto"/>
        <w:rPr>
          <w:rFonts w:ascii="Arial" w:eastAsia="Times New Roman" w:hAnsi="Arial" w:cs="Arial"/>
          <w:color w:val="000000"/>
          <w:lang w:eastAsia="en-GB"/>
        </w:rPr>
      </w:pPr>
      <w:r w:rsidRPr="005E2BD7">
        <w:rPr>
          <w:rFonts w:ascii="Arial" w:eastAsia="Times New Roman" w:hAnsi="Arial" w:cs="Arial"/>
          <w:color w:val="0E101A"/>
          <w:lang w:eastAsia="en-GB"/>
        </w:rPr>
        <w:t>In the UK, the safety and promotion of the nation’s health and well-being resulted in the creation of Public Health England. It is based on the application of science, research, and multi-agency services to deliver the most effective possible solutions tailored to each individual (Annan, 2018).</w:t>
      </w:r>
    </w:p>
    <w:p w14:paraId="2F6A2D6F" w14:textId="77777777" w:rsidR="00DA6666" w:rsidRPr="005E2BD7" w:rsidRDefault="00DA6666" w:rsidP="00DA6666">
      <w:pPr>
        <w:shd w:val="clear" w:color="auto" w:fill="FFFFFF"/>
        <w:spacing w:before="100" w:beforeAutospacing="1" w:after="0" w:line="360" w:lineRule="auto"/>
        <w:rPr>
          <w:rFonts w:ascii="Arial" w:eastAsia="Times New Roman" w:hAnsi="Arial" w:cs="Arial"/>
          <w:color w:val="000000"/>
          <w:lang w:eastAsia="en-GB"/>
        </w:rPr>
      </w:pPr>
      <w:r w:rsidRPr="005E2BD7">
        <w:rPr>
          <w:rFonts w:ascii="Arial" w:eastAsia="Times New Roman" w:hAnsi="Arial" w:cs="Arial"/>
          <w:color w:val="0E101A"/>
          <w:lang w:eastAsia="en-GB"/>
        </w:rPr>
        <w:t>The social aspect in the UK is covered by the Department of Health and Social Care, which actively works with the NHS (National Health System) and other authorities.</w:t>
      </w:r>
    </w:p>
    <w:p w14:paraId="175DD996" w14:textId="77777777" w:rsidR="00DA6666" w:rsidRPr="005E2BD7" w:rsidRDefault="00DA6666" w:rsidP="00DA6666">
      <w:pPr>
        <w:shd w:val="clear" w:color="auto" w:fill="FFFFFF"/>
        <w:spacing w:before="100" w:beforeAutospacing="1" w:after="0" w:line="360" w:lineRule="auto"/>
        <w:rPr>
          <w:rFonts w:ascii="Arial" w:eastAsia="Times New Roman" w:hAnsi="Arial" w:cs="Arial"/>
          <w:color w:val="000000"/>
          <w:lang w:eastAsia="en-GB"/>
        </w:rPr>
      </w:pPr>
      <w:r w:rsidRPr="005E2BD7">
        <w:rPr>
          <w:rFonts w:ascii="Arial" w:eastAsia="Times New Roman" w:hAnsi="Arial" w:cs="Arial"/>
          <w:color w:val="0E101A"/>
          <w:lang w:eastAsia="en-GB"/>
        </w:rPr>
        <w:t>As a whole, the NHS provides practical support for health and well-being.</w:t>
      </w:r>
    </w:p>
    <w:p w14:paraId="0671164E" w14:textId="608734CD" w:rsidR="00DA6666" w:rsidRPr="005E2BD7" w:rsidRDefault="00DA6666" w:rsidP="00DA6666">
      <w:pPr>
        <w:shd w:val="clear" w:color="auto" w:fill="FFFFFF"/>
        <w:spacing w:before="100" w:beforeAutospacing="1" w:after="0" w:line="360" w:lineRule="auto"/>
        <w:rPr>
          <w:rFonts w:ascii="Arial" w:eastAsia="Times New Roman" w:hAnsi="Arial" w:cs="Arial"/>
          <w:color w:val="000000"/>
          <w:lang w:eastAsia="en-GB"/>
        </w:rPr>
      </w:pPr>
      <w:r w:rsidRPr="005E2BD7">
        <w:rPr>
          <w:rFonts w:ascii="Arial" w:eastAsia="Times New Roman" w:hAnsi="Arial" w:cs="Arial"/>
          <w:color w:val="0E101A"/>
          <w:lang w:eastAsia="en-GB"/>
        </w:rPr>
        <w:t xml:space="preserve">All these organizations cooperate to prevent and protect children from </w:t>
      </w:r>
      <w:r w:rsidR="000E49B3" w:rsidRPr="005E2BD7">
        <w:rPr>
          <w:rFonts w:ascii="Arial" w:eastAsia="Times New Roman" w:hAnsi="Arial" w:cs="Arial"/>
          <w:color w:val="0E101A"/>
          <w:lang w:eastAsia="en-GB"/>
        </w:rPr>
        <w:t>all</w:t>
      </w:r>
      <w:r w:rsidRPr="005E2BD7">
        <w:rPr>
          <w:rFonts w:ascii="Arial" w:eastAsia="Times New Roman" w:hAnsi="Arial" w:cs="Arial"/>
          <w:color w:val="0E101A"/>
          <w:lang w:eastAsia="en-GB"/>
        </w:rPr>
        <w:t xml:space="preserve"> the factors that make them vulnerable. Their intervention varies, but they all aim to avoid children's trauma</w:t>
      </w:r>
    </w:p>
    <w:p w14:paraId="3B715466" w14:textId="77777777" w:rsidR="00DA6666" w:rsidRPr="005E2BD7" w:rsidRDefault="00DA6666" w:rsidP="00DA6666">
      <w:pPr>
        <w:shd w:val="clear" w:color="auto" w:fill="FFFFFF"/>
        <w:spacing w:before="100" w:beforeAutospacing="1" w:after="0" w:line="360" w:lineRule="auto"/>
        <w:rPr>
          <w:rFonts w:ascii="Arial" w:eastAsia="Times New Roman" w:hAnsi="Arial" w:cs="Arial"/>
          <w:color w:val="0E101A"/>
          <w:lang w:eastAsia="en-GB"/>
        </w:rPr>
      </w:pPr>
      <w:r w:rsidRPr="005E2BD7">
        <w:rPr>
          <w:rFonts w:ascii="Arial" w:eastAsia="Times New Roman" w:hAnsi="Arial" w:cs="Arial"/>
          <w:color w:val="0E101A"/>
          <w:lang w:eastAsia="en-GB"/>
        </w:rPr>
        <w:t>The interventions are divided into 3 lines of intervention: the universal, the targeted and the specialists.</w:t>
      </w:r>
    </w:p>
    <w:p w14:paraId="05BFB163" w14:textId="62DA5B2D" w:rsidR="00DA6666" w:rsidRPr="005E2BD7" w:rsidRDefault="00DA6666" w:rsidP="00DA6666">
      <w:pPr>
        <w:shd w:val="clear" w:color="auto" w:fill="FFFFFF"/>
        <w:spacing w:before="100" w:beforeAutospacing="1" w:after="0" w:line="360" w:lineRule="auto"/>
        <w:rPr>
          <w:rFonts w:ascii="Arial" w:eastAsia="Times New Roman" w:hAnsi="Arial" w:cs="Arial"/>
          <w:color w:val="0E101A"/>
          <w:lang w:eastAsia="en-GB"/>
        </w:rPr>
      </w:pPr>
      <w:r w:rsidRPr="005E2BD7">
        <w:rPr>
          <w:rFonts w:ascii="Arial" w:hAnsi="Arial" w:cs="Arial"/>
          <w:noProof/>
        </w:rPr>
        <w:lastRenderedPageBreak/>
        <w:drawing>
          <wp:inline distT="0" distB="0" distL="0" distR="0" wp14:anchorId="35CAC58A" wp14:editId="3F0902B8">
            <wp:extent cx="5731510" cy="3597538"/>
            <wp:effectExtent l="0" t="0" r="2540" b="3175"/>
            <wp:docPr id="3" name="Picture 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hart&#10;&#10;Description automatically generated"/>
                    <pic:cNvPicPr/>
                  </pic:nvPicPr>
                  <pic:blipFill rotWithShape="1">
                    <a:blip r:embed="rId9"/>
                    <a:srcRect l="22602" t="26601" r="25549" b="13399"/>
                    <a:stretch/>
                  </pic:blipFill>
                  <pic:spPr bwMode="auto">
                    <a:xfrm>
                      <a:off x="0" y="0"/>
                      <a:ext cx="5731510" cy="3597538"/>
                    </a:xfrm>
                    <a:prstGeom prst="rect">
                      <a:avLst/>
                    </a:prstGeom>
                    <a:ln>
                      <a:noFill/>
                    </a:ln>
                    <a:extLst>
                      <a:ext uri="{53640926-AAD7-44D8-BBD7-CCE9431645EC}">
                        <a14:shadowObscured xmlns:a14="http://schemas.microsoft.com/office/drawing/2010/main"/>
                      </a:ext>
                    </a:extLst>
                  </pic:spPr>
                </pic:pic>
              </a:graphicData>
            </a:graphic>
          </wp:inline>
        </w:drawing>
      </w:r>
    </w:p>
    <w:p w14:paraId="6DE8B772" w14:textId="465A051A" w:rsidR="002243F8" w:rsidRPr="005E2BD7" w:rsidRDefault="002243F8" w:rsidP="00DA6666">
      <w:pPr>
        <w:shd w:val="clear" w:color="auto" w:fill="FFFFFF"/>
        <w:spacing w:before="100" w:beforeAutospacing="1" w:after="0" w:line="360" w:lineRule="auto"/>
        <w:rPr>
          <w:rFonts w:ascii="Arial" w:eastAsia="Times New Roman" w:hAnsi="Arial" w:cs="Arial"/>
          <w:color w:val="0E101A"/>
          <w:lang w:eastAsia="en-GB"/>
        </w:rPr>
      </w:pPr>
      <w:r w:rsidRPr="005E2BD7">
        <w:rPr>
          <w:rFonts w:ascii="Arial" w:eastAsia="Times New Roman" w:hAnsi="Arial" w:cs="Arial"/>
          <w:color w:val="0E101A"/>
          <w:lang w:eastAsia="en-GB"/>
        </w:rPr>
        <w:t xml:space="preserve">                                                                    (</w:t>
      </w:r>
      <w:r w:rsidR="00DB6B90" w:rsidRPr="005E2BD7">
        <w:rPr>
          <w:rFonts w:ascii="Arial" w:eastAsia="Times New Roman" w:hAnsi="Arial" w:cs="Arial"/>
          <w:color w:val="0E101A"/>
          <w:lang w:eastAsia="en-GB"/>
        </w:rPr>
        <w:t>Neglet Tematic Group, 2019)</w:t>
      </w:r>
    </w:p>
    <w:p w14:paraId="2604DEC2" w14:textId="77777777" w:rsidR="00DA6666" w:rsidRPr="005E2BD7" w:rsidRDefault="00DA6666" w:rsidP="00DA6666">
      <w:pPr>
        <w:shd w:val="clear" w:color="auto" w:fill="FFFFFF"/>
        <w:spacing w:before="100" w:beforeAutospacing="1" w:after="0" w:line="360" w:lineRule="auto"/>
        <w:rPr>
          <w:rFonts w:ascii="Arial" w:eastAsia="Times New Roman" w:hAnsi="Arial" w:cs="Arial"/>
          <w:color w:val="0E101A"/>
          <w:lang w:eastAsia="en-GB"/>
        </w:rPr>
      </w:pPr>
      <w:r w:rsidRPr="005E2BD7">
        <w:rPr>
          <w:rFonts w:ascii="Arial" w:eastAsia="Times New Roman" w:hAnsi="Arial" w:cs="Arial"/>
          <w:color w:val="0E101A"/>
          <w:lang w:eastAsia="en-GB"/>
        </w:rPr>
        <w:t>Universal interventions are services that all families can access without needing any extra support or resources. Universal services are provided by a range of different agencies, including health and education. Health visitors, GPs and school nurses are all examples of universal services as are leisure centres and parks in the community.” (London Borough of Bromley, 2022). Examples of the work to reduce the socio-economic gap are providing free health services and free education from the age of 3.</w:t>
      </w:r>
    </w:p>
    <w:p w14:paraId="23E2905F" w14:textId="77777777" w:rsidR="00DA6666" w:rsidRPr="005E2BD7" w:rsidRDefault="00DA6666" w:rsidP="00DA6666">
      <w:pPr>
        <w:shd w:val="clear" w:color="auto" w:fill="FFFFFF"/>
        <w:spacing w:before="100" w:beforeAutospacing="1" w:after="0" w:line="360" w:lineRule="auto"/>
        <w:rPr>
          <w:rFonts w:ascii="Arial" w:eastAsia="Times New Roman" w:hAnsi="Arial" w:cs="Arial"/>
          <w:color w:val="000000"/>
          <w:lang w:eastAsia="en-GB"/>
        </w:rPr>
      </w:pPr>
      <w:r w:rsidRPr="005E2BD7">
        <w:rPr>
          <w:rFonts w:ascii="Arial" w:eastAsia="Times New Roman" w:hAnsi="Arial" w:cs="Arial"/>
          <w:color w:val="0E101A"/>
          <w:lang w:eastAsia="en-GB"/>
        </w:rPr>
        <w:t>When targeted interventions occur, concerns arise among individuals who may require additional support that is provided by professionals already involved in their care as part of a single agency response. They may also need multi-agency support to meet their additional needs. This may relate to their health, development, social skills, or education (Gloucestershire County council, 2022). Examples of specific intervention can be seen in a school counselling setting or the free school meals offered up to year 1.</w:t>
      </w:r>
    </w:p>
    <w:p w14:paraId="45C94276" w14:textId="77777777" w:rsidR="00DA6666" w:rsidRPr="005E2BD7" w:rsidRDefault="00DA6666" w:rsidP="00DA6666">
      <w:pPr>
        <w:shd w:val="clear" w:color="auto" w:fill="FFFFFF"/>
        <w:spacing w:before="100" w:beforeAutospacing="1" w:after="0" w:line="360" w:lineRule="auto"/>
        <w:rPr>
          <w:rFonts w:ascii="Arial" w:eastAsia="Times New Roman" w:hAnsi="Arial" w:cs="Arial"/>
          <w:color w:val="000000"/>
          <w:lang w:eastAsia="en-GB"/>
        </w:rPr>
      </w:pPr>
      <w:r w:rsidRPr="005E2BD7">
        <w:rPr>
          <w:rFonts w:ascii="Arial" w:eastAsia="Times New Roman" w:hAnsi="Arial" w:cs="Arial"/>
          <w:color w:val="0E101A"/>
          <w:lang w:eastAsia="en-GB"/>
        </w:rPr>
        <w:t>Specialistic intervention is necessary when the needs are multiple or more serious.</w:t>
      </w:r>
    </w:p>
    <w:p w14:paraId="55077A50" w14:textId="77777777" w:rsidR="00DA6666" w:rsidRPr="005E2BD7" w:rsidRDefault="00DA6666" w:rsidP="00DA6666">
      <w:pPr>
        <w:shd w:val="clear" w:color="auto" w:fill="FFFFFF"/>
        <w:spacing w:before="100" w:beforeAutospacing="1" w:after="0" w:line="360" w:lineRule="auto"/>
        <w:rPr>
          <w:rFonts w:ascii="Arial" w:eastAsia="Times New Roman" w:hAnsi="Arial" w:cs="Arial"/>
          <w:color w:val="0E101A"/>
          <w:lang w:eastAsia="en-GB"/>
        </w:rPr>
      </w:pPr>
      <w:r w:rsidRPr="005E2BD7">
        <w:rPr>
          <w:rFonts w:ascii="Arial" w:eastAsia="Times New Roman" w:hAnsi="Arial" w:cs="Arial"/>
          <w:color w:val="0E101A"/>
          <w:lang w:eastAsia="en-GB"/>
        </w:rPr>
        <w:t>Specialized interventions are divided into tiers (lower lever 3, upper level 3 and tier 4) depending on the level of the child's vulnerability. Multiagency, referral, and strategic plans, such as the Common Assessment Framework (CAF), are vital at this level.</w:t>
      </w:r>
    </w:p>
    <w:p w14:paraId="1AEC39EA" w14:textId="67AEB263" w:rsidR="00DA6666" w:rsidRPr="005E2BD7" w:rsidRDefault="00DA6666" w:rsidP="00DA6666">
      <w:pPr>
        <w:shd w:val="clear" w:color="auto" w:fill="FFFFFF"/>
        <w:spacing w:before="100" w:beforeAutospacing="1" w:after="0" w:line="360" w:lineRule="auto"/>
        <w:rPr>
          <w:rFonts w:ascii="Arial" w:eastAsia="Times New Roman" w:hAnsi="Arial" w:cs="Arial"/>
          <w:color w:val="000000"/>
          <w:lang w:eastAsia="en-GB"/>
        </w:rPr>
      </w:pPr>
      <w:r w:rsidRPr="005E2BD7">
        <w:rPr>
          <w:rFonts w:ascii="Arial" w:hAnsi="Arial" w:cs="Arial"/>
          <w:noProof/>
        </w:rPr>
        <w:lastRenderedPageBreak/>
        <w:drawing>
          <wp:inline distT="0" distB="0" distL="0" distR="0" wp14:anchorId="57BA208A" wp14:editId="1A7F23DA">
            <wp:extent cx="5346084" cy="3743325"/>
            <wp:effectExtent l="0" t="0" r="6985" b="0"/>
            <wp:docPr id="2" name="Picture 2" descr="Child and Family Training | Introduction to the Hope for Children and Family  Intervention Re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ld and Family Training | Introduction to the Hope for Children and Family  Intervention Resourc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46656" cy="3743726"/>
                    </a:xfrm>
                    <a:prstGeom prst="rect">
                      <a:avLst/>
                    </a:prstGeom>
                    <a:noFill/>
                    <a:ln>
                      <a:noFill/>
                    </a:ln>
                  </pic:spPr>
                </pic:pic>
              </a:graphicData>
            </a:graphic>
          </wp:inline>
        </w:drawing>
      </w:r>
    </w:p>
    <w:p w14:paraId="33FE5C34" w14:textId="1CDD006F" w:rsidR="00DB6B90" w:rsidRPr="005E2BD7" w:rsidRDefault="00DB6B90" w:rsidP="00DB6B90">
      <w:pPr>
        <w:rPr>
          <w:rFonts w:ascii="Arial" w:hAnsi="Arial" w:cs="Arial"/>
        </w:rPr>
      </w:pPr>
      <w:r w:rsidRPr="005E2BD7">
        <w:rPr>
          <w:rFonts w:ascii="Arial" w:hAnsi="Arial" w:cs="Arial"/>
        </w:rPr>
        <w:t xml:space="preserve">                                                                              (Child and Family Training, 2022)</w:t>
      </w:r>
    </w:p>
    <w:p w14:paraId="73767A3B" w14:textId="752E92D0" w:rsidR="00DA6666" w:rsidRPr="005E2BD7" w:rsidRDefault="00DA6666" w:rsidP="00DA6666">
      <w:pPr>
        <w:spacing w:after="0" w:line="360" w:lineRule="auto"/>
        <w:rPr>
          <w:rFonts w:ascii="Arial" w:eastAsia="Times New Roman" w:hAnsi="Arial" w:cs="Arial"/>
          <w:color w:val="0E101A"/>
          <w:lang w:eastAsia="en-GB"/>
        </w:rPr>
      </w:pPr>
      <w:r w:rsidRPr="005E2BD7">
        <w:rPr>
          <w:rFonts w:ascii="Arial" w:eastAsia="Times New Roman" w:hAnsi="Arial" w:cs="Arial"/>
          <w:color w:val="0E101A"/>
          <w:lang w:eastAsia="en-GB"/>
        </w:rPr>
        <w:t xml:space="preserve">                                                                 </w:t>
      </w:r>
    </w:p>
    <w:p w14:paraId="233C1A6D" w14:textId="77777777" w:rsidR="00DA6666" w:rsidRPr="00063C97" w:rsidRDefault="00DA6666" w:rsidP="00DA6666">
      <w:pPr>
        <w:spacing w:after="0" w:line="360" w:lineRule="auto"/>
        <w:rPr>
          <w:rFonts w:ascii="Arial" w:eastAsia="Times New Roman" w:hAnsi="Arial" w:cs="Arial"/>
          <w:color w:val="0E101A"/>
          <w:sz w:val="32"/>
          <w:szCs w:val="32"/>
          <w:lang w:eastAsia="en-GB"/>
        </w:rPr>
      </w:pPr>
      <w:r w:rsidRPr="00063C97">
        <w:rPr>
          <w:rFonts w:ascii="Arial" w:eastAsia="Times New Roman" w:hAnsi="Arial" w:cs="Arial"/>
          <w:color w:val="0E101A"/>
          <w:sz w:val="32"/>
          <w:szCs w:val="32"/>
          <w:lang w:eastAsia="en-GB"/>
        </w:rPr>
        <w:t>Conclusion</w:t>
      </w:r>
    </w:p>
    <w:p w14:paraId="3C0875DA" w14:textId="77777777" w:rsidR="00AA6548" w:rsidRPr="00AA6548" w:rsidRDefault="00AA6548" w:rsidP="00AA6548">
      <w:pPr>
        <w:shd w:val="clear" w:color="auto" w:fill="FFFFFF"/>
        <w:spacing w:before="100" w:beforeAutospacing="1" w:after="0" w:line="360" w:lineRule="auto"/>
        <w:rPr>
          <w:rFonts w:ascii="Arial" w:eastAsia="Times New Roman" w:hAnsi="Arial" w:cs="Arial"/>
          <w:color w:val="000000"/>
          <w:lang w:eastAsia="en-GB"/>
        </w:rPr>
      </w:pPr>
      <w:r w:rsidRPr="00AA6548">
        <w:rPr>
          <w:rFonts w:ascii="Arial" w:eastAsia="Times New Roman" w:hAnsi="Arial" w:cs="Arial"/>
          <w:color w:val="0E101A"/>
          <w:lang w:eastAsia="en-GB"/>
        </w:rPr>
        <w:t>It can be said that children and young people that get early intervention have a much greater chance of acquiring the stability and the skills to achieve success, well-being and fulfilling lives. Parenting intervention and support are now a reality, and they give the opportunity to better understand children's needs. In situations where a child has a disability or is undergoing adoption, parental specific intervention may be very beneficial. A community-based approach to prevention is believed to emphasize the importance of building conditions conducive to the development of children's self-esteem as they progress into adulthood.</w:t>
      </w:r>
    </w:p>
    <w:p w14:paraId="2B9DF327" w14:textId="77777777" w:rsidR="00AA6548" w:rsidRPr="00AA6548" w:rsidRDefault="00AA6548" w:rsidP="00AA6548">
      <w:pPr>
        <w:shd w:val="clear" w:color="auto" w:fill="FFFFFF"/>
        <w:spacing w:before="100" w:beforeAutospacing="1" w:after="0" w:line="360" w:lineRule="auto"/>
        <w:rPr>
          <w:rFonts w:ascii="Arial" w:eastAsia="Times New Roman" w:hAnsi="Arial" w:cs="Arial"/>
          <w:color w:val="000000"/>
          <w:lang w:eastAsia="en-GB"/>
        </w:rPr>
      </w:pPr>
      <w:r w:rsidRPr="00AA6548">
        <w:rPr>
          <w:rFonts w:ascii="Arial" w:eastAsia="Times New Roman" w:hAnsi="Arial" w:cs="Arial"/>
          <w:color w:val="0E101A"/>
          <w:lang w:eastAsia="en-GB"/>
        </w:rPr>
        <w:t>Poverty and social neglect are two of the most critical things to target in an intervention. This will ensure a better lifestyle and a more socially integrated connection with the environment. It is imperative that every child's right is recognized, and the government should continue to protect that right.</w:t>
      </w:r>
    </w:p>
    <w:p w14:paraId="6EEA7C23" w14:textId="7730702B" w:rsidR="00DA6666" w:rsidRDefault="00DA6666" w:rsidP="00CC0338">
      <w:pPr>
        <w:rPr>
          <w:rFonts w:ascii="Arial" w:hAnsi="Arial" w:cs="Arial"/>
          <w:sz w:val="56"/>
          <w:szCs w:val="56"/>
        </w:rPr>
      </w:pPr>
    </w:p>
    <w:p w14:paraId="4DBC096E" w14:textId="77777777" w:rsidR="00AA6548" w:rsidRDefault="00AA6548" w:rsidP="00CC0338">
      <w:pPr>
        <w:rPr>
          <w:rFonts w:ascii="Arial" w:hAnsi="Arial" w:cs="Arial"/>
          <w:sz w:val="56"/>
          <w:szCs w:val="56"/>
        </w:rPr>
      </w:pPr>
    </w:p>
    <w:p w14:paraId="23D14F03" w14:textId="41C2AD28" w:rsidR="00DA6666" w:rsidRDefault="00DA6666" w:rsidP="00CC0338">
      <w:pPr>
        <w:rPr>
          <w:rFonts w:ascii="Arial" w:hAnsi="Arial" w:cs="Arial"/>
          <w:sz w:val="32"/>
          <w:szCs w:val="32"/>
        </w:rPr>
      </w:pPr>
      <w:r>
        <w:rPr>
          <w:rFonts w:ascii="Arial" w:hAnsi="Arial" w:cs="Arial"/>
          <w:sz w:val="32"/>
          <w:szCs w:val="32"/>
        </w:rPr>
        <w:lastRenderedPageBreak/>
        <w:t xml:space="preserve">Appendix </w:t>
      </w:r>
    </w:p>
    <w:p w14:paraId="6479BC75" w14:textId="77777777" w:rsidR="00AA6548" w:rsidRDefault="00AA6548" w:rsidP="00CC0338">
      <w:pPr>
        <w:rPr>
          <w:rFonts w:ascii="Arial" w:hAnsi="Arial" w:cs="Arial"/>
          <w:sz w:val="32"/>
          <w:szCs w:val="32"/>
        </w:rPr>
      </w:pPr>
    </w:p>
    <w:p w14:paraId="72140F28" w14:textId="7A23D4B4" w:rsidR="00DA6666" w:rsidRDefault="00AA6548" w:rsidP="00CC0338">
      <w:pPr>
        <w:rPr>
          <w:rFonts w:ascii="Arial" w:hAnsi="Arial" w:cs="Arial"/>
          <w:sz w:val="32"/>
          <w:szCs w:val="32"/>
        </w:rPr>
      </w:pPr>
      <w:r w:rsidRPr="005E2BD7">
        <w:rPr>
          <w:rFonts w:ascii="Arial" w:hAnsi="Arial" w:cs="Arial"/>
          <w:noProof/>
        </w:rPr>
        <w:drawing>
          <wp:inline distT="0" distB="0" distL="0" distR="0" wp14:anchorId="48F7B31C" wp14:editId="619F19AE">
            <wp:extent cx="5346084" cy="3743325"/>
            <wp:effectExtent l="0" t="0" r="6985" b="0"/>
            <wp:docPr id="5" name="Picture 5" descr="Child and Family Training | Introduction to the Hope for Children and Family  Intervention Re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ld and Family Training | Introduction to the Hope for Children and Family  Intervention Resourc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46656" cy="3743726"/>
                    </a:xfrm>
                    <a:prstGeom prst="rect">
                      <a:avLst/>
                    </a:prstGeom>
                    <a:noFill/>
                    <a:ln>
                      <a:noFill/>
                    </a:ln>
                  </pic:spPr>
                </pic:pic>
              </a:graphicData>
            </a:graphic>
          </wp:inline>
        </w:drawing>
      </w:r>
    </w:p>
    <w:p w14:paraId="4BA3E8FD" w14:textId="62F01054" w:rsidR="00AA6548" w:rsidRDefault="00AA6548" w:rsidP="00CC0338">
      <w:pPr>
        <w:rPr>
          <w:rFonts w:ascii="Arial" w:hAnsi="Arial" w:cs="Arial"/>
          <w:sz w:val="32"/>
          <w:szCs w:val="32"/>
        </w:rPr>
      </w:pPr>
      <w:r w:rsidRPr="005E2BD7">
        <w:rPr>
          <w:rFonts w:ascii="Arial" w:hAnsi="Arial" w:cs="Arial"/>
          <w:noProof/>
        </w:rPr>
        <w:drawing>
          <wp:inline distT="0" distB="0" distL="0" distR="0" wp14:anchorId="03142149" wp14:editId="2A5D937E">
            <wp:extent cx="5731510" cy="3597275"/>
            <wp:effectExtent l="0" t="0" r="2540" b="3175"/>
            <wp:docPr id="7" name="Picture 7"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hart&#10;&#10;Description automatically generated"/>
                    <pic:cNvPicPr/>
                  </pic:nvPicPr>
                  <pic:blipFill rotWithShape="1">
                    <a:blip r:embed="rId9"/>
                    <a:srcRect l="22602" t="26601" r="25549" b="13399"/>
                    <a:stretch/>
                  </pic:blipFill>
                  <pic:spPr bwMode="auto">
                    <a:xfrm>
                      <a:off x="0" y="0"/>
                      <a:ext cx="5731510" cy="3597275"/>
                    </a:xfrm>
                    <a:prstGeom prst="rect">
                      <a:avLst/>
                    </a:prstGeom>
                    <a:ln>
                      <a:noFill/>
                    </a:ln>
                    <a:extLst>
                      <a:ext uri="{53640926-AAD7-44D8-BBD7-CCE9431645EC}">
                        <a14:shadowObscured xmlns:a14="http://schemas.microsoft.com/office/drawing/2010/main"/>
                      </a:ext>
                    </a:extLst>
                  </pic:spPr>
                </pic:pic>
              </a:graphicData>
            </a:graphic>
          </wp:inline>
        </w:drawing>
      </w:r>
    </w:p>
    <w:p w14:paraId="2EAF5244" w14:textId="5676E02C" w:rsidR="00AA6548" w:rsidRDefault="00AA6548" w:rsidP="00CC0338">
      <w:pPr>
        <w:rPr>
          <w:rFonts w:ascii="Arial" w:hAnsi="Arial" w:cs="Arial"/>
          <w:sz w:val="32"/>
          <w:szCs w:val="32"/>
        </w:rPr>
      </w:pPr>
      <w:r w:rsidRPr="005E2BD7">
        <w:rPr>
          <w:rFonts w:ascii="Arial" w:hAnsi="Arial" w:cs="Arial"/>
          <w:noProof/>
        </w:rPr>
        <w:lastRenderedPageBreak/>
        <w:drawing>
          <wp:inline distT="0" distB="0" distL="0" distR="0" wp14:anchorId="51CEE93F" wp14:editId="09D6FB7E">
            <wp:extent cx="4124325" cy="3829050"/>
            <wp:effectExtent l="0" t="0" r="9525" b="0"/>
            <wp:docPr id="9" name="Picture 9" descr="An expat child has many layers of influence | Systems theory, Child  development theories, Social work the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expat child has many layers of influence | Systems theory, Child  development theories, Social work theori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24325" cy="3829050"/>
                    </a:xfrm>
                    <a:prstGeom prst="rect">
                      <a:avLst/>
                    </a:prstGeom>
                    <a:noFill/>
                    <a:ln>
                      <a:noFill/>
                    </a:ln>
                  </pic:spPr>
                </pic:pic>
              </a:graphicData>
            </a:graphic>
          </wp:inline>
        </w:drawing>
      </w:r>
    </w:p>
    <w:p w14:paraId="2982CD1B" w14:textId="3E0181B4" w:rsidR="00AA6548" w:rsidRDefault="00AA6548" w:rsidP="00CC0338">
      <w:pPr>
        <w:rPr>
          <w:rFonts w:ascii="Arial" w:hAnsi="Arial" w:cs="Arial"/>
          <w:sz w:val="32"/>
          <w:szCs w:val="32"/>
        </w:rPr>
      </w:pPr>
      <w:r w:rsidRPr="005E2BD7">
        <w:rPr>
          <w:rFonts w:ascii="Arial" w:hAnsi="Arial" w:cs="Arial"/>
          <w:noProof/>
        </w:rPr>
        <w:drawing>
          <wp:inline distT="0" distB="0" distL="0" distR="0" wp14:anchorId="393FFB62" wp14:editId="669BBCA2">
            <wp:extent cx="5543550" cy="4124553"/>
            <wp:effectExtent l="0" t="0" r="0" b="9525"/>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rotWithShape="1">
                    <a:blip r:embed="rId8"/>
                    <a:srcRect l="11966" t="10640" r="39342" b="24926"/>
                    <a:stretch/>
                  </pic:blipFill>
                  <pic:spPr bwMode="auto">
                    <a:xfrm>
                      <a:off x="0" y="0"/>
                      <a:ext cx="5549549" cy="4129016"/>
                    </a:xfrm>
                    <a:prstGeom prst="rect">
                      <a:avLst/>
                    </a:prstGeom>
                    <a:ln>
                      <a:noFill/>
                    </a:ln>
                    <a:extLst>
                      <a:ext uri="{53640926-AAD7-44D8-BBD7-CCE9431645EC}">
                        <a14:shadowObscured xmlns:a14="http://schemas.microsoft.com/office/drawing/2010/main"/>
                      </a:ext>
                    </a:extLst>
                  </pic:spPr>
                </pic:pic>
              </a:graphicData>
            </a:graphic>
          </wp:inline>
        </w:drawing>
      </w:r>
    </w:p>
    <w:p w14:paraId="5AD99913" w14:textId="68D26111" w:rsidR="000E49B3" w:rsidRDefault="000E49B3" w:rsidP="00CC0338">
      <w:pPr>
        <w:rPr>
          <w:rFonts w:ascii="Arial" w:hAnsi="Arial" w:cs="Arial"/>
          <w:sz w:val="32"/>
          <w:szCs w:val="32"/>
        </w:rPr>
      </w:pPr>
    </w:p>
    <w:p w14:paraId="69E2A9FB" w14:textId="379FF619" w:rsidR="000E49B3" w:rsidRDefault="000E49B3" w:rsidP="00CC0338">
      <w:pPr>
        <w:rPr>
          <w:rFonts w:ascii="Arial" w:hAnsi="Arial" w:cs="Arial"/>
          <w:sz w:val="32"/>
          <w:szCs w:val="32"/>
        </w:rPr>
      </w:pPr>
    </w:p>
    <w:p w14:paraId="6CE03E47" w14:textId="2CBBF3B4" w:rsidR="000E49B3" w:rsidRDefault="000E49B3" w:rsidP="00CC0338">
      <w:pPr>
        <w:rPr>
          <w:rFonts w:ascii="Arial" w:hAnsi="Arial" w:cs="Arial"/>
          <w:sz w:val="32"/>
          <w:szCs w:val="32"/>
        </w:rPr>
      </w:pPr>
      <w:r>
        <w:rPr>
          <w:rFonts w:ascii="Arial" w:hAnsi="Arial" w:cs="Arial"/>
          <w:sz w:val="32"/>
          <w:szCs w:val="32"/>
        </w:rPr>
        <w:lastRenderedPageBreak/>
        <w:t>References</w:t>
      </w:r>
    </w:p>
    <w:p w14:paraId="00279A9A" w14:textId="77777777" w:rsidR="00B1392B" w:rsidRPr="00B1392B" w:rsidRDefault="00B1392B" w:rsidP="00B1392B">
      <w:pPr>
        <w:widowControl w:val="0"/>
        <w:autoSpaceDE w:val="0"/>
        <w:autoSpaceDN w:val="0"/>
        <w:adjustRightInd w:val="0"/>
        <w:spacing w:after="240" w:line="360" w:lineRule="auto"/>
        <w:rPr>
          <w:rFonts w:ascii="Arial" w:hAnsi="Arial" w:cs="Arial"/>
          <w:lang w:val="en-US"/>
        </w:rPr>
      </w:pPr>
      <w:r w:rsidRPr="00B1392B">
        <w:rPr>
          <w:rFonts w:ascii="Arial" w:hAnsi="Arial" w:cs="Arial"/>
          <w:lang w:val="en-US"/>
        </w:rPr>
        <w:t xml:space="preserve">Adekunle, A. (2020). </w:t>
      </w:r>
      <w:r w:rsidRPr="00B1392B">
        <w:rPr>
          <w:rFonts w:ascii="Arial" w:hAnsi="Arial" w:cs="Arial"/>
          <w:i/>
          <w:iCs/>
          <w:lang w:val="en-US"/>
        </w:rPr>
        <w:t>Working with Vulnerable Children, Young People and Families</w:t>
      </w:r>
      <w:r w:rsidRPr="00B1392B">
        <w:rPr>
          <w:rFonts w:ascii="Arial" w:hAnsi="Arial" w:cs="Arial"/>
          <w:lang w:val="en-US"/>
        </w:rPr>
        <w:t>. 2nd ed. routledge.</w:t>
      </w:r>
    </w:p>
    <w:p w14:paraId="0A62AC20" w14:textId="1DA5CBB6" w:rsidR="00B1392B" w:rsidRPr="00B1392B" w:rsidRDefault="00B1392B" w:rsidP="00B1392B">
      <w:pPr>
        <w:widowControl w:val="0"/>
        <w:autoSpaceDE w:val="0"/>
        <w:autoSpaceDN w:val="0"/>
        <w:adjustRightInd w:val="0"/>
        <w:spacing w:after="240" w:line="360" w:lineRule="auto"/>
        <w:rPr>
          <w:rFonts w:ascii="Arial" w:hAnsi="Arial" w:cs="Arial"/>
          <w:lang w:val="en-US"/>
        </w:rPr>
      </w:pPr>
      <w:r w:rsidRPr="00B1392B">
        <w:rPr>
          <w:rFonts w:ascii="Arial" w:hAnsi="Arial" w:cs="Arial"/>
          <w:lang w:val="en-US"/>
        </w:rPr>
        <w:t xml:space="preserve">Antoniou, L., Dyson, A. and Raffo, C. (2012). Policy Interventions to Reduce Educational Inequalities - The Case of England, 1997–2010. </w:t>
      </w:r>
      <w:r w:rsidRPr="00B1392B">
        <w:rPr>
          <w:rFonts w:ascii="Arial" w:hAnsi="Arial" w:cs="Arial"/>
          <w:i/>
          <w:iCs/>
          <w:lang w:val="en-US"/>
        </w:rPr>
        <w:t>Educational Policies and Inequalities in Europe</w:t>
      </w:r>
      <w:r w:rsidRPr="00B1392B">
        <w:rPr>
          <w:rFonts w:ascii="Arial" w:hAnsi="Arial" w:cs="Arial"/>
          <w:lang w:val="en-US"/>
        </w:rPr>
        <w:t>, pp.23–51.</w:t>
      </w:r>
    </w:p>
    <w:p w14:paraId="7C84B79E" w14:textId="177166E7" w:rsidR="00B1392B" w:rsidRPr="00B1392B" w:rsidRDefault="00B1392B" w:rsidP="00B1392B">
      <w:pPr>
        <w:spacing w:line="360" w:lineRule="auto"/>
        <w:rPr>
          <w:rFonts w:ascii="Arial" w:hAnsi="Arial" w:cs="Arial"/>
          <w:color w:val="000000"/>
          <w:shd w:val="clear" w:color="auto" w:fill="FFFFFF"/>
        </w:rPr>
      </w:pPr>
      <w:r w:rsidRPr="00B1392B">
        <w:rPr>
          <w:rStyle w:val="Strong"/>
          <w:rFonts w:ascii="Arial" w:hAnsi="Arial" w:cs="Arial"/>
          <w:b w:val="0"/>
          <w:bCs w:val="0"/>
          <w:color w:val="000000"/>
          <w:shd w:val="clear" w:color="auto" w:fill="FFFFFF"/>
        </w:rPr>
        <w:t>Berk, L. &amp; Roberts, W. </w:t>
      </w:r>
      <w:r w:rsidRPr="00B1392B">
        <w:rPr>
          <w:rFonts w:ascii="Arial" w:hAnsi="Arial" w:cs="Arial"/>
          <w:color w:val="000000"/>
          <w:shd w:val="clear" w:color="auto" w:fill="FFFFFF"/>
        </w:rPr>
        <w:t>(2009)</w:t>
      </w:r>
      <w:r w:rsidRPr="00B1392B">
        <w:rPr>
          <w:rFonts w:ascii="Arial" w:hAnsi="Arial" w:cs="Arial"/>
          <w:color w:val="000000"/>
        </w:rPr>
        <w:br/>
      </w:r>
      <w:r w:rsidRPr="00B1392B">
        <w:rPr>
          <w:rStyle w:val="Emphasis"/>
          <w:rFonts w:ascii="Arial" w:hAnsi="Arial" w:cs="Arial"/>
          <w:color w:val="000000"/>
          <w:shd w:val="clear" w:color="auto" w:fill="FFFFFF"/>
        </w:rPr>
        <w:t>Child development</w:t>
      </w:r>
      <w:r w:rsidRPr="00B1392B">
        <w:rPr>
          <w:rFonts w:ascii="Arial" w:hAnsi="Arial" w:cs="Arial"/>
          <w:color w:val="000000"/>
          <w:shd w:val="clear" w:color="auto" w:fill="FFFFFF"/>
        </w:rPr>
        <w:t> (3rd Canadian ed.). Toronto, ON: Pearson Allyn and Bacon.</w:t>
      </w:r>
    </w:p>
    <w:p w14:paraId="0671FCDE" w14:textId="77777777" w:rsidR="00B1392B" w:rsidRPr="00B1392B" w:rsidRDefault="00B1392B" w:rsidP="00B1392B">
      <w:pPr>
        <w:widowControl w:val="0"/>
        <w:autoSpaceDE w:val="0"/>
        <w:autoSpaceDN w:val="0"/>
        <w:adjustRightInd w:val="0"/>
        <w:spacing w:after="240" w:line="360" w:lineRule="auto"/>
        <w:rPr>
          <w:rFonts w:ascii="Arial" w:hAnsi="Arial" w:cs="Arial"/>
          <w:lang w:val="en-US"/>
        </w:rPr>
      </w:pPr>
      <w:r w:rsidRPr="00B1392B">
        <w:rPr>
          <w:rFonts w:ascii="Arial" w:hAnsi="Arial" w:cs="Arial"/>
          <w:lang w:val="en-US"/>
        </w:rPr>
        <w:t xml:space="preserve">Child and Family Training (2022). </w:t>
      </w:r>
      <w:r w:rsidRPr="00B1392B">
        <w:rPr>
          <w:rFonts w:ascii="Arial" w:hAnsi="Arial" w:cs="Arial"/>
          <w:i/>
          <w:iCs/>
          <w:lang w:val="en-US"/>
        </w:rPr>
        <w:t>Child and Family Training | Introduction to the Hope for Children and Family Intervention Resources</w:t>
      </w:r>
      <w:r w:rsidRPr="00B1392B">
        <w:rPr>
          <w:rFonts w:ascii="Arial" w:hAnsi="Arial" w:cs="Arial"/>
          <w:lang w:val="en-US"/>
        </w:rPr>
        <w:t xml:space="preserve">. [online] www.childandfamilytraining.org.uk. Available at: </w:t>
      </w:r>
      <w:hyperlink r:id="rId11" w:history="1">
        <w:r w:rsidRPr="00B1392B">
          <w:rPr>
            <w:rFonts w:ascii="Arial" w:hAnsi="Arial" w:cs="Arial"/>
            <w:lang w:val="en-US"/>
          </w:rPr>
          <w:t>https://www.childandfamilytraining.org.uk/98/Introduction-to-the-Hope-for-Children-and-Family-Intervention-Resources</w:t>
        </w:r>
      </w:hyperlink>
      <w:r w:rsidRPr="00B1392B">
        <w:rPr>
          <w:rFonts w:ascii="Arial" w:hAnsi="Arial" w:cs="Arial"/>
          <w:lang w:val="en-US"/>
        </w:rPr>
        <w:t xml:space="preserve"> [Accessed 16 Mar. 2022].</w:t>
      </w:r>
    </w:p>
    <w:p w14:paraId="5DFE8174" w14:textId="77777777" w:rsidR="00B1392B" w:rsidRPr="00B1392B" w:rsidRDefault="00B1392B" w:rsidP="00B1392B">
      <w:pPr>
        <w:widowControl w:val="0"/>
        <w:autoSpaceDE w:val="0"/>
        <w:autoSpaceDN w:val="0"/>
        <w:adjustRightInd w:val="0"/>
        <w:spacing w:after="240" w:line="360" w:lineRule="auto"/>
        <w:rPr>
          <w:rFonts w:ascii="Arial" w:hAnsi="Arial" w:cs="Arial"/>
          <w:lang w:val="en-US"/>
        </w:rPr>
      </w:pPr>
      <w:r w:rsidRPr="00B1392B">
        <w:rPr>
          <w:rFonts w:ascii="Arial" w:hAnsi="Arial" w:cs="Arial"/>
          <w:lang w:val="en-US"/>
        </w:rPr>
        <w:t xml:space="preserve">Child Welfare Information Gateway (2015). </w:t>
      </w:r>
      <w:r w:rsidRPr="00B1392B">
        <w:rPr>
          <w:rFonts w:ascii="Arial" w:hAnsi="Arial" w:cs="Arial"/>
          <w:i/>
          <w:iCs/>
          <w:lang w:val="en-US"/>
        </w:rPr>
        <w:t>Understanding the Effects of Maltreatment on Brain Development WHAT’S INSIDE</w:t>
      </w:r>
      <w:r w:rsidRPr="00B1392B">
        <w:rPr>
          <w:rFonts w:ascii="Arial" w:hAnsi="Arial" w:cs="Arial"/>
          <w:lang w:val="en-US"/>
        </w:rPr>
        <w:t xml:space="preserve">. [online] Available at: </w:t>
      </w:r>
      <w:hyperlink r:id="rId12" w:history="1">
        <w:r w:rsidRPr="00B1392B">
          <w:rPr>
            <w:rFonts w:ascii="Arial" w:hAnsi="Arial" w:cs="Arial"/>
            <w:lang w:val="en-US"/>
          </w:rPr>
          <w:t>https://www.childwelfare.gov/pubPDFs/brain_development.pdf</w:t>
        </w:r>
      </w:hyperlink>
      <w:r w:rsidRPr="00B1392B">
        <w:rPr>
          <w:rFonts w:ascii="Arial" w:hAnsi="Arial" w:cs="Arial"/>
          <w:lang w:val="en-US"/>
        </w:rPr>
        <w:t xml:space="preserve"> [Accessed 18 Mar. 2022].</w:t>
      </w:r>
    </w:p>
    <w:p w14:paraId="07B929E8" w14:textId="657DF16E" w:rsidR="00B1392B" w:rsidRPr="00B1392B" w:rsidRDefault="00B1392B" w:rsidP="00B1392B">
      <w:pPr>
        <w:widowControl w:val="0"/>
        <w:autoSpaceDE w:val="0"/>
        <w:autoSpaceDN w:val="0"/>
        <w:adjustRightInd w:val="0"/>
        <w:spacing w:after="240" w:line="360" w:lineRule="auto"/>
        <w:rPr>
          <w:rFonts w:ascii="Arial" w:hAnsi="Arial" w:cs="Arial"/>
          <w:lang w:val="en-US"/>
        </w:rPr>
      </w:pPr>
      <w:r w:rsidRPr="00B1392B">
        <w:rPr>
          <w:rFonts w:ascii="Arial" w:hAnsi="Arial" w:cs="Arial"/>
          <w:lang w:val="en-US"/>
        </w:rPr>
        <w:t xml:space="preserve">Clark, R.M. (2010). </w:t>
      </w:r>
      <w:r w:rsidRPr="00B1392B">
        <w:rPr>
          <w:rFonts w:ascii="Arial" w:hAnsi="Arial" w:cs="Arial"/>
          <w:i/>
          <w:iCs/>
          <w:lang w:val="en-US"/>
        </w:rPr>
        <w:t>Childhood in Society for Early Childhood Studies</w:t>
      </w:r>
      <w:r w:rsidRPr="00B1392B">
        <w:rPr>
          <w:rFonts w:ascii="Arial" w:hAnsi="Arial" w:cs="Arial"/>
          <w:lang w:val="en-US"/>
        </w:rPr>
        <w:t xml:space="preserve">. [online] </w:t>
      </w:r>
      <w:r w:rsidRPr="00B1392B">
        <w:rPr>
          <w:rFonts w:ascii="Arial" w:hAnsi="Arial" w:cs="Arial"/>
          <w:i/>
          <w:iCs/>
          <w:lang w:val="en-US"/>
        </w:rPr>
        <w:t>Google Books</w:t>
      </w:r>
      <w:r w:rsidRPr="00B1392B">
        <w:rPr>
          <w:rFonts w:ascii="Arial" w:hAnsi="Arial" w:cs="Arial"/>
          <w:lang w:val="en-US"/>
        </w:rPr>
        <w:t xml:space="preserve">. </w:t>
      </w:r>
      <w:r w:rsidR="001A7BBD" w:rsidRPr="00B1392B">
        <w:rPr>
          <w:rFonts w:ascii="Arial" w:hAnsi="Arial" w:cs="Arial"/>
          <w:lang w:val="en-US"/>
        </w:rPr>
        <w:t>Exeter</w:t>
      </w:r>
      <w:r w:rsidRPr="00B1392B">
        <w:rPr>
          <w:rFonts w:ascii="Arial" w:hAnsi="Arial" w:cs="Arial"/>
          <w:lang w:val="en-US"/>
        </w:rPr>
        <w:t xml:space="preserve">: SAGE. Available at: </w:t>
      </w:r>
      <w:hyperlink r:id="rId13" w:history="1">
        <w:r w:rsidRPr="00B1392B">
          <w:rPr>
            <w:rFonts w:ascii="Arial" w:hAnsi="Arial" w:cs="Arial"/>
            <w:lang w:val="en-US"/>
          </w:rPr>
          <w:t>https://books.google.co.uk/books?id=CuIeWIjfTkUC&amp;printsec=frontcover&amp;hl=it&amp;source=gbs_ge_summary_r&amp;cad=0#v=onepage&amp;q&amp;f=false</w:t>
        </w:r>
      </w:hyperlink>
      <w:r w:rsidRPr="00B1392B">
        <w:rPr>
          <w:rFonts w:ascii="Arial" w:hAnsi="Arial" w:cs="Arial"/>
          <w:lang w:val="en-US"/>
        </w:rPr>
        <w:t xml:space="preserve"> [Accessed 20 Apr. 2022].</w:t>
      </w:r>
    </w:p>
    <w:p w14:paraId="3B7B796F" w14:textId="29F5C8C6" w:rsidR="00B1392B" w:rsidRPr="00B1392B" w:rsidRDefault="00B1392B" w:rsidP="00B1392B">
      <w:pPr>
        <w:widowControl w:val="0"/>
        <w:autoSpaceDE w:val="0"/>
        <w:autoSpaceDN w:val="0"/>
        <w:adjustRightInd w:val="0"/>
        <w:spacing w:after="240" w:line="360" w:lineRule="auto"/>
        <w:rPr>
          <w:rFonts w:ascii="Arial" w:hAnsi="Arial" w:cs="Arial"/>
          <w:i/>
          <w:iCs/>
          <w:lang w:val="en-US"/>
        </w:rPr>
      </w:pPr>
      <w:r w:rsidRPr="00B1392B">
        <w:rPr>
          <w:rFonts w:ascii="Arial" w:hAnsi="Arial" w:cs="Arial"/>
          <w:lang w:val="en-US"/>
        </w:rPr>
        <w:t xml:space="preserve">Dickens, C. (2020). Social class in Victorian England. </w:t>
      </w:r>
      <w:r w:rsidRPr="00B1392B">
        <w:rPr>
          <w:rFonts w:ascii="Arial" w:hAnsi="Arial" w:cs="Arial"/>
          <w:i/>
          <w:iCs/>
          <w:lang w:val="en-US"/>
        </w:rPr>
        <w:t>Victorian Era Social Reforms.</w:t>
      </w:r>
      <w:r w:rsidRPr="00B1392B">
        <w:rPr>
          <w:rFonts w:ascii="Arial" w:hAnsi="Arial" w:cs="Arial"/>
          <w:color w:val="FFFFFF"/>
          <w:shd w:val="clear" w:color="auto" w:fill="323745"/>
        </w:rPr>
        <w:t xml:space="preserve"> </w:t>
      </w:r>
      <w:r w:rsidRPr="001A7BBD">
        <w:rPr>
          <w:rFonts w:ascii="Arial" w:hAnsi="Arial" w:cs="Arial"/>
        </w:rPr>
        <w:t>Bloomsbury Publishing</w:t>
      </w:r>
    </w:p>
    <w:p w14:paraId="65896D9D" w14:textId="77777777" w:rsidR="00B1392B" w:rsidRPr="00B1392B" w:rsidRDefault="00B1392B" w:rsidP="00B1392B">
      <w:pPr>
        <w:widowControl w:val="0"/>
        <w:autoSpaceDE w:val="0"/>
        <w:autoSpaceDN w:val="0"/>
        <w:adjustRightInd w:val="0"/>
        <w:spacing w:after="240" w:line="360" w:lineRule="auto"/>
        <w:rPr>
          <w:rFonts w:ascii="Arial" w:hAnsi="Arial" w:cs="Arial"/>
          <w:lang w:val="en-US"/>
        </w:rPr>
      </w:pPr>
      <w:r w:rsidRPr="00B1392B">
        <w:rPr>
          <w:rFonts w:ascii="Arial" w:hAnsi="Arial" w:cs="Arial"/>
          <w:lang w:val="en-US"/>
        </w:rPr>
        <w:t xml:space="preserve">Fullerton, W. and DeVaughn Kreskey, D. (n.d.). </w:t>
      </w:r>
      <w:r w:rsidRPr="00B1392B">
        <w:rPr>
          <w:rFonts w:ascii="Arial" w:hAnsi="Arial" w:cs="Arial"/>
          <w:i/>
          <w:iCs/>
          <w:lang w:val="en-US"/>
        </w:rPr>
        <w:t>Urie Bronfenbrenner</w:t>
      </w:r>
      <w:r w:rsidRPr="00B1392B">
        <w:rPr>
          <w:rFonts w:ascii="Arial" w:hAnsi="Arial" w:cs="Arial"/>
          <w:lang w:val="en-US"/>
        </w:rPr>
        <w:t xml:space="preserve">. [online] Available at: </w:t>
      </w:r>
      <w:hyperlink r:id="rId14" w:history="1">
        <w:r w:rsidRPr="00B1392B">
          <w:rPr>
            <w:rFonts w:ascii="Arial" w:hAnsi="Arial" w:cs="Arial"/>
            <w:lang w:val="en-US"/>
          </w:rPr>
          <w:t>https://www.assessmentpsychologyboard.org/edp/pdf/Urie_Bronfenbrenner.pdf</w:t>
        </w:r>
      </w:hyperlink>
      <w:r w:rsidRPr="00B1392B">
        <w:rPr>
          <w:rFonts w:ascii="Arial" w:hAnsi="Arial" w:cs="Arial"/>
          <w:lang w:val="en-US"/>
        </w:rPr>
        <w:t xml:space="preserve"> [Accessed 20 Mar. 2022].</w:t>
      </w:r>
    </w:p>
    <w:p w14:paraId="643F130C" w14:textId="03ECECC2" w:rsidR="00B1392B" w:rsidRPr="00B1392B" w:rsidRDefault="00B1392B" w:rsidP="00B1392B">
      <w:pPr>
        <w:widowControl w:val="0"/>
        <w:autoSpaceDE w:val="0"/>
        <w:autoSpaceDN w:val="0"/>
        <w:adjustRightInd w:val="0"/>
        <w:spacing w:after="240" w:line="360" w:lineRule="auto"/>
        <w:rPr>
          <w:rFonts w:ascii="Arial" w:hAnsi="Arial" w:cs="Arial"/>
          <w:lang w:val="en-US"/>
        </w:rPr>
      </w:pPr>
      <w:r w:rsidRPr="00B1392B">
        <w:rPr>
          <w:rFonts w:ascii="Arial" w:hAnsi="Arial" w:cs="Arial"/>
          <w:lang w:val="en-US"/>
        </w:rPr>
        <w:t xml:space="preserve">Kehily, M.J. (2013). </w:t>
      </w:r>
      <w:r w:rsidRPr="00B1392B">
        <w:rPr>
          <w:rFonts w:ascii="Arial" w:hAnsi="Arial" w:cs="Arial"/>
          <w:i/>
          <w:iCs/>
          <w:lang w:val="en-US"/>
        </w:rPr>
        <w:t xml:space="preserve">Understanding </w:t>
      </w:r>
      <w:r w:rsidR="001A7BBD" w:rsidRPr="00B1392B">
        <w:rPr>
          <w:rFonts w:ascii="Arial" w:hAnsi="Arial" w:cs="Arial"/>
          <w:i/>
          <w:iCs/>
          <w:lang w:val="en-US"/>
        </w:rPr>
        <w:t>Childhood,</w:t>
      </w:r>
      <w:r w:rsidRPr="00B1392B">
        <w:rPr>
          <w:rFonts w:ascii="Arial" w:hAnsi="Arial" w:cs="Arial"/>
          <w:i/>
          <w:iCs/>
          <w:lang w:val="en-US"/>
        </w:rPr>
        <w:t xml:space="preserve"> A Cross Disciplinary Approach</w:t>
      </w:r>
      <w:r w:rsidRPr="00B1392B">
        <w:rPr>
          <w:rFonts w:ascii="Arial" w:hAnsi="Arial" w:cs="Arial"/>
          <w:lang w:val="en-US"/>
        </w:rPr>
        <w:t>. Open University Childhood.</w:t>
      </w:r>
    </w:p>
    <w:p w14:paraId="62CAAC97" w14:textId="77777777" w:rsidR="00B1392B" w:rsidRPr="00B1392B" w:rsidRDefault="00B1392B" w:rsidP="00B1392B">
      <w:pPr>
        <w:widowControl w:val="0"/>
        <w:autoSpaceDE w:val="0"/>
        <w:autoSpaceDN w:val="0"/>
        <w:adjustRightInd w:val="0"/>
        <w:spacing w:after="240" w:line="360" w:lineRule="auto"/>
        <w:rPr>
          <w:rFonts w:ascii="Arial" w:hAnsi="Arial" w:cs="Arial"/>
          <w:lang w:val="en-US"/>
        </w:rPr>
      </w:pPr>
      <w:r w:rsidRPr="00B1392B">
        <w:rPr>
          <w:rFonts w:ascii="Arial" w:hAnsi="Arial" w:cs="Arial"/>
          <w:lang w:val="en-US"/>
        </w:rPr>
        <w:t xml:space="preserve">London Borough of Bromley (2022). </w:t>
      </w:r>
      <w:r w:rsidRPr="00B1392B">
        <w:rPr>
          <w:rFonts w:ascii="Arial" w:hAnsi="Arial" w:cs="Arial"/>
          <w:i/>
          <w:iCs/>
          <w:lang w:val="en-US"/>
        </w:rPr>
        <w:t>Short breaks for disabled children and young people and their carers</w:t>
      </w:r>
      <w:r w:rsidRPr="00B1392B">
        <w:rPr>
          <w:rFonts w:ascii="Arial" w:hAnsi="Arial" w:cs="Arial"/>
          <w:lang w:val="en-US"/>
        </w:rPr>
        <w:t xml:space="preserve">. [online] www.bromley.gov.uk. Available at: </w:t>
      </w:r>
      <w:hyperlink r:id="rId15" w:history="1">
        <w:r w:rsidRPr="00B1392B">
          <w:rPr>
            <w:rFonts w:ascii="Arial" w:hAnsi="Arial" w:cs="Arial"/>
            <w:lang w:val="en-US"/>
          </w:rPr>
          <w:t>https://www.bromley.gov.uk/info/10122/children_and_young_adults_with_disabilities_and_learning_needs/1260/short_breaks_for_disabled_children_and_young_people_and_their_carers/3</w:t>
        </w:r>
      </w:hyperlink>
      <w:r w:rsidRPr="00B1392B">
        <w:rPr>
          <w:rFonts w:ascii="Arial" w:hAnsi="Arial" w:cs="Arial"/>
          <w:lang w:val="en-US"/>
        </w:rPr>
        <w:t xml:space="preserve"> [Accessed 1 Apr. 2022].</w:t>
      </w:r>
    </w:p>
    <w:p w14:paraId="144C1904" w14:textId="77777777" w:rsidR="00B1392B" w:rsidRPr="00B1392B" w:rsidRDefault="00B1392B" w:rsidP="00B1392B">
      <w:pPr>
        <w:widowControl w:val="0"/>
        <w:autoSpaceDE w:val="0"/>
        <w:autoSpaceDN w:val="0"/>
        <w:adjustRightInd w:val="0"/>
        <w:spacing w:after="240" w:line="360" w:lineRule="auto"/>
        <w:rPr>
          <w:rFonts w:ascii="Arial" w:hAnsi="Arial" w:cs="Arial"/>
          <w:lang w:val="en-US"/>
        </w:rPr>
      </w:pPr>
      <w:r w:rsidRPr="00B1392B">
        <w:rPr>
          <w:rFonts w:ascii="Arial" w:hAnsi="Arial" w:cs="Arial"/>
          <w:lang w:val="en-US"/>
        </w:rPr>
        <w:lastRenderedPageBreak/>
        <w:t xml:space="preserve">Mata-McMahon, J., Haslip, M.J. and Schein, D.L. (2018). Early childhood educators’ perceptions of nurturing spirituality in secular settings. </w:t>
      </w:r>
      <w:r w:rsidRPr="00B1392B">
        <w:rPr>
          <w:rFonts w:ascii="Arial" w:hAnsi="Arial" w:cs="Arial"/>
          <w:i/>
          <w:iCs/>
          <w:lang w:val="en-US"/>
        </w:rPr>
        <w:t>Early Child Development and Care</w:t>
      </w:r>
      <w:r w:rsidRPr="00B1392B">
        <w:rPr>
          <w:rFonts w:ascii="Arial" w:hAnsi="Arial" w:cs="Arial"/>
          <w:lang w:val="en-US"/>
        </w:rPr>
        <w:t>, 189(14), pp.2233–2251.</w:t>
      </w:r>
    </w:p>
    <w:p w14:paraId="4668611B" w14:textId="77777777" w:rsidR="00B1392B" w:rsidRPr="00B1392B" w:rsidRDefault="00B1392B" w:rsidP="00B1392B">
      <w:pPr>
        <w:widowControl w:val="0"/>
        <w:autoSpaceDE w:val="0"/>
        <w:autoSpaceDN w:val="0"/>
        <w:adjustRightInd w:val="0"/>
        <w:spacing w:after="240" w:line="360" w:lineRule="auto"/>
        <w:rPr>
          <w:rFonts w:ascii="Arial" w:hAnsi="Arial" w:cs="Arial"/>
          <w:lang w:val="en-US"/>
        </w:rPr>
      </w:pPr>
      <w:r w:rsidRPr="00B1392B">
        <w:rPr>
          <w:rFonts w:ascii="Arial" w:hAnsi="Arial" w:cs="Arial"/>
          <w:lang w:val="en-US"/>
        </w:rPr>
        <w:t xml:space="preserve">Mondal, P. (2014). </w:t>
      </w:r>
      <w:r w:rsidRPr="00B1392B">
        <w:rPr>
          <w:rFonts w:ascii="Arial" w:hAnsi="Arial" w:cs="Arial"/>
          <w:i/>
          <w:iCs/>
          <w:lang w:val="en-US"/>
        </w:rPr>
        <w:t>Family: Meaning, Characteristics, Function and Types</w:t>
      </w:r>
      <w:r w:rsidRPr="00B1392B">
        <w:rPr>
          <w:rFonts w:ascii="Arial" w:hAnsi="Arial" w:cs="Arial"/>
          <w:lang w:val="en-US"/>
        </w:rPr>
        <w:t xml:space="preserve">. [online] Your Article Library. Available at: </w:t>
      </w:r>
      <w:hyperlink r:id="rId16" w:history="1">
        <w:r w:rsidRPr="00B1392B">
          <w:rPr>
            <w:rFonts w:ascii="Arial" w:hAnsi="Arial" w:cs="Arial"/>
            <w:lang w:val="en-US"/>
          </w:rPr>
          <w:t>https://www.yourarticlelibrary.com/speech/family-meaning-characteristics-function-and-types/34966</w:t>
        </w:r>
      </w:hyperlink>
      <w:r w:rsidRPr="00B1392B">
        <w:rPr>
          <w:rFonts w:ascii="Arial" w:hAnsi="Arial" w:cs="Arial"/>
          <w:lang w:val="en-US"/>
        </w:rPr>
        <w:t xml:space="preserve"> [Accessed 26 Mar. 2022].</w:t>
      </w:r>
    </w:p>
    <w:p w14:paraId="2D621A8F" w14:textId="77777777" w:rsidR="00B1392B" w:rsidRPr="00B1392B" w:rsidRDefault="00B1392B" w:rsidP="00B1392B">
      <w:pPr>
        <w:widowControl w:val="0"/>
        <w:autoSpaceDE w:val="0"/>
        <w:autoSpaceDN w:val="0"/>
        <w:adjustRightInd w:val="0"/>
        <w:spacing w:after="240" w:line="360" w:lineRule="auto"/>
        <w:rPr>
          <w:rFonts w:ascii="Arial" w:hAnsi="Arial" w:cs="Arial"/>
          <w:lang w:val="en-US"/>
        </w:rPr>
      </w:pPr>
      <w:r w:rsidRPr="00B1392B">
        <w:rPr>
          <w:rFonts w:ascii="Arial" w:hAnsi="Arial" w:cs="Arial"/>
          <w:lang w:val="en-US"/>
        </w:rPr>
        <w:t xml:space="preserve">Neglect Thematic Group (2019). </w:t>
      </w:r>
      <w:r w:rsidRPr="00B1392B">
        <w:rPr>
          <w:rFonts w:ascii="Arial" w:hAnsi="Arial" w:cs="Arial"/>
          <w:i/>
          <w:iCs/>
          <w:lang w:val="en-US"/>
        </w:rPr>
        <w:t>MULTI-AGENCY GUIDANCE CHILDREN AND YOUNG PEOPLE AT RISK OF NEGLECT Document information</w:t>
      </w:r>
      <w:r w:rsidRPr="00B1392B">
        <w:rPr>
          <w:rFonts w:ascii="Arial" w:hAnsi="Arial" w:cs="Arial"/>
          <w:lang w:val="en-US"/>
        </w:rPr>
        <w:t xml:space="preserve">. [online] Available at: </w:t>
      </w:r>
      <w:hyperlink r:id="rId17" w:history="1">
        <w:r w:rsidRPr="00B1392B">
          <w:rPr>
            <w:rFonts w:ascii="Arial" w:hAnsi="Arial" w:cs="Arial"/>
            <w:lang w:val="en-US"/>
          </w:rPr>
          <w:t>https://www.aberdeengettingitright.org.uk/wp-content/uploads/2019/12/Multi-Agency-Neglect-Guidance-2019-v1.pdf</w:t>
        </w:r>
      </w:hyperlink>
      <w:r w:rsidRPr="00B1392B">
        <w:rPr>
          <w:rFonts w:ascii="Arial" w:hAnsi="Arial" w:cs="Arial"/>
          <w:lang w:val="en-US"/>
        </w:rPr>
        <w:t xml:space="preserve"> [Accessed 26 Mar. 2022].</w:t>
      </w:r>
    </w:p>
    <w:p w14:paraId="27A199F2" w14:textId="77777777" w:rsidR="00B1392B" w:rsidRPr="00B1392B" w:rsidRDefault="00B1392B" w:rsidP="00B1392B">
      <w:pPr>
        <w:widowControl w:val="0"/>
        <w:autoSpaceDE w:val="0"/>
        <w:autoSpaceDN w:val="0"/>
        <w:adjustRightInd w:val="0"/>
        <w:spacing w:after="240" w:line="360" w:lineRule="auto"/>
        <w:rPr>
          <w:rFonts w:ascii="Arial" w:hAnsi="Arial" w:cs="Arial"/>
          <w:lang w:val="en-US"/>
        </w:rPr>
      </w:pPr>
      <w:r w:rsidRPr="00B1392B">
        <w:rPr>
          <w:rFonts w:ascii="Arial" w:hAnsi="Arial" w:cs="Arial"/>
          <w:lang w:val="en-US"/>
        </w:rPr>
        <w:t xml:space="preserve">NSPCC (2021). </w:t>
      </w:r>
      <w:r w:rsidRPr="00B1392B">
        <w:rPr>
          <w:rFonts w:ascii="Arial" w:hAnsi="Arial" w:cs="Arial"/>
          <w:i/>
          <w:iCs/>
          <w:lang w:val="en-US"/>
        </w:rPr>
        <w:t>History of child protection in the UK</w:t>
      </w:r>
      <w:r w:rsidRPr="00B1392B">
        <w:rPr>
          <w:rFonts w:ascii="Arial" w:hAnsi="Arial" w:cs="Arial"/>
          <w:lang w:val="en-US"/>
        </w:rPr>
        <w:t xml:space="preserve">. [online] NSPCC Learning. Available at: </w:t>
      </w:r>
      <w:hyperlink r:id="rId18" w:history="1">
        <w:r w:rsidRPr="00B1392B">
          <w:rPr>
            <w:rFonts w:ascii="Arial" w:hAnsi="Arial" w:cs="Arial"/>
            <w:lang w:val="en-US"/>
          </w:rPr>
          <w:t>https://learning.nspcc.org.uk/child-protection-system/history-of-child-protection-in-the-uk</w:t>
        </w:r>
      </w:hyperlink>
      <w:r w:rsidRPr="00B1392B">
        <w:rPr>
          <w:rFonts w:ascii="Arial" w:hAnsi="Arial" w:cs="Arial"/>
          <w:lang w:val="en-US"/>
        </w:rPr>
        <w:t xml:space="preserve"> [Accessed 15 Mar. 2022].</w:t>
      </w:r>
    </w:p>
    <w:p w14:paraId="7D9BA304" w14:textId="77777777" w:rsidR="00B1392B" w:rsidRPr="00B1392B" w:rsidRDefault="00B1392B" w:rsidP="00B1392B">
      <w:pPr>
        <w:widowControl w:val="0"/>
        <w:autoSpaceDE w:val="0"/>
        <w:autoSpaceDN w:val="0"/>
        <w:adjustRightInd w:val="0"/>
        <w:spacing w:after="240" w:line="360" w:lineRule="auto"/>
        <w:rPr>
          <w:rFonts w:ascii="Arial" w:hAnsi="Arial" w:cs="Arial"/>
          <w:lang w:val="en-US"/>
        </w:rPr>
      </w:pPr>
      <w:r w:rsidRPr="00B1392B">
        <w:rPr>
          <w:rFonts w:ascii="Arial" w:hAnsi="Arial" w:cs="Arial"/>
          <w:lang w:val="en-US"/>
        </w:rPr>
        <w:t xml:space="preserve">PhD in parenting (2010). </w:t>
      </w:r>
      <w:r w:rsidRPr="00B1392B">
        <w:rPr>
          <w:rFonts w:ascii="Arial" w:hAnsi="Arial" w:cs="Arial"/>
          <w:i/>
          <w:iCs/>
          <w:lang w:val="en-US"/>
        </w:rPr>
        <w:t>Child’s Hierarchy of Needs - PhD in Parenting - PhD in Parenting</w:t>
      </w:r>
      <w:r w:rsidRPr="00B1392B">
        <w:rPr>
          <w:rFonts w:ascii="Arial" w:hAnsi="Arial" w:cs="Arial"/>
          <w:lang w:val="en-US"/>
        </w:rPr>
        <w:t xml:space="preserve">. [online] www.phdinparenting.com. Available at: </w:t>
      </w:r>
      <w:hyperlink r:id="rId19" w:history="1">
        <w:r w:rsidRPr="00B1392B">
          <w:rPr>
            <w:rFonts w:ascii="Arial" w:hAnsi="Arial" w:cs="Arial"/>
            <w:lang w:val="en-US"/>
          </w:rPr>
          <w:t>http://www.phdinparenting.com/blog/2010/1/14/childs-hierarchy-of-needs.html</w:t>
        </w:r>
      </w:hyperlink>
      <w:r w:rsidRPr="00B1392B">
        <w:rPr>
          <w:rFonts w:ascii="Arial" w:hAnsi="Arial" w:cs="Arial"/>
          <w:lang w:val="en-US"/>
        </w:rPr>
        <w:t xml:space="preserve"> [Accessed 14 Apr. 2022].</w:t>
      </w:r>
    </w:p>
    <w:p w14:paraId="56C9C2F1" w14:textId="7ECFD2F8" w:rsidR="00B1392B" w:rsidRPr="00B1392B" w:rsidRDefault="00B1392B" w:rsidP="00B1392B">
      <w:pPr>
        <w:widowControl w:val="0"/>
        <w:autoSpaceDE w:val="0"/>
        <w:autoSpaceDN w:val="0"/>
        <w:adjustRightInd w:val="0"/>
        <w:spacing w:after="240" w:line="360" w:lineRule="auto"/>
        <w:rPr>
          <w:rFonts w:ascii="Arial" w:hAnsi="Arial" w:cs="Arial"/>
          <w:lang w:val="en-US"/>
        </w:rPr>
      </w:pPr>
      <w:r w:rsidRPr="00B1392B">
        <w:rPr>
          <w:rFonts w:ascii="Arial" w:hAnsi="Arial" w:cs="Arial"/>
          <w:lang w:val="en-US"/>
        </w:rPr>
        <w:t>Scott, D. (2009). "</w:t>
      </w:r>
      <w:r w:rsidR="001A7BBD" w:rsidRPr="00B1392B">
        <w:rPr>
          <w:rFonts w:ascii="Arial" w:hAnsi="Arial" w:cs="Arial"/>
          <w:lang w:val="en-US"/>
        </w:rPr>
        <w:t>Think</w:t>
      </w:r>
      <w:r w:rsidRPr="00B1392B">
        <w:rPr>
          <w:rFonts w:ascii="Arial" w:hAnsi="Arial" w:cs="Arial"/>
          <w:lang w:val="en-US"/>
        </w:rPr>
        <w:t xml:space="preserve"> child, think </w:t>
      </w:r>
      <w:r w:rsidR="001A7BBD" w:rsidRPr="00B1392B">
        <w:rPr>
          <w:rFonts w:ascii="Arial" w:hAnsi="Arial" w:cs="Arial"/>
          <w:lang w:val="en-US"/>
        </w:rPr>
        <w:t>family “How</w:t>
      </w:r>
      <w:r w:rsidRPr="00B1392B">
        <w:rPr>
          <w:rFonts w:ascii="Arial" w:hAnsi="Arial" w:cs="Arial"/>
          <w:lang w:val="en-US"/>
        </w:rPr>
        <w:t xml:space="preserve"> adult specialist services can support children at risk of abuse and neglect. </w:t>
      </w:r>
      <w:r w:rsidRPr="00B1392B">
        <w:rPr>
          <w:rFonts w:ascii="Arial" w:hAnsi="Arial" w:cs="Arial"/>
          <w:i/>
          <w:iCs/>
          <w:lang w:val="en-US"/>
        </w:rPr>
        <w:t>Australian Institute of Family Studies</w:t>
      </w:r>
      <w:r w:rsidRPr="00B1392B">
        <w:rPr>
          <w:rFonts w:ascii="Arial" w:hAnsi="Arial" w:cs="Arial"/>
          <w:lang w:val="en-US"/>
        </w:rPr>
        <w:t>, 1(81).</w:t>
      </w:r>
    </w:p>
    <w:p w14:paraId="1548865F" w14:textId="77777777" w:rsidR="00B1392B" w:rsidRPr="00B1392B" w:rsidRDefault="00B1392B" w:rsidP="00B1392B">
      <w:pPr>
        <w:widowControl w:val="0"/>
        <w:autoSpaceDE w:val="0"/>
        <w:autoSpaceDN w:val="0"/>
        <w:adjustRightInd w:val="0"/>
        <w:spacing w:after="240" w:line="360" w:lineRule="auto"/>
        <w:rPr>
          <w:rFonts w:ascii="Arial" w:hAnsi="Arial" w:cs="Arial"/>
          <w:lang w:val="en-US"/>
        </w:rPr>
      </w:pPr>
      <w:r w:rsidRPr="00B1392B">
        <w:rPr>
          <w:rFonts w:ascii="Arial" w:hAnsi="Arial" w:cs="Arial"/>
          <w:lang w:val="en-US"/>
        </w:rPr>
        <w:t xml:space="preserve">Stearns, P.N. (2020). </w:t>
      </w:r>
      <w:r w:rsidRPr="00B1392B">
        <w:rPr>
          <w:rFonts w:ascii="Arial" w:hAnsi="Arial" w:cs="Arial"/>
          <w:i/>
          <w:iCs/>
          <w:lang w:val="en-US"/>
        </w:rPr>
        <w:t>The Industrial Revolution in World History</w:t>
      </w:r>
      <w:r w:rsidRPr="00B1392B">
        <w:rPr>
          <w:rFonts w:ascii="Arial" w:hAnsi="Arial" w:cs="Arial"/>
          <w:lang w:val="en-US"/>
        </w:rPr>
        <w:t>. 5th ed. New York: Routledge, pp.55–67.</w:t>
      </w:r>
    </w:p>
    <w:p w14:paraId="1A57B6CB" w14:textId="77777777" w:rsidR="00B1392B" w:rsidRPr="00B1392B" w:rsidRDefault="00B1392B" w:rsidP="00B1392B">
      <w:pPr>
        <w:widowControl w:val="0"/>
        <w:autoSpaceDE w:val="0"/>
        <w:autoSpaceDN w:val="0"/>
        <w:adjustRightInd w:val="0"/>
        <w:spacing w:after="240" w:line="360" w:lineRule="auto"/>
        <w:rPr>
          <w:rFonts w:ascii="Arial" w:hAnsi="Arial" w:cs="Arial"/>
          <w:lang w:val="en-US"/>
        </w:rPr>
      </w:pPr>
      <w:r w:rsidRPr="00B1392B">
        <w:rPr>
          <w:rFonts w:ascii="Arial" w:hAnsi="Arial" w:cs="Arial"/>
          <w:lang w:val="en-US"/>
        </w:rPr>
        <w:t xml:space="preserve">Strinati, D. and Wagg, S. (1992). </w:t>
      </w:r>
      <w:r w:rsidRPr="00B1392B">
        <w:rPr>
          <w:rFonts w:ascii="Arial" w:hAnsi="Arial" w:cs="Arial"/>
          <w:i/>
          <w:iCs/>
          <w:lang w:val="en-US"/>
        </w:rPr>
        <w:t>Come on Down? Popular Media Culture in Post-War Britain</w:t>
      </w:r>
      <w:r w:rsidRPr="00B1392B">
        <w:rPr>
          <w:rFonts w:ascii="Arial" w:hAnsi="Arial" w:cs="Arial"/>
          <w:lang w:val="en-US"/>
        </w:rPr>
        <w:t>. 1st ed. Routledge.</w:t>
      </w:r>
    </w:p>
    <w:p w14:paraId="320C39C7" w14:textId="77777777" w:rsidR="00B1392B" w:rsidRPr="00B1392B" w:rsidRDefault="00B1392B" w:rsidP="00B1392B">
      <w:pPr>
        <w:widowControl w:val="0"/>
        <w:autoSpaceDE w:val="0"/>
        <w:autoSpaceDN w:val="0"/>
        <w:adjustRightInd w:val="0"/>
        <w:spacing w:after="240" w:line="360" w:lineRule="auto"/>
        <w:rPr>
          <w:rFonts w:ascii="Arial" w:hAnsi="Arial" w:cs="Arial"/>
          <w:lang w:val="en-US"/>
        </w:rPr>
      </w:pPr>
      <w:r w:rsidRPr="00B1392B">
        <w:rPr>
          <w:rFonts w:ascii="Arial" w:hAnsi="Arial" w:cs="Arial"/>
          <w:lang w:val="it-IT"/>
        </w:rPr>
        <w:t xml:space="preserve">Sultana Ali Norozi and Torill Moen (2016). </w:t>
      </w:r>
      <w:r w:rsidRPr="00B1392B">
        <w:rPr>
          <w:rFonts w:ascii="Arial" w:hAnsi="Arial" w:cs="Arial"/>
          <w:lang w:val="en-US"/>
        </w:rPr>
        <w:t xml:space="preserve">Childhood as a Social Construction. </w:t>
      </w:r>
      <w:r w:rsidRPr="00B1392B">
        <w:rPr>
          <w:rFonts w:ascii="Arial" w:hAnsi="Arial" w:cs="Arial"/>
          <w:i/>
          <w:iCs/>
          <w:lang w:val="en-US"/>
        </w:rPr>
        <w:t>Journal of Educational and Social Research</w:t>
      </w:r>
      <w:r w:rsidRPr="00B1392B">
        <w:rPr>
          <w:rFonts w:ascii="Arial" w:hAnsi="Arial" w:cs="Arial"/>
          <w:lang w:val="en-US"/>
        </w:rPr>
        <w:t xml:space="preserve">, [online] 6(2), p.75. Available at: </w:t>
      </w:r>
      <w:hyperlink r:id="rId20" w:history="1">
        <w:r w:rsidRPr="00B1392B">
          <w:rPr>
            <w:rFonts w:ascii="Arial" w:hAnsi="Arial" w:cs="Arial"/>
            <w:lang w:val="en-US"/>
          </w:rPr>
          <w:t>https://www.mcser.org/journal/index.php/jesr/article/view/9151</w:t>
        </w:r>
      </w:hyperlink>
      <w:r w:rsidRPr="00B1392B">
        <w:rPr>
          <w:rFonts w:ascii="Arial" w:hAnsi="Arial" w:cs="Arial"/>
          <w:lang w:val="en-US"/>
        </w:rPr>
        <w:t xml:space="preserve"> [Accessed 26 Mar. 2022].</w:t>
      </w:r>
    </w:p>
    <w:p w14:paraId="1A114B55" w14:textId="6D1A7A71" w:rsidR="00B1392B" w:rsidRPr="00B1392B" w:rsidRDefault="00B1392B" w:rsidP="00B1392B">
      <w:pPr>
        <w:widowControl w:val="0"/>
        <w:autoSpaceDE w:val="0"/>
        <w:autoSpaceDN w:val="0"/>
        <w:adjustRightInd w:val="0"/>
        <w:spacing w:after="240" w:line="360" w:lineRule="auto"/>
        <w:rPr>
          <w:rFonts w:ascii="Arial" w:hAnsi="Arial" w:cs="Arial"/>
          <w:lang w:val="en-US"/>
        </w:rPr>
      </w:pPr>
      <w:r w:rsidRPr="00B1392B">
        <w:rPr>
          <w:rFonts w:ascii="Arial" w:hAnsi="Arial" w:cs="Arial"/>
          <w:lang w:val="en-US"/>
        </w:rPr>
        <w:t xml:space="preserve">Thompson, K. (2015). </w:t>
      </w:r>
      <w:r w:rsidRPr="00B1392B">
        <w:rPr>
          <w:rFonts w:ascii="Arial" w:hAnsi="Arial" w:cs="Arial"/>
          <w:i/>
          <w:iCs/>
          <w:lang w:val="en-US"/>
        </w:rPr>
        <w:t xml:space="preserve">The Social Construction of </w:t>
      </w:r>
      <w:r w:rsidR="001A7BBD" w:rsidRPr="00B1392B">
        <w:rPr>
          <w:rFonts w:ascii="Arial" w:hAnsi="Arial" w:cs="Arial"/>
          <w:i/>
          <w:iCs/>
          <w:lang w:val="en-US"/>
        </w:rPr>
        <w:t>Childhood</w:t>
      </w:r>
      <w:r w:rsidRPr="00B1392B">
        <w:rPr>
          <w:rFonts w:ascii="Arial" w:hAnsi="Arial" w:cs="Arial"/>
          <w:lang w:val="en-US"/>
        </w:rPr>
        <w:t xml:space="preserve">. [online] </w:t>
      </w:r>
      <w:r w:rsidR="001A7BBD" w:rsidRPr="00B1392B">
        <w:rPr>
          <w:rFonts w:ascii="Arial" w:hAnsi="Arial" w:cs="Arial"/>
          <w:lang w:val="en-US"/>
        </w:rPr>
        <w:t>Revise Sociology</w:t>
      </w:r>
      <w:r w:rsidRPr="00B1392B">
        <w:rPr>
          <w:rFonts w:ascii="Arial" w:hAnsi="Arial" w:cs="Arial"/>
          <w:lang w:val="en-US"/>
        </w:rPr>
        <w:t xml:space="preserve">. Available at: </w:t>
      </w:r>
      <w:hyperlink r:id="rId21" w:history="1">
        <w:r w:rsidRPr="00B1392B">
          <w:rPr>
            <w:rFonts w:ascii="Arial" w:hAnsi="Arial" w:cs="Arial"/>
            <w:lang w:val="en-US"/>
          </w:rPr>
          <w:t>https://revisesociology.com/2015/05/06/social-construction-of-childhood/#</w:t>
        </w:r>
      </w:hyperlink>
      <w:r w:rsidRPr="00B1392B">
        <w:rPr>
          <w:rFonts w:ascii="Arial" w:hAnsi="Arial" w:cs="Arial"/>
          <w:lang w:val="en-US"/>
        </w:rPr>
        <w:t xml:space="preserve"> [Accessed 20 Mar. 2022].</w:t>
      </w:r>
    </w:p>
    <w:p w14:paraId="2483ACA9" w14:textId="77777777" w:rsidR="00B1392B" w:rsidRPr="00B1392B" w:rsidRDefault="00B1392B" w:rsidP="00B1392B">
      <w:pPr>
        <w:widowControl w:val="0"/>
        <w:autoSpaceDE w:val="0"/>
        <w:autoSpaceDN w:val="0"/>
        <w:adjustRightInd w:val="0"/>
        <w:spacing w:after="240" w:line="360" w:lineRule="auto"/>
        <w:rPr>
          <w:rFonts w:ascii="Arial" w:hAnsi="Arial" w:cs="Arial"/>
          <w:lang w:val="en-US"/>
        </w:rPr>
      </w:pPr>
      <w:r w:rsidRPr="00B1392B">
        <w:rPr>
          <w:rFonts w:ascii="Arial" w:hAnsi="Arial" w:cs="Arial"/>
          <w:lang w:val="en-US"/>
        </w:rPr>
        <w:t xml:space="preserve">Walker, S. (2012). </w:t>
      </w:r>
      <w:r w:rsidRPr="00B1392B">
        <w:rPr>
          <w:rFonts w:ascii="Arial" w:hAnsi="Arial" w:cs="Arial"/>
          <w:i/>
          <w:iCs/>
          <w:lang w:val="en-US"/>
        </w:rPr>
        <w:t xml:space="preserve">Effective Social Work with Children, Young People and Families: Putting </w:t>
      </w:r>
      <w:r w:rsidRPr="00B1392B">
        <w:rPr>
          <w:rFonts w:ascii="Arial" w:hAnsi="Arial" w:cs="Arial"/>
          <w:i/>
          <w:iCs/>
          <w:lang w:val="en-US"/>
        </w:rPr>
        <w:lastRenderedPageBreak/>
        <w:t>Systems Theory into Practice</w:t>
      </w:r>
      <w:r w:rsidRPr="00B1392B">
        <w:rPr>
          <w:rFonts w:ascii="Arial" w:hAnsi="Arial" w:cs="Arial"/>
          <w:lang w:val="en-US"/>
        </w:rPr>
        <w:t>. 1st ed. SAGE Publications Ltd.</w:t>
      </w:r>
    </w:p>
    <w:p w14:paraId="418101CE" w14:textId="77777777" w:rsidR="000E49B3" w:rsidRPr="00DA6666" w:rsidRDefault="000E49B3" w:rsidP="00CC0338">
      <w:pPr>
        <w:rPr>
          <w:rFonts w:ascii="Arial" w:hAnsi="Arial" w:cs="Arial"/>
          <w:sz w:val="32"/>
          <w:szCs w:val="32"/>
        </w:rPr>
      </w:pPr>
    </w:p>
    <w:sectPr w:rsidR="000E49B3" w:rsidRPr="00DA6666" w:rsidSect="00B01909">
      <w:footerReference w:type="default" r:id="rId2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6D3D54" w14:textId="77777777" w:rsidR="00854909" w:rsidRDefault="00854909" w:rsidP="00CC0338">
      <w:pPr>
        <w:spacing w:after="0" w:line="240" w:lineRule="auto"/>
      </w:pPr>
      <w:r>
        <w:separator/>
      </w:r>
    </w:p>
  </w:endnote>
  <w:endnote w:type="continuationSeparator" w:id="0">
    <w:p w14:paraId="642B533E" w14:textId="77777777" w:rsidR="00854909" w:rsidRDefault="00854909" w:rsidP="00CC03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6378922"/>
      <w:docPartObj>
        <w:docPartGallery w:val="Page Numbers (Bottom of Page)"/>
        <w:docPartUnique/>
      </w:docPartObj>
    </w:sdtPr>
    <w:sdtEndPr>
      <w:rPr>
        <w:noProof/>
      </w:rPr>
    </w:sdtEndPr>
    <w:sdtContent>
      <w:p w14:paraId="46B15301" w14:textId="36C196E1" w:rsidR="00B01909" w:rsidRDefault="00B019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79CAA4" w14:textId="77777777" w:rsidR="00B01909" w:rsidRDefault="00B019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E4BC40" w14:textId="77777777" w:rsidR="00854909" w:rsidRDefault="00854909" w:rsidP="00CC0338">
      <w:pPr>
        <w:spacing w:after="0" w:line="240" w:lineRule="auto"/>
      </w:pPr>
      <w:r>
        <w:separator/>
      </w:r>
    </w:p>
  </w:footnote>
  <w:footnote w:type="continuationSeparator" w:id="0">
    <w:p w14:paraId="2B109C29" w14:textId="77777777" w:rsidR="00854909" w:rsidRDefault="00854909" w:rsidP="00CC033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AD2"/>
    <w:rsid w:val="00063C97"/>
    <w:rsid w:val="000E49B3"/>
    <w:rsid w:val="001A7BBD"/>
    <w:rsid w:val="002243F8"/>
    <w:rsid w:val="00444AD2"/>
    <w:rsid w:val="004B556B"/>
    <w:rsid w:val="005E2BD7"/>
    <w:rsid w:val="0062411A"/>
    <w:rsid w:val="00854909"/>
    <w:rsid w:val="008E5AB9"/>
    <w:rsid w:val="00AA6548"/>
    <w:rsid w:val="00B01909"/>
    <w:rsid w:val="00B1392B"/>
    <w:rsid w:val="00CC0338"/>
    <w:rsid w:val="00CE07A8"/>
    <w:rsid w:val="00DA6666"/>
    <w:rsid w:val="00DB6B90"/>
    <w:rsid w:val="00E84C53"/>
    <w:rsid w:val="00EB6E61"/>
    <w:rsid w:val="00F863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56526"/>
  <w15:chartTrackingRefBased/>
  <w15:docId w15:val="{C06591FC-1FAD-49FF-B543-FC67BDD29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CC0338"/>
    <w:pPr>
      <w:pBdr>
        <w:top w:val="nil"/>
        <w:left w:val="nil"/>
        <w:bottom w:val="nil"/>
        <w:right w:val="nil"/>
        <w:between w:val="nil"/>
        <w:bar w:val="nil"/>
      </w:pBdr>
    </w:pPr>
    <w:rPr>
      <w:rFonts w:ascii="Calibri" w:eastAsia="Calibri" w:hAnsi="Calibri" w:cs="Calibri"/>
      <w:color w:val="000000"/>
      <w:u w:color="000000"/>
      <w:bdr w:val="nil"/>
      <w:lang w:eastAsia="en-GB"/>
      <w14:textOutline w14:w="0" w14:cap="flat" w14:cmpd="sng" w14:algn="ctr">
        <w14:noFill/>
        <w14:prstDash w14:val="solid"/>
        <w14:bevel/>
      </w14:textOutline>
    </w:rPr>
  </w:style>
  <w:style w:type="paragraph" w:styleId="Header">
    <w:name w:val="header"/>
    <w:basedOn w:val="Normal"/>
    <w:link w:val="HeaderChar"/>
    <w:uiPriority w:val="99"/>
    <w:unhideWhenUsed/>
    <w:rsid w:val="00CC03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0338"/>
  </w:style>
  <w:style w:type="paragraph" w:styleId="Footer">
    <w:name w:val="footer"/>
    <w:basedOn w:val="Normal"/>
    <w:link w:val="FooterChar"/>
    <w:uiPriority w:val="99"/>
    <w:unhideWhenUsed/>
    <w:rsid w:val="00CC03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0338"/>
  </w:style>
  <w:style w:type="paragraph" w:styleId="NormalWeb">
    <w:name w:val="Normal (Web)"/>
    <w:basedOn w:val="Normal"/>
    <w:uiPriority w:val="99"/>
    <w:unhideWhenUsed/>
    <w:rsid w:val="004B55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1392B"/>
    <w:rPr>
      <w:b/>
      <w:bCs/>
    </w:rPr>
  </w:style>
  <w:style w:type="character" w:styleId="Emphasis">
    <w:name w:val="Emphasis"/>
    <w:basedOn w:val="DefaultParagraphFont"/>
    <w:uiPriority w:val="20"/>
    <w:qFormat/>
    <w:rsid w:val="00B1392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2969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books.google.co.uk/books?id=CuIeWIjfTkUC&amp;printsec=frontcover&amp;hl=it&amp;source=gbs_ge_summary_r&amp;cad=0#v=onepage&amp;q&amp;f=false" TargetMode="External"/><Relationship Id="rId18" Type="http://schemas.openxmlformats.org/officeDocument/2006/relationships/hyperlink" Target="https://learning.nspcc.org.uk/child-protection-system/history-of-child-protection-in-the-uk" TargetMode="External"/><Relationship Id="rId3" Type="http://schemas.openxmlformats.org/officeDocument/2006/relationships/webSettings" Target="webSettings.xml"/><Relationship Id="rId21" Type="http://schemas.openxmlformats.org/officeDocument/2006/relationships/hyperlink" Target="https://revisesociology.com/2015/05/06/social-construction-of-childhood/#" TargetMode="External"/><Relationship Id="rId7" Type="http://schemas.openxmlformats.org/officeDocument/2006/relationships/image" Target="media/image2.jpeg"/><Relationship Id="rId12" Type="http://schemas.openxmlformats.org/officeDocument/2006/relationships/hyperlink" Target="https://www.childwelfare.gov/pubPDFs/brain_development.pdf" TargetMode="External"/><Relationship Id="rId17" Type="http://schemas.openxmlformats.org/officeDocument/2006/relationships/hyperlink" Target="https://www.aberdeengettingitright.org.uk/wp-content/uploads/2019/12/Multi-Agency-Neglect-Guidance-2019-v1.pdf" TargetMode="External"/><Relationship Id="rId2" Type="http://schemas.openxmlformats.org/officeDocument/2006/relationships/settings" Target="settings.xml"/><Relationship Id="rId16" Type="http://schemas.openxmlformats.org/officeDocument/2006/relationships/hyperlink" Target="https://www.yourarticlelibrary.com/speech/family-meaning-characteristics-function-and-types/34966" TargetMode="External"/><Relationship Id="rId20" Type="http://schemas.openxmlformats.org/officeDocument/2006/relationships/hyperlink" Target="https://www.mcser.org/journal/index.php/jesr/article/view/9151"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childandfamilytraining.org.uk/98/Introduction-to-the-Hope-for-Children-and-Family-Intervention-Resources"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bromley.gov.uk/info/10122/children_and_young_adults_with_disabilities_and_learning_needs/1260/short_breaks_for_disabled_children_and_young_people_and_their_carers/3" TargetMode="External"/><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www.phdinparenting.com/blog/2010/1/14/childs-hierarchy-of-needs.html"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assessmentpsychologyboard.org/edp/pdf/Urie_Bronfenbrenner.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16</Pages>
  <Words>3510</Words>
  <Characters>20007</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Camilla Torello (2010042)</dc:creator>
  <cp:keywords/>
  <dc:description/>
  <cp:lastModifiedBy>Camilla Torello (2010042)</cp:lastModifiedBy>
  <cp:revision>11</cp:revision>
  <dcterms:created xsi:type="dcterms:W3CDTF">2022-04-19T07:35:00Z</dcterms:created>
  <dcterms:modified xsi:type="dcterms:W3CDTF">2022-04-21T17:49:00Z</dcterms:modified>
</cp:coreProperties>
</file>