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lang w:eastAsia="en-GB"/>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0EB51ED" w:rsidR="00833470" w:rsidRPr="0007372A" w:rsidRDefault="00833470" w:rsidP="00833470">
      <w:pPr>
        <w:tabs>
          <w:tab w:val="left" w:pos="6540"/>
        </w:tabs>
        <w:spacing w:line="360" w:lineRule="auto"/>
        <w:rPr>
          <w:rFonts w:ascii="Arial" w:hAnsi="Arial" w:cs="Arial"/>
          <w:b/>
          <w:bCs/>
          <w:sz w:val="28"/>
          <w:szCs w:val="28"/>
        </w:rPr>
      </w:pPr>
      <w:bookmarkStart w:id="0" w:name="_Hlk119323191"/>
      <w:r w:rsidRPr="0007372A">
        <w:rPr>
          <w:rFonts w:ascii="Arial" w:hAnsi="Arial" w:cs="Arial"/>
          <w:b/>
          <w:bCs/>
          <w:sz w:val="28"/>
          <w:szCs w:val="28"/>
        </w:rPr>
        <w:t xml:space="preserve">Student name: </w:t>
      </w:r>
      <w:r w:rsidR="0007372A" w:rsidRPr="0007372A">
        <w:rPr>
          <w:rFonts w:ascii="Arial" w:hAnsi="Arial" w:cs="Arial"/>
          <w:b/>
          <w:bCs/>
          <w:sz w:val="28"/>
          <w:szCs w:val="28"/>
        </w:rPr>
        <w:t>Abdul Turay</w:t>
      </w:r>
    </w:p>
    <w:p w14:paraId="476C763A" w14:textId="141EDC88" w:rsidR="00833470" w:rsidRPr="0007372A" w:rsidRDefault="00833470" w:rsidP="00833470">
      <w:pPr>
        <w:tabs>
          <w:tab w:val="left" w:pos="6540"/>
        </w:tabs>
        <w:spacing w:line="360" w:lineRule="auto"/>
        <w:rPr>
          <w:rFonts w:ascii="Arial" w:hAnsi="Arial" w:cs="Arial"/>
          <w:b/>
          <w:bCs/>
          <w:sz w:val="28"/>
          <w:szCs w:val="28"/>
          <w:lang w:val="nl-NL"/>
        </w:rPr>
      </w:pPr>
      <w:r w:rsidRPr="0007372A">
        <w:rPr>
          <w:rFonts w:ascii="Arial" w:hAnsi="Arial" w:cs="Arial"/>
          <w:b/>
          <w:bCs/>
          <w:sz w:val="28"/>
          <w:szCs w:val="28"/>
          <w:lang w:val="nl-NL"/>
        </w:rPr>
        <w:t>Student ID:</w:t>
      </w:r>
      <w:r w:rsidR="0007372A" w:rsidRPr="0007372A">
        <w:rPr>
          <w:b/>
          <w:bCs/>
          <w:sz w:val="28"/>
          <w:szCs w:val="28"/>
        </w:rPr>
        <w:t xml:space="preserve"> </w:t>
      </w:r>
      <w:r w:rsidR="0007372A" w:rsidRPr="0007372A">
        <w:rPr>
          <w:rFonts w:ascii="Arial" w:hAnsi="Arial" w:cs="Arial"/>
          <w:b/>
          <w:bCs/>
          <w:sz w:val="28"/>
          <w:szCs w:val="28"/>
          <w:lang w:val="nl-NL"/>
        </w:rPr>
        <w:t>2442944</w:t>
      </w:r>
    </w:p>
    <w:p w14:paraId="27005EB9" w14:textId="77777777" w:rsidR="00833470" w:rsidRPr="0007372A" w:rsidRDefault="00833470" w:rsidP="00833470">
      <w:pPr>
        <w:tabs>
          <w:tab w:val="left" w:pos="6540"/>
        </w:tabs>
        <w:spacing w:line="360" w:lineRule="auto"/>
        <w:rPr>
          <w:rFonts w:ascii="Arial" w:hAnsi="Arial" w:cs="Arial"/>
          <w:b/>
          <w:bCs/>
          <w:sz w:val="28"/>
          <w:szCs w:val="28"/>
          <w:lang w:val="nl-NL"/>
        </w:rPr>
      </w:pPr>
    </w:p>
    <w:p w14:paraId="543E95E7" w14:textId="30E7B21F" w:rsidR="00833470" w:rsidRPr="0007372A" w:rsidRDefault="00833470" w:rsidP="00833470">
      <w:pPr>
        <w:tabs>
          <w:tab w:val="left" w:pos="6540"/>
        </w:tabs>
        <w:spacing w:line="360" w:lineRule="auto"/>
        <w:rPr>
          <w:rFonts w:ascii="Arial" w:hAnsi="Arial" w:cs="Arial"/>
          <w:b/>
          <w:bCs/>
          <w:sz w:val="28"/>
          <w:szCs w:val="28"/>
          <w:lang w:val="nl-NL"/>
        </w:rPr>
      </w:pPr>
      <w:r w:rsidRPr="0007372A">
        <w:rPr>
          <w:rFonts w:ascii="Arial" w:hAnsi="Arial" w:cs="Arial"/>
          <w:b/>
          <w:bCs/>
          <w:sz w:val="28"/>
          <w:szCs w:val="28"/>
          <w:lang w:val="nl-NL"/>
        </w:rPr>
        <w:t xml:space="preserve">Module name: </w:t>
      </w:r>
      <w:r w:rsidR="0007372A" w:rsidRPr="0007372A">
        <w:rPr>
          <w:rFonts w:ascii="Arial" w:hAnsi="Arial" w:cs="Arial"/>
          <w:b/>
          <w:bCs/>
          <w:sz w:val="28"/>
          <w:szCs w:val="28"/>
        </w:rPr>
        <w:t>Introduction to Health and Social Care</w:t>
      </w:r>
    </w:p>
    <w:p w14:paraId="0009AFB0" w14:textId="65DC88A7" w:rsidR="00833470" w:rsidRPr="0007372A" w:rsidRDefault="00833470" w:rsidP="00833470">
      <w:pPr>
        <w:tabs>
          <w:tab w:val="left" w:pos="6540"/>
        </w:tabs>
        <w:spacing w:line="360" w:lineRule="auto"/>
        <w:rPr>
          <w:rFonts w:ascii="Arial" w:hAnsi="Arial" w:cs="Arial"/>
          <w:b/>
          <w:bCs/>
          <w:sz w:val="28"/>
          <w:szCs w:val="28"/>
        </w:rPr>
      </w:pPr>
      <w:r w:rsidRPr="0007372A">
        <w:rPr>
          <w:rFonts w:ascii="Arial" w:hAnsi="Arial" w:cs="Arial"/>
          <w:b/>
          <w:bCs/>
          <w:sz w:val="28"/>
          <w:szCs w:val="28"/>
        </w:rPr>
        <w:t>Module code:</w:t>
      </w:r>
      <w:r w:rsidR="0007372A" w:rsidRPr="0007372A">
        <w:rPr>
          <w:rFonts w:ascii="Arial" w:hAnsi="Arial" w:cs="Arial"/>
          <w:b/>
          <w:bCs/>
          <w:color w:val="222222"/>
          <w:sz w:val="28"/>
          <w:szCs w:val="28"/>
          <w:shd w:val="clear" w:color="auto" w:fill="FFFFFF"/>
        </w:rPr>
        <w:t xml:space="preserve"> </w:t>
      </w:r>
      <w:r w:rsidR="0007372A" w:rsidRPr="0007372A">
        <w:rPr>
          <w:rFonts w:ascii="Arial" w:hAnsi="Arial" w:cs="Arial"/>
          <w:b/>
          <w:bCs/>
          <w:sz w:val="28"/>
          <w:szCs w:val="28"/>
        </w:rPr>
        <w:t>LCHS4003 </w:t>
      </w:r>
    </w:p>
    <w:p w14:paraId="410C101D" w14:textId="7A0102F6" w:rsidR="00925D5E" w:rsidRPr="0007372A" w:rsidRDefault="00833470">
      <w:pPr>
        <w:rPr>
          <w:b/>
          <w:bCs/>
          <w:sz w:val="28"/>
          <w:szCs w:val="28"/>
        </w:rPr>
        <w:sectPr w:rsidR="00925D5E" w:rsidRPr="0007372A">
          <w:headerReference w:type="default" r:id="rId9"/>
          <w:footerReference w:type="default" r:id="rId10"/>
          <w:pgSz w:w="11906" w:h="16838"/>
          <w:pgMar w:top="1440" w:right="1440" w:bottom="1440" w:left="1440" w:header="708" w:footer="708" w:gutter="0"/>
          <w:cols w:space="708"/>
          <w:docGrid w:linePitch="360"/>
        </w:sectPr>
      </w:pPr>
      <w:r w:rsidRPr="0007372A">
        <w:rPr>
          <w:rFonts w:ascii="Arial" w:hAnsi="Arial" w:cs="Arial"/>
          <w:b/>
          <w:bCs/>
          <w:sz w:val="28"/>
          <w:szCs w:val="28"/>
        </w:rPr>
        <w:t>Lecturer name</w:t>
      </w:r>
      <w:r w:rsidRPr="0007372A">
        <w:rPr>
          <w:b/>
          <w:bCs/>
          <w:sz w:val="28"/>
          <w:szCs w:val="28"/>
        </w:rPr>
        <w:t xml:space="preserve"> </w:t>
      </w:r>
      <w:bookmarkEnd w:id="0"/>
    </w:p>
    <w:sdt>
      <w:sdtPr>
        <w:rPr>
          <w:rFonts w:asciiTheme="minorHAnsi" w:eastAsiaTheme="minorEastAsia" w:hAnsiTheme="minorHAnsi" w:cstheme="minorBidi"/>
          <w:color w:val="auto"/>
          <w:sz w:val="22"/>
          <w:szCs w:val="22"/>
          <w:lang w:val="en-GB" w:eastAsia="zh-CN"/>
        </w:rPr>
        <w:id w:val="-722287608"/>
        <w:docPartObj>
          <w:docPartGallery w:val="Table of Contents"/>
          <w:docPartUnique/>
        </w:docPartObj>
      </w:sdtPr>
      <w:sdtEndPr>
        <w:rPr>
          <w:rFonts w:ascii="Arial" w:hAnsi="Arial" w:cs="Arial"/>
          <w:b/>
          <w:bCs/>
          <w:noProof/>
        </w:rPr>
      </w:sdtEndPr>
      <w:sdtContent>
        <w:p w14:paraId="6883CD93" w14:textId="000C1478" w:rsidR="009E12D8" w:rsidRPr="009E12D8" w:rsidRDefault="009E12D8" w:rsidP="009E12D8">
          <w:pPr>
            <w:pStyle w:val="TOCHeading"/>
            <w:jc w:val="center"/>
            <w:rPr>
              <w:rFonts w:ascii="Arial" w:hAnsi="Arial" w:cs="Arial"/>
              <w:b/>
            </w:rPr>
          </w:pPr>
          <w:r w:rsidRPr="009E12D8">
            <w:rPr>
              <w:rFonts w:ascii="Arial" w:hAnsi="Arial" w:cs="Arial"/>
              <w:b/>
            </w:rPr>
            <w:t>Table of Contents</w:t>
          </w:r>
        </w:p>
        <w:p w14:paraId="326D012C" w14:textId="3EC7A64C" w:rsidR="009E12D8" w:rsidRPr="009E12D8" w:rsidRDefault="009E12D8">
          <w:pPr>
            <w:pStyle w:val="TOC1"/>
            <w:tabs>
              <w:tab w:val="right" w:leader="dot" w:pos="9016"/>
            </w:tabs>
            <w:rPr>
              <w:rFonts w:ascii="Arial" w:hAnsi="Arial" w:cs="Arial"/>
              <w:noProof/>
            </w:rPr>
          </w:pPr>
          <w:r w:rsidRPr="009E12D8">
            <w:rPr>
              <w:rFonts w:ascii="Arial" w:hAnsi="Arial" w:cs="Arial"/>
            </w:rPr>
            <w:fldChar w:fldCharType="begin"/>
          </w:r>
          <w:r w:rsidRPr="009E12D8">
            <w:rPr>
              <w:rFonts w:ascii="Arial" w:hAnsi="Arial" w:cs="Arial"/>
            </w:rPr>
            <w:instrText xml:space="preserve"> TOC \o "1-3" \h \z \u </w:instrText>
          </w:r>
          <w:r w:rsidRPr="009E12D8">
            <w:rPr>
              <w:rFonts w:ascii="Arial" w:hAnsi="Arial" w:cs="Arial"/>
            </w:rPr>
            <w:fldChar w:fldCharType="separate"/>
          </w:r>
          <w:hyperlink w:anchor="_Toc213586910" w:history="1">
            <w:r w:rsidRPr="009E12D8">
              <w:rPr>
                <w:rStyle w:val="Hyperlink"/>
                <w:rFonts w:ascii="Arial" w:hAnsi="Arial" w:cs="Arial"/>
                <w:noProof/>
              </w:rPr>
              <w:t>Element 1</w:t>
            </w:r>
            <w:r w:rsidRPr="009E12D8">
              <w:rPr>
                <w:rFonts w:ascii="Arial" w:hAnsi="Arial" w:cs="Arial"/>
                <w:noProof/>
                <w:webHidden/>
              </w:rPr>
              <w:tab/>
            </w:r>
            <w:r w:rsidRPr="009E12D8">
              <w:rPr>
                <w:rFonts w:ascii="Arial" w:hAnsi="Arial" w:cs="Arial"/>
                <w:noProof/>
                <w:webHidden/>
              </w:rPr>
              <w:fldChar w:fldCharType="begin"/>
            </w:r>
            <w:r w:rsidRPr="009E12D8">
              <w:rPr>
                <w:rFonts w:ascii="Arial" w:hAnsi="Arial" w:cs="Arial"/>
                <w:noProof/>
                <w:webHidden/>
              </w:rPr>
              <w:instrText xml:space="preserve"> PAGEREF _Toc213586910 \h </w:instrText>
            </w:r>
            <w:r w:rsidRPr="009E12D8">
              <w:rPr>
                <w:rFonts w:ascii="Arial" w:hAnsi="Arial" w:cs="Arial"/>
                <w:noProof/>
                <w:webHidden/>
              </w:rPr>
            </w:r>
            <w:r w:rsidRPr="009E12D8">
              <w:rPr>
                <w:rFonts w:ascii="Arial" w:hAnsi="Arial" w:cs="Arial"/>
                <w:noProof/>
                <w:webHidden/>
              </w:rPr>
              <w:fldChar w:fldCharType="separate"/>
            </w:r>
            <w:r w:rsidRPr="009E12D8">
              <w:rPr>
                <w:rFonts w:ascii="Arial" w:hAnsi="Arial" w:cs="Arial"/>
                <w:noProof/>
                <w:webHidden/>
              </w:rPr>
              <w:t>3</w:t>
            </w:r>
            <w:r w:rsidRPr="009E12D8">
              <w:rPr>
                <w:rFonts w:ascii="Arial" w:hAnsi="Arial" w:cs="Arial"/>
                <w:noProof/>
                <w:webHidden/>
              </w:rPr>
              <w:fldChar w:fldCharType="end"/>
            </w:r>
          </w:hyperlink>
        </w:p>
        <w:p w14:paraId="1AD2C263" w14:textId="56B3CD10" w:rsidR="009E12D8" w:rsidRPr="009E12D8" w:rsidRDefault="009E12D8">
          <w:pPr>
            <w:pStyle w:val="TOC1"/>
            <w:tabs>
              <w:tab w:val="right" w:leader="dot" w:pos="9016"/>
            </w:tabs>
            <w:rPr>
              <w:rFonts w:ascii="Arial" w:hAnsi="Arial" w:cs="Arial"/>
              <w:noProof/>
            </w:rPr>
          </w:pPr>
          <w:hyperlink w:anchor="_Toc213586911" w:history="1">
            <w:r w:rsidRPr="009E12D8">
              <w:rPr>
                <w:rStyle w:val="Hyperlink"/>
                <w:rFonts w:ascii="Arial" w:hAnsi="Arial" w:cs="Arial"/>
                <w:noProof/>
              </w:rPr>
              <w:t>Element 2</w:t>
            </w:r>
            <w:r w:rsidRPr="009E12D8">
              <w:rPr>
                <w:rFonts w:ascii="Arial" w:hAnsi="Arial" w:cs="Arial"/>
                <w:noProof/>
                <w:webHidden/>
              </w:rPr>
              <w:tab/>
            </w:r>
            <w:r w:rsidRPr="009E12D8">
              <w:rPr>
                <w:rFonts w:ascii="Arial" w:hAnsi="Arial" w:cs="Arial"/>
                <w:noProof/>
                <w:webHidden/>
              </w:rPr>
              <w:fldChar w:fldCharType="begin"/>
            </w:r>
            <w:r w:rsidRPr="009E12D8">
              <w:rPr>
                <w:rFonts w:ascii="Arial" w:hAnsi="Arial" w:cs="Arial"/>
                <w:noProof/>
                <w:webHidden/>
              </w:rPr>
              <w:instrText xml:space="preserve"> PAGEREF _Toc213586911 \h </w:instrText>
            </w:r>
            <w:r w:rsidRPr="009E12D8">
              <w:rPr>
                <w:rFonts w:ascii="Arial" w:hAnsi="Arial" w:cs="Arial"/>
                <w:noProof/>
                <w:webHidden/>
              </w:rPr>
            </w:r>
            <w:r w:rsidRPr="009E12D8">
              <w:rPr>
                <w:rFonts w:ascii="Arial" w:hAnsi="Arial" w:cs="Arial"/>
                <w:noProof/>
                <w:webHidden/>
              </w:rPr>
              <w:fldChar w:fldCharType="separate"/>
            </w:r>
            <w:r w:rsidRPr="009E12D8">
              <w:rPr>
                <w:rFonts w:ascii="Arial" w:hAnsi="Arial" w:cs="Arial"/>
                <w:noProof/>
                <w:webHidden/>
              </w:rPr>
              <w:t>5</w:t>
            </w:r>
            <w:r w:rsidRPr="009E12D8">
              <w:rPr>
                <w:rFonts w:ascii="Arial" w:hAnsi="Arial" w:cs="Arial"/>
                <w:noProof/>
                <w:webHidden/>
              </w:rPr>
              <w:fldChar w:fldCharType="end"/>
            </w:r>
          </w:hyperlink>
        </w:p>
        <w:p w14:paraId="22781BCB" w14:textId="0EDB50C4" w:rsidR="009E12D8" w:rsidRPr="009E12D8" w:rsidRDefault="009E12D8">
          <w:pPr>
            <w:pStyle w:val="TOC2"/>
            <w:tabs>
              <w:tab w:val="right" w:leader="dot" w:pos="9016"/>
            </w:tabs>
            <w:rPr>
              <w:rFonts w:ascii="Arial" w:hAnsi="Arial" w:cs="Arial"/>
              <w:noProof/>
            </w:rPr>
          </w:pPr>
          <w:hyperlink w:anchor="_Toc213586912" w:history="1">
            <w:r w:rsidRPr="009E12D8">
              <w:rPr>
                <w:rStyle w:val="Hyperlink"/>
                <w:rFonts w:ascii="Arial" w:hAnsi="Arial" w:cs="Arial"/>
                <w:noProof/>
              </w:rPr>
              <w:t>Task 2 – The NHS: From 1948 to 2025</w:t>
            </w:r>
            <w:r w:rsidRPr="009E12D8">
              <w:rPr>
                <w:rFonts w:ascii="Arial" w:hAnsi="Arial" w:cs="Arial"/>
                <w:noProof/>
                <w:webHidden/>
              </w:rPr>
              <w:tab/>
            </w:r>
            <w:r w:rsidRPr="009E12D8">
              <w:rPr>
                <w:rFonts w:ascii="Arial" w:hAnsi="Arial" w:cs="Arial"/>
                <w:noProof/>
                <w:webHidden/>
              </w:rPr>
              <w:fldChar w:fldCharType="begin"/>
            </w:r>
            <w:r w:rsidRPr="009E12D8">
              <w:rPr>
                <w:rFonts w:ascii="Arial" w:hAnsi="Arial" w:cs="Arial"/>
                <w:noProof/>
                <w:webHidden/>
              </w:rPr>
              <w:instrText xml:space="preserve"> PAGEREF _Toc213586912 \h </w:instrText>
            </w:r>
            <w:r w:rsidRPr="009E12D8">
              <w:rPr>
                <w:rFonts w:ascii="Arial" w:hAnsi="Arial" w:cs="Arial"/>
                <w:noProof/>
                <w:webHidden/>
              </w:rPr>
            </w:r>
            <w:r w:rsidRPr="009E12D8">
              <w:rPr>
                <w:rFonts w:ascii="Arial" w:hAnsi="Arial" w:cs="Arial"/>
                <w:noProof/>
                <w:webHidden/>
              </w:rPr>
              <w:fldChar w:fldCharType="separate"/>
            </w:r>
            <w:r w:rsidRPr="009E12D8">
              <w:rPr>
                <w:rFonts w:ascii="Arial" w:hAnsi="Arial" w:cs="Arial"/>
                <w:noProof/>
                <w:webHidden/>
              </w:rPr>
              <w:t>5</w:t>
            </w:r>
            <w:r w:rsidRPr="009E12D8">
              <w:rPr>
                <w:rFonts w:ascii="Arial" w:hAnsi="Arial" w:cs="Arial"/>
                <w:noProof/>
                <w:webHidden/>
              </w:rPr>
              <w:fldChar w:fldCharType="end"/>
            </w:r>
          </w:hyperlink>
        </w:p>
        <w:p w14:paraId="2372778A" w14:textId="0EB63B42" w:rsidR="009E12D8" w:rsidRPr="009E12D8" w:rsidRDefault="009E12D8">
          <w:pPr>
            <w:rPr>
              <w:rFonts w:ascii="Arial" w:hAnsi="Arial" w:cs="Arial"/>
            </w:rPr>
          </w:pPr>
          <w:r w:rsidRPr="009E12D8">
            <w:rPr>
              <w:rFonts w:ascii="Arial" w:hAnsi="Arial" w:cs="Arial"/>
              <w:b/>
              <w:bCs/>
              <w:noProof/>
            </w:rPr>
            <w:fldChar w:fldCharType="end"/>
          </w:r>
        </w:p>
      </w:sdtContent>
    </w:sdt>
    <w:p w14:paraId="488FC018" w14:textId="77777777" w:rsidR="0007372A" w:rsidRDefault="009E12D8" w:rsidP="0007372A">
      <w:pPr>
        <w:pStyle w:val="Heading1"/>
        <w:sectPr w:rsidR="0007372A" w:rsidSect="0007372A">
          <w:pgSz w:w="11906" w:h="16838"/>
          <w:pgMar w:top="1440" w:right="1440" w:bottom="1440" w:left="1440" w:header="708" w:footer="708" w:gutter="0"/>
          <w:cols w:space="708"/>
          <w:titlePg/>
          <w:docGrid w:linePitch="360"/>
        </w:sectPr>
      </w:pPr>
      <w:r>
        <w:rPr>
          <w:rFonts w:cs="Arial"/>
          <w:bCs/>
          <w:szCs w:val="28"/>
        </w:rPr>
        <w:br w:type="page"/>
      </w:r>
      <w:bookmarkStart w:id="1" w:name="_Toc213586910"/>
      <w:r w:rsidR="0007372A">
        <w:lastRenderedPageBreak/>
        <w:t>Element 1</w:t>
      </w:r>
      <w:bookmarkEnd w:id="1"/>
      <w:r w:rsidR="0007372A">
        <w:t xml:space="preserve"> </w:t>
      </w:r>
    </w:p>
    <w:p w14:paraId="3F21D6E7" w14:textId="78AE2007" w:rsidR="009E12D8" w:rsidRDefault="0007372A">
      <w:pPr>
        <w:rPr>
          <w:rFonts w:ascii="Arial" w:hAnsi="Arial" w:cs="Arial"/>
          <w:b/>
          <w:bCs/>
          <w:sz w:val="28"/>
          <w:szCs w:val="28"/>
        </w:rPr>
      </w:pPr>
      <w:r>
        <w:rPr>
          <w:noProof/>
          <w:lang w:eastAsia="en-GB"/>
        </w:rPr>
        <w:lastRenderedPageBreak/>
        <mc:AlternateContent>
          <mc:Choice Requires="wps">
            <w:drawing>
              <wp:anchor distT="45720" distB="45720" distL="114300" distR="114300" simplePos="0" relativeHeight="251661312" behindDoc="0" locked="0" layoutInCell="1" allowOverlap="1" wp14:anchorId="3E780AA8" wp14:editId="16F2571C">
                <wp:simplePos x="0" y="0"/>
                <wp:positionH relativeFrom="margin">
                  <wp:posOffset>772160</wp:posOffset>
                </wp:positionH>
                <wp:positionV relativeFrom="paragraph">
                  <wp:posOffset>141605</wp:posOffset>
                </wp:positionV>
                <wp:extent cx="6536690" cy="1149985"/>
                <wp:effectExtent l="0" t="0" r="16510" b="120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49985"/>
                        </a:xfrm>
                        <a:prstGeom prst="rect">
                          <a:avLst/>
                        </a:prstGeom>
                        <a:solidFill>
                          <a:srgbClr val="FFFFFF"/>
                        </a:solidFill>
                        <a:ln w="9525">
                          <a:solidFill>
                            <a:srgbClr val="000000"/>
                          </a:solidFill>
                          <a:miter lim="800000"/>
                          <a:headEnd/>
                          <a:tailEnd/>
                        </a:ln>
                        <a:effectLst>
                          <a:softEdge rad="50800"/>
                        </a:effectLst>
                      </wps:spPr>
                      <wps:txbx>
                        <w:txbxContent>
                          <w:p w14:paraId="62114251" w14:textId="362ED0F0" w:rsidR="00BE6BE0" w:rsidRPr="008A1656" w:rsidRDefault="008A1656" w:rsidP="00BE6BE0">
                            <w:pPr>
                              <w:shd w:val="clear" w:color="auto" w:fill="D99594" w:themeFill="accent2" w:themeFillTint="99"/>
                              <w:jc w:val="center"/>
                              <w:rPr>
                                <w:b/>
                                <w:bCs/>
                                <w:i/>
                                <w:iCs/>
                                <w:color w:val="00B0F0"/>
                                <w:sz w:val="56"/>
                                <w:szCs w:val="70"/>
                              </w:rPr>
                            </w:pPr>
                            <w:r w:rsidRPr="008A1656">
                              <w:rPr>
                                <w:b/>
                                <w:bCs/>
                                <w:i/>
                                <w:iCs/>
                                <w:color w:val="00B0F0"/>
                                <w:sz w:val="56"/>
                                <w:szCs w:val="70"/>
                              </w:rPr>
                              <w:t>Community Antenatal Midwifery Services</w:t>
                            </w:r>
                          </w:p>
                          <w:p w14:paraId="4B29F551" w14:textId="7FF7CAD4" w:rsidR="00BE6BE0" w:rsidRPr="0007372A" w:rsidRDefault="00BE6BE0" w:rsidP="00BE6BE0">
                            <w:pPr>
                              <w:shd w:val="clear" w:color="auto" w:fill="D99594" w:themeFill="accent2" w:themeFillTint="99"/>
                              <w:jc w:val="center"/>
                              <w:rPr>
                                <w:rFonts w:cstheme="minorHAnsi"/>
                                <w:sz w:val="24"/>
                                <w:szCs w:val="24"/>
                              </w:rPr>
                            </w:pPr>
                            <w:r w:rsidRPr="0007372A">
                              <w:rPr>
                                <w:rFonts w:cstheme="minorHAnsi"/>
                                <w:sz w:val="24"/>
                                <w:szCs w:val="24"/>
                              </w:rPr>
                              <w:t>Student Name</w:t>
                            </w:r>
                            <w:r w:rsidR="0007372A" w:rsidRPr="0007372A">
                              <w:rPr>
                                <w:rFonts w:cstheme="minorHAnsi"/>
                                <w:sz w:val="24"/>
                                <w:szCs w:val="24"/>
                              </w:rPr>
                              <w:t xml:space="preserve">: </w:t>
                            </w:r>
                            <w:r w:rsidR="0007372A" w:rsidRPr="0007372A">
                              <w:rPr>
                                <w:rFonts w:cstheme="minorHAnsi"/>
                                <w:sz w:val="24"/>
                                <w:szCs w:val="24"/>
                              </w:rPr>
                              <w:t>Abdul Turay</w:t>
                            </w:r>
                            <w:r w:rsidRPr="0007372A">
                              <w:rPr>
                                <w:rFonts w:cstheme="minorHAnsi"/>
                                <w:sz w:val="24"/>
                                <w:szCs w:val="24"/>
                              </w:rPr>
                              <w:t>, Course Name</w:t>
                            </w:r>
                            <w:r w:rsidR="0007372A" w:rsidRPr="0007372A">
                              <w:rPr>
                                <w:rFonts w:cstheme="minorHAnsi"/>
                                <w:sz w:val="24"/>
                                <w:szCs w:val="24"/>
                              </w:rPr>
                              <w:t xml:space="preserve">: </w:t>
                            </w:r>
                            <w:r w:rsidR="0007372A" w:rsidRPr="0007372A">
                              <w:rPr>
                                <w:rFonts w:cstheme="minorHAnsi"/>
                                <w:sz w:val="24"/>
                                <w:szCs w:val="24"/>
                              </w:rPr>
                              <w:t>Introduction to Health and Social Care</w:t>
                            </w:r>
                            <w:r w:rsidRPr="0007372A">
                              <w:rPr>
                                <w:rFonts w:cstheme="minorHAnsi"/>
                                <w:sz w:val="24"/>
                                <w:szCs w:val="24"/>
                              </w:rPr>
                              <w:t>, Email Details</w:t>
                            </w:r>
                            <w:r w:rsidR="0007372A" w:rsidRPr="0007372A">
                              <w:rPr>
                                <w:rFonts w:cstheme="minorHAnsi"/>
                                <w:sz w:val="24"/>
                                <w:szCs w:val="24"/>
                              </w:rPr>
                              <w:t xml:space="preserve">: </w:t>
                            </w:r>
                            <w:r w:rsidR="0007372A" w:rsidRPr="0007372A">
                              <w:rPr>
                                <w:rFonts w:cstheme="minorHAnsi"/>
                                <w:sz w:val="24"/>
                                <w:szCs w:val="24"/>
                              </w:rPr>
                              <w:t>Showbizmovement121@yahoo.com</w:t>
                            </w:r>
                          </w:p>
                          <w:p w14:paraId="23B500BD" w14:textId="77777777" w:rsidR="00BE6BE0" w:rsidRPr="008A1656" w:rsidRDefault="00BE6BE0" w:rsidP="00BE6BE0">
                            <w:pPr>
                              <w:shd w:val="clear" w:color="auto" w:fill="D99594" w:themeFill="accent2" w:themeFillTint="99"/>
                              <w:rPr>
                                <w:color w:val="00B0F0"/>
                                <w:sz w:val="56"/>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60.8pt;margin-top:11.15pt;width:514.7pt;height:90.5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o38KgIAAFQEAAAOAAAAZHJzL2Uyb0RvYy54bWysVNtu2zAMfR+wfxD0vtjOkiwx4hRd2gwD&#10;ugvQ7QNkSbaFyaInKbG7ry8lu2l2exnmB0E06UPyHNLbq6HV5CStU2AKms1SSqThIJSpC/r1y+HV&#10;mhLnmRFMg5EFfZCOXu1evtj2XS7n0IAW0hIEMS7vu4I23nd5kjjeyJa5GXTSoLMC2zKPpq0TYVmP&#10;6K1O5mm6SnqworPApXP49mZ00l3EryrJ/aeqctITXVCszcfTxrMMZ7Lbsry2rGsUn8pg/1BFy5TB&#10;pGeoG+YZOVr1G1SruAUHlZ9xaBOoKsVl7AG7ydJfurlvWCdjL0iO6840uf8Hyz+e7rvPlvjhLQwo&#10;YGzCdXfAvzliYN8wU8tra6FvJBOYOAuUJX3n8unTQLXLXQAp+w8gUGR29BCBhsq2gRXskyA6CvBw&#10;Jl0OnnB8uVq+Xq026OLoy7LFZrNexhwsf/q8s86/k9CScCmoRVUjPDvdOR/KYflTSMjmQCtxUFpH&#10;w9blXltyYjgBh/hM6D+FaUP6gm6W8+XIwF8h0vj8CaJVHkdZq7ag63MQywNvt0bEQfNM6fGOJWsT&#10;6pNxSLGPsfLK34paEstEQZcp4kyZLsIi+YHvkXk/lAOCBxFKEA8og4VxzHEt8dKA/UFJjyNeUPf9&#10;yKykRL83KOUmWyzCTkRjsXwzR8NeespLDzMcoQrqKRmvex/3KNRt4Bolr1QU47mSaVBwdKNG05qF&#10;3bi0Y9Tzz2D3CAAA//8DAFBLAwQUAAYACAAAACEAuchWweAAAAALAQAADwAAAGRycy9kb3ducmV2&#10;LnhtbEyPzU7DMBCE70i8g7VIXBB1fkooIU6FkEBwg4Lg6ibbJMJeB9tNw9uzPcFxZj/NzlTr2Rox&#10;oQ+DIwXpIgGB1Lh2oE7B+9vD5QpEiJpabRyhgh8MsK5PTypdtu5ArzhtYic4hEKpFfQxjqWUoenR&#10;6rBwIxLfds5bHVn6TrZeHzjcGpklSSGtHog/9HrE+x6br83eKlgtn6bP8Jy/fDTFztzEi+vp8dsr&#10;dX42392CiDjHPxiO9bk61Nxp6/bUBmFYZ2nBqIIsy0EcgfQq5XVbdpJ8CbKu5P8N9S8AAAD//wMA&#10;UEsBAi0AFAAGAAgAAAAhALaDOJL+AAAA4QEAABMAAAAAAAAAAAAAAAAAAAAAAFtDb250ZW50X1R5&#10;cGVzXS54bWxQSwECLQAUAAYACAAAACEAOP0h/9YAAACUAQAACwAAAAAAAAAAAAAAAAAvAQAAX3Jl&#10;bHMvLnJlbHNQSwECLQAUAAYACAAAACEA6x6N/CoCAABUBAAADgAAAAAAAAAAAAAAAAAuAgAAZHJz&#10;L2Uyb0RvYy54bWxQSwECLQAUAAYACAAAACEAuchWweAAAAALAQAADwAAAAAAAAAAAAAAAACEBAAA&#10;ZHJzL2Rvd25yZXYueG1sUEsFBgAAAAAEAAQA8wAAAJEFAAAAAA==&#10;">
                <v:textbox>
                  <w:txbxContent>
                    <w:p w14:paraId="62114251" w14:textId="362ED0F0" w:rsidR="00BE6BE0" w:rsidRPr="008A1656" w:rsidRDefault="008A1656" w:rsidP="00BE6BE0">
                      <w:pPr>
                        <w:shd w:val="clear" w:color="auto" w:fill="D99594" w:themeFill="accent2" w:themeFillTint="99"/>
                        <w:jc w:val="center"/>
                        <w:rPr>
                          <w:b/>
                          <w:bCs/>
                          <w:i/>
                          <w:iCs/>
                          <w:color w:val="00B0F0"/>
                          <w:sz w:val="56"/>
                          <w:szCs w:val="70"/>
                        </w:rPr>
                      </w:pPr>
                      <w:r w:rsidRPr="008A1656">
                        <w:rPr>
                          <w:b/>
                          <w:bCs/>
                          <w:i/>
                          <w:iCs/>
                          <w:color w:val="00B0F0"/>
                          <w:sz w:val="56"/>
                          <w:szCs w:val="70"/>
                        </w:rPr>
                        <w:t>Community Antenatal Midwifery Services</w:t>
                      </w:r>
                    </w:p>
                    <w:p w14:paraId="4B29F551" w14:textId="7FF7CAD4" w:rsidR="00BE6BE0" w:rsidRPr="0007372A" w:rsidRDefault="00BE6BE0" w:rsidP="00BE6BE0">
                      <w:pPr>
                        <w:shd w:val="clear" w:color="auto" w:fill="D99594" w:themeFill="accent2" w:themeFillTint="99"/>
                        <w:jc w:val="center"/>
                        <w:rPr>
                          <w:rFonts w:cstheme="minorHAnsi"/>
                          <w:sz w:val="24"/>
                          <w:szCs w:val="24"/>
                        </w:rPr>
                      </w:pPr>
                      <w:r w:rsidRPr="0007372A">
                        <w:rPr>
                          <w:rFonts w:cstheme="minorHAnsi"/>
                          <w:sz w:val="24"/>
                          <w:szCs w:val="24"/>
                        </w:rPr>
                        <w:t>Student Name</w:t>
                      </w:r>
                      <w:r w:rsidR="0007372A" w:rsidRPr="0007372A">
                        <w:rPr>
                          <w:rFonts w:cstheme="minorHAnsi"/>
                          <w:sz w:val="24"/>
                          <w:szCs w:val="24"/>
                        </w:rPr>
                        <w:t xml:space="preserve">: </w:t>
                      </w:r>
                      <w:r w:rsidR="0007372A" w:rsidRPr="0007372A">
                        <w:rPr>
                          <w:rFonts w:cstheme="minorHAnsi"/>
                          <w:sz w:val="24"/>
                          <w:szCs w:val="24"/>
                        </w:rPr>
                        <w:t>Abdul Turay</w:t>
                      </w:r>
                      <w:r w:rsidRPr="0007372A">
                        <w:rPr>
                          <w:rFonts w:cstheme="minorHAnsi"/>
                          <w:sz w:val="24"/>
                          <w:szCs w:val="24"/>
                        </w:rPr>
                        <w:t>, Course Name</w:t>
                      </w:r>
                      <w:r w:rsidR="0007372A" w:rsidRPr="0007372A">
                        <w:rPr>
                          <w:rFonts w:cstheme="minorHAnsi"/>
                          <w:sz w:val="24"/>
                          <w:szCs w:val="24"/>
                        </w:rPr>
                        <w:t xml:space="preserve">: </w:t>
                      </w:r>
                      <w:r w:rsidR="0007372A" w:rsidRPr="0007372A">
                        <w:rPr>
                          <w:rFonts w:cstheme="minorHAnsi"/>
                          <w:sz w:val="24"/>
                          <w:szCs w:val="24"/>
                        </w:rPr>
                        <w:t>Introduction to Health and Social Care</w:t>
                      </w:r>
                      <w:r w:rsidRPr="0007372A">
                        <w:rPr>
                          <w:rFonts w:cstheme="minorHAnsi"/>
                          <w:sz w:val="24"/>
                          <w:szCs w:val="24"/>
                        </w:rPr>
                        <w:t>, Email Details</w:t>
                      </w:r>
                      <w:r w:rsidR="0007372A" w:rsidRPr="0007372A">
                        <w:rPr>
                          <w:rFonts w:cstheme="minorHAnsi"/>
                          <w:sz w:val="24"/>
                          <w:szCs w:val="24"/>
                        </w:rPr>
                        <w:t xml:space="preserve">: </w:t>
                      </w:r>
                      <w:r w:rsidR="0007372A" w:rsidRPr="0007372A">
                        <w:rPr>
                          <w:rFonts w:cstheme="minorHAnsi"/>
                          <w:sz w:val="24"/>
                          <w:szCs w:val="24"/>
                        </w:rPr>
                        <w:t>Showbizmovement121@yahoo.com</w:t>
                      </w:r>
                    </w:p>
                    <w:p w14:paraId="23B500BD" w14:textId="77777777" w:rsidR="00BE6BE0" w:rsidRPr="008A1656" w:rsidRDefault="00BE6BE0" w:rsidP="00BE6BE0">
                      <w:pPr>
                        <w:shd w:val="clear" w:color="auto" w:fill="D99594" w:themeFill="accent2" w:themeFillTint="99"/>
                        <w:rPr>
                          <w:color w:val="00B0F0"/>
                          <w:sz w:val="56"/>
                          <w:szCs w:val="70"/>
                        </w:rPr>
                      </w:pPr>
                    </w:p>
                  </w:txbxContent>
                </v:textbox>
                <w10:wrap type="square" anchorx="margin"/>
              </v:shape>
            </w:pict>
          </mc:Fallback>
        </mc:AlternateContent>
      </w:r>
    </w:p>
    <w:p w14:paraId="5AFFC33B" w14:textId="1A2E2E2C" w:rsidR="003A000F" w:rsidRDefault="008A1656">
      <w:pPr>
        <w:sectPr w:rsidR="003A000F" w:rsidSect="003A000F">
          <w:pgSz w:w="16838" w:h="11906" w:orient="landscape"/>
          <w:pgMar w:top="1440" w:right="1440" w:bottom="1440" w:left="1440" w:header="708" w:footer="708" w:gutter="0"/>
          <w:cols w:space="708"/>
          <w:docGrid w:linePitch="360"/>
        </w:sectPr>
      </w:pPr>
      <w:r>
        <w:rPr>
          <w:noProof/>
          <w:lang w:eastAsia="en-GB"/>
        </w:rPr>
        <mc:AlternateContent>
          <mc:Choice Requires="wps">
            <w:drawing>
              <wp:anchor distT="45720" distB="45720" distL="114300" distR="114300" simplePos="0" relativeHeight="251671552" behindDoc="0" locked="0" layoutInCell="1" allowOverlap="1" wp14:anchorId="5D749413" wp14:editId="74606E16">
                <wp:simplePos x="0" y="0"/>
                <wp:positionH relativeFrom="page">
                  <wp:posOffset>259080</wp:posOffset>
                </wp:positionH>
                <wp:positionV relativeFrom="paragraph">
                  <wp:posOffset>3480435</wp:posOffset>
                </wp:positionV>
                <wp:extent cx="3703320" cy="2209800"/>
                <wp:effectExtent l="0" t="0" r="1143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3320" cy="220980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6E07F680" w14:textId="6B06C87B"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4. Current Functioning of the Service</w:t>
                            </w:r>
                          </w:p>
                          <w:p w14:paraId="0809CF7E" w14:textId="3D9EB984" w:rsidR="00BE6BE0" w:rsidRPr="008A1656" w:rsidRDefault="008A1656" w:rsidP="008A1656">
                            <w:pPr>
                              <w:jc w:val="both"/>
                              <w:rPr>
                                <w:sz w:val="14"/>
                                <w:szCs w:val="14"/>
                              </w:rPr>
                            </w:pPr>
                            <w:r w:rsidRPr="008A1656">
                              <w:rPr>
                                <w:sz w:val="14"/>
                                <w:szCs w:val="14"/>
                                <w:lang w:val="en"/>
                              </w:rPr>
                              <w:t xml:space="preserve">Current community antenatal midwifery services are said to be </w:t>
                            </w:r>
                            <w:proofErr w:type="spellStart"/>
                            <w:r w:rsidRPr="008A1656">
                              <w:rPr>
                                <w:sz w:val="14"/>
                                <w:szCs w:val="14"/>
                                <w:lang w:val="en"/>
                              </w:rPr>
                              <w:t>organised</w:t>
                            </w:r>
                            <w:proofErr w:type="spellEnd"/>
                            <w:r w:rsidRPr="008A1656">
                              <w:rPr>
                                <w:sz w:val="14"/>
                                <w:szCs w:val="14"/>
                                <w:lang w:val="en"/>
                              </w:rPr>
                              <w:t xml:space="preserve"> through a tiered model; women often meet a midwife through a booking (usually in a primary care setting or with a community clinic). The midwife will involve risk assessment, scheduling antenatal and also arrange with clinics, GPs, health visitors and in some cases social workers due to the additional needs of the women. Midwife roles encompass home visits (and home visits at the start and end of pregnancy) and clinic-based checks (including blood tests, ultrasound liaison assessment, fetal growth monitoring), hospital liaison (to specialist referral) and communication with other professionals (to facilitate integrated care). It is important to work with multidisciplinary teams: midwives are used together with GPs (when health problems are related to pregnancy), health visitors (when it comes to the postnatal transition), and social workers (in case of any concerns regarding safeguarding or social care). National Institute for Health and Care Excellence (NG 194) guideline on antenatal contacts during uncomplicated pregnancies describes the recommendation on how contacts with antenatal women should be conducted and informs that during their pregnancy, 10 contacts should be made to </w:t>
                            </w:r>
                            <w:proofErr w:type="spellStart"/>
                            <w:r w:rsidRPr="008A1656">
                              <w:rPr>
                                <w:sz w:val="14"/>
                                <w:szCs w:val="14"/>
                                <w:lang w:val="en"/>
                              </w:rPr>
                              <w:t>minimise</w:t>
                            </w:r>
                            <w:proofErr w:type="spellEnd"/>
                            <w:r w:rsidRPr="008A1656">
                              <w:rPr>
                                <w:sz w:val="14"/>
                                <w:szCs w:val="14"/>
                                <w:lang w:val="en"/>
                              </w:rPr>
                              <w:t xml:space="preserve"> the perinatal deaths and enhance a successful pregnancy experience (NHS England Digital, 2024).</w:t>
                            </w:r>
                          </w:p>
                          <w:p w14:paraId="7B69BC2F" w14:textId="77777777" w:rsidR="00BE6BE0" w:rsidRPr="008A1656" w:rsidRDefault="00BE6BE0" w:rsidP="008A1656">
                            <w:pPr>
                              <w:jc w:val="both"/>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20.4pt;margin-top:274.05pt;width:291.6pt;height:174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hCZMwIAAKIEAAAOAAAAZHJzL2Uyb0RvYy54bWysVNuO0zAQfUfiHyy/06RpYXejTVdLFxDS&#10;chELH+A6dmOt4zG226T79YydNK0A7QPixXI8c85czkyub/pWk71wXoGp6HyWUyIMh1qZbUV/fH//&#10;6pISH5ipmQYjKnoQnt6sXr647mwpCmhA18IRJDG+7GxFmxBsmWWeN6JlfgZWGDRKcC0L+Om2We1Y&#10;h+ytzoo8f5N14GrrgAvv8fVuMNJV4pdS8PBFSi8C0RXF3EI6XTo38cxW16zcOmYbxcc02D9k0TJl&#10;MOhEdccCIzun/qBqFXfgQYYZhzYDKRUXqQasZp7/Vs1Dw6xItWBzvJ3a5P8fLf+8f7BfHQn9W+hR&#10;wFSEt/fAHz0xsG6Y2Ypb56BrBKsx8Dy2LOusL0dobLUvfSTZdJ+gRpHZLkAi6qVrY1ewToLsKMBh&#10;arroA+H4uLjIF4sCTRxtRZFfXeZJloyVR7h1PnwQ0JJ4qahDVRM929/7ENNh5dElRtMmnjHfd6ZO&#10;Agem9HBH12hOBcScx+zDQYsB+k1IoupTK+IgirV2ZM9whBjnwoRF6kFkQu8Ik0rrCVgMPXwOOPpH&#10;qEhDOoFHAZ4DT4gUGUyYwK0y4P4WvX4cZMNMB/9jB4a6o4Ch3/RY+ChwfNlAfUBRHQxLg0uOlwbc&#10;EyUdLkxF/c8dc4IS/dHgYFzNl8u4Yelj+foiSurOLZtzCzMcqSoaKBmu65C2MtZk4BYHSKok7SmT&#10;MWdchKT4uLRx086/k9fp17L6BQAA//8DAFBLAwQUAAYACAAAACEAEQBbNeIAAAAKAQAADwAAAGRy&#10;cy9kb3ducmV2LnhtbEyPO0/DQBCEeyT+w2mRaBA5O3KMY7yOEBLi0WGgoLv4FtvKPYzvkhh+PUsF&#10;5WhGM99Um9kacaApDN4hpIsEBLnW68F1CK8vd5cFiBCV08p4RwhfFGBTn55UqtT+6J7p0MROcIkL&#10;pULoYxxLKUPbk1Vh4Udy7H34yarIcuqkntSRy62RyyTJpVWD44VejXTbU7tr9hbhoTXme/35XjSr&#10;5vFt93SRX93POeL52XxzDSLSHP/C8IvP6FAz09bvnQ7CIGQJk0eEVVakIDiQLzM+t0Uo1nkKsq7k&#10;/wv1DwAAAP//AwBQSwECLQAUAAYACAAAACEAtoM4kv4AAADhAQAAEwAAAAAAAAAAAAAAAAAAAAAA&#10;W0NvbnRlbnRfVHlwZXNdLnhtbFBLAQItABQABgAIAAAAIQA4/SH/1gAAAJQBAAALAAAAAAAAAAAA&#10;AAAAAC8BAABfcmVscy8ucmVsc1BLAQItABQABgAIAAAAIQASVhCZMwIAAKIEAAAOAAAAAAAAAAAA&#10;AAAAAC4CAABkcnMvZTJvRG9jLnhtbFBLAQItABQABgAIAAAAIQARAFs14gAAAAoBAAAPAAAAAAAA&#10;AAAAAAAAAI0EAABkcnMvZG93bnJldi54bWxQSwUGAAAAAAQABADzAAAAnAUAAAAA&#10;" fillcolor="#bcd190 [2166]" strokecolor="#9bbb59 [3206]" strokeweight=".5pt">
                <v:fill color2="#adc878 [2614]" rotate="t" colors="0 #cadbaf;.5 #c1d4a1;1 #b9d091" focus="100%" type="gradient">
                  <o:fill v:ext="view" type="gradientUnscaled"/>
                </v:fill>
                <v:textbox>
                  <w:txbxContent>
                    <w:p w14:paraId="6E07F680" w14:textId="6B06C87B"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4. Current Functioning of the Service</w:t>
                      </w:r>
                    </w:p>
                    <w:p w14:paraId="0809CF7E" w14:textId="3D9EB984" w:rsidR="00BE6BE0" w:rsidRPr="008A1656" w:rsidRDefault="008A1656" w:rsidP="008A1656">
                      <w:pPr>
                        <w:jc w:val="both"/>
                        <w:rPr>
                          <w:sz w:val="14"/>
                          <w:szCs w:val="14"/>
                        </w:rPr>
                      </w:pPr>
                      <w:r w:rsidRPr="008A1656">
                        <w:rPr>
                          <w:sz w:val="14"/>
                          <w:szCs w:val="14"/>
                          <w:lang w:val="en"/>
                        </w:rPr>
                        <w:t xml:space="preserve">Current community antenatal midwifery services are said to be </w:t>
                      </w:r>
                      <w:proofErr w:type="spellStart"/>
                      <w:r w:rsidRPr="008A1656">
                        <w:rPr>
                          <w:sz w:val="14"/>
                          <w:szCs w:val="14"/>
                          <w:lang w:val="en"/>
                        </w:rPr>
                        <w:t>organised</w:t>
                      </w:r>
                      <w:proofErr w:type="spellEnd"/>
                      <w:r w:rsidRPr="008A1656">
                        <w:rPr>
                          <w:sz w:val="14"/>
                          <w:szCs w:val="14"/>
                          <w:lang w:val="en"/>
                        </w:rPr>
                        <w:t xml:space="preserve"> through a tiered model; women often meet a midwife through a booking (usually in a primary care setting or with a community clinic). The midwife will involve risk assessment, scheduling antenatal and also arrange with clinics, GPs, health visitors and in some cases social workers due to the additional needs of the women. Midwife roles encompass home visits (and home visits at the start and end of pregnancy) and clinic-based checks (including blood tests, ultrasound liaison assessment, fetal growth monitoring), hospital liaison (to specialist referral) and communication with other professionals (to facilitate integrated care). It is important to work with multidisciplinary teams: midwives are used together with GPs (when health problems are related to pregnancy), health visitors (when it comes to the postnatal transition), and social workers (in case of any concerns regarding safeguarding or social care). National Institute for Health and Care Excellence (NG 194) guideline on antenatal contacts during uncomplicated pregnancies describes the recommendation on how contacts with antenatal women should be conducted and informs that during their pregnancy, 10 contacts should be made to </w:t>
                      </w:r>
                      <w:proofErr w:type="spellStart"/>
                      <w:r w:rsidRPr="008A1656">
                        <w:rPr>
                          <w:sz w:val="14"/>
                          <w:szCs w:val="14"/>
                          <w:lang w:val="en"/>
                        </w:rPr>
                        <w:t>minimise</w:t>
                      </w:r>
                      <w:proofErr w:type="spellEnd"/>
                      <w:r w:rsidRPr="008A1656">
                        <w:rPr>
                          <w:sz w:val="14"/>
                          <w:szCs w:val="14"/>
                          <w:lang w:val="en"/>
                        </w:rPr>
                        <w:t xml:space="preserve"> the perinatal deaths and enhance a successful pregnancy experience (NHS England Digital, 2024).</w:t>
                      </w:r>
                    </w:p>
                    <w:p w14:paraId="7B69BC2F" w14:textId="77777777" w:rsidR="00BE6BE0" w:rsidRPr="008A1656" w:rsidRDefault="00BE6BE0" w:rsidP="008A1656">
                      <w:pPr>
                        <w:jc w:val="both"/>
                        <w:rPr>
                          <w:sz w:val="14"/>
                          <w:szCs w:val="14"/>
                        </w:rPr>
                      </w:pPr>
                    </w:p>
                  </w:txbxContent>
                </v:textbox>
                <w10:wrap type="square" anchorx="page"/>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04CAE92E" wp14:editId="226F11B2">
                <wp:simplePos x="0" y="0"/>
                <wp:positionH relativeFrom="page">
                  <wp:posOffset>944880</wp:posOffset>
                </wp:positionH>
                <wp:positionV relativeFrom="paragraph">
                  <wp:posOffset>1120140</wp:posOffset>
                </wp:positionV>
                <wp:extent cx="2367280" cy="2225040"/>
                <wp:effectExtent l="0" t="0" r="13970" b="2286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225040"/>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35096631" w14:textId="0FB2EE92" w:rsidR="00BE6BE0" w:rsidRPr="008A1656" w:rsidRDefault="008A1656" w:rsidP="008A1656">
                            <w:pPr>
                              <w:jc w:val="both"/>
                              <w:rPr>
                                <w:b/>
                                <w:bCs/>
                                <w:color w:val="984806" w:themeColor="accent6" w:themeShade="80"/>
                                <w:sz w:val="14"/>
                                <w:szCs w:val="16"/>
                              </w:rPr>
                            </w:pPr>
                            <w:r w:rsidRPr="008A1656">
                              <w:rPr>
                                <w:b/>
                                <w:bCs/>
                                <w:color w:val="984806" w:themeColor="accent6" w:themeShade="80"/>
                                <w:sz w:val="14"/>
                                <w:szCs w:val="16"/>
                              </w:rPr>
                              <w:t>1. Introduction</w:t>
                            </w:r>
                          </w:p>
                          <w:p w14:paraId="44A2397F" w14:textId="626D1DC6" w:rsidR="00BE6BE0" w:rsidRPr="008A1656" w:rsidRDefault="008A1656" w:rsidP="008A1656">
                            <w:pPr>
                              <w:jc w:val="both"/>
                              <w:rPr>
                                <w:sz w:val="14"/>
                                <w:szCs w:val="16"/>
                              </w:rPr>
                            </w:pPr>
                            <w:r w:rsidRPr="008A1656">
                              <w:rPr>
                                <w:sz w:val="14"/>
                                <w:szCs w:val="16"/>
                                <w:lang w:val="en"/>
                              </w:rPr>
                              <w:t xml:space="preserve">Community antenatal midwifery. This term means providing pregnancy care by a midwife to women in the primary and community context - out of an acute hospital setting- allowing care with a midwife-led team as early and ongoing and as available locally (Munns, 2021). Care is essential in the UK health and social care system since antenatal care assists in the identification and management of risk, maternal and fetal health, as well as helps in better birth outcomes and long-term health, both in the mother and baby. Quality antenatal midwifery care will </w:t>
                            </w:r>
                            <w:proofErr w:type="spellStart"/>
                            <w:r w:rsidRPr="008A1656">
                              <w:rPr>
                                <w:sz w:val="14"/>
                                <w:szCs w:val="16"/>
                                <w:lang w:val="en"/>
                              </w:rPr>
                              <w:t>minimise</w:t>
                            </w:r>
                            <w:proofErr w:type="spellEnd"/>
                            <w:r w:rsidRPr="008A1656">
                              <w:rPr>
                                <w:sz w:val="14"/>
                                <w:szCs w:val="16"/>
                                <w:lang w:val="en"/>
                              </w:rPr>
                              <w:t xml:space="preserve"> complications, encourage early interaction and parental wellbeing at either end of the social care ladder. In the following paragraphs, I will describe the history of community-based antenatal midwifery services, the way they operate nowadays, and their main obstacles.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74.4pt;margin-top:88.2pt;width:186.4pt;height:175.2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hqeNQIAAKIEAAAOAAAAZHJzL2Uyb0RvYy54bWysVNuO0zAQfUfiHyy/06SheyFqulq6gJCW&#10;i1j4ANexG2sdj7HdJt2vZ+ykaQVoHxAvlp2ZczxnjifLm77VZC+cV2AqOp/llAjDoVZmW9Ef39+/&#10;uqbEB2ZqpsGIih6Epzerly+WnS1FAQ3oWjiCJMaXna1oE4Its8zzRrTMz8AKg0EJrmUBj26b1Y51&#10;yN7qrMjzy6wDV1sHXHiPX++GIF0lfikFD1+k9CIQXVGsLaTVpXUT12y1ZOXWMdsoPpbB/qGKlimD&#10;l05UdywwsnPqD6pWcQceZJhxaDOQUnGRNKCaef6bmoeGWZG0YHO8ndrk/x8t/7x/sF8dCf1b6NHA&#10;JMLbe+CPnhhYN8xsxa1z0DWC1XjxPLYs66wvR2hstS99JNl0n6BGk9kuQCLqpWtjV1AnQXY04DA1&#10;XfSBcPxYvL68Kq4xxDFWFMVFvki2ZKw8wq3z4YOAlsRNRR26mujZ/t6HWA4rjynxNm3iGut9Z+pk&#10;cGBKD3tMjeEkINY8Vh8OWgzQb0ISVZ9aER+iWGtH9gyfEONcmLBIPYhMmB1hUmk9AYuhh88Bx/wI&#10;FemRTuDRgOfAEyLdDCZM4FYZcH+7vX4cbMNKh/xjBwbd0cDQb3oUjhZEcfHLBuoDmupgGBocctw0&#10;4J4o6XBgKup/7pgTlOiPBh/Gm/kCjSMhHRYXVwUe3Hlkcx5hhiNVRQMlw3Yd0lRGTQZu8QFJlaw9&#10;VTLWjIOQHB+HNk7a+TllnX4tq18AAAD//wMAUEsDBBQABgAIAAAAIQBmVWjn4AAAAAsBAAAPAAAA&#10;ZHJzL2Rvd25yZXYueG1sTI/NTsMwEITvSLyDtUhcEHVSlRCFOBVC/FyQEKHq2Y2XOBCvQ+w26duz&#10;PcFtRjua/aZcz64XBxxD50lBukhAIDXedNQq2Hw8XecgQtRkdO8JFRwxwLo6Pyt1YfxE73ioYyu4&#10;hEKhFdgYh0LK0Fh0Oiz8gMS3Tz86HdmOrTSjnrjc9XKZJJl0uiP+YPWADxab73rvFDzb7dv08miu&#10;6CtJX3/SUB+7plPq8mK+vwMRcY5/YTjhMzpUzLTzezJB9OxXOaNHFrfZCgQnbpZpBmJ3ElkOsirl&#10;/w3VLwAAAP//AwBQSwECLQAUAAYACAAAACEAtoM4kv4AAADhAQAAEwAAAAAAAAAAAAAAAAAAAAAA&#10;W0NvbnRlbnRfVHlwZXNdLnhtbFBLAQItABQABgAIAAAAIQA4/SH/1gAAAJQBAAALAAAAAAAAAAAA&#10;AAAAAC8BAABfcmVscy8ucmVsc1BLAQItABQABgAIAAAAIQCEUhqeNQIAAKIEAAAOAAAAAAAAAAAA&#10;AAAAAC4CAABkcnMvZTJvRG9jLnhtbFBLAQItABQABgAIAAAAIQBmVWjn4AAAAAsBAAAPAAAAAAAA&#10;AAAAAAAAAI8EAABkcnMvZG93bnJldi54bWxQSwUGAAAAAAQABADzAAAAnAUAAAAA&#10;" fillcolor="#aa97c1 [2167]" strokecolor="#8064a2 [3207]" strokeweight=".5pt">
                <v:fill color2="#9881b3 [2615]" rotate="t" colors="0 #bdb2cd;.5 #b2a5c4;1 #a796be" focus="100%" type="gradient">
                  <o:fill v:ext="view" type="gradientUnscaled"/>
                </v:fill>
                <v:textbox>
                  <w:txbxContent>
                    <w:p w14:paraId="35096631" w14:textId="0FB2EE92" w:rsidR="00BE6BE0" w:rsidRPr="008A1656" w:rsidRDefault="008A1656" w:rsidP="008A1656">
                      <w:pPr>
                        <w:jc w:val="both"/>
                        <w:rPr>
                          <w:b/>
                          <w:bCs/>
                          <w:color w:val="984806" w:themeColor="accent6" w:themeShade="80"/>
                          <w:sz w:val="14"/>
                          <w:szCs w:val="16"/>
                        </w:rPr>
                      </w:pPr>
                      <w:r w:rsidRPr="008A1656">
                        <w:rPr>
                          <w:b/>
                          <w:bCs/>
                          <w:color w:val="984806" w:themeColor="accent6" w:themeShade="80"/>
                          <w:sz w:val="14"/>
                          <w:szCs w:val="16"/>
                        </w:rPr>
                        <w:t>1. Introduction</w:t>
                      </w:r>
                    </w:p>
                    <w:p w14:paraId="44A2397F" w14:textId="626D1DC6" w:rsidR="00BE6BE0" w:rsidRPr="008A1656" w:rsidRDefault="008A1656" w:rsidP="008A1656">
                      <w:pPr>
                        <w:jc w:val="both"/>
                        <w:rPr>
                          <w:sz w:val="14"/>
                          <w:szCs w:val="16"/>
                        </w:rPr>
                      </w:pPr>
                      <w:r w:rsidRPr="008A1656">
                        <w:rPr>
                          <w:sz w:val="14"/>
                          <w:szCs w:val="16"/>
                          <w:lang w:val="en"/>
                        </w:rPr>
                        <w:t xml:space="preserve">Community antenatal midwifery. This term means providing pregnancy care by a midwife to women in the primary and community context - out of an acute hospital setting- allowing care with a midwife-led team as early and ongoing and as available locally (Munns, 2021). Care is essential in the UK health and social care system since antenatal care assists in the identification and management of risk, maternal and fetal health, as well as helps in better birth outcomes and long-term health, both in the mother and baby. Quality antenatal midwifery care will </w:t>
                      </w:r>
                      <w:proofErr w:type="spellStart"/>
                      <w:r w:rsidRPr="008A1656">
                        <w:rPr>
                          <w:sz w:val="14"/>
                          <w:szCs w:val="16"/>
                          <w:lang w:val="en"/>
                        </w:rPr>
                        <w:t>minimise</w:t>
                      </w:r>
                      <w:proofErr w:type="spellEnd"/>
                      <w:r w:rsidRPr="008A1656">
                        <w:rPr>
                          <w:sz w:val="14"/>
                          <w:szCs w:val="16"/>
                          <w:lang w:val="en"/>
                        </w:rPr>
                        <w:t xml:space="preserve"> complications, encourage early interaction and parental wellbeing at either end of the social care ladder. In the following paragraphs, I will describe the history of community-based antenatal midwifery services, the way they operate nowadays, and their main obstacles.</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69504" behindDoc="0" locked="0" layoutInCell="1" allowOverlap="1" wp14:anchorId="298766ED" wp14:editId="5BA905D4">
                <wp:simplePos x="0" y="0"/>
                <wp:positionH relativeFrom="column">
                  <wp:posOffset>6827520</wp:posOffset>
                </wp:positionH>
                <wp:positionV relativeFrom="paragraph">
                  <wp:posOffset>1143000</wp:posOffset>
                </wp:positionV>
                <wp:extent cx="2849880" cy="2394585"/>
                <wp:effectExtent l="0" t="0" r="266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2394585"/>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019AEABF" w14:textId="355B53A9"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3. Brief History of the Service</w:t>
                            </w:r>
                          </w:p>
                          <w:p w14:paraId="2F2C6041" w14:textId="2B983B2E" w:rsidR="00BE6BE0" w:rsidRPr="008A1656" w:rsidRDefault="008A1656" w:rsidP="008A1656">
                            <w:pPr>
                              <w:jc w:val="both"/>
                              <w:rPr>
                                <w:sz w:val="14"/>
                                <w:szCs w:val="14"/>
                              </w:rPr>
                            </w:pPr>
                            <w:r w:rsidRPr="008A1656">
                              <w:rPr>
                                <w:sz w:val="14"/>
                                <w:szCs w:val="14"/>
                                <w:lang w:val="en"/>
                              </w:rPr>
                              <w:t xml:space="preserve">The origins of antenatal services in the UK can be traced back to the early 20th century, a popular public health movement when maternal and child welfare services started </w:t>
                            </w:r>
                            <w:proofErr w:type="spellStart"/>
                            <w:r w:rsidRPr="008A1656">
                              <w:rPr>
                                <w:sz w:val="14"/>
                                <w:szCs w:val="14"/>
                                <w:lang w:val="en"/>
                              </w:rPr>
                              <w:t>prioritising</w:t>
                            </w:r>
                            <w:proofErr w:type="spellEnd"/>
                            <w:r w:rsidRPr="008A1656">
                              <w:rPr>
                                <w:sz w:val="14"/>
                                <w:szCs w:val="14"/>
                                <w:lang w:val="en"/>
                              </w:rPr>
                              <w:t xml:space="preserve"> prenatal examination and </w:t>
                            </w:r>
                            <w:proofErr w:type="spellStart"/>
                            <w:r w:rsidRPr="008A1656">
                              <w:rPr>
                                <w:sz w:val="14"/>
                                <w:szCs w:val="14"/>
                                <w:lang w:val="en"/>
                              </w:rPr>
                              <w:t>neighbourhood</w:t>
                            </w:r>
                            <w:proofErr w:type="spellEnd"/>
                            <w:r w:rsidRPr="008A1656">
                              <w:rPr>
                                <w:sz w:val="14"/>
                                <w:szCs w:val="14"/>
                                <w:lang w:val="en"/>
                              </w:rPr>
                              <w:t xml:space="preserve"> nursing. Antenatal care was more systematically provided after 1948, and it became free at the point of service following the introduction of the new universal health service system, the National Health Service (NHS) in England and Wales. The most important ones are the NHS Maternity Services Act (1950s and 1960s) that extended obstetrics to hospitals and </w:t>
                            </w:r>
                            <w:proofErr w:type="spellStart"/>
                            <w:r w:rsidRPr="008A1656">
                              <w:rPr>
                                <w:sz w:val="14"/>
                                <w:szCs w:val="14"/>
                                <w:lang w:val="en"/>
                              </w:rPr>
                              <w:t>organised</w:t>
                            </w:r>
                            <w:proofErr w:type="spellEnd"/>
                            <w:r w:rsidRPr="008A1656">
                              <w:rPr>
                                <w:sz w:val="14"/>
                                <w:szCs w:val="14"/>
                                <w:lang w:val="en"/>
                              </w:rPr>
                              <w:t xml:space="preserve"> community-based midwifery, and the development of public health midwifery as midwives joined the ranks of health visiting teams (Macdonald, 2022). More recently, policy documents like Better Births (2016) put a priority on continuity of carer and community-based practice, and the NHS Long Term Plan (2019) attracted attention to integrated maternity and community services (NHS, 2025). Those policy impacts have aided in moving the antenatal midwifery even deeper into the community and in focusing on preventive care and regional accessibility.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537.6pt;margin-top:90pt;width:224.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CgCMQIAAJ4EAAAOAAAAZHJzL2Uyb0RvYy54bWysVNuO0zAQfUfiHyy/07TddkmjpqulCwhp&#10;uYiFD3Adu7FwPMZ2m3S/nrGTZgtISCBeLDszc+acuWR90zWaHIXzCkxJZ5MpJcJwqJTZl/Trlzcv&#10;ckp8YKZiGowo6Ul4erN5/mzd2kLMoQZdCUcQxPiitSWtQ7BFlnlei4b5CVhh0CjBNSzg0+2zyrEW&#10;0RudzafT66wFV1kHXHiPX+96I90kfCkFDx+l9CIQXVLkFtLp0rmLZ7ZZs2LvmK0VH2iwf2DRMGUw&#10;6Qh1xwIjB6d+g2oUd+BBhgmHJgMpFRdJA6qZTX9R81AzK5IWLI63Y5n8/4PlH44P9pMjoXsFHTYw&#10;ifD2Hvg3Twxsa2b24tY5aGvBKkw8iyXLWuuLITSW2hc+guza91Bhk9khQALqpGtiVVAnQXRswGks&#10;uugC4fhxni9WeY4mjrb51WqxzJcpByvO4db58FZAQ+KlpA67muDZ8d6HSIcVZ5eYTZt4Rr6vTZUa&#10;HJjS/R1dozkJiJwH9uGkRR/6WUiiKuR11ZciDqLYakeODEdIh15/REHPGCKV1mPQUL+fgxjnwoTr&#10;QdTgH0NFGtC/CR4jUmYwYQxulAH3Z8qy9z+r7zXH5oVu16HoqBnLFb/soDphQx30C4MLjpca3CMl&#10;LS5LSf33A3OCEv3O4FCsZotF3K70WCxfzvHhLi27SwszHKFKGijpr9uQNjJqMnCLwyNVausTk4Ez&#10;LkHq9rCwccsu38nr6bey+QEAAP//AwBQSwMEFAAGAAgAAAAhABZphBngAAAADQEAAA8AAABkcnMv&#10;ZG93bnJldi54bWxMj0FPg0AQhe8m/ofNmHizC0RagixNY9KL8aBU43Vhp0BkZ5FdWvTXOz3p7b3M&#10;lzfvFdvFDuKEk+8dKYhXEQikxpmeWgVvh/1dBsIHTUYPjlDBN3rYltdXhc6NO9MrnqrQCg4hn2sF&#10;XQhjLqVvOrTar9yIxLejm6wObKdWmkmfOdwOMomitbS6J/7Q6REfO2w+q9kqSJ7t/uPlHeOfXR0f&#10;58o+ZfJrrdTtzbJ7ABFwCX8wXOpzdSi5U+1mMl4M7KNNmjDLKot41QVJk3tWtYI03cQgy0L+X1H+&#10;AgAA//8DAFBLAQItABQABgAIAAAAIQC2gziS/gAAAOEBAAATAAAAAAAAAAAAAAAAAAAAAABbQ29u&#10;dGVudF9UeXBlc10ueG1sUEsBAi0AFAAGAAgAAAAhADj9If/WAAAAlAEAAAsAAAAAAAAAAAAAAAAA&#10;LwEAAF9yZWxzLy5yZWxzUEsBAi0AFAAGAAgAAAAhANLUKAIxAgAAngQAAA4AAAAAAAAAAAAAAAAA&#10;LgIAAGRycy9lMm9Eb2MueG1sUEsBAi0AFAAGAAgAAAAhABZphBngAAAADQEAAA8AAAAAAAAAAAAA&#10;AAAAiwQAAGRycy9kb3ducmV2LnhtbFBLBQYAAAAABAAEAPMAAACYBQAAAAA=&#10;" fillcolor="#f79646 [3209]" strokecolor="white [3201]" strokeweight="1.5pt">
                <v:textbox>
                  <w:txbxContent>
                    <w:p w14:paraId="019AEABF" w14:textId="355B53A9"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3. Brief History of the Service</w:t>
                      </w:r>
                    </w:p>
                    <w:p w14:paraId="2F2C6041" w14:textId="2B983B2E" w:rsidR="00BE6BE0" w:rsidRPr="008A1656" w:rsidRDefault="008A1656" w:rsidP="008A1656">
                      <w:pPr>
                        <w:jc w:val="both"/>
                        <w:rPr>
                          <w:sz w:val="14"/>
                          <w:szCs w:val="14"/>
                        </w:rPr>
                      </w:pPr>
                      <w:r w:rsidRPr="008A1656">
                        <w:rPr>
                          <w:sz w:val="14"/>
                          <w:szCs w:val="14"/>
                          <w:lang w:val="en"/>
                        </w:rPr>
                        <w:t xml:space="preserve">The origins of antenatal services in the UK can be traced back to the early 20th century, a popular public health movement when maternal and child welfare services started </w:t>
                      </w:r>
                      <w:proofErr w:type="spellStart"/>
                      <w:r w:rsidRPr="008A1656">
                        <w:rPr>
                          <w:sz w:val="14"/>
                          <w:szCs w:val="14"/>
                          <w:lang w:val="en"/>
                        </w:rPr>
                        <w:t>prioritising</w:t>
                      </w:r>
                      <w:proofErr w:type="spellEnd"/>
                      <w:r w:rsidRPr="008A1656">
                        <w:rPr>
                          <w:sz w:val="14"/>
                          <w:szCs w:val="14"/>
                          <w:lang w:val="en"/>
                        </w:rPr>
                        <w:t xml:space="preserve"> prenatal examination and </w:t>
                      </w:r>
                      <w:proofErr w:type="spellStart"/>
                      <w:r w:rsidRPr="008A1656">
                        <w:rPr>
                          <w:sz w:val="14"/>
                          <w:szCs w:val="14"/>
                          <w:lang w:val="en"/>
                        </w:rPr>
                        <w:t>neighbourhood</w:t>
                      </w:r>
                      <w:proofErr w:type="spellEnd"/>
                      <w:r w:rsidRPr="008A1656">
                        <w:rPr>
                          <w:sz w:val="14"/>
                          <w:szCs w:val="14"/>
                          <w:lang w:val="en"/>
                        </w:rPr>
                        <w:t xml:space="preserve"> nursing. Antenatal care was more systematically provided after 1948, and it became free at the point of service following the introduction of the new universal health service system, the National Health Service (NHS) in England and Wales. The most important ones are the NHS Maternity Services Act (1950s and 1960s) that extended obstetrics to hospitals and </w:t>
                      </w:r>
                      <w:proofErr w:type="spellStart"/>
                      <w:r w:rsidRPr="008A1656">
                        <w:rPr>
                          <w:sz w:val="14"/>
                          <w:szCs w:val="14"/>
                          <w:lang w:val="en"/>
                        </w:rPr>
                        <w:t>organised</w:t>
                      </w:r>
                      <w:proofErr w:type="spellEnd"/>
                      <w:r w:rsidRPr="008A1656">
                        <w:rPr>
                          <w:sz w:val="14"/>
                          <w:szCs w:val="14"/>
                          <w:lang w:val="en"/>
                        </w:rPr>
                        <w:t xml:space="preserve"> community-based midwifery, and the development of public health midwifery as midwives joined the ranks of health visiting teams (Macdonald, 2022). More recently, policy documents like Better Births (2016) put a priority on continuity of carer and community-based practice, and the NHS Long Term Plan (2019) attracted attention to integrated maternity and community services (NHS, 2025). Those policy impacts have aided in moving the antenatal midwifery even deeper into the community and in focusing on preventive care and regional accessibility.</w:t>
                      </w:r>
                    </w:p>
                  </w:txbxContent>
                </v:textbox>
                <w10:wrap type="square"/>
              </v:shape>
            </w:pict>
          </mc:Fallback>
        </mc:AlternateContent>
      </w:r>
      <w:r>
        <w:rPr>
          <w:noProof/>
          <w:lang w:eastAsia="en-GB"/>
        </w:rPr>
        <mc:AlternateContent>
          <mc:Choice Requires="wps">
            <w:drawing>
              <wp:anchor distT="45720" distB="45720" distL="114300" distR="114300" simplePos="0" relativeHeight="251665408" behindDoc="0" locked="0" layoutInCell="1" allowOverlap="1" wp14:anchorId="21A64788" wp14:editId="46BE8998">
                <wp:simplePos x="0" y="0"/>
                <wp:positionH relativeFrom="margin">
                  <wp:posOffset>3177540</wp:posOffset>
                </wp:positionH>
                <wp:positionV relativeFrom="paragraph">
                  <wp:posOffset>1158240</wp:posOffset>
                </wp:positionV>
                <wp:extent cx="2903220" cy="1760220"/>
                <wp:effectExtent l="0" t="0" r="11430"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3220" cy="1760220"/>
                        </a:xfrm>
                        <a:prstGeom prst="rect">
                          <a:avLst/>
                        </a:prstGeom>
                        <a:ln>
                          <a:headEnd/>
                          <a:tailEnd/>
                        </a:ln>
                      </wps:spPr>
                      <wps:style>
                        <a:lnRef idx="2">
                          <a:schemeClr val="accent3">
                            <a:shade val="50000"/>
                          </a:schemeClr>
                        </a:lnRef>
                        <a:fillRef idx="1">
                          <a:schemeClr val="accent3"/>
                        </a:fillRef>
                        <a:effectRef idx="0">
                          <a:schemeClr val="accent3"/>
                        </a:effectRef>
                        <a:fontRef idx="minor">
                          <a:schemeClr val="lt1"/>
                        </a:fontRef>
                      </wps:style>
                      <wps:txbx>
                        <w:txbxContent>
                          <w:p w14:paraId="72FDEF6B" w14:textId="77777777" w:rsidR="008A1656" w:rsidRDefault="008A1656" w:rsidP="008A1656">
                            <w:pPr>
                              <w:jc w:val="both"/>
                              <w:rPr>
                                <w:b/>
                                <w:bCs/>
                                <w:color w:val="984806" w:themeColor="accent6" w:themeShade="80"/>
                                <w:sz w:val="14"/>
                                <w:szCs w:val="14"/>
                                <w:lang w:val="en"/>
                              </w:rPr>
                            </w:pPr>
                            <w:r w:rsidRPr="008A1656">
                              <w:rPr>
                                <w:b/>
                                <w:bCs/>
                                <w:color w:val="984806" w:themeColor="accent6" w:themeShade="80"/>
                                <w:sz w:val="14"/>
                                <w:szCs w:val="14"/>
                                <w:lang w:val="en"/>
                              </w:rPr>
                              <w:t xml:space="preserve">2. Explanation of the Service </w:t>
                            </w:r>
                          </w:p>
                          <w:p w14:paraId="2A6CE679" w14:textId="4E0D658F" w:rsidR="00BE6BE0" w:rsidRPr="008A1656" w:rsidRDefault="008A1656" w:rsidP="008A1656">
                            <w:pPr>
                              <w:jc w:val="both"/>
                              <w:rPr>
                                <w:sz w:val="14"/>
                                <w:szCs w:val="14"/>
                              </w:rPr>
                            </w:pPr>
                            <w:r w:rsidRPr="008A1656">
                              <w:rPr>
                                <w:sz w:val="14"/>
                                <w:szCs w:val="14"/>
                                <w:lang w:val="en"/>
                              </w:rPr>
                              <w:t>Community antenatal midwifery is described as midwifery care that is provided within a community-based environment, through home visits, local clinics and through liaison with primary care delivery to the pregnant woman during early booking to the time of delivery. This service aims at promoting maternal and child health: it provides assessment, monitoring, advice, referral (as needed), and provision of support to help women make informed choices regarding their pregnancy, birth and postnatal care (Dahl et al. 2020). The primary ones are NHS community midwives (as part of NHS England, or devolved equivalents) or local maternity hubs or units, specialist community midwifery teams (vulnerable or high-risk groups), or integrated care networks (</w:t>
                            </w:r>
                            <w:proofErr w:type="spellStart"/>
                            <w:r w:rsidRPr="008A1656">
                              <w:rPr>
                                <w:sz w:val="14"/>
                                <w:szCs w:val="14"/>
                                <w:lang w:val="en"/>
                              </w:rPr>
                              <w:t>Vulcanised</w:t>
                            </w:r>
                            <w:proofErr w:type="spellEnd"/>
                            <w:r w:rsidRPr="008A1656">
                              <w:rPr>
                                <w:sz w:val="14"/>
                                <w:szCs w:val="14"/>
                                <w:lang w:val="en"/>
                              </w:rPr>
                              <w:t xml:space="preserve"> collaboration between health visitors, social work, and general practitioners (GPs)).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50.2pt;margin-top:91.2pt;width:228.6pt;height:138.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gj+RQIAAMUEAAAOAAAAZHJzL2Uyb0RvYy54bWysVNtu2zAMfR+wfxD0vthJ03Y14hRdug0D&#10;ugvW7QMUWY6FyaInqbHTrx8pOW6wFXsY5gdBEsXDw0PSq+uhNWyvnNdgSz6f5ZwpK6HSdlfy79/e&#10;vXrNmQ/CVsKAVSU/KM+v1y9frPquUAtowFTKMQSxvui7kjchdEWWedmoVvgZdMqisQbXioBHt8sq&#10;J3pEb022yPOLrAdXdQ6k8h5vb5ORryN+XSsZPte1V4GZkiO3EFcX1y2t2Xolip0TXaPlSEP8A4tW&#10;aItBJ6hbEQR7cPoPqFZLBx7qMJPQZlDXWqqYA2Yzz3/L5r4RnYq5oDi+m2Ty/w9Wftrfd18cC8Mb&#10;GLCAMQnf3YH84ZmFTSPsTt04B32jRIWB5yRZ1ne+GF1Jal94Atn2H6HCIouHABFoqF1LqmCeDNGx&#10;AIdJdDUEJvFycZWfLRZokmibX17kdKAYoji6d86H9wpaRpuSO6xqhBf7Ox/S0+MTimYsrcT3ra1i&#10;gYPQJu0RlcwxAeI8sg8Ho5LrV1UzXRGvJAU1otoYx/YCW0hIqWw4S6ZGVCpdn+f4jaRj65JHTMFY&#10;BCTkWhszYY8yP4+dEhrfk6uKfTw5538jlpwnjxgZbJicW23BPQdgQqosMk3vjyIlaajGYdgOqE3J&#10;l5Qq3WyhOmDdHaS5wv8Abhpwj5z1OFMl9z8fhFOcmQ8We+dqvlzSEMbD8vySqu5OLdtTi7ASoUoe&#10;OEvbTYiDSzlZuMEeq3Ws/hOTkTPOShR/nGsaxtNzfPX091n/AgAA//8DAFBLAwQUAAYACAAAACEA&#10;mAFjfuEAAAALAQAADwAAAGRycy9kb3ducmV2LnhtbEyPwU7DMAyG70i8Q2QkbixhWrutNJ0m0IQm&#10;doDBhVvWmLbQOFWTteXtMSe42fo//f6cbybXigH70HjScDtTIJBKbxuqNLy97m5WIEI0ZE3rCTV8&#10;Y4BNcXmRm8z6kV5wOMZKcAmFzGioY+wyKUNZozNh5jskzj5870zkta+k7c3I5a6Vc6VS6UxDfKE2&#10;Hd7XWH4dz07D+4CHxwd6itF+Lp+n3WG/deNe6+uraXsHIuIU/2D41Wd1KNjp5M9kg2g1JEotGOVg&#10;NeeBiXWyTEGcNCySdQqyyOX/H4ofAAAA//8DAFBLAQItABQABgAIAAAAIQC2gziS/gAAAOEBAAAT&#10;AAAAAAAAAAAAAAAAAAAAAABbQ29udGVudF9UeXBlc10ueG1sUEsBAi0AFAAGAAgAAAAhADj9If/W&#10;AAAAlAEAAAsAAAAAAAAAAAAAAAAALwEAAF9yZWxzLy5yZWxzUEsBAi0AFAAGAAgAAAAhAORSCP5F&#10;AgAAxQQAAA4AAAAAAAAAAAAAAAAALgIAAGRycy9lMm9Eb2MueG1sUEsBAi0AFAAGAAgAAAAhAJgB&#10;Y37hAAAACwEAAA8AAAAAAAAAAAAAAAAAnwQAAGRycy9kb3ducmV2LnhtbFBLBQYAAAAABAAEAPMA&#10;AACtBQAAAAA=&#10;" fillcolor="#9bbb59 [3206]" strokecolor="#4e6128 [1606]" strokeweight="1pt">
                <v:textbox>
                  <w:txbxContent>
                    <w:p w14:paraId="72FDEF6B" w14:textId="77777777" w:rsidR="008A1656" w:rsidRDefault="008A1656" w:rsidP="008A1656">
                      <w:pPr>
                        <w:jc w:val="both"/>
                        <w:rPr>
                          <w:b/>
                          <w:bCs/>
                          <w:color w:val="984806" w:themeColor="accent6" w:themeShade="80"/>
                          <w:sz w:val="14"/>
                          <w:szCs w:val="14"/>
                          <w:lang w:val="en"/>
                        </w:rPr>
                      </w:pPr>
                      <w:r w:rsidRPr="008A1656">
                        <w:rPr>
                          <w:b/>
                          <w:bCs/>
                          <w:color w:val="984806" w:themeColor="accent6" w:themeShade="80"/>
                          <w:sz w:val="14"/>
                          <w:szCs w:val="14"/>
                          <w:lang w:val="en"/>
                        </w:rPr>
                        <w:t xml:space="preserve">2. Explanation of the Service </w:t>
                      </w:r>
                    </w:p>
                    <w:p w14:paraId="2A6CE679" w14:textId="4E0D658F" w:rsidR="00BE6BE0" w:rsidRPr="008A1656" w:rsidRDefault="008A1656" w:rsidP="008A1656">
                      <w:pPr>
                        <w:jc w:val="both"/>
                        <w:rPr>
                          <w:sz w:val="14"/>
                          <w:szCs w:val="14"/>
                        </w:rPr>
                      </w:pPr>
                      <w:r w:rsidRPr="008A1656">
                        <w:rPr>
                          <w:sz w:val="14"/>
                          <w:szCs w:val="14"/>
                          <w:lang w:val="en"/>
                        </w:rPr>
                        <w:t>Community antenatal midwifery is described as midwifery care that is provided within a community-based environment, through home visits, local clinics and through liaison with primary care delivery to the pregnant woman during early booking to the time of delivery. This service aims at promoting maternal and child health: it provides assessment, monitoring, advice, referral (as needed), and provision of support to help women make informed choices regarding their pregnancy, birth and postnatal care (Dahl et al. 2020). The primary ones are NHS community midwives (as part of NHS England, or devolved equivalents) or local maternity hubs or units, specialist community midwifery teams (vulnerable or high-risk groups), or integrated care networks (</w:t>
                      </w:r>
                      <w:proofErr w:type="spellStart"/>
                      <w:r w:rsidRPr="008A1656">
                        <w:rPr>
                          <w:sz w:val="14"/>
                          <w:szCs w:val="14"/>
                          <w:lang w:val="en"/>
                        </w:rPr>
                        <w:t>Vulcanised</w:t>
                      </w:r>
                      <w:proofErr w:type="spellEnd"/>
                      <w:r w:rsidRPr="008A1656">
                        <w:rPr>
                          <w:sz w:val="14"/>
                          <w:szCs w:val="14"/>
                          <w:lang w:val="en"/>
                        </w:rPr>
                        <w:t xml:space="preserve"> collaboration between health visitors, social work, and general practitioners (GPs)).</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75648" behindDoc="0" locked="0" layoutInCell="1" allowOverlap="1" wp14:anchorId="1182A892" wp14:editId="6978C6EF">
                <wp:simplePos x="0" y="0"/>
                <wp:positionH relativeFrom="page">
                  <wp:posOffset>4053840</wp:posOffset>
                </wp:positionH>
                <wp:positionV relativeFrom="paragraph">
                  <wp:posOffset>2947035</wp:posOffset>
                </wp:positionV>
                <wp:extent cx="3581400" cy="2745105"/>
                <wp:effectExtent l="0" t="0" r="19050" b="1714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745105"/>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2390BEA4" w14:textId="77C051B1"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5. Challenges Faced by the Service</w:t>
                            </w:r>
                          </w:p>
                          <w:p w14:paraId="0F5BD23B" w14:textId="5782106B" w:rsidR="00BE6BE0" w:rsidRPr="008A1656" w:rsidRDefault="008A1656" w:rsidP="008A1656">
                            <w:pPr>
                              <w:jc w:val="both"/>
                              <w:rPr>
                                <w:sz w:val="14"/>
                                <w:szCs w:val="14"/>
                              </w:rPr>
                            </w:pPr>
                            <w:r w:rsidRPr="008A1656">
                              <w:rPr>
                                <w:sz w:val="14"/>
                                <w:szCs w:val="14"/>
                                <w:lang w:val="en"/>
                              </w:rPr>
                              <w:t xml:space="preserve">Staffing shortage and workload pressure are one of the biggest problems: even though the number of midwives in the NHS has increased relatively slowly, overall, the number of midwives is growing faster. To illustrate, the total NHS workforce grew by 14.1 per cent (or about 160,000 full-time equivalent positions) between December 2019 and March 2023, but only 1.1 per cent (or 247 more part-time midwives) in England, which is a shortfall of some 2,500 full-time midwives (RCM, 2025). Inadequate staffing affects community antenatal service through loss of time to make home visits, lack of continuity of care and over risk of missing or late appointments. The other important barrier is the question of health disparity and accessibility to ethnic minority groups and low-income women: studies indicate that women with ethnic minorities and low socio-economic status have a higher likelihood of later initiation of antenatal care (more than 10 weeks) and lower likelihood of receiving timely community-based assistance (Sharma et al. 2025). Such disparities diminish the preventive value of antenatal midwifery, and the continuity of the carer model might not be available to all communities equally. Other issues are increasing maternal age and complications of pregnancy (that strain community midwifery services), the problem of digital records and integration (that may impede timely exchange of information between community midwives and hospital teams), and continuity of care due to workforce limitations and shifts. In 2024, 64 per cent of women in the maternity survey 64 per cent of women said they were always able to receive staff assistance during </w:t>
                            </w:r>
                            <w:proofErr w:type="spellStart"/>
                            <w:r w:rsidRPr="008A1656">
                              <w:rPr>
                                <w:sz w:val="14"/>
                                <w:szCs w:val="14"/>
                                <w:lang w:val="en"/>
                              </w:rPr>
                              <w:t>labour</w:t>
                            </w:r>
                            <w:proofErr w:type="spellEnd"/>
                            <w:r w:rsidRPr="008A1656">
                              <w:rPr>
                                <w:sz w:val="14"/>
                                <w:szCs w:val="14"/>
                                <w:lang w:val="en"/>
                              </w:rPr>
                              <w:t xml:space="preserve"> and birth, which compared to 72 per cent in 2019, indicating that it continues to be staffed at a high level (Care Quality Commission, 2021).</w:t>
                            </w:r>
                          </w:p>
                          <w:p w14:paraId="509CCEFE" w14:textId="77777777" w:rsidR="00BE6BE0" w:rsidRPr="008A1656" w:rsidRDefault="00BE6BE0" w:rsidP="008A1656">
                            <w:pPr>
                              <w:jc w:val="both"/>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319.2pt;margin-top:232.05pt;width:282pt;height:216.1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q1vMwIAAKIEAAAOAAAAZHJzL2Uyb0RvYy54bWysVNuO0zAQfUfiHyy/0ySlZZeo6WrpAkJa&#10;LmLhA1zHbqx1PMZ2m5SvZ+ykaQVoHxAvlp2Zc2bOXLK66VtNDsJ5BaaixSynRBgOtTK7in7/9u7F&#10;NSU+MFMzDUZU9Cg8vVk/f7bqbCnm0ICuhSNIYnzZ2Yo2IdgyyzxvRMv8DKwwaJTgWhbw6XZZ7ViH&#10;7K3O5nn+KuvA1dYBF97j17vBSNeJX0rBw2cpvQhEVxRzC+l06dzGM1uvWLlzzDaKj2mwf8iiZcpg&#10;0InqjgVG9k79QdUq7sCDDDMObQZSKi6SBlRT5L+peWiYFUkLFsfbqUz+/9HyT4cH+8WR0L+BHhuY&#10;RHh7D/zREwObhpmduHUOukawGgMXsWRZZ305QmOpfekjybb7CDU2me0DJKJeujZWBXUSZMcGHKei&#10;iz4Qjh9fLq+LRY4mjrb51WJZ5MsUg5UnuHU+vBfQknipqMOuJnp2uPchpsPKk0uMpk08Y75vTZ0a&#10;HJjSwx1dozkJiDmP2YejFgP0q5BE1edSxEEUG+3IgeEIMc6FCaf8tEHvCJNK6wk4H2r4FHD0j1CR&#10;hnQCjw14CjwhUmQwYQK3yoD7W/T6cWgbZjr4nyow6I4NDP22R+EVTeLily3UR2yqg2FpcMnx0oD7&#10;SUmHC1NR/2PPnKBEfzA4GK+LxSJuWHoslldzfLhLy/bSwgxHqooGSobrJqStjJoM3OIASZVae85k&#10;zBkXIXV8XNq4aZfv5HX+tax/AQAA//8DAFBLAwQUAAYACAAAACEAQhhADOIAAAAMAQAADwAAAGRy&#10;cy9kb3ducmV2LnhtbEyPwW6DMAyG75P2DpEn7baGMoQYw1RTpUnbtENLOeyYEheikgSRFOjbLz1t&#10;R9uffn9/sVl0zyYanbIGYb2KgJFprFSmRagP708ZMOeFkaK3hhCu5GBT3t8VIpd2NnuaKt+yEGJc&#10;LhA674ecc9d0pIVb2YFMuJ3sqIUP49hyOYo5hOuex1GUci2UCR86MdC2o+ZcXTTCVM+70/fP7uvz&#10;LBV91PttpQ5XxMeH5e0VmKfF/8Fw0w/qUAano70Y6ViPkD5nSUARkjRZA7sRcRSH1REhe0kT4GXB&#10;/5cofwEAAP//AwBQSwECLQAUAAYACAAAACEAtoM4kv4AAADhAQAAEwAAAAAAAAAAAAAAAAAAAAAA&#10;W0NvbnRlbnRfVHlwZXNdLnhtbFBLAQItABQABgAIAAAAIQA4/SH/1gAAAJQBAAALAAAAAAAAAAAA&#10;AAAAAC8BAABfcmVscy8ucmVsc1BLAQItABQABgAIAAAAIQD1rq1vMwIAAKIEAAAOAAAAAAAAAAAA&#10;AAAAAC4CAABkcnMvZTJvRG9jLnhtbFBLAQItABQABgAIAAAAIQBCGEAM4gAAAAwBAAAPAAAAAAAA&#10;AAAAAAAAAI0EAABkcnMvZG93bnJldi54bWxQSwUGAAAAAAQABADzAAAAnAUAAAAA&#10;" fillcolor="#87c7d9 [2168]" strokecolor="#4bacc6 [3208]" strokeweight=".5pt">
                <v:fill color2="#6dbbd1 [2616]" rotate="t" colors="0 #aad2e1;.5 #9ccbdb;1 #8ac5d9" focus="100%" type="gradient">
                  <o:fill v:ext="view" type="gradientUnscaled"/>
                </v:fill>
                <v:textbox>
                  <w:txbxContent>
                    <w:p w14:paraId="2390BEA4" w14:textId="77C051B1"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5. Challenges Faced by the Service</w:t>
                      </w:r>
                    </w:p>
                    <w:p w14:paraId="0F5BD23B" w14:textId="5782106B" w:rsidR="00BE6BE0" w:rsidRPr="008A1656" w:rsidRDefault="008A1656" w:rsidP="008A1656">
                      <w:pPr>
                        <w:jc w:val="both"/>
                        <w:rPr>
                          <w:sz w:val="14"/>
                          <w:szCs w:val="14"/>
                        </w:rPr>
                      </w:pPr>
                      <w:r w:rsidRPr="008A1656">
                        <w:rPr>
                          <w:sz w:val="14"/>
                          <w:szCs w:val="14"/>
                          <w:lang w:val="en"/>
                        </w:rPr>
                        <w:t xml:space="preserve">Staffing shortage and workload pressure are one of the biggest problems: even though the number of midwives in the NHS has increased relatively slowly, overall, the number of midwives is growing faster. To illustrate, the total NHS workforce grew by 14.1 per cent (or about 160,000 full-time equivalent positions) between December 2019 and March 2023, but only 1.1 per cent (or 247 more part-time midwives) in England, which is a shortfall of some 2,500 full-time midwives (RCM, 2025). Inadequate staffing affects community antenatal service through loss of time to make home visits, lack of continuity of care and over risk of missing or late appointments. The other important barrier is the question of health disparity and accessibility to ethnic minority groups and low-income women: studies indicate that women with ethnic minorities and low socio-economic status have a higher likelihood of later initiation of antenatal care (more than 10 weeks) and lower likelihood of receiving timely community-based assistance (Sharma et al. 2025). Such disparities diminish the preventive value of antenatal midwifery, and the continuity of the carer model might not be available to all communities equally. Other issues are increasing maternal age and complications of pregnancy (that strain community midwifery services), the problem of digital records and integration (that may impede timely exchange of information between community midwives and hospital teams), and continuity of care due to workforce limitations and shifts. In 2024, 64 per cent of women in the maternity survey 64 per cent of women said they were always able to receive staff assistance during </w:t>
                      </w:r>
                      <w:proofErr w:type="spellStart"/>
                      <w:r w:rsidRPr="008A1656">
                        <w:rPr>
                          <w:sz w:val="14"/>
                          <w:szCs w:val="14"/>
                          <w:lang w:val="en"/>
                        </w:rPr>
                        <w:t>labour</w:t>
                      </w:r>
                      <w:proofErr w:type="spellEnd"/>
                      <w:r w:rsidRPr="008A1656">
                        <w:rPr>
                          <w:sz w:val="14"/>
                          <w:szCs w:val="14"/>
                          <w:lang w:val="en"/>
                        </w:rPr>
                        <w:t xml:space="preserve"> and birth, which compared to 72 per cent in 2019, indicating that it continues to be staffed at a high level (Care Quality Commission, 2021).</w:t>
                      </w:r>
                    </w:p>
                    <w:p w14:paraId="509CCEFE" w14:textId="77777777" w:rsidR="00BE6BE0" w:rsidRPr="008A1656" w:rsidRDefault="00BE6BE0" w:rsidP="008A1656">
                      <w:pPr>
                        <w:jc w:val="both"/>
                        <w:rPr>
                          <w:sz w:val="14"/>
                          <w:szCs w:val="14"/>
                        </w:rPr>
                      </w:pPr>
                    </w:p>
                  </w:txbxContent>
                </v:textbox>
                <w10:wrap type="square" anchorx="page"/>
              </v:shape>
            </w:pict>
          </mc:Fallback>
        </mc:AlternateContent>
      </w:r>
      <w:r>
        <w:rPr>
          <w:noProof/>
          <w:lang w:eastAsia="en-GB"/>
        </w:rPr>
        <mc:AlternateContent>
          <mc:Choice Requires="wps">
            <w:drawing>
              <wp:anchor distT="45720" distB="45720" distL="114300" distR="114300" simplePos="0" relativeHeight="251667456" behindDoc="0" locked="0" layoutInCell="1" allowOverlap="1" wp14:anchorId="2F5030E1" wp14:editId="68690A95">
                <wp:simplePos x="0" y="0"/>
                <wp:positionH relativeFrom="margin">
                  <wp:posOffset>6912610</wp:posOffset>
                </wp:positionH>
                <wp:positionV relativeFrom="paragraph">
                  <wp:posOffset>3582670</wp:posOffset>
                </wp:positionV>
                <wp:extent cx="2729230" cy="1860550"/>
                <wp:effectExtent l="0" t="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14:paraId="2C703FA3" w14:textId="767AC626"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6. Conclusion</w:t>
                            </w:r>
                          </w:p>
                          <w:p w14:paraId="69461F56" w14:textId="3F4FB96F" w:rsidR="00BE6BE0" w:rsidRPr="008A1656" w:rsidRDefault="008A1656" w:rsidP="008A1656">
                            <w:pPr>
                              <w:jc w:val="both"/>
                              <w:rPr>
                                <w:sz w:val="14"/>
                                <w:szCs w:val="14"/>
                              </w:rPr>
                            </w:pPr>
                            <w:r w:rsidRPr="008A1656">
                              <w:rPr>
                                <w:sz w:val="14"/>
                                <w:szCs w:val="14"/>
                                <w:lang w:val="en"/>
                              </w:rPr>
                              <w:t xml:space="preserve">Antenatal midwifery services in the community play a crucial role in ensuring that pregnant women get ready and </w:t>
                            </w:r>
                            <w:proofErr w:type="spellStart"/>
                            <w:r w:rsidRPr="008A1656">
                              <w:rPr>
                                <w:sz w:val="14"/>
                                <w:szCs w:val="14"/>
                                <w:lang w:val="en"/>
                              </w:rPr>
                              <w:t>customised</w:t>
                            </w:r>
                            <w:proofErr w:type="spellEnd"/>
                            <w:r w:rsidRPr="008A1656">
                              <w:rPr>
                                <w:sz w:val="14"/>
                                <w:szCs w:val="14"/>
                                <w:lang w:val="en"/>
                              </w:rPr>
                              <w:t xml:space="preserve"> non-hospital-based preventive and timely care. Their intervention assists in achieving better maternal and infant outcomes, early engagement, and actively incorporates into the overall health and social care system. Nonetheless, the continuity of the beneficial effects of these services can be supported by workforce shortages, equity in the provision of these services, and the enhancement of service maintenance and information combination.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2" type="#_x0000_t202" style="position:absolute;margin-left:544.3pt;margin-top:282.1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8ZjNQIAAKIEAAAOAAAAZHJzL2Uyb0RvYy54bWysVNuO0zAQfUfiHyy/07Sh7e5GTVdLFxDS&#10;chELH+A6dmOt4zG226R8PWMnTStA+4B4sezMnOM5czxZ3XaNJgfhvAJT0tlkSokwHCpldiX9/u3d&#10;q2tKfGCmYhqMKOlReHq7fvli1dpC5FCDroQjSGJ80dqS1iHYIss8r0XD/ASsMBiU4BoW8Oh2WeVY&#10;i+yNzvLpdJm14CrrgAvv8et9H6TrxC+l4OGzlF4EokuKtYW0urRu45qtV6zYOWZrxYcy2D9U0TBl&#10;8NKR6p4FRvZO/UHVKO7AgwwTDk0GUioukgZUM5v+puaxZlYkLdgcb8c2+f9Hyz8dHu0XR0L3Bjo0&#10;MInw9gH4kycGNjUzO3HnHLS1YBVePIsty1rriwEaW+0LH0m27Ueo0GS2D5CIOuma2BXUSZAdDTiO&#10;TRddIBw/5lf5Tf4aQxxjs+vldLFItmSsOMGt8+G9gIbETUkdupro2eHBh1gOK04p8TZt4hrrfWuq&#10;ZHBgSvd7TI3hJCDWPFQfjlr00K9CElWdWxEfothoRw4MnxDjXJiwTD2ITJgdYVJpPQLzvofPAYf8&#10;CBXpkY7gwYDnwCMi3QwmjOBGGXB/u7166m3DSvv8Uwd63dHA0G07FF7SJC5+2UJ1RFMd9EODQ46b&#10;GtxPSlocmJL6H3vmBCX6g8GHcTObz+OEpcN8cZXjwV1GtpcRZjhSlTRQ0m83IU1l1GTgDh+QVMna&#10;cyVDzTgIyfFhaOOkXZ5T1vnXsv4FAAD//wMAUEsDBBQABgAIAAAAIQBy+KpM4QAAAA0BAAAPAAAA&#10;ZHJzL2Rvd25yZXYueG1sTI/BTsMwDIbvSLxDZCRuLF21lqw0nQAViSsbHHbLmtAWEqdq0q3w9Hin&#10;cfzlz78/l5vZWXY0Y+g9SlguEmAGG697bCW8717uBLAQFWplPRoJPybAprq+KlWh/QnfzHEbW0Yl&#10;GAoloYtxKDgPTWecCgs/GKTZpx+dihTHlutRnajcWZ4mSc6d6pEudGowz51pvreTI43pqx6H31rX&#10;cx52H0/Brl/3Vsrbm/nxAVg0c7zAcNanHajI6eAn1IFZyokQObESsnyVAjsj2VKsgB0kiOw+BV6V&#10;/P8X1R8AAAD//wMAUEsBAi0AFAAGAAgAAAAhALaDOJL+AAAA4QEAABMAAAAAAAAAAAAAAAAAAAAA&#10;AFtDb250ZW50X1R5cGVzXS54bWxQSwECLQAUAAYACAAAACEAOP0h/9YAAACUAQAACwAAAAAAAAAA&#10;AAAAAAAvAQAAX3JlbHMvLnJlbHNQSwECLQAUAAYACAAAACEAgc/GYzUCAACiBAAADgAAAAAAAAAA&#10;AAAAAAAuAgAAZHJzL2Uyb0RvYy54bWxQSwECLQAUAAYACAAAACEAcviqTOEAAAANAQAADwAAAAAA&#10;AAAAAAAAAACPBAAAZHJzL2Rvd25yZXYueG1sUEsFBgAAAAAEAAQA8wAAAJ0FAAAAAA==&#10;" fillcolor="#f9b883 [2169]" strokecolor="#f79646 [3209]" strokeweight=".5pt">
                <v:fill color2="#f8a969 [2617]" rotate="t" colors="0 #fdcaab;.5 #fbbf9c;1 #ffb689" focus="100%" type="gradient">
                  <o:fill v:ext="view" type="gradientUnscaled"/>
                </v:fill>
                <v:textbox>
                  <w:txbxContent>
                    <w:p w14:paraId="2C703FA3" w14:textId="767AC626" w:rsidR="00BE6BE0" w:rsidRPr="008A1656" w:rsidRDefault="008A1656" w:rsidP="008A1656">
                      <w:pPr>
                        <w:jc w:val="both"/>
                        <w:rPr>
                          <w:b/>
                          <w:bCs/>
                          <w:color w:val="984806" w:themeColor="accent6" w:themeShade="80"/>
                          <w:sz w:val="14"/>
                          <w:szCs w:val="14"/>
                        </w:rPr>
                      </w:pPr>
                      <w:r w:rsidRPr="008A1656">
                        <w:rPr>
                          <w:b/>
                          <w:bCs/>
                          <w:color w:val="984806" w:themeColor="accent6" w:themeShade="80"/>
                          <w:sz w:val="14"/>
                          <w:szCs w:val="14"/>
                          <w:lang w:val="en"/>
                        </w:rPr>
                        <w:t>6. Conclusion</w:t>
                      </w:r>
                    </w:p>
                    <w:p w14:paraId="69461F56" w14:textId="3F4FB96F" w:rsidR="00BE6BE0" w:rsidRPr="008A1656" w:rsidRDefault="008A1656" w:rsidP="008A1656">
                      <w:pPr>
                        <w:jc w:val="both"/>
                        <w:rPr>
                          <w:sz w:val="14"/>
                          <w:szCs w:val="14"/>
                        </w:rPr>
                      </w:pPr>
                      <w:r w:rsidRPr="008A1656">
                        <w:rPr>
                          <w:sz w:val="14"/>
                          <w:szCs w:val="14"/>
                          <w:lang w:val="en"/>
                        </w:rPr>
                        <w:t xml:space="preserve">Antenatal midwifery services in the community play a crucial role in ensuring that pregnant women get ready and </w:t>
                      </w:r>
                      <w:proofErr w:type="spellStart"/>
                      <w:r w:rsidRPr="008A1656">
                        <w:rPr>
                          <w:sz w:val="14"/>
                          <w:szCs w:val="14"/>
                          <w:lang w:val="en"/>
                        </w:rPr>
                        <w:t>customised</w:t>
                      </w:r>
                      <w:proofErr w:type="spellEnd"/>
                      <w:r w:rsidRPr="008A1656">
                        <w:rPr>
                          <w:sz w:val="14"/>
                          <w:szCs w:val="14"/>
                          <w:lang w:val="en"/>
                        </w:rPr>
                        <w:t xml:space="preserve"> non-hospital-based preventive and timely care. Their intervention assists in achieving better maternal and infant outcomes, early engagement, and actively incorporates into the overall health and social care system. Nonetheless, the continuity of the beneficial effects of these services can be supported by workforce shortages, equity in the provision of these services, and the enhancement of service maintenance and information combination.</w:t>
                      </w:r>
                    </w:p>
                  </w:txbxContent>
                </v:textbox>
                <w10:wrap type="square" anchorx="margin"/>
              </v:shape>
            </w:pict>
          </mc:Fallback>
        </mc:AlternateContent>
      </w:r>
      <w:r w:rsidR="009E257B">
        <w:rPr>
          <w:noProof/>
          <w:lang w:eastAsia="en-GB"/>
        </w:rPr>
        <mc:AlternateContent>
          <mc:Choice Requires="wps">
            <w:drawing>
              <wp:anchor distT="0" distB="0" distL="114300" distR="114300" simplePos="0" relativeHeight="251659264" behindDoc="1" locked="0" layoutInCell="1" allowOverlap="1" wp14:anchorId="777A8668" wp14:editId="4B0FA8C6">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79FD8B"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p>
    <w:p w14:paraId="1C7D761C" w14:textId="6F217303" w:rsidR="008A1656" w:rsidRDefault="00833470" w:rsidP="009E12D8">
      <w:pPr>
        <w:pStyle w:val="Heading1"/>
      </w:pPr>
      <w:bookmarkStart w:id="2" w:name="_Toc213586911"/>
      <w:r w:rsidRPr="001F6802">
        <w:lastRenderedPageBreak/>
        <w:t>Element 2</w:t>
      </w:r>
      <w:bookmarkEnd w:id="2"/>
    </w:p>
    <w:p w14:paraId="6AB975CC" w14:textId="77777777" w:rsidR="008A1656" w:rsidRPr="009E12D8" w:rsidRDefault="008A1656" w:rsidP="009E12D8">
      <w:pPr>
        <w:pStyle w:val="Heading2"/>
      </w:pPr>
      <w:bookmarkStart w:id="3" w:name="_Toc213586912"/>
      <w:r w:rsidRPr="009E12D8">
        <w:t>Task 2 – The NHS: From 1948 to 2025</w:t>
      </w:r>
      <w:bookmarkEnd w:id="3"/>
    </w:p>
    <w:p w14:paraId="67E91183" w14:textId="77777777" w:rsidR="008A1656" w:rsidRPr="008A1656" w:rsidRDefault="008A1656" w:rsidP="008A1656">
      <w:pPr>
        <w:spacing w:line="360" w:lineRule="auto"/>
        <w:jc w:val="both"/>
        <w:rPr>
          <w:rFonts w:ascii="Arial" w:hAnsi="Arial" w:cs="Arial"/>
          <w:b/>
          <w:sz w:val="26"/>
          <w:szCs w:val="26"/>
        </w:rPr>
      </w:pPr>
      <w:r w:rsidRPr="008A1656">
        <w:rPr>
          <w:rFonts w:ascii="Arial" w:hAnsi="Arial" w:cs="Arial"/>
          <w:b/>
          <w:sz w:val="26"/>
          <w:szCs w:val="26"/>
        </w:rPr>
        <w:t>1. Introduction</w:t>
      </w:r>
    </w:p>
    <w:p w14:paraId="7351B8D6" w14:textId="77777777" w:rsidR="008A1656" w:rsidRPr="008A1656" w:rsidRDefault="008A1656" w:rsidP="008A1656">
      <w:pPr>
        <w:spacing w:line="360" w:lineRule="auto"/>
        <w:jc w:val="both"/>
        <w:rPr>
          <w:rFonts w:ascii="Arial" w:hAnsi="Arial" w:cs="Arial"/>
        </w:rPr>
      </w:pPr>
      <w:r w:rsidRPr="008A1656">
        <w:rPr>
          <w:rFonts w:ascii="Arial" w:hAnsi="Arial" w:cs="Arial"/>
        </w:rPr>
        <w:t>This segment will compare the evolution of the National Health Service (NHS) since its beginning way back in 1948 to the shape it will be in 2025. The comparative analysis dwells on the birth of the NHS, its principles, structural development and present functioning of the organisation. The analysis captures the transformation of the role, organisation and challenges of service of the service within an analysis of major reforms, financial and workforce change and key structural adjustments throughout the close to eight decades the service has existed.</w:t>
      </w:r>
    </w:p>
    <w:p w14:paraId="212CD950" w14:textId="77777777" w:rsidR="008A1656" w:rsidRPr="008A1656" w:rsidRDefault="008A1656" w:rsidP="008A1656">
      <w:pPr>
        <w:spacing w:line="360" w:lineRule="auto"/>
        <w:jc w:val="both"/>
        <w:rPr>
          <w:rFonts w:ascii="Arial" w:hAnsi="Arial" w:cs="Arial"/>
          <w:b/>
          <w:sz w:val="26"/>
          <w:szCs w:val="26"/>
        </w:rPr>
      </w:pPr>
      <w:r w:rsidRPr="008A1656">
        <w:rPr>
          <w:rFonts w:ascii="Arial" w:hAnsi="Arial" w:cs="Arial"/>
          <w:b/>
          <w:sz w:val="26"/>
          <w:szCs w:val="26"/>
        </w:rPr>
        <w:t>2. The Origin of the NHS (1948)</w:t>
      </w:r>
    </w:p>
    <w:p w14:paraId="5099975F" w14:textId="77777777" w:rsidR="008A1656" w:rsidRPr="008A1656" w:rsidRDefault="008A1656" w:rsidP="008A1656">
      <w:pPr>
        <w:spacing w:line="360" w:lineRule="auto"/>
        <w:jc w:val="both"/>
        <w:rPr>
          <w:rFonts w:ascii="Arial" w:hAnsi="Arial" w:cs="Arial"/>
        </w:rPr>
      </w:pPr>
      <w:r w:rsidRPr="008A1656">
        <w:rPr>
          <w:rFonts w:ascii="Arial" w:hAnsi="Arial" w:cs="Arial"/>
        </w:rPr>
        <w:t>During the immediate post-Second World War, Britain had to struggle with serious issues of public health: great poverty, the lack of access to medical services and malnutrition. Chancellor and later Health Minister Aneurin Bevan, in response, led the establishment of the NHS in 1948 based on the principle of free healthcare at the point of delivery (DeVane, 2022). During its establishment, the NHS was anchored on the core tenets of universality (accessible to everyone), equality (free healthcare on equal terms) and accessibility (grounded on the need and not means). The service was structurally made up of hospital services transferred into public ownership, general practitioners' (GPs) practices to the NHS and local authority public health and maternity/nursing services. This organisation represented a centralised structure in which the hospitals, GPs and local authority-based community services operated on the NHS umbrella.</w:t>
      </w:r>
    </w:p>
    <w:p w14:paraId="2F50F207" w14:textId="77777777" w:rsidR="008A1656" w:rsidRPr="008A1656" w:rsidRDefault="008A1656" w:rsidP="008A1656">
      <w:pPr>
        <w:spacing w:line="360" w:lineRule="auto"/>
        <w:jc w:val="both"/>
        <w:rPr>
          <w:rFonts w:ascii="Arial" w:hAnsi="Arial" w:cs="Arial"/>
          <w:b/>
          <w:sz w:val="26"/>
          <w:szCs w:val="26"/>
        </w:rPr>
      </w:pPr>
      <w:r w:rsidRPr="008A1656">
        <w:rPr>
          <w:rFonts w:ascii="Arial" w:hAnsi="Arial" w:cs="Arial"/>
          <w:b/>
          <w:sz w:val="26"/>
          <w:szCs w:val="26"/>
        </w:rPr>
        <w:t>3. Changes and Developments (1948–2025)</w:t>
      </w:r>
    </w:p>
    <w:p w14:paraId="7331378D" w14:textId="77777777" w:rsidR="008A1656" w:rsidRPr="008A1656" w:rsidRDefault="008A1656" w:rsidP="008A1656">
      <w:pPr>
        <w:spacing w:line="360" w:lineRule="auto"/>
        <w:jc w:val="both"/>
        <w:rPr>
          <w:rFonts w:ascii="Arial" w:hAnsi="Arial" w:cs="Arial"/>
        </w:rPr>
      </w:pPr>
      <w:r w:rsidRPr="008A1656">
        <w:rPr>
          <w:rFonts w:ascii="Arial" w:hAnsi="Arial" w:cs="Arial"/>
        </w:rPr>
        <w:t xml:space="preserve">The NHS has experienced several significant reforms over the course of decades. In 1974, one of the more significant re-organisations led to the introduction of regional and area health authorities in an attempt to modernise and rationalise services. The internal market and increased commissioning and provider separation were brought about by the NHS and Community Care Act 1990. The decade of the 2000s was characterised by the growing focus on modernisation and the use of digital technologies, e-health records and patient choice. A further alteration of commissioning arrangements and the establishment of new accountability structures were brought about by the Health and Social Care Act 2012. The NHS published the NHS Long Term Plan in January 2019 that promised a transition to prevention, community and digital care and an average growth in NHS funding of real terms of 3.4 per annum between </w:t>
      </w:r>
      <w:r w:rsidRPr="008A1656">
        <w:rPr>
          <w:rFonts w:ascii="Arial" w:hAnsi="Arial" w:cs="Arial"/>
        </w:rPr>
        <w:lastRenderedPageBreak/>
        <w:t>2019/20 and 2023/24 (Parliament.UK, 2024). Current issues consist of an ageing population, increased prevalence of various long-term conditions, chronic financial pressures and labour shortage. As of January 2025, the NHS in England had a headcount-based staff of around 1.54 million (planetary) (1.37 million full-time equivalents) (North East Connected, 2025). More recent priorities are based on digitalisation of services and the necessity of resilience (such as post-COVID-19 pandemic).</w:t>
      </w:r>
    </w:p>
    <w:p w14:paraId="422D142F" w14:textId="77777777" w:rsidR="008A1656" w:rsidRPr="008A1656" w:rsidRDefault="008A1656" w:rsidP="008A1656">
      <w:pPr>
        <w:spacing w:line="360" w:lineRule="auto"/>
        <w:jc w:val="both"/>
        <w:rPr>
          <w:rFonts w:ascii="Arial" w:hAnsi="Arial" w:cs="Arial"/>
        </w:rPr>
      </w:pPr>
      <w:r w:rsidRPr="008A1656">
        <w:rPr>
          <w:rFonts w:ascii="Arial" w:hAnsi="Arial" w:cs="Arial"/>
          <w:b/>
          <w:sz w:val="26"/>
          <w:szCs w:val="26"/>
        </w:rPr>
        <w:t>4. Comparison: NHS 1948 vs. NHS 2025</w:t>
      </w:r>
    </w:p>
    <w:tbl>
      <w:tblPr>
        <w:tblW w:w="9285" w:type="dxa"/>
        <w:tblBorders>
          <w:top w:val="nil"/>
          <w:left w:val="nil"/>
          <w:bottom w:val="nil"/>
          <w:right w:val="nil"/>
          <w:insideH w:val="nil"/>
          <w:insideV w:val="nil"/>
        </w:tblBorders>
        <w:tblLayout w:type="fixed"/>
        <w:tblLook w:val="0600" w:firstRow="0" w:lastRow="0" w:firstColumn="0" w:lastColumn="0" w:noHBand="1" w:noVBand="1"/>
      </w:tblPr>
      <w:tblGrid>
        <w:gridCol w:w="1500"/>
        <w:gridCol w:w="3465"/>
        <w:gridCol w:w="4320"/>
      </w:tblGrid>
      <w:tr w:rsidR="008A1656" w:rsidRPr="008A1656" w14:paraId="73E8244C" w14:textId="77777777" w:rsidTr="008F064B">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6C2192" w14:textId="77777777" w:rsidR="008A1656" w:rsidRPr="008A1656" w:rsidRDefault="008A1656" w:rsidP="008F064B">
            <w:pPr>
              <w:widowControl w:val="0"/>
              <w:jc w:val="center"/>
              <w:rPr>
                <w:rFonts w:ascii="Arial" w:hAnsi="Arial" w:cs="Arial"/>
              </w:rPr>
            </w:pPr>
            <w:r w:rsidRPr="008A1656">
              <w:rPr>
                <w:rFonts w:ascii="Arial" w:hAnsi="Arial" w:cs="Arial"/>
                <w:b/>
              </w:rPr>
              <w:t>Aspect</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D50B75B" w14:textId="77777777" w:rsidR="008A1656" w:rsidRPr="008A1656" w:rsidRDefault="008A1656" w:rsidP="008F064B">
            <w:pPr>
              <w:widowControl w:val="0"/>
              <w:jc w:val="center"/>
              <w:rPr>
                <w:rFonts w:ascii="Arial" w:hAnsi="Arial" w:cs="Arial"/>
              </w:rPr>
            </w:pPr>
            <w:r w:rsidRPr="008A1656">
              <w:rPr>
                <w:rFonts w:ascii="Arial" w:hAnsi="Arial" w:cs="Arial"/>
                <w:b/>
              </w:rPr>
              <w:t>NHS 1948</w:t>
            </w:r>
          </w:p>
        </w:tc>
        <w:tc>
          <w:tcPr>
            <w:tcW w:w="4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C96E550" w14:textId="77777777" w:rsidR="008A1656" w:rsidRPr="008A1656" w:rsidRDefault="008A1656" w:rsidP="008F064B">
            <w:pPr>
              <w:widowControl w:val="0"/>
              <w:jc w:val="center"/>
              <w:rPr>
                <w:rFonts w:ascii="Arial" w:hAnsi="Arial" w:cs="Arial"/>
              </w:rPr>
            </w:pPr>
            <w:r w:rsidRPr="008A1656">
              <w:rPr>
                <w:rFonts w:ascii="Arial" w:hAnsi="Arial" w:cs="Arial"/>
                <w:b/>
              </w:rPr>
              <w:t>NHS 2025</w:t>
            </w:r>
          </w:p>
        </w:tc>
      </w:tr>
      <w:tr w:rsidR="008A1656" w:rsidRPr="008A1656" w14:paraId="794E966E" w14:textId="77777777" w:rsidTr="008F064B">
        <w:trPr>
          <w:trHeight w:val="75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BC569BA" w14:textId="77777777" w:rsidR="008A1656" w:rsidRPr="008A1656" w:rsidRDefault="008A1656" w:rsidP="008F064B">
            <w:pPr>
              <w:widowControl w:val="0"/>
              <w:rPr>
                <w:rFonts w:ascii="Arial" w:hAnsi="Arial" w:cs="Arial"/>
              </w:rPr>
            </w:pPr>
            <w:r w:rsidRPr="008A1656">
              <w:rPr>
                <w:rFonts w:ascii="Arial" w:hAnsi="Arial" w:cs="Arial"/>
              </w:rPr>
              <w:t>Funding</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F75D09F" w14:textId="77777777" w:rsidR="008A1656" w:rsidRPr="008A1656" w:rsidRDefault="008A1656" w:rsidP="008F064B">
            <w:pPr>
              <w:widowControl w:val="0"/>
              <w:rPr>
                <w:rFonts w:ascii="Arial" w:hAnsi="Arial" w:cs="Arial"/>
              </w:rPr>
            </w:pPr>
            <w:r w:rsidRPr="008A1656">
              <w:rPr>
                <w:rFonts w:ascii="Arial" w:hAnsi="Arial" w:cs="Arial"/>
              </w:rPr>
              <w:t>Wholesale state capitalism, universal taxation.</w:t>
            </w:r>
          </w:p>
        </w:tc>
        <w:tc>
          <w:tcPr>
            <w:tcW w:w="432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5D14B9C" w14:textId="77777777" w:rsidR="008A1656" w:rsidRPr="008A1656" w:rsidRDefault="008A1656" w:rsidP="008F064B">
            <w:pPr>
              <w:widowControl w:val="0"/>
              <w:rPr>
                <w:rFonts w:ascii="Arial" w:hAnsi="Arial" w:cs="Arial"/>
              </w:rPr>
            </w:pPr>
            <w:r w:rsidRPr="008A1656">
              <w:rPr>
                <w:rFonts w:ascii="Arial" w:hAnsi="Arial" w:cs="Arial"/>
              </w:rPr>
              <w:t>Funded by taxes, although with a growing percentage of such funds raised through local schemes and some individual/private alliances.</w:t>
            </w:r>
          </w:p>
        </w:tc>
      </w:tr>
      <w:tr w:rsidR="008A1656" w:rsidRPr="008A1656" w14:paraId="6640AE2C" w14:textId="77777777" w:rsidTr="008F064B">
        <w:trPr>
          <w:trHeight w:val="40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EDF66A" w14:textId="77777777" w:rsidR="008A1656" w:rsidRPr="008A1656" w:rsidRDefault="008A1656" w:rsidP="008F064B">
            <w:pPr>
              <w:widowControl w:val="0"/>
              <w:rPr>
                <w:rFonts w:ascii="Arial" w:hAnsi="Arial" w:cs="Arial"/>
              </w:rPr>
            </w:pPr>
            <w:r w:rsidRPr="008A1656">
              <w:rPr>
                <w:rFonts w:ascii="Arial" w:hAnsi="Arial" w:cs="Arial"/>
              </w:rPr>
              <w:t>Structure</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213357A" w14:textId="77777777" w:rsidR="008A1656" w:rsidRPr="008A1656" w:rsidRDefault="008A1656" w:rsidP="008F064B">
            <w:pPr>
              <w:widowControl w:val="0"/>
              <w:rPr>
                <w:rFonts w:ascii="Arial" w:hAnsi="Arial" w:cs="Arial"/>
              </w:rPr>
            </w:pPr>
            <w:r w:rsidRPr="008A1656">
              <w:rPr>
                <w:rFonts w:ascii="Arial" w:hAnsi="Arial" w:cs="Arial"/>
              </w:rPr>
              <w:t>Local authority community services, GPs and hospitals under the central NHS direction.</w:t>
            </w:r>
          </w:p>
        </w:tc>
        <w:tc>
          <w:tcPr>
            <w:tcW w:w="432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5F72B30" w14:textId="77777777" w:rsidR="008A1656" w:rsidRPr="008A1656" w:rsidRDefault="008A1656" w:rsidP="008F064B">
            <w:pPr>
              <w:widowControl w:val="0"/>
              <w:rPr>
                <w:rFonts w:ascii="Arial" w:hAnsi="Arial" w:cs="Arial"/>
              </w:rPr>
            </w:pPr>
            <w:r w:rsidRPr="008A1656">
              <w:rPr>
                <w:rFonts w:ascii="Arial" w:hAnsi="Arial" w:cs="Arial"/>
              </w:rPr>
              <w:t>ICSs that plan, coordinate acute, community, primary and social health care.</w:t>
            </w:r>
          </w:p>
        </w:tc>
      </w:tr>
      <w:tr w:rsidR="008A1656" w:rsidRPr="008A1656" w14:paraId="0131D11B" w14:textId="77777777" w:rsidTr="008F064B">
        <w:trPr>
          <w:trHeight w:val="247"/>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A66C7BE" w14:textId="77777777" w:rsidR="008A1656" w:rsidRPr="008A1656" w:rsidRDefault="008A1656" w:rsidP="008F064B">
            <w:pPr>
              <w:widowControl w:val="0"/>
              <w:rPr>
                <w:rFonts w:ascii="Arial" w:hAnsi="Arial" w:cs="Arial"/>
              </w:rPr>
            </w:pPr>
            <w:r w:rsidRPr="008A1656">
              <w:rPr>
                <w:rFonts w:ascii="Arial" w:hAnsi="Arial" w:cs="Arial"/>
              </w:rPr>
              <w:t>Workforce</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09A43B" w14:textId="77777777" w:rsidR="008A1656" w:rsidRPr="008A1656" w:rsidRDefault="008A1656" w:rsidP="008F064B">
            <w:pPr>
              <w:widowControl w:val="0"/>
              <w:rPr>
                <w:rFonts w:ascii="Arial" w:hAnsi="Arial" w:cs="Arial"/>
              </w:rPr>
            </w:pPr>
            <w:r w:rsidRPr="008A1656">
              <w:rPr>
                <w:rFonts w:ascii="Arial" w:hAnsi="Arial" w:cs="Arial"/>
              </w:rPr>
              <w:t>Comparatively low number of employees, physician-based.</w:t>
            </w:r>
          </w:p>
        </w:tc>
        <w:tc>
          <w:tcPr>
            <w:tcW w:w="432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0EE4DF6" w14:textId="77777777" w:rsidR="008A1656" w:rsidRPr="008A1656" w:rsidRDefault="008A1656" w:rsidP="008F064B">
            <w:pPr>
              <w:widowControl w:val="0"/>
              <w:rPr>
                <w:rFonts w:ascii="Arial" w:hAnsi="Arial" w:cs="Arial"/>
              </w:rPr>
            </w:pPr>
            <w:r w:rsidRPr="008A1656">
              <w:rPr>
                <w:rFonts w:ascii="Arial" w:hAnsi="Arial" w:cs="Arial"/>
              </w:rPr>
              <w:t>England (Jan 2025) (North East Connected, 2025) Multidisciplinary, technology-enhanced workforce Multidisciplinary, technology-supported workforce Approx. 1.37 million full-time equivalent staff in England (Jan 2025)</w:t>
            </w:r>
          </w:p>
        </w:tc>
      </w:tr>
      <w:tr w:rsidR="008A1656" w:rsidRPr="008A1656" w14:paraId="170F1C73" w14:textId="77777777" w:rsidTr="008F064B">
        <w:trPr>
          <w:trHeight w:val="49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F2F9A4D" w14:textId="77777777" w:rsidR="008A1656" w:rsidRPr="008A1656" w:rsidRDefault="008A1656" w:rsidP="008F064B">
            <w:pPr>
              <w:widowControl w:val="0"/>
              <w:rPr>
                <w:rFonts w:ascii="Arial" w:hAnsi="Arial" w:cs="Arial"/>
              </w:rPr>
            </w:pPr>
            <w:r w:rsidRPr="008A1656">
              <w:rPr>
                <w:rFonts w:ascii="Arial" w:hAnsi="Arial" w:cs="Arial"/>
              </w:rPr>
              <w:t>Access</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03F5D3C" w14:textId="77777777" w:rsidR="008A1656" w:rsidRPr="008A1656" w:rsidRDefault="008A1656" w:rsidP="008F064B">
            <w:pPr>
              <w:widowControl w:val="0"/>
              <w:rPr>
                <w:rFonts w:ascii="Arial" w:hAnsi="Arial" w:cs="Arial"/>
              </w:rPr>
            </w:pPr>
            <w:r w:rsidRPr="008A1656">
              <w:rPr>
                <w:rFonts w:ascii="Arial" w:hAnsi="Arial" w:cs="Arial"/>
              </w:rPr>
              <w:t>Free of charge at the point of delivery and rural coverage, and reduced digital choices.</w:t>
            </w:r>
          </w:p>
        </w:tc>
        <w:tc>
          <w:tcPr>
            <w:tcW w:w="432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9E87CF8" w14:textId="77777777" w:rsidR="008A1656" w:rsidRPr="008A1656" w:rsidRDefault="008A1656" w:rsidP="008F064B">
            <w:pPr>
              <w:widowControl w:val="0"/>
              <w:rPr>
                <w:rFonts w:ascii="Arial" w:hAnsi="Arial" w:cs="Arial"/>
              </w:rPr>
            </w:pPr>
            <w:r w:rsidRPr="008A1656">
              <w:rPr>
                <w:rFonts w:ascii="Arial" w:hAnsi="Arial" w:cs="Arial"/>
              </w:rPr>
              <w:t>Free at the point of delivery is one of the values; there were increased digital appointments and community services, yet the problem of health inequalities does not go away.</w:t>
            </w:r>
          </w:p>
        </w:tc>
      </w:tr>
      <w:tr w:rsidR="008A1656" w:rsidRPr="008A1656" w14:paraId="3355F871" w14:textId="77777777" w:rsidTr="008F064B">
        <w:trPr>
          <w:trHeight w:val="15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9C31FE6" w14:textId="77777777" w:rsidR="008A1656" w:rsidRPr="008A1656" w:rsidRDefault="008A1656" w:rsidP="008F064B">
            <w:pPr>
              <w:widowControl w:val="0"/>
              <w:rPr>
                <w:rFonts w:ascii="Arial" w:hAnsi="Arial" w:cs="Arial"/>
              </w:rPr>
            </w:pPr>
            <w:r w:rsidRPr="008A1656">
              <w:rPr>
                <w:rFonts w:ascii="Arial" w:hAnsi="Arial" w:cs="Arial"/>
              </w:rPr>
              <w:t>Service model</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DAB9645" w14:textId="77777777" w:rsidR="008A1656" w:rsidRPr="008A1656" w:rsidRDefault="008A1656" w:rsidP="008F064B">
            <w:pPr>
              <w:widowControl w:val="0"/>
              <w:rPr>
                <w:rFonts w:ascii="Arial" w:hAnsi="Arial" w:cs="Arial"/>
              </w:rPr>
            </w:pPr>
            <w:r w:rsidRPr="008A1656">
              <w:rPr>
                <w:rFonts w:ascii="Arial" w:hAnsi="Arial" w:cs="Arial"/>
              </w:rPr>
              <w:t>Hospital-centred and mostly reactive.</w:t>
            </w:r>
          </w:p>
        </w:tc>
        <w:tc>
          <w:tcPr>
            <w:tcW w:w="432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0AB09522" w14:textId="77777777" w:rsidR="008A1656" w:rsidRPr="008A1656" w:rsidRDefault="008A1656" w:rsidP="008F064B">
            <w:pPr>
              <w:widowControl w:val="0"/>
              <w:rPr>
                <w:rFonts w:ascii="Arial" w:hAnsi="Arial" w:cs="Arial"/>
                <w:color w:val="1155CC"/>
                <w:u w:val="single"/>
              </w:rPr>
            </w:pPr>
            <w:r w:rsidRPr="008A1656">
              <w:rPr>
                <w:rFonts w:ascii="Arial" w:hAnsi="Arial" w:cs="Arial"/>
              </w:rPr>
              <w:t>Move towards primary care, community and digital care as the NHS Long Term Plan.</w:t>
            </w:r>
          </w:p>
        </w:tc>
      </w:tr>
    </w:tbl>
    <w:p w14:paraId="0428DEA5" w14:textId="77777777" w:rsidR="008A1656" w:rsidRPr="008A1656" w:rsidRDefault="008A1656" w:rsidP="008A1656">
      <w:pPr>
        <w:spacing w:line="360" w:lineRule="auto"/>
        <w:jc w:val="both"/>
        <w:rPr>
          <w:rFonts w:ascii="Arial" w:hAnsi="Arial" w:cs="Arial"/>
          <w:b/>
          <w:sz w:val="26"/>
          <w:szCs w:val="26"/>
        </w:rPr>
      </w:pPr>
      <w:r w:rsidRPr="008A1656">
        <w:rPr>
          <w:rFonts w:ascii="Arial" w:hAnsi="Arial" w:cs="Arial"/>
          <w:b/>
          <w:sz w:val="26"/>
          <w:szCs w:val="26"/>
        </w:rPr>
        <w:t>5. Conclusion</w:t>
      </w:r>
    </w:p>
    <w:p w14:paraId="7EA3BDE8" w14:textId="2EF22062" w:rsidR="008A1656" w:rsidRPr="008A1656" w:rsidRDefault="008A1656" w:rsidP="008A1656">
      <w:pPr>
        <w:spacing w:line="360" w:lineRule="auto"/>
        <w:jc w:val="both"/>
        <w:rPr>
          <w:rFonts w:ascii="Arial" w:hAnsi="Arial" w:cs="Arial"/>
          <w:b/>
          <w:bCs/>
          <w:sz w:val="28"/>
          <w:szCs w:val="28"/>
        </w:rPr>
        <w:sectPr w:rsidR="008A1656" w:rsidRPr="008A1656" w:rsidSect="003A000F">
          <w:pgSz w:w="11906" w:h="16838"/>
          <w:pgMar w:top="1440" w:right="1440" w:bottom="1440" w:left="1440" w:header="708" w:footer="708" w:gutter="0"/>
          <w:cols w:space="708"/>
          <w:docGrid w:linePitch="360"/>
        </w:sectPr>
      </w:pPr>
      <w:r w:rsidRPr="008A1656">
        <w:rPr>
          <w:rFonts w:ascii="Arial" w:hAnsi="Arial" w:cs="Arial"/>
        </w:rPr>
        <w:t xml:space="preserve">The NHS has also greatly developed as compared to its post-war war to become a huge and complex integrated health system. Although the fundamental principles of universality (equality and free delivery on point of delivery) have been undisturbed, the form, funding system, the size of the workforce and the service delivery models have shifted significantly. The shift to community, digital and preventative model of care, as opposed to the hospital-shaped model, can be seen as a sign of the evolving needs of the population and the requirements of the policy. The relevance of the NHS remains in 2025, although its future is </w:t>
      </w:r>
      <w:r w:rsidRPr="008A1656">
        <w:rPr>
          <w:rFonts w:ascii="Arial" w:hAnsi="Arial" w:cs="Arial"/>
        </w:rPr>
        <w:lastRenderedPageBreak/>
        <w:t>reliant upon how it adjusts itself successfully to meet funding, demographic and technological pressures.</w:t>
      </w: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0FFA51C7" w14:textId="77777777" w:rsidR="008A1656" w:rsidRPr="008A1656" w:rsidRDefault="008A1656" w:rsidP="008A1656">
      <w:pPr>
        <w:spacing w:line="360" w:lineRule="auto"/>
        <w:jc w:val="both"/>
        <w:rPr>
          <w:rFonts w:ascii="Arial" w:hAnsi="Arial" w:cs="Arial"/>
        </w:rPr>
      </w:pPr>
      <w:r w:rsidRPr="008A1656">
        <w:rPr>
          <w:rFonts w:ascii="Arial" w:hAnsi="Arial" w:cs="Arial"/>
          <w:color w:val="222222"/>
          <w:highlight w:val="white"/>
        </w:rPr>
        <w:t xml:space="preserve">Care Quality Commission (2021) </w:t>
      </w:r>
      <w:r w:rsidRPr="008A1656">
        <w:rPr>
          <w:rFonts w:ascii="Arial" w:hAnsi="Arial" w:cs="Arial"/>
          <w:i/>
          <w:color w:val="222222"/>
          <w:highlight w:val="white"/>
        </w:rPr>
        <w:t>Maternity survey 2024</w:t>
      </w:r>
      <w:r w:rsidRPr="008A1656">
        <w:rPr>
          <w:rFonts w:ascii="Arial" w:hAnsi="Arial" w:cs="Arial"/>
          <w:color w:val="222222"/>
          <w:highlight w:val="white"/>
        </w:rPr>
        <w:t xml:space="preserve">, </w:t>
      </w:r>
      <w:r w:rsidRPr="008A1656">
        <w:rPr>
          <w:rFonts w:ascii="Arial" w:hAnsi="Arial" w:cs="Arial"/>
          <w:i/>
          <w:color w:val="222222"/>
          <w:highlight w:val="white"/>
        </w:rPr>
        <w:t>Maternity survey 2024 - Care Quality Commission</w:t>
      </w:r>
      <w:r w:rsidRPr="008A1656">
        <w:rPr>
          <w:rFonts w:ascii="Arial" w:hAnsi="Arial" w:cs="Arial"/>
          <w:color w:val="222222"/>
          <w:highlight w:val="white"/>
        </w:rPr>
        <w:t>. Available at: https://www.cqc.org.uk/publications/surveys/maternity-survey (Accessed: 09 November 2025).</w:t>
      </w:r>
    </w:p>
    <w:p w14:paraId="111FF22C"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Dahl, B., Heinonen, K. and </w:t>
      </w:r>
      <w:proofErr w:type="spellStart"/>
      <w:r w:rsidRPr="008A1656">
        <w:rPr>
          <w:rFonts w:ascii="Arial" w:hAnsi="Arial" w:cs="Arial"/>
          <w:color w:val="222222"/>
          <w:highlight w:val="white"/>
        </w:rPr>
        <w:t>Bondas</w:t>
      </w:r>
      <w:proofErr w:type="spellEnd"/>
      <w:r w:rsidRPr="008A1656">
        <w:rPr>
          <w:rFonts w:ascii="Arial" w:hAnsi="Arial" w:cs="Arial"/>
          <w:color w:val="222222"/>
          <w:highlight w:val="white"/>
        </w:rPr>
        <w:t xml:space="preserve">, T.E., 2020. From midwife-dominated to midwifery-led antenatal care: a meta-ethnography. </w:t>
      </w:r>
      <w:r w:rsidRPr="008A1656">
        <w:rPr>
          <w:rFonts w:ascii="Arial" w:hAnsi="Arial" w:cs="Arial"/>
          <w:i/>
          <w:color w:val="222222"/>
          <w:highlight w:val="white"/>
        </w:rPr>
        <w:t>International Journal of Environmental Research and Public Health</w:t>
      </w:r>
      <w:r w:rsidRPr="008A1656">
        <w:rPr>
          <w:rFonts w:ascii="Arial" w:hAnsi="Arial" w:cs="Arial"/>
          <w:color w:val="222222"/>
          <w:highlight w:val="white"/>
        </w:rPr>
        <w:t xml:space="preserve">, </w:t>
      </w:r>
      <w:r w:rsidRPr="008A1656">
        <w:rPr>
          <w:rFonts w:ascii="Arial" w:hAnsi="Arial" w:cs="Arial"/>
          <w:i/>
          <w:color w:val="222222"/>
          <w:highlight w:val="white"/>
        </w:rPr>
        <w:t>17</w:t>
      </w:r>
      <w:r w:rsidRPr="008A1656">
        <w:rPr>
          <w:rFonts w:ascii="Arial" w:hAnsi="Arial" w:cs="Arial"/>
          <w:color w:val="222222"/>
          <w:highlight w:val="white"/>
        </w:rPr>
        <w:t xml:space="preserve">(23), p.8946. Available at: </w:t>
      </w:r>
      <w:hyperlink r:id="rId11">
        <w:r w:rsidRPr="008A1656">
          <w:rPr>
            <w:rFonts w:ascii="Arial" w:hAnsi="Arial" w:cs="Arial"/>
            <w:color w:val="1155CC"/>
            <w:highlight w:val="white"/>
            <w:u w:val="single"/>
          </w:rPr>
          <w:t>https://www.mdpi.com/1660-4601/17/23/8946</w:t>
        </w:r>
      </w:hyperlink>
      <w:r w:rsidRPr="008A1656">
        <w:rPr>
          <w:rFonts w:ascii="Arial" w:hAnsi="Arial" w:cs="Arial"/>
          <w:color w:val="222222"/>
          <w:highlight w:val="white"/>
        </w:rPr>
        <w:t xml:space="preserve"> [9 November 2025]</w:t>
      </w:r>
    </w:p>
    <w:p w14:paraId="119A4247"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DeVane, E.P., 2022. </w:t>
      </w:r>
      <w:r w:rsidRPr="008A1656">
        <w:rPr>
          <w:rFonts w:ascii="Arial" w:hAnsi="Arial" w:cs="Arial"/>
          <w:i/>
          <w:color w:val="222222"/>
          <w:highlight w:val="white"/>
        </w:rPr>
        <w:t>Building the NHS: planning, publics and Britain’s new state healthcare facilities, 1945-74</w:t>
      </w:r>
      <w:r w:rsidRPr="008A1656">
        <w:rPr>
          <w:rFonts w:ascii="Arial" w:hAnsi="Arial" w:cs="Arial"/>
          <w:color w:val="222222"/>
          <w:highlight w:val="white"/>
        </w:rPr>
        <w:t xml:space="preserve"> (Doctoral dissertation, University of Warwick). Available at: </w:t>
      </w:r>
      <w:hyperlink r:id="rId12">
        <w:r w:rsidRPr="008A1656">
          <w:rPr>
            <w:rFonts w:ascii="Arial" w:hAnsi="Arial" w:cs="Arial"/>
            <w:color w:val="1155CC"/>
            <w:highlight w:val="white"/>
            <w:u w:val="single"/>
          </w:rPr>
          <w:t>https://wrap.warwick.ac.uk/id/eprint/169138/</w:t>
        </w:r>
      </w:hyperlink>
      <w:r w:rsidRPr="008A1656">
        <w:rPr>
          <w:rFonts w:ascii="Arial" w:hAnsi="Arial" w:cs="Arial"/>
          <w:color w:val="222222"/>
          <w:highlight w:val="white"/>
        </w:rPr>
        <w:t xml:space="preserve"> [Accessed 9 November 2025]</w:t>
      </w:r>
    </w:p>
    <w:p w14:paraId="65ED4B6C"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Macdonald, S., 2022. MIDWIFERY IN THE UNITED KINGDOM. </w:t>
      </w:r>
      <w:r w:rsidRPr="008A1656">
        <w:rPr>
          <w:rFonts w:ascii="Arial" w:hAnsi="Arial" w:cs="Arial"/>
          <w:i/>
          <w:color w:val="222222"/>
          <w:highlight w:val="white"/>
        </w:rPr>
        <w:t>MIDWIFE</w:t>
      </w:r>
      <w:r w:rsidRPr="008A1656">
        <w:rPr>
          <w:rFonts w:ascii="Arial" w:hAnsi="Arial" w:cs="Arial"/>
          <w:color w:val="222222"/>
          <w:highlight w:val="white"/>
        </w:rPr>
        <w:t xml:space="preserve">, p.205. Available at: </w:t>
      </w:r>
      <w:hyperlink r:id="rId13" w:anchor="page=206">
        <w:r w:rsidRPr="008A1656">
          <w:rPr>
            <w:rFonts w:ascii="Arial" w:hAnsi="Arial" w:cs="Arial"/>
            <w:color w:val="1155CC"/>
            <w:highlight w:val="white"/>
            <w:u w:val="single"/>
          </w:rPr>
          <w:t>https://www.researchgate.net/profile/Malgorzata_Nagorska/publication/381551750_Medical_professions_in_international_perspective_Midwife/links/6673dfae1846ca33b83e81aa/Medical-professions-in-international-perspective-Midwife.pdf#page=206</w:t>
        </w:r>
      </w:hyperlink>
      <w:r w:rsidRPr="008A1656">
        <w:rPr>
          <w:rFonts w:ascii="Arial" w:hAnsi="Arial" w:cs="Arial"/>
          <w:color w:val="222222"/>
          <w:highlight w:val="white"/>
        </w:rPr>
        <w:t xml:space="preserve"> [9 November 2025]</w:t>
      </w:r>
    </w:p>
    <w:p w14:paraId="5B735FD3"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Munns, A., 2021. Community midwifery: a primary health care approach to care during pregnancy for Aboriginal and Torres Strait Islander women. </w:t>
      </w:r>
      <w:r w:rsidRPr="008A1656">
        <w:rPr>
          <w:rFonts w:ascii="Arial" w:hAnsi="Arial" w:cs="Arial"/>
          <w:i/>
          <w:color w:val="222222"/>
          <w:highlight w:val="white"/>
        </w:rPr>
        <w:t>Australian Journal of Primary Health</w:t>
      </w:r>
      <w:r w:rsidRPr="008A1656">
        <w:rPr>
          <w:rFonts w:ascii="Arial" w:hAnsi="Arial" w:cs="Arial"/>
          <w:color w:val="222222"/>
          <w:highlight w:val="white"/>
        </w:rPr>
        <w:t xml:space="preserve">, </w:t>
      </w:r>
      <w:r w:rsidRPr="008A1656">
        <w:rPr>
          <w:rFonts w:ascii="Arial" w:hAnsi="Arial" w:cs="Arial"/>
          <w:i/>
          <w:color w:val="222222"/>
          <w:highlight w:val="white"/>
        </w:rPr>
        <w:t>27</w:t>
      </w:r>
      <w:r w:rsidRPr="008A1656">
        <w:rPr>
          <w:rFonts w:ascii="Arial" w:hAnsi="Arial" w:cs="Arial"/>
          <w:color w:val="222222"/>
          <w:highlight w:val="white"/>
        </w:rPr>
        <w:t xml:space="preserve">(1), pp.57-61. Available at: </w:t>
      </w:r>
      <w:hyperlink r:id="rId14">
        <w:r w:rsidRPr="008A1656">
          <w:rPr>
            <w:rFonts w:ascii="Arial" w:hAnsi="Arial" w:cs="Arial"/>
            <w:color w:val="1155CC"/>
            <w:highlight w:val="white"/>
            <w:u w:val="single"/>
          </w:rPr>
          <w:t>https://connectsci.au/py/article-abstract/27/1/57/90385/Community-midwifery-a-primary-health-care-approach?redirectedFrom=fulltext</w:t>
        </w:r>
      </w:hyperlink>
      <w:r w:rsidRPr="008A1656">
        <w:rPr>
          <w:rFonts w:ascii="Arial" w:hAnsi="Arial" w:cs="Arial"/>
          <w:color w:val="222222"/>
          <w:highlight w:val="white"/>
        </w:rPr>
        <w:t xml:space="preserve"> [9 November 2025]</w:t>
      </w:r>
    </w:p>
    <w:p w14:paraId="74300993"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NHS (2025) </w:t>
      </w:r>
      <w:r w:rsidRPr="008A1656">
        <w:rPr>
          <w:rFonts w:ascii="Arial" w:hAnsi="Arial" w:cs="Arial"/>
          <w:i/>
          <w:color w:val="222222"/>
          <w:highlight w:val="white"/>
        </w:rPr>
        <w:t>Implementing Better Births: Continuity of Carer</w:t>
      </w:r>
      <w:r w:rsidRPr="008A1656">
        <w:rPr>
          <w:rFonts w:ascii="Arial" w:hAnsi="Arial" w:cs="Arial"/>
          <w:color w:val="222222"/>
          <w:highlight w:val="white"/>
        </w:rPr>
        <w:t xml:space="preserve">, </w:t>
      </w:r>
      <w:r w:rsidRPr="008A1656">
        <w:rPr>
          <w:rFonts w:ascii="Arial" w:hAnsi="Arial" w:cs="Arial"/>
          <w:i/>
          <w:color w:val="222222"/>
          <w:highlight w:val="white"/>
        </w:rPr>
        <w:t>NHS choices</w:t>
      </w:r>
      <w:r w:rsidRPr="008A1656">
        <w:rPr>
          <w:rFonts w:ascii="Arial" w:hAnsi="Arial" w:cs="Arial"/>
          <w:color w:val="222222"/>
          <w:highlight w:val="white"/>
        </w:rPr>
        <w:t xml:space="preserve">. Available at: https://www.england.nhs.uk/publication/implementing-better-births-continuity-of-carer/ (Accessed: 09 November 2025). </w:t>
      </w:r>
    </w:p>
    <w:p w14:paraId="71EC4A21"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NHS England Digital (2024) </w:t>
      </w:r>
      <w:r w:rsidRPr="008A1656">
        <w:rPr>
          <w:rFonts w:ascii="Arial" w:hAnsi="Arial" w:cs="Arial"/>
          <w:i/>
          <w:color w:val="222222"/>
          <w:highlight w:val="white"/>
        </w:rPr>
        <w:t>Maternity Services Monthly Statistics - NHS England Digital</w:t>
      </w:r>
      <w:r w:rsidRPr="008A1656">
        <w:rPr>
          <w:rFonts w:ascii="Arial" w:hAnsi="Arial" w:cs="Arial"/>
          <w:color w:val="222222"/>
          <w:highlight w:val="white"/>
        </w:rPr>
        <w:t xml:space="preserve">, </w:t>
      </w:r>
      <w:r w:rsidRPr="008A1656">
        <w:rPr>
          <w:rFonts w:ascii="Arial" w:hAnsi="Arial" w:cs="Arial"/>
          <w:i/>
          <w:color w:val="222222"/>
          <w:highlight w:val="white"/>
        </w:rPr>
        <w:t>NHS England Digital</w:t>
      </w:r>
      <w:r w:rsidRPr="008A1656">
        <w:rPr>
          <w:rFonts w:ascii="Arial" w:hAnsi="Arial" w:cs="Arial"/>
          <w:color w:val="222222"/>
          <w:highlight w:val="white"/>
        </w:rPr>
        <w:t xml:space="preserve">. Available at: https://digital.nhs.uk/data-and-information/publications/statistical/maternity-services-monthly-statistics (Accessed: 09 November 2025). </w:t>
      </w:r>
    </w:p>
    <w:p w14:paraId="10E4CC67" w14:textId="77777777" w:rsidR="008A1656" w:rsidRPr="008A1656" w:rsidRDefault="008A1656" w:rsidP="008A1656">
      <w:pPr>
        <w:spacing w:line="360" w:lineRule="auto"/>
        <w:jc w:val="both"/>
        <w:rPr>
          <w:rFonts w:ascii="Arial" w:hAnsi="Arial" w:cs="Arial"/>
        </w:rPr>
      </w:pPr>
      <w:r w:rsidRPr="008A1656">
        <w:rPr>
          <w:rFonts w:ascii="Arial" w:hAnsi="Arial" w:cs="Arial"/>
          <w:color w:val="222222"/>
          <w:highlight w:val="white"/>
        </w:rPr>
        <w:t xml:space="preserve">North East Connected (2025) </w:t>
      </w:r>
      <w:r w:rsidRPr="008A1656">
        <w:rPr>
          <w:rFonts w:ascii="Arial" w:hAnsi="Arial" w:cs="Arial"/>
          <w:i/>
          <w:color w:val="222222"/>
          <w:highlight w:val="white"/>
        </w:rPr>
        <w:t>How many people work for the NHS in 2025 – and what’s changing? - Northern Ireland connected</w:t>
      </w:r>
      <w:r w:rsidRPr="008A1656">
        <w:rPr>
          <w:rFonts w:ascii="Arial" w:hAnsi="Arial" w:cs="Arial"/>
          <w:color w:val="222222"/>
          <w:highlight w:val="white"/>
        </w:rPr>
        <w:t xml:space="preserve">, </w:t>
      </w:r>
      <w:r w:rsidRPr="008A1656">
        <w:rPr>
          <w:rFonts w:ascii="Arial" w:hAnsi="Arial" w:cs="Arial"/>
          <w:i/>
          <w:color w:val="222222"/>
          <w:highlight w:val="white"/>
        </w:rPr>
        <w:t>North East Connected</w:t>
      </w:r>
      <w:r w:rsidRPr="008A1656">
        <w:rPr>
          <w:rFonts w:ascii="Arial" w:hAnsi="Arial" w:cs="Arial"/>
          <w:color w:val="222222"/>
          <w:highlight w:val="white"/>
        </w:rPr>
        <w:t>. Available at: https://niconnected.co.uk/2025/05/22/how-many-people-work-for-the-nhs-in-2025-and-whats-changing/ (Accessed: 09 November 2025).</w:t>
      </w:r>
    </w:p>
    <w:p w14:paraId="34823B00"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lastRenderedPageBreak/>
        <w:t xml:space="preserve">Parliament.UK (2024) </w:t>
      </w:r>
      <w:r w:rsidRPr="008A1656">
        <w:rPr>
          <w:rFonts w:ascii="Arial" w:hAnsi="Arial" w:cs="Arial"/>
          <w:i/>
          <w:color w:val="222222"/>
          <w:highlight w:val="white"/>
        </w:rPr>
        <w:t>NHS England Long Term Plan Debate on 31 January 2019</w:t>
      </w:r>
      <w:r w:rsidRPr="008A1656">
        <w:rPr>
          <w:rFonts w:ascii="Arial" w:hAnsi="Arial" w:cs="Arial"/>
          <w:color w:val="222222"/>
          <w:highlight w:val="white"/>
        </w:rPr>
        <w:t xml:space="preserve">, </w:t>
      </w:r>
      <w:r w:rsidRPr="008A1656">
        <w:rPr>
          <w:rFonts w:ascii="Arial" w:hAnsi="Arial" w:cs="Arial"/>
          <w:i/>
          <w:color w:val="222222"/>
          <w:highlight w:val="white"/>
        </w:rPr>
        <w:t>House of Lords</w:t>
      </w:r>
      <w:r w:rsidRPr="008A1656">
        <w:rPr>
          <w:rFonts w:ascii="Arial" w:hAnsi="Arial" w:cs="Arial"/>
          <w:color w:val="222222"/>
          <w:highlight w:val="white"/>
        </w:rPr>
        <w:t xml:space="preserve">. Available at: https://commonslibrary.parliament.uk/type/research-briefing/ (Accessed: 09 November 2025). </w:t>
      </w:r>
    </w:p>
    <w:p w14:paraId="031E2F98"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RCM (2025) </w:t>
      </w:r>
      <w:r w:rsidRPr="008A1656">
        <w:rPr>
          <w:rFonts w:ascii="Arial" w:hAnsi="Arial" w:cs="Arial"/>
          <w:i/>
          <w:color w:val="222222"/>
          <w:highlight w:val="white"/>
        </w:rPr>
        <w:t>RCM</w:t>
      </w:r>
      <w:r w:rsidRPr="008A1656">
        <w:rPr>
          <w:rFonts w:ascii="Arial" w:hAnsi="Arial" w:cs="Arial"/>
          <w:color w:val="222222"/>
          <w:highlight w:val="white"/>
        </w:rPr>
        <w:t xml:space="preserve">. Available at: https://www.rcm.org.uk/wp-content/uploads/2024/06/england-soms-2023.pdf (Accessed: 09 November 2025). </w:t>
      </w:r>
    </w:p>
    <w:p w14:paraId="38147D5C" w14:textId="77777777" w:rsidR="008A1656" w:rsidRPr="008A1656" w:rsidRDefault="008A1656" w:rsidP="008A1656">
      <w:pPr>
        <w:spacing w:line="360" w:lineRule="auto"/>
        <w:jc w:val="both"/>
        <w:rPr>
          <w:rFonts w:ascii="Arial" w:hAnsi="Arial" w:cs="Arial"/>
          <w:color w:val="222222"/>
          <w:highlight w:val="white"/>
        </w:rPr>
      </w:pPr>
      <w:r w:rsidRPr="008A1656">
        <w:rPr>
          <w:rFonts w:ascii="Arial" w:hAnsi="Arial" w:cs="Arial"/>
          <w:color w:val="222222"/>
          <w:highlight w:val="white"/>
        </w:rPr>
        <w:t xml:space="preserve">Sharma, E., </w:t>
      </w:r>
      <w:proofErr w:type="spellStart"/>
      <w:r w:rsidRPr="008A1656">
        <w:rPr>
          <w:rFonts w:ascii="Arial" w:hAnsi="Arial" w:cs="Arial"/>
          <w:color w:val="222222"/>
          <w:highlight w:val="white"/>
        </w:rPr>
        <w:t>Puthussery</w:t>
      </w:r>
      <w:proofErr w:type="spellEnd"/>
      <w:r w:rsidRPr="008A1656">
        <w:rPr>
          <w:rFonts w:ascii="Arial" w:hAnsi="Arial" w:cs="Arial"/>
          <w:color w:val="222222"/>
          <w:highlight w:val="white"/>
        </w:rPr>
        <w:t xml:space="preserve">, S., Tseng, P.C., Harden, A. and Li, L., 2023. Development, acceptability and feasibility of a community-based intervention to increase timely initiation of antenatal care in an area of high ethnic diversity and low socio-economic status in the UK. </w:t>
      </w:r>
      <w:r w:rsidRPr="008A1656">
        <w:rPr>
          <w:rFonts w:ascii="Arial" w:hAnsi="Arial" w:cs="Arial"/>
          <w:i/>
          <w:color w:val="222222"/>
          <w:highlight w:val="white"/>
        </w:rPr>
        <w:t>Midwifery</w:t>
      </w:r>
      <w:r w:rsidRPr="008A1656">
        <w:rPr>
          <w:rFonts w:ascii="Arial" w:hAnsi="Arial" w:cs="Arial"/>
          <w:color w:val="222222"/>
          <w:highlight w:val="white"/>
        </w:rPr>
        <w:t xml:space="preserve">, </w:t>
      </w:r>
      <w:r w:rsidRPr="008A1656">
        <w:rPr>
          <w:rFonts w:ascii="Arial" w:hAnsi="Arial" w:cs="Arial"/>
          <w:i/>
          <w:color w:val="222222"/>
          <w:highlight w:val="white"/>
        </w:rPr>
        <w:t>126</w:t>
      </w:r>
      <w:r w:rsidRPr="008A1656">
        <w:rPr>
          <w:rFonts w:ascii="Arial" w:hAnsi="Arial" w:cs="Arial"/>
          <w:color w:val="222222"/>
          <w:highlight w:val="white"/>
        </w:rPr>
        <w:t xml:space="preserve">, p.103812. Available at: </w:t>
      </w:r>
      <w:hyperlink r:id="rId15">
        <w:r w:rsidRPr="008A1656">
          <w:rPr>
            <w:rFonts w:ascii="Arial" w:hAnsi="Arial" w:cs="Arial"/>
            <w:color w:val="1155CC"/>
            <w:highlight w:val="white"/>
            <w:u w:val="single"/>
          </w:rPr>
          <w:t>https://www.sciencedirect.com/science/article/pii/S0266613823002152</w:t>
        </w:r>
      </w:hyperlink>
      <w:r w:rsidRPr="008A1656">
        <w:rPr>
          <w:rFonts w:ascii="Arial" w:hAnsi="Arial" w:cs="Arial"/>
          <w:color w:val="222222"/>
          <w:highlight w:val="white"/>
        </w:rPr>
        <w:t xml:space="preserve"> (Accessed: 09 November 2025). </w:t>
      </w:r>
    </w:p>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51558E" w14:textId="77777777" w:rsidR="00AC1694" w:rsidRDefault="00AC1694" w:rsidP="00BE6BE0">
      <w:pPr>
        <w:spacing w:after="0" w:line="240" w:lineRule="auto"/>
      </w:pPr>
      <w:r>
        <w:separator/>
      </w:r>
    </w:p>
  </w:endnote>
  <w:endnote w:type="continuationSeparator" w:id="0">
    <w:p w14:paraId="3706384A" w14:textId="77777777" w:rsidR="00AC1694" w:rsidRDefault="00AC169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094607"/>
      <w:docPartObj>
        <w:docPartGallery w:val="Page Numbers (Bottom of Page)"/>
        <w:docPartUnique/>
      </w:docPartObj>
    </w:sdtPr>
    <w:sdtEndPr>
      <w:rPr>
        <w:noProof/>
      </w:rPr>
    </w:sdtEndPr>
    <w:sdtContent>
      <w:p w14:paraId="54303BA6" w14:textId="13D8B991" w:rsidR="009E12D8" w:rsidRDefault="009E12D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A9910" w14:textId="77777777" w:rsidR="00AC1694" w:rsidRDefault="00AC1694" w:rsidP="00BE6BE0">
      <w:pPr>
        <w:spacing w:after="0" w:line="240" w:lineRule="auto"/>
      </w:pPr>
      <w:r>
        <w:separator/>
      </w:r>
    </w:p>
  </w:footnote>
  <w:footnote w:type="continuationSeparator" w:id="0">
    <w:p w14:paraId="1BB58C9F" w14:textId="77777777" w:rsidR="00AC1694" w:rsidRDefault="00AC169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lang w:eastAsia="en-GB"/>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c0MTc0NzYAIktTCyUdpeDU4uLM/DyQAsNaAL8QFjMsAAAA"/>
  </w:docVars>
  <w:rsids>
    <w:rsidRoot w:val="003A000F"/>
    <w:rsid w:val="000464A0"/>
    <w:rsid w:val="00056EB1"/>
    <w:rsid w:val="0007372A"/>
    <w:rsid w:val="002767BF"/>
    <w:rsid w:val="003A000F"/>
    <w:rsid w:val="006A6816"/>
    <w:rsid w:val="00804A7F"/>
    <w:rsid w:val="00833470"/>
    <w:rsid w:val="008A1656"/>
    <w:rsid w:val="00925D5E"/>
    <w:rsid w:val="009E12D8"/>
    <w:rsid w:val="009E257B"/>
    <w:rsid w:val="00A6165E"/>
    <w:rsid w:val="00A82690"/>
    <w:rsid w:val="00AC1694"/>
    <w:rsid w:val="00B642EF"/>
    <w:rsid w:val="00BE6BE0"/>
    <w:rsid w:val="00C131B0"/>
    <w:rsid w:val="00C83A82"/>
    <w:rsid w:val="00D81F26"/>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E12D8"/>
    <w:pPr>
      <w:keepNext/>
      <w:keepLines/>
      <w:spacing w:before="240" w:after="0" w:line="360" w:lineRule="auto"/>
      <w:jc w:val="both"/>
      <w:outlineLvl w:val="0"/>
    </w:pPr>
    <w:rPr>
      <w:rFonts w:ascii="Arial" w:eastAsiaTheme="majorEastAsia" w:hAnsi="Arial" w:cstheme="majorBidi"/>
      <w:b/>
      <w:sz w:val="28"/>
      <w:szCs w:val="32"/>
    </w:rPr>
  </w:style>
  <w:style w:type="paragraph" w:styleId="Heading2">
    <w:name w:val="heading 2"/>
    <w:basedOn w:val="Normal"/>
    <w:next w:val="Normal"/>
    <w:link w:val="Heading2Char"/>
    <w:autoRedefine/>
    <w:uiPriority w:val="9"/>
    <w:unhideWhenUsed/>
    <w:qFormat/>
    <w:rsid w:val="009E12D8"/>
    <w:pPr>
      <w:keepNext/>
      <w:keepLines/>
      <w:spacing w:before="40" w:after="0" w:line="360" w:lineRule="auto"/>
      <w:jc w:val="both"/>
      <w:outlineLvl w:val="1"/>
    </w:pPr>
    <w:rPr>
      <w:rFonts w:ascii="Arial" w:eastAsiaTheme="majorEastAsia" w:hAnsi="Arial"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9E12D8"/>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9E12D8"/>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9E12D8"/>
    <w:pPr>
      <w:spacing w:line="259" w:lineRule="auto"/>
      <w:jc w:val="left"/>
      <w:outlineLvl w:val="9"/>
    </w:pPr>
    <w:rPr>
      <w:rFonts w:asciiTheme="majorHAnsi" w:hAnsiTheme="majorHAnsi"/>
      <w:b w:val="0"/>
      <w:color w:val="365F91" w:themeColor="accent1" w:themeShade="BF"/>
      <w:sz w:val="32"/>
      <w:lang w:val="en-US" w:eastAsia="en-US"/>
    </w:rPr>
  </w:style>
  <w:style w:type="paragraph" w:styleId="TOC1">
    <w:name w:val="toc 1"/>
    <w:basedOn w:val="Normal"/>
    <w:next w:val="Normal"/>
    <w:autoRedefine/>
    <w:uiPriority w:val="39"/>
    <w:unhideWhenUsed/>
    <w:rsid w:val="009E12D8"/>
    <w:pPr>
      <w:spacing w:after="100"/>
    </w:pPr>
  </w:style>
  <w:style w:type="paragraph" w:styleId="TOC2">
    <w:name w:val="toc 2"/>
    <w:basedOn w:val="Normal"/>
    <w:next w:val="Normal"/>
    <w:autoRedefine/>
    <w:uiPriority w:val="39"/>
    <w:unhideWhenUsed/>
    <w:rsid w:val="009E12D8"/>
    <w:pPr>
      <w:spacing w:after="100"/>
      <w:ind w:left="220"/>
    </w:pPr>
  </w:style>
  <w:style w:type="character" w:styleId="Hyperlink">
    <w:name w:val="Hyperlink"/>
    <w:basedOn w:val="DefaultParagraphFont"/>
    <w:uiPriority w:val="99"/>
    <w:unhideWhenUsed/>
    <w:rsid w:val="009E12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researchgate.net/profile/Malgorzata_Nagorska/publication/381551750_Medical_professions_in_international_perspective_Midwife/links/6673dfae1846ca33b83e81aa/Medical-professions-in-international-perspective-Midwif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rap.warwick.ac.uk/id/eprint/16913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1660-4601/17/23/8946" TargetMode="External"/><Relationship Id="rId5" Type="http://schemas.openxmlformats.org/officeDocument/2006/relationships/footnotes" Target="footnotes.xml"/><Relationship Id="rId15" Type="http://schemas.openxmlformats.org/officeDocument/2006/relationships/hyperlink" Target="https://www.sciencedirect.com/science/article/pii/S0266613823002152"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connectsci.au/py/article-abstract/27/1/57/90385/Community-midwifery-a-primary-health-care-approach?redirectedFrom=fulltex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93865D-0C42-4ACA-8698-1CE6D31ED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1329</Words>
  <Characters>7580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2023-07-06T11:47:00Z</dcterms:created>
  <dcterms:modified xsi:type="dcterms:W3CDTF">2025-11-09T09:27:00Z</dcterms:modified>
</cp:coreProperties>
</file>