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0EF8" w:rsidRDefault="00C047BB" w14:paraId="6CBB53DF" w14:textId="77777777">
      <w:r>
        <w:rPr>
          <w:sz w:val="36"/>
          <w:szCs w:val="36"/>
          <w:u w:val="single"/>
        </w:rPr>
        <w:t>Evaluate the significance of the Mishnah within Judaism.</w:t>
      </w:r>
    </w:p>
    <w:p w:rsidR="00B20EF8" w:rsidRDefault="00C047BB" w14:paraId="698D8673" w14:textId="6D281BF8">
      <w:r w:rsidR="00C047BB">
        <w:rPr>
          <w:sz w:val="24"/>
          <w:szCs w:val="24"/>
        </w:rPr>
        <w:t xml:space="preserve">There are a number of different reasons why the Mishnah can be considered significant within Judaism, including the Mishnah working to explain the written Torah</w:t>
      </w:r>
      <w:r w:rsidR="574BE2EE">
        <w:rPr>
          <w:sz w:val="24"/>
          <w:szCs w:val="24"/>
        </w:rPr>
        <w:t xml:space="preserve">;</w:t>
      </w:r>
      <w:r w:rsidR="00C047BB">
        <w:rPr>
          <w:sz w:val="24"/>
          <w:szCs w:val="24"/>
        </w:rPr>
        <w:t xml:space="preserve"> it </w:t>
      </w:r>
      <w:r w:rsidR="00C047BB">
        <w:rPr>
          <w:sz w:val="24"/>
          <w:szCs w:val="24"/>
        </w:rPr>
        <w:t>preserves the memory of practices before 200 CE, it includes a number of different opinions from Rabbis, and it covers numerous different topics.</w:t>
      </w:r>
      <w:r>
        <w:rPr>
          <w:rStyle w:val="FootnoteReference"/>
          <w:sz w:val="24"/>
          <w:szCs w:val="24"/>
        </w:rPr>
        <w:footnoteReference w:id="1"/>
      </w:r>
      <w:r w:rsidR="00C047BB">
        <w:rPr>
          <w:sz w:val="24"/>
          <w:szCs w:val="24"/>
        </w:rPr>
        <w:t xml:space="preserve"> However, for</w:t>
      </w:r>
      <w:r w:rsidR="00C047BB">
        <w:rPr>
          <w:sz w:val="24"/>
          <w:szCs w:val="24"/>
        </w:rPr>
        <w:t xml:space="preserve"> the purpose</w:t>
      </w:r>
      <w:r w:rsidR="7FB5C98F">
        <w:rPr>
          <w:sz w:val="24"/>
          <w:szCs w:val="24"/>
        </w:rPr>
        <w:t xml:space="preserve">s</w:t>
      </w:r>
      <w:r w:rsidR="00C047BB">
        <w:rPr>
          <w:sz w:val="24"/>
          <w:szCs w:val="24"/>
        </w:rPr>
        <w:t xml:space="preserve"> of this essay I am going to focus on the Mishnah working to explain the written Torah and </w:t>
      </w:r>
      <w:r w:rsidR="18629272">
        <w:rPr>
          <w:sz w:val="24"/>
          <w:szCs w:val="24"/>
        </w:rPr>
        <w:t xml:space="preserve">the fact that </w:t>
      </w:r>
      <w:r w:rsidR="00C047BB">
        <w:rPr>
          <w:sz w:val="24"/>
          <w:szCs w:val="24"/>
        </w:rPr>
        <w:t xml:space="preserve">it helps to preserve the memory of the Second Temple period</w:t>
      </w:r>
      <w:r w:rsidR="6C60177D">
        <w:rPr>
          <w:sz w:val="24"/>
          <w:szCs w:val="24"/>
        </w:rPr>
        <w:t xml:space="preserve">,</w:t>
      </w:r>
      <w:r w:rsidR="00C047BB">
        <w:rPr>
          <w:sz w:val="24"/>
          <w:szCs w:val="24"/>
        </w:rPr>
        <w:t xml:space="preserve"> and evaluate to what extent these factors make the Mishnah significant within Judaism. </w:t>
      </w:r>
    </w:p>
    <w:p w:rsidR="00B20EF8" w:rsidRDefault="00C047BB" w14:paraId="756BCE1A" w14:textId="6912D7D6">
      <w:r w:rsidR="00C047BB">
        <w:rPr>
          <w:sz w:val="24"/>
          <w:szCs w:val="24"/>
        </w:rPr>
        <w:t>The M</w:t>
      </w:r>
      <w:r w:rsidR="00C047BB">
        <w:rPr>
          <w:sz w:val="24"/>
          <w:szCs w:val="24"/>
        </w:rPr>
        <w:t>ishnah is the physical record of the oral Torah that had been revealed to Moses on Mount Sinai at the same time that the written Torah had been revealed, and was passed through by Joshuah, the Elders, prophets, and the sages.</w:t>
      </w:r>
      <w:r>
        <w:rPr>
          <w:rStyle w:val="FootnoteReference"/>
          <w:sz w:val="24"/>
          <w:szCs w:val="24"/>
        </w:rPr>
        <w:footnoteReference w:id="2"/>
      </w:r>
      <w:r w:rsidR="00C047BB">
        <w:rPr>
          <w:sz w:val="24"/>
          <w:szCs w:val="24"/>
        </w:rPr>
        <w:t xml:space="preserve"> As a result of the increasing commentaries on the oral Torah and the increasing threat that the teachings from t</w:t>
      </w:r>
      <w:r w:rsidR="00C047BB">
        <w:rPr>
          <w:sz w:val="24"/>
          <w:szCs w:val="24"/>
        </w:rPr>
        <w:t xml:space="preserve">he oral Torah, as they were revealed, would be lost, the decision was made to make a written record of the oral Torah, which was undertaken by </w:t>
      </w:r>
      <w:proofErr w:type="spellStart"/>
      <w:r w:rsidR="00C047BB">
        <w:rPr>
          <w:sz w:val="24"/>
          <w:szCs w:val="24"/>
        </w:rPr>
        <w:t>Tudah</w:t>
      </w:r>
      <w:proofErr w:type="spellEnd"/>
      <w:r w:rsidR="00C047BB">
        <w:rPr>
          <w:sz w:val="24"/>
          <w:szCs w:val="24"/>
        </w:rPr>
        <w:t xml:space="preserve"> Ha-Nasi,</w:t>
      </w:r>
      <w:r>
        <w:rPr>
          <w:rStyle w:val="FootnoteReference"/>
          <w:sz w:val="24"/>
          <w:szCs w:val="24"/>
        </w:rPr>
        <w:footnoteReference w:id="3"/>
      </w:r>
      <w:r w:rsidR="00C047BB">
        <w:rPr>
          <w:sz w:val="24"/>
          <w:szCs w:val="24"/>
        </w:rPr>
        <w:t xml:space="preserve"> with the help and assistance of oth</w:t>
      </w:r>
      <w:r w:rsidR="00C047BB">
        <w:rPr>
          <w:sz w:val="24"/>
          <w:szCs w:val="24"/>
        </w:rPr>
        <w:t>er Rabbis. The body of the oral Torah was completed approximately 200 CE,</w:t>
      </w:r>
      <w:r>
        <w:rPr>
          <w:rStyle w:val="FootnoteReference"/>
          <w:sz w:val="24"/>
          <w:szCs w:val="24"/>
        </w:rPr>
        <w:footnoteReference w:id="4"/>
      </w:r>
      <w:r w:rsidR="00C047BB">
        <w:rPr>
          <w:sz w:val="24"/>
          <w:szCs w:val="24"/>
        </w:rPr>
        <w:t xml:space="preserve"> and was called </w:t>
      </w:r>
      <w:r w:rsidR="00C047BB">
        <w:rPr>
          <w:sz w:val="24"/>
          <w:szCs w:val="24"/>
        </w:rPr>
        <w:t xml:space="preserve">the Mishnah which comes from the root </w:t>
      </w:r>
      <w:proofErr w:type="spellStart"/>
      <w:r w:rsidRPr="3B26ACCE" w:rsidR="00C047BB">
        <w:rPr>
          <w:i w:val="1"/>
          <w:iCs w:val="1"/>
          <w:sz w:val="24"/>
          <w:szCs w:val="24"/>
        </w:rPr>
        <w:t xml:space="preserve">sh</w:t>
      </w:r>
      <w:proofErr w:type="spellEnd"/>
      <w:r w:rsidRPr="3B26ACCE" w:rsidR="00C047BB">
        <w:rPr>
          <w:i w:val="1"/>
          <w:iCs w:val="1"/>
          <w:sz w:val="24"/>
          <w:szCs w:val="24"/>
        </w:rPr>
        <w:t xml:space="preserve">-n-h </w:t>
      </w:r>
      <w:r w:rsidR="00C047BB">
        <w:rPr>
          <w:sz w:val="24"/>
          <w:szCs w:val="24"/>
        </w:rPr>
        <w:t>meaning to repeat.</w:t>
      </w:r>
      <w:r>
        <w:rPr>
          <w:rStyle w:val="FootnoteReference"/>
          <w:sz w:val="24"/>
          <w:szCs w:val="24"/>
        </w:rPr>
        <w:footnoteReference w:id="5"/>
      </w:r>
      <w:r w:rsidR="00C047BB">
        <w:rPr>
          <w:sz w:val="24"/>
          <w:szCs w:val="24"/>
        </w:rPr>
        <w:t xml:space="preserve"> This highlights the importance placed on remembering the oral Torah because it is written in </w:t>
      </w:r>
      <w:r w:rsidR="00C047BB">
        <w:rPr>
          <w:sz w:val="24"/>
          <w:szCs w:val="24"/>
        </w:rPr>
        <w:t>a style that makes it easier to recite and re</w:t>
      </w:r>
      <w:r w:rsidR="70CE2421">
        <w:rPr>
          <w:sz w:val="24"/>
          <w:szCs w:val="24"/>
        </w:rPr>
        <w:t>call</w:t>
      </w:r>
      <w:r w:rsidR="00C047BB">
        <w:rPr>
          <w:sz w:val="24"/>
          <w:szCs w:val="24"/>
        </w:rPr>
        <w:t xml:space="preserve">, which is further highlighted by Jacob </w:t>
      </w:r>
      <w:proofErr w:type="spellStart"/>
      <w:r w:rsidR="00C047BB">
        <w:rPr>
          <w:sz w:val="24"/>
          <w:szCs w:val="24"/>
        </w:rPr>
        <w:t>Neusner</w:t>
      </w:r>
      <w:proofErr w:type="spellEnd"/>
      <w:r w:rsidR="00C047BB">
        <w:rPr>
          <w:sz w:val="24"/>
          <w:szCs w:val="24"/>
        </w:rPr>
        <w:t xml:space="preserve"> who stated that, “[The Mishnah is] small-minded, picayune, obvious, dull, routine - everything its age was not”,</w:t>
      </w:r>
      <w:r>
        <w:rPr>
          <w:rStyle w:val="FootnoteReference"/>
          <w:sz w:val="24"/>
          <w:szCs w:val="24"/>
        </w:rPr>
        <w:footnoteReference w:id="6"/>
      </w:r>
      <w:r w:rsidR="00C047BB">
        <w:rPr>
          <w:sz w:val="24"/>
          <w:szCs w:val="24"/>
        </w:rPr>
        <w:t xml:space="preserve"> demonstrating that the Mishnah is therefore intended not only to be read, but also to be remembered and recited. Although the Mishnah was primarily written by </w:t>
      </w:r>
      <w:proofErr w:type="spellStart"/>
      <w:r w:rsidR="00C047BB">
        <w:rPr>
          <w:sz w:val="24"/>
          <w:szCs w:val="24"/>
        </w:rPr>
        <w:t xml:space="preserve">Tudah</w:t>
      </w:r>
      <w:proofErr w:type="spellEnd"/>
      <w:r w:rsidR="00C047BB">
        <w:rPr>
          <w:sz w:val="24"/>
          <w:szCs w:val="24"/>
        </w:rPr>
        <w:t xml:space="preserve"> Ha-Nasi, it has th</w:t>
      </w:r>
      <w:r w:rsidR="00C047BB">
        <w:rPr>
          <w:sz w:val="24"/>
          <w:szCs w:val="24"/>
        </w:rPr>
        <w:t>ree distinct voices; the first voice is anonymous, the second is the voices of the sages, and the final is that of scripture.</w:t>
      </w:r>
      <w:r>
        <w:rPr>
          <w:rStyle w:val="FootnoteReference"/>
          <w:sz w:val="24"/>
          <w:szCs w:val="24"/>
        </w:rPr>
        <w:footnoteReference w:id="7"/>
      </w:r>
      <w:r w:rsidR="00C047BB">
        <w:rPr>
          <w:sz w:val="24"/>
          <w:szCs w:val="24"/>
        </w:rPr>
        <w:t xml:space="preserve"> The Mishnah is divided </w:t>
      </w:r>
      <w:r w:rsidR="00C047BB">
        <w:rPr>
          <w:sz w:val="24"/>
          <w:szCs w:val="24"/>
        </w:rPr>
        <w:t xml:space="preserve">into six general sections or </w:t>
      </w:r>
      <w:r w:rsidRPr="3B26ACCE" w:rsidR="00C047BB">
        <w:rPr>
          <w:i w:val="1"/>
          <w:iCs w:val="1"/>
          <w:sz w:val="24"/>
          <w:szCs w:val="24"/>
        </w:rPr>
        <w:t xml:space="preserve">seder </w:t>
      </w:r>
      <w:r w:rsidR="00C047BB">
        <w:rPr>
          <w:sz w:val="24"/>
          <w:szCs w:val="24"/>
        </w:rPr>
        <w:t xml:space="preserve">(order): </w:t>
      </w:r>
      <w:proofErr w:type="spellStart"/>
      <w:r w:rsidRPr="3B26ACCE" w:rsidR="00C047BB">
        <w:rPr>
          <w:i w:val="1"/>
          <w:iCs w:val="1"/>
          <w:sz w:val="24"/>
          <w:szCs w:val="24"/>
        </w:rPr>
        <w:t xml:space="preserve">Zera’im</w:t>
      </w:r>
      <w:proofErr w:type="spellEnd"/>
      <w:r w:rsidRPr="3B26ACCE" w:rsidR="00C047BB">
        <w:rPr>
          <w:i w:val="1"/>
          <w:iCs w:val="1"/>
          <w:sz w:val="24"/>
          <w:szCs w:val="24"/>
        </w:rPr>
        <w:t xml:space="preserve"> </w:t>
      </w:r>
      <w:r w:rsidR="00C047BB">
        <w:rPr>
          <w:sz w:val="24"/>
          <w:szCs w:val="24"/>
        </w:rPr>
        <w:t xml:space="preserve">(seeds), </w:t>
      </w:r>
      <w:proofErr w:type="spellStart"/>
      <w:r w:rsidRPr="3B26ACCE" w:rsidR="00C047BB">
        <w:rPr>
          <w:i w:val="1"/>
          <w:iCs w:val="1"/>
          <w:sz w:val="24"/>
          <w:szCs w:val="24"/>
        </w:rPr>
        <w:t>Mo’ed</w:t>
      </w:r>
      <w:proofErr w:type="spellEnd"/>
      <w:r w:rsidR="00C047BB">
        <w:rPr>
          <w:sz w:val="24"/>
          <w:szCs w:val="24"/>
        </w:rPr>
        <w:t xml:space="preserve"> (season), </w:t>
      </w:r>
      <w:proofErr w:type="spellStart"/>
      <w:r w:rsidRPr="3B26ACCE" w:rsidR="00C047BB">
        <w:rPr>
          <w:i w:val="1"/>
          <w:iCs w:val="1"/>
          <w:sz w:val="24"/>
          <w:szCs w:val="24"/>
        </w:rPr>
        <w:t>Nashim</w:t>
      </w:r>
      <w:proofErr w:type="spellEnd"/>
      <w:r w:rsidR="00C047BB">
        <w:rPr>
          <w:sz w:val="24"/>
          <w:szCs w:val="24"/>
        </w:rPr>
        <w:t xml:space="preserve"> (women), </w:t>
      </w:r>
      <w:proofErr w:type="spellStart"/>
      <w:r w:rsidRPr="3B26ACCE" w:rsidR="321E54EC">
        <w:rPr>
          <w:i w:val="1"/>
          <w:iCs w:val="1"/>
          <w:sz w:val="24"/>
          <w:szCs w:val="24"/>
        </w:rPr>
        <w:t xml:space="preserve">Nezikin</w:t>
      </w:r>
      <w:proofErr w:type="spellEnd"/>
      <w:r w:rsidRPr="3B26ACCE" w:rsidR="321E54EC">
        <w:rPr>
          <w:i w:val="1"/>
          <w:iCs w:val="1"/>
          <w:sz w:val="24"/>
          <w:szCs w:val="24"/>
        </w:rPr>
        <w:t xml:space="preserve"> </w:t>
      </w:r>
      <w:r w:rsidRPr="3B26ACCE" w:rsidR="321E54EC">
        <w:rPr>
          <w:i w:val="0"/>
          <w:iCs w:val="0"/>
          <w:sz w:val="24"/>
          <w:szCs w:val="24"/>
        </w:rPr>
        <w:t xml:space="preserve">(torts), </w:t>
      </w:r>
      <w:r w:rsidRPr="3B26ACCE" w:rsidR="00C047BB">
        <w:rPr>
          <w:i w:val="1"/>
          <w:iCs w:val="1"/>
          <w:sz w:val="24"/>
          <w:szCs w:val="24"/>
        </w:rPr>
        <w:t>Kodashim</w:t>
      </w:r>
      <w:r w:rsidR="00C047BB">
        <w:rPr>
          <w:sz w:val="24"/>
          <w:szCs w:val="24"/>
        </w:rPr>
        <w:t xml:space="preserve"> (sanctities), and </w:t>
      </w:r>
      <w:proofErr w:type="spellStart"/>
      <w:r w:rsidRPr="3B26ACCE" w:rsidR="00C047BB">
        <w:rPr>
          <w:i w:val="1"/>
          <w:iCs w:val="1"/>
          <w:sz w:val="24"/>
          <w:szCs w:val="24"/>
        </w:rPr>
        <w:t xml:space="preserve">Tohoroth</w:t>
      </w:r>
      <w:proofErr w:type="spellEnd"/>
      <w:r w:rsidRPr="3B26ACCE" w:rsidR="00C047BB">
        <w:rPr>
          <w:i w:val="1"/>
          <w:iCs w:val="1"/>
          <w:sz w:val="24"/>
          <w:szCs w:val="24"/>
        </w:rPr>
        <w:t xml:space="preserve"> </w:t>
      </w:r>
      <w:r w:rsidR="00C047BB">
        <w:rPr>
          <w:sz w:val="24"/>
          <w:szCs w:val="24"/>
        </w:rPr>
        <w:t>(purities), and as a result the Mishnah includes extensive teachings on a wide variety of topics, from numerous different rabbi</w:t>
      </w:r>
      <w:r w:rsidR="00C047BB">
        <w:rPr>
          <w:sz w:val="24"/>
          <w:szCs w:val="24"/>
        </w:rPr>
        <w:t xml:space="preserve">s. Furthermore, the Mishnah is made of predominantly </w:t>
      </w:r>
      <w:r w:rsidRPr="3B26ACCE" w:rsidR="00C047BB">
        <w:rPr>
          <w:i w:val="1"/>
          <w:iCs w:val="1"/>
          <w:sz w:val="24"/>
          <w:szCs w:val="24"/>
        </w:rPr>
        <w:t xml:space="preserve">halakhic </w:t>
      </w:r>
      <w:r w:rsidR="00C047BB">
        <w:rPr>
          <w:sz w:val="24"/>
          <w:szCs w:val="24"/>
        </w:rPr>
        <w:t>traditions, which refers to legal traditions, both for individual law and the body of law,</w:t>
      </w:r>
      <w:r>
        <w:rPr>
          <w:rStyle w:val="FootnoteReference"/>
          <w:sz w:val="24"/>
          <w:szCs w:val="24"/>
        </w:rPr>
        <w:footnoteReference w:id="8"/>
      </w:r>
      <w:r w:rsidR="00C047BB">
        <w:rPr>
          <w:sz w:val="24"/>
          <w:szCs w:val="24"/>
        </w:rPr>
        <w:t xml:space="preserve"> and includes the halakhic traditions that are both "forbidden" (</w:t>
      </w:r>
      <w:proofErr w:type="spellStart"/>
      <w:r w:rsidRPr="3B26ACCE" w:rsidR="00C047BB">
        <w:rPr>
          <w:i w:val="1"/>
          <w:iCs w:val="1"/>
          <w:sz w:val="24"/>
          <w:szCs w:val="24"/>
        </w:rPr>
        <w:t>asur</w:t>
      </w:r>
      <w:proofErr w:type="spellEnd"/>
      <w:r w:rsidR="00C047BB">
        <w:rPr>
          <w:sz w:val="24"/>
          <w:szCs w:val="24"/>
        </w:rPr>
        <w:t>) and "permitted" (</w:t>
      </w:r>
      <w:proofErr w:type="spellStart"/>
      <w:r w:rsidRPr="3B26ACCE" w:rsidR="00C047BB">
        <w:rPr>
          <w:i w:val="1"/>
          <w:iCs w:val="1"/>
          <w:sz w:val="24"/>
          <w:szCs w:val="24"/>
        </w:rPr>
        <w:t>mutar</w:t>
      </w:r>
      <w:proofErr w:type="spellEnd"/>
      <w:r w:rsidR="00C047BB">
        <w:rPr>
          <w:sz w:val="24"/>
          <w:szCs w:val="24"/>
        </w:rPr>
        <w:t>).</w:t>
      </w:r>
      <w:r>
        <w:rPr>
          <w:rStyle w:val="FootnoteReference"/>
          <w:sz w:val="24"/>
          <w:szCs w:val="24"/>
        </w:rPr>
        <w:footnoteReference w:id="9"/>
      </w:r>
      <w:r w:rsidR="00C047BB">
        <w:rPr>
          <w:sz w:val="24"/>
          <w:szCs w:val="24"/>
        </w:rPr>
        <w:t xml:space="preserve"> As a </w:t>
      </w:r>
      <w:r w:rsidR="00C047BB">
        <w:rPr>
          <w:sz w:val="24"/>
          <w:szCs w:val="24"/>
        </w:rPr>
        <w:lastRenderedPageBreak/>
        <w:t xml:space="preserve">result, the Mishnah is considered the most important book, after the written Torah, making it significant within Judaism. </w:t>
      </w:r>
    </w:p>
    <w:p w:rsidR="00B20EF8" w:rsidRDefault="00C047BB" w14:paraId="43CEC3F7" w14:textId="77777777">
      <w:r>
        <w:rPr>
          <w:sz w:val="24"/>
          <w:szCs w:val="24"/>
        </w:rPr>
        <w:t>One of the m</w:t>
      </w:r>
      <w:r>
        <w:rPr>
          <w:sz w:val="24"/>
          <w:szCs w:val="24"/>
        </w:rPr>
        <w:t>ain reasons that the Mishnah is significant within Judaism is that it helps to explain the teachings of the written Torah as it “bridged the gap between the one class of law and the other”,</w:t>
      </w:r>
      <w:r>
        <w:rPr>
          <w:rStyle w:val="FootnoteReference"/>
          <w:sz w:val="24"/>
          <w:szCs w:val="24"/>
        </w:rPr>
        <w:footnoteReference w:id="10"/>
      </w:r>
      <w:r>
        <w:rPr>
          <w:sz w:val="24"/>
          <w:szCs w:val="24"/>
        </w:rPr>
        <w:t xml:space="preserve"> and therefore works to allow for a better understanding of God’s will. This is important as many of the commandments within the written Torah do not provide practical advice on how one should carry out the commandments. One example </w:t>
      </w:r>
      <w:r>
        <w:rPr>
          <w:sz w:val="24"/>
          <w:szCs w:val="24"/>
        </w:rPr>
        <w:t>of this is the commandment given for working on the Sabbath:</w:t>
      </w:r>
    </w:p>
    <w:p w:rsidR="00B20EF8" w:rsidRDefault="00C047BB" w14:paraId="6E40B2C5" w14:textId="77777777">
      <w:pPr>
        <w:ind w:left="720"/>
      </w:pPr>
      <w:r>
        <w:rPr>
          <w:i/>
          <w:iCs/>
          <w:sz w:val="24"/>
          <w:szCs w:val="24"/>
        </w:rPr>
        <w:t>“but the seventh day is the Sabbath of the LORD your God, you shall not do any work – you, your son or daughter, your male or female slave, or your cattle, or the stranger who is within your sett</w:t>
      </w:r>
      <w:r>
        <w:rPr>
          <w:i/>
          <w:iCs/>
          <w:sz w:val="24"/>
          <w:szCs w:val="24"/>
        </w:rPr>
        <w:t>lement.”</w:t>
      </w:r>
      <w:r>
        <w:rPr>
          <w:sz w:val="24"/>
          <w:szCs w:val="24"/>
        </w:rPr>
        <w:t xml:space="preserve"> (Ex. 20:10). </w:t>
      </w:r>
    </w:p>
    <w:p w:rsidR="00B20EF8" w:rsidRDefault="00C047BB" w14:paraId="431719D1" w14:textId="77777777">
      <w:r>
        <w:rPr>
          <w:sz w:val="24"/>
          <w:szCs w:val="24"/>
        </w:rPr>
        <w:t>Although this is a specific commandment, it does not provide advice or teachings on how it should be carried out, such as what classifies as work or who this applies to. The Mishnah is therefore significant as it provides further exp</w:t>
      </w:r>
      <w:r>
        <w:rPr>
          <w:sz w:val="24"/>
          <w:szCs w:val="24"/>
        </w:rPr>
        <w:t>lanations on how the commandment can and should be obeyed. For example, in Mo’ed, the second seder in the Mishnah, it provides 39 prohibitions of work on the Sabbath laws.</w:t>
      </w:r>
      <w:r>
        <w:rPr>
          <w:rStyle w:val="FootnoteReference"/>
          <w:sz w:val="24"/>
          <w:szCs w:val="24"/>
        </w:rPr>
        <w:footnoteReference w:id="11"/>
      </w:r>
      <w:r>
        <w:rPr>
          <w:sz w:val="24"/>
          <w:szCs w:val="24"/>
        </w:rPr>
        <w:t xml:space="preserve"> These include what fuels and wicks cannot be used (M. Shabbat 2:1), how animals can be used (M. Shabbat 5:1-4), what can be carried on the Sabbath (M. </w:t>
      </w:r>
      <w:r>
        <w:rPr>
          <w:sz w:val="24"/>
          <w:szCs w:val="24"/>
        </w:rPr>
        <w:t>Shabbat 6:4), and provides a detailed list of acts that are considered work (M. Shabbat 7:4). This highlights how the Mishnah is significant within Judaism as it provides detailed discussions and rulings on how one can obey the commandments given in the wr</w:t>
      </w:r>
      <w:r>
        <w:rPr>
          <w:sz w:val="24"/>
          <w:szCs w:val="24"/>
        </w:rPr>
        <w:t>itten Torah.</w:t>
      </w:r>
    </w:p>
    <w:p w:rsidR="00B20EF8" w:rsidP="3B26ACCE" w:rsidRDefault="00C047BB" w14:paraId="68463047" w14:textId="16E79447">
      <w:pPr>
        <w:rPr>
          <w:sz w:val="24"/>
          <w:szCs w:val="24"/>
        </w:rPr>
      </w:pPr>
      <w:r w:rsidR="00C047BB">
        <w:rPr>
          <w:sz w:val="24"/>
          <w:szCs w:val="24"/>
        </w:rPr>
        <w:t xml:space="preserve">In addition to rulings and discussions on how to obey the commandment </w:t>
      </w:r>
      <w:r w:rsidR="4A9FD175">
        <w:rPr>
          <w:sz w:val="24"/>
          <w:szCs w:val="24"/>
        </w:rPr>
        <w:t>t</w:t>
      </w:r>
      <w:r w:rsidR="00C047BB">
        <w:rPr>
          <w:sz w:val="24"/>
          <w:szCs w:val="24"/>
        </w:rPr>
        <w:t>o not work on the Sabbath, as well as other commandments given in the written Torah, the Mishnah is also significant within Judaism as it includes details on a number of di</w:t>
      </w:r>
      <w:r w:rsidR="00C047BB">
        <w:rPr>
          <w:sz w:val="24"/>
          <w:szCs w:val="24"/>
        </w:rPr>
        <w:t xml:space="preserve">fferent practices and festivals, including marriage. There </w:t>
      </w:r>
      <w:r w:rsidR="18342AD2">
        <w:rPr>
          <w:sz w:val="24"/>
          <w:szCs w:val="24"/>
        </w:rPr>
        <w:t>are</w:t>
      </w:r>
      <w:r w:rsidR="00C047BB">
        <w:rPr>
          <w:sz w:val="24"/>
          <w:szCs w:val="24"/>
        </w:rPr>
        <w:t xml:space="preserve"> a number of teachings on how and when marriage ceremonies should be conducted. For example, “a virgin is married on Wednesday and a widow on Thursday” (M. </w:t>
      </w:r>
      <w:proofErr w:type="spellStart"/>
      <w:r w:rsidR="00C047BB">
        <w:rPr>
          <w:sz w:val="24"/>
          <w:szCs w:val="24"/>
        </w:rPr>
        <w:t>Ketubot</w:t>
      </w:r>
      <w:proofErr w:type="spellEnd"/>
      <w:r w:rsidR="00C047BB">
        <w:rPr>
          <w:sz w:val="24"/>
          <w:szCs w:val="24"/>
        </w:rPr>
        <w:t xml:space="preserve"> 1:1)</w:t>
      </w:r>
      <w:r w:rsidR="0DF4AAE6">
        <w:rPr>
          <w:sz w:val="24"/>
          <w:szCs w:val="24"/>
        </w:rPr>
        <w:t>;</w:t>
      </w:r>
      <w:r w:rsidR="00C047BB">
        <w:rPr>
          <w:sz w:val="24"/>
          <w:szCs w:val="24"/>
        </w:rPr>
        <w:t xml:space="preserve"> this once again highlight</w:t>
      </w:r>
      <w:r w:rsidR="00C047BB">
        <w:rPr>
          <w:sz w:val="24"/>
          <w:szCs w:val="24"/>
        </w:rPr>
        <w:t>s why the Mishnah is significant within Judaism as it provides detailed and practical teachings on a number of different practices. The extent of the topics covered can also be seen when considering the number of tractates, with there being a total of 62 t</w:t>
      </w:r>
      <w:r w:rsidR="00C047BB">
        <w:rPr>
          <w:sz w:val="24"/>
          <w:szCs w:val="24"/>
        </w:rPr>
        <w:t>ractates, with each seder containing between 7-12 tractates in total.</w:t>
      </w:r>
      <w:r>
        <w:rPr>
          <w:rStyle w:val="FootnoteReference"/>
          <w:sz w:val="24"/>
          <w:szCs w:val="24"/>
        </w:rPr>
        <w:footnoteReference w:id="12"/>
      </w:r>
      <w:r w:rsidR="00C047BB">
        <w:rPr>
          <w:sz w:val="24"/>
          <w:szCs w:val="24"/>
        </w:rPr>
        <w:t xml:space="preserve"> This further highlights the extent of the details that the Mishnah includes and the wide variety of</w:t>
      </w:r>
      <w:r w:rsidR="00C047BB">
        <w:rPr>
          <w:sz w:val="24"/>
          <w:szCs w:val="24"/>
        </w:rPr>
        <w:t xml:space="preserve"> topics covered, and thus the Mishnah is </w:t>
      </w:r>
      <w:r w:rsidR="2B24DC66">
        <w:rPr>
          <w:sz w:val="24"/>
          <w:szCs w:val="24"/>
        </w:rPr>
        <w:t xml:space="preserve">importan</w:t>
      </w:r>
      <w:r w:rsidR="00C047BB">
        <w:rPr>
          <w:sz w:val="24"/>
          <w:szCs w:val="24"/>
        </w:rPr>
        <w:t xml:space="preserve">t within Judaism because it works in conjunction with the written Torah to provide further details of how one can correctly follow the commandments given in the written Torah. Furthermore, within each of t</w:t>
      </w:r>
      <w:r w:rsidR="00C047BB">
        <w:rPr>
          <w:sz w:val="24"/>
          <w:szCs w:val="24"/>
        </w:rPr>
        <w:t xml:space="preserve">he 62 tractates there is, for the most part, a single subject as the main focus. This results in the Mishnah being relatively easy to utilize and find further explanations of teachings of the written Torah, and thus </w:t>
      </w:r>
      <w:r w:rsidR="52A7C8DB">
        <w:rPr>
          <w:sz w:val="24"/>
          <w:szCs w:val="24"/>
        </w:rPr>
        <w:t xml:space="preserve">it </w:t>
      </w:r>
      <w:r w:rsidR="00C047BB">
        <w:rPr>
          <w:sz w:val="24"/>
          <w:szCs w:val="24"/>
        </w:rPr>
        <w:t>is more likely to be used than if it was</w:t>
      </w:r>
      <w:r w:rsidR="00C047BB">
        <w:rPr>
          <w:sz w:val="24"/>
          <w:szCs w:val="24"/>
        </w:rPr>
        <w:t xml:space="preserve"> difficult to navigate. This again highlights the Mishnah</w:t>
      </w:r>
      <w:r w:rsidR="137AAC30">
        <w:rPr>
          <w:sz w:val="24"/>
          <w:szCs w:val="24"/>
        </w:rPr>
        <w:t xml:space="preserve">‘s</w:t>
      </w:r>
      <w:r w:rsidR="00C047BB">
        <w:rPr>
          <w:sz w:val="24"/>
          <w:szCs w:val="24"/>
        </w:rPr>
        <w:t xml:space="preserve"> significan</w:t>
      </w:r>
      <w:r w:rsidR="0EA4B18A">
        <w:rPr>
          <w:sz w:val="24"/>
          <w:szCs w:val="24"/>
        </w:rPr>
        <w:t xml:space="preserve">ce</w:t>
      </w:r>
      <w:r w:rsidR="00C047BB">
        <w:rPr>
          <w:sz w:val="24"/>
          <w:szCs w:val="24"/>
        </w:rPr>
        <w:t xml:space="preserve"> as it covers a large number of issues in a format that is easy to use and therefore practical.</w:t>
      </w:r>
    </w:p>
    <w:p w:rsidR="00B20EF8" w:rsidRDefault="00C047BB" w14:paraId="67B70D53" w14:textId="18B26BE5">
      <w:r w:rsidR="00C047BB">
        <w:rPr>
          <w:sz w:val="24"/>
          <w:szCs w:val="24"/>
        </w:rPr>
        <w:lastRenderedPageBreak/>
        <w:t>In contrast to this, some may argue that the Mishnah does not hold t</w:t>
      </w:r>
      <w:r w:rsidR="00C047BB">
        <w:rPr>
          <w:sz w:val="24"/>
          <w:szCs w:val="24"/>
        </w:rPr>
        <w:t>his significance within Judaism as its primary purpose was to serve as an anthology of rabbinic teachings,</w:t>
      </w:r>
      <w:r>
        <w:rPr>
          <w:rStyle w:val="FootnoteReference"/>
          <w:sz w:val="24"/>
          <w:szCs w:val="24"/>
        </w:rPr>
        <w:footnoteReference w:id="13"/>
      </w:r>
      <w:r w:rsidR="00C047BB">
        <w:rPr>
          <w:sz w:val="24"/>
          <w:szCs w:val="24"/>
        </w:rPr>
        <w:t xml:space="preserve"> rather than </w:t>
      </w:r>
      <w:r w:rsidR="61AE297C">
        <w:rPr>
          <w:sz w:val="24"/>
          <w:szCs w:val="24"/>
        </w:rPr>
        <w:t xml:space="preserve">containing</w:t>
      </w:r>
      <w:r w:rsidR="00C047BB">
        <w:rPr>
          <w:sz w:val="24"/>
          <w:szCs w:val="24"/>
        </w:rPr>
        <w:t xml:space="preserve"> legal precedent or be</w:t>
      </w:r>
      <w:r w:rsidR="00C047BB">
        <w:rPr>
          <w:sz w:val="24"/>
          <w:szCs w:val="24"/>
        </w:rPr>
        <w:t>ing an authoritative work. As a result, it can be argued that the Mishnah does not hold as much significance within Judaism as the previous arguments suggest because it was not intended to be a commanding text, and as a result the teachings and explanation</w:t>
      </w:r>
      <w:r w:rsidR="00C047BB">
        <w:rPr>
          <w:sz w:val="24"/>
          <w:szCs w:val="24"/>
        </w:rPr>
        <w:t xml:space="preserve">s within the Mishnah are suggestions rather than authoritative </w:t>
      </w:r>
      <w:r w:rsidR="571472DB">
        <w:rPr>
          <w:sz w:val="24"/>
          <w:szCs w:val="24"/>
        </w:rPr>
        <w:t>instruction</w:t>
      </w:r>
      <w:r w:rsidR="00C047BB">
        <w:rPr>
          <w:sz w:val="24"/>
          <w:szCs w:val="24"/>
        </w:rPr>
        <w:t>. In addition to this it can also be argued that the Mishnah does not hold as much significance</w:t>
      </w:r>
      <w:r w:rsidR="5BBC3470">
        <w:rPr>
          <w:sz w:val="24"/>
          <w:szCs w:val="24"/>
        </w:rPr>
        <w:t>,</w:t>
      </w:r>
      <w:r w:rsidR="00C047BB">
        <w:rPr>
          <w:sz w:val="24"/>
          <w:szCs w:val="24"/>
        </w:rPr>
        <w:t xml:space="preserve"> as many of the teachings in the written and oral Torah are not always symmetrical to eac</w:t>
      </w:r>
      <w:r w:rsidR="00C047BB">
        <w:rPr>
          <w:sz w:val="24"/>
          <w:szCs w:val="24"/>
        </w:rPr>
        <w:t>h other.</w:t>
      </w:r>
      <w:r>
        <w:rPr>
          <w:rStyle w:val="FootnoteReference"/>
          <w:sz w:val="24"/>
          <w:szCs w:val="24"/>
        </w:rPr>
        <w:footnoteReference w:id="14"/>
      </w:r>
      <w:r w:rsidR="00C047BB">
        <w:rPr>
          <w:sz w:val="24"/>
          <w:szCs w:val="24"/>
        </w:rPr>
        <w:t xml:space="preserve"> For example, when considering dietary and purity laws, the written Torah, when taking its literal message, states that consumption of carcasses is impure, whe</w:t>
      </w:r>
      <w:r w:rsidR="00C047BB">
        <w:rPr>
          <w:sz w:val="24"/>
          <w:szCs w:val="24"/>
        </w:rPr>
        <w:t>reas the oral Torah teaches that if there is no contact it does not transmit impurities.</w:t>
      </w:r>
      <w:r>
        <w:rPr>
          <w:rStyle w:val="FootnoteReference"/>
          <w:sz w:val="24"/>
          <w:szCs w:val="24"/>
        </w:rPr>
        <w:footnoteReference w:id="15"/>
      </w:r>
    </w:p>
    <w:p w:rsidR="00B20EF8" w:rsidRDefault="00C047BB" w14:paraId="74871AD1" w14:textId="5E091897">
      <w:r w:rsidR="00C047BB">
        <w:rPr>
          <w:sz w:val="24"/>
          <w:szCs w:val="24"/>
        </w:rPr>
        <w:t xml:space="preserve">However, this argument does not diminish the significance of the Mishnah within Judaism because the traditional idea is that the Mishnah does </w:t>
      </w:r>
      <w:r w:rsidR="5FB43D18">
        <w:rPr>
          <w:sz w:val="24"/>
          <w:szCs w:val="24"/>
        </w:rPr>
        <w:t>contain</w:t>
      </w:r>
      <w:r w:rsidR="7D2762C0">
        <w:rPr>
          <w:sz w:val="24"/>
          <w:szCs w:val="24"/>
        </w:rPr>
        <w:t>,</w:t>
      </w:r>
      <w:r w:rsidR="00C047BB">
        <w:rPr>
          <w:sz w:val="24"/>
          <w:szCs w:val="24"/>
        </w:rPr>
        <w:t xml:space="preserve"> and was intended to </w:t>
      </w:r>
      <w:r w:rsidR="6E704647">
        <w:rPr>
          <w:sz w:val="24"/>
          <w:szCs w:val="24"/>
        </w:rPr>
        <w:t>contain</w:t>
      </w:r>
      <w:r w:rsidR="00C047BB">
        <w:rPr>
          <w:sz w:val="24"/>
          <w:szCs w:val="24"/>
        </w:rPr>
        <w:t xml:space="preserve"> and provide</w:t>
      </w:r>
      <w:r w:rsidR="00C047BB">
        <w:rPr>
          <w:sz w:val="24"/>
          <w:szCs w:val="24"/>
        </w:rPr>
        <w:t xml:space="preserve"> legal rulings</w:t>
      </w:r>
      <w:r w:rsidR="3596C6F2">
        <w:rPr>
          <w:sz w:val="24"/>
          <w:szCs w:val="24"/>
        </w:rPr>
        <w:t>,</w:t>
      </w:r>
      <w:r w:rsidR="00C047BB">
        <w:rPr>
          <w:sz w:val="24"/>
          <w:szCs w:val="24"/>
        </w:rPr>
        <w:t xml:space="preserve"> as the oral Torah did bef</w:t>
      </w:r>
      <w:r w:rsidR="00C047BB">
        <w:rPr>
          <w:sz w:val="24"/>
          <w:szCs w:val="24"/>
        </w:rPr>
        <w:t>ore the Mishnah was written.</w:t>
      </w:r>
      <w:r>
        <w:rPr>
          <w:rStyle w:val="FootnoteReference"/>
          <w:sz w:val="24"/>
          <w:szCs w:val="24"/>
        </w:rPr>
        <w:footnoteReference w:id="16"/>
      </w:r>
      <w:r w:rsidR="00C047BB">
        <w:rPr>
          <w:sz w:val="24"/>
          <w:szCs w:val="24"/>
        </w:rPr>
        <w:t xml:space="preserve"> As a result, even if the argument that the Mishnah does not hold authoritative teachings, which is rejected by many, th</w:t>
      </w:r>
      <w:r w:rsidR="00C047BB">
        <w:rPr>
          <w:sz w:val="24"/>
          <w:szCs w:val="24"/>
        </w:rPr>
        <w:t xml:space="preserve">e Mishnah is still significant as it provides assistance in how the commandments should be carried out and thus helps Jews to follow the commandments set out in the written Torah and therefore God’s will. </w:t>
      </w:r>
    </w:p>
    <w:p w:rsidR="00B20EF8" w:rsidRDefault="00C047BB" w14:paraId="7E1CB2D1" w14:textId="55E5AAC3">
      <w:r w:rsidR="00C047BB">
        <w:rPr>
          <w:sz w:val="24"/>
          <w:szCs w:val="24"/>
        </w:rPr>
        <w:t>A further reason the Mishnah is considered signifi</w:t>
      </w:r>
      <w:r w:rsidR="00C047BB">
        <w:rPr>
          <w:sz w:val="24"/>
          <w:szCs w:val="24"/>
        </w:rPr>
        <w:t xml:space="preserve">cant within Judaism is as a result of the Mishnah being a text to preserve the teachings and traditions. This makes the Mishnah </w:t>
      </w:r>
      <w:r w:rsidR="488FCF6B">
        <w:rPr>
          <w:sz w:val="24"/>
          <w:szCs w:val="24"/>
        </w:rPr>
        <w:t>valuable</w:t>
      </w:r>
      <w:r w:rsidR="00C047BB">
        <w:rPr>
          <w:sz w:val="24"/>
          <w:szCs w:val="24"/>
        </w:rPr>
        <w:t xml:space="preserve"> because remembrance is an important aspect of Judaism</w:t>
      </w:r>
      <w:r w:rsidR="1DF8F53D">
        <w:rPr>
          <w:sz w:val="24"/>
          <w:szCs w:val="24"/>
        </w:rPr>
        <w:t>,</w:t>
      </w:r>
      <w:r w:rsidR="00C047BB">
        <w:rPr>
          <w:sz w:val="24"/>
          <w:szCs w:val="24"/>
        </w:rPr>
        <w:t xml:space="preserve"> which can be seen in a number of different practices and festi</w:t>
      </w:r>
      <w:r w:rsidR="00C047BB">
        <w:rPr>
          <w:sz w:val="24"/>
          <w:szCs w:val="24"/>
        </w:rPr>
        <w:t>vals p</w:t>
      </w:r>
      <w:r w:rsidR="3080B068">
        <w:rPr>
          <w:sz w:val="24"/>
          <w:szCs w:val="24"/>
        </w:rPr>
        <w:t>er</w:t>
      </w:r>
      <w:r w:rsidR="00C047BB">
        <w:rPr>
          <w:sz w:val="24"/>
          <w:szCs w:val="24"/>
        </w:rPr>
        <w:t>formed. One example of this is that the order of services within the synagogue reflect</w:t>
      </w:r>
      <w:r w:rsidR="7DBB8977">
        <w:rPr>
          <w:sz w:val="24"/>
          <w:szCs w:val="24"/>
        </w:rPr>
        <w:t>s</w:t>
      </w:r>
      <w:r w:rsidR="00C047BB">
        <w:rPr>
          <w:sz w:val="24"/>
          <w:szCs w:val="24"/>
        </w:rPr>
        <w:t xml:space="preserve"> the public sacrifices that took place in the Temple, with services in the morning (</w:t>
      </w:r>
      <w:proofErr w:type="spellStart"/>
      <w:r w:rsidRPr="3B26ACCE" w:rsidR="00C047BB">
        <w:rPr>
          <w:i w:val="1"/>
          <w:iCs w:val="1"/>
          <w:sz w:val="24"/>
          <w:szCs w:val="24"/>
        </w:rPr>
        <w:t>shahrait</w:t>
      </w:r>
      <w:proofErr w:type="spellEnd"/>
      <w:r w:rsidR="00C047BB">
        <w:rPr>
          <w:sz w:val="24"/>
          <w:szCs w:val="24"/>
        </w:rPr>
        <w:t>) and afternoon prayer (</w:t>
      </w:r>
      <w:proofErr w:type="spellStart"/>
      <w:r w:rsidRPr="3B26ACCE" w:rsidR="00C047BB">
        <w:rPr>
          <w:i w:val="1"/>
          <w:iCs w:val="1"/>
          <w:sz w:val="24"/>
          <w:szCs w:val="24"/>
        </w:rPr>
        <w:t>minkhrah</w:t>
      </w:r>
      <w:proofErr w:type="spellEnd"/>
      <w:r w:rsidR="00C047BB">
        <w:rPr>
          <w:sz w:val="24"/>
          <w:szCs w:val="24"/>
        </w:rPr>
        <w:t>) each corresponding to the times sacr</w:t>
      </w:r>
      <w:r w:rsidR="00C047BB">
        <w:rPr>
          <w:sz w:val="24"/>
          <w:szCs w:val="24"/>
        </w:rPr>
        <w:t>ifices took place in the Temple.</w:t>
      </w:r>
      <w:r>
        <w:rPr>
          <w:rStyle w:val="FootnoteReference"/>
          <w:sz w:val="24"/>
          <w:szCs w:val="24"/>
        </w:rPr>
        <w:footnoteReference w:id="17"/>
      </w:r>
      <w:r w:rsidR="00C047BB">
        <w:rPr>
          <w:sz w:val="24"/>
          <w:szCs w:val="24"/>
        </w:rPr>
        <w:t xml:space="preserve"> A further example of memory and remembrance being important within </w:t>
      </w:r>
      <w:r w:rsidR="00C047BB">
        <w:rPr>
          <w:sz w:val="24"/>
          <w:szCs w:val="24"/>
        </w:rPr>
        <w:t>Judaism is Hanukah, where the victory over the Greeks is celebrated and remembered</w:t>
      </w:r>
      <w:r w:rsidR="00CE1E39">
        <w:rPr>
          <w:sz w:val="24"/>
          <w:szCs w:val="24"/>
        </w:rPr>
        <w:t>,</w:t>
      </w:r>
      <w:r w:rsidR="00C047BB">
        <w:rPr>
          <w:sz w:val="24"/>
          <w:szCs w:val="24"/>
        </w:rPr>
        <w:t xml:space="preserve"> which is reflected in the primary ritual of lighting the menorah.</w:t>
      </w:r>
      <w:r>
        <w:rPr>
          <w:rStyle w:val="FootnoteReference"/>
          <w:sz w:val="24"/>
          <w:szCs w:val="24"/>
        </w:rPr>
        <w:footnoteReference w:id="18"/>
      </w:r>
      <w:r w:rsidR="00C047BB">
        <w:rPr>
          <w:sz w:val="24"/>
          <w:szCs w:val="24"/>
        </w:rPr>
        <w:t xml:space="preserve"> This significance placed on memory, both in specific events and in</w:t>
      </w:r>
      <w:r w:rsidR="00C047BB">
        <w:rPr>
          <w:sz w:val="24"/>
          <w:szCs w:val="24"/>
        </w:rPr>
        <w:t xml:space="preserve"> daily worship also applies to the Mishnah. This is because the Mishnah was written down in order to preserve the teachings as they were given to Moses on Mount Sinai, as well as the traditions that were included in the oral Torah. The Mishnah was written </w:t>
      </w:r>
      <w:r w:rsidR="00C047BB">
        <w:rPr>
          <w:sz w:val="24"/>
          <w:szCs w:val="24"/>
        </w:rPr>
        <w:t>down in fear that these traditions could be lost due to further war or dispersion such as what had happened after the Roman Jewish War in 66 CE.</w:t>
      </w:r>
      <w:r>
        <w:rPr>
          <w:rStyle w:val="FootnoteReference"/>
          <w:sz w:val="24"/>
          <w:szCs w:val="24"/>
        </w:rPr>
        <w:footnoteReference w:id="19"/>
      </w:r>
      <w:r w:rsidR="00C047BB">
        <w:rPr>
          <w:sz w:val="24"/>
          <w:szCs w:val="24"/>
        </w:rPr>
        <w:t xml:space="preserve"> This highlights that </w:t>
      </w:r>
      <w:r w:rsidR="00C047BB">
        <w:rPr>
          <w:sz w:val="24"/>
          <w:szCs w:val="24"/>
        </w:rPr>
        <w:t>the Mishnah is significant within Judaism as it has allowed for the oral Torah to be preserved and remembered over the centuries, and thus has achieved the original purpose of writing down the oral Torah in the 3</w:t>
      </w:r>
      <w:r w:rsidR="00C047BB">
        <w:rPr>
          <w:sz w:val="24"/>
          <w:szCs w:val="24"/>
          <w:vertAlign w:val="superscript"/>
        </w:rPr>
        <w:t>rd</w:t>
      </w:r>
      <w:r w:rsidR="00C047BB">
        <w:rPr>
          <w:sz w:val="24"/>
          <w:szCs w:val="24"/>
        </w:rPr>
        <w:t xml:space="preserve"> Century CE.</w:t>
      </w:r>
    </w:p>
    <w:p w:rsidR="00B20EF8" w:rsidRDefault="00C047BB" w14:paraId="2E04F589" w14:textId="5472A695">
      <w:r w:rsidR="00C047BB">
        <w:rPr>
          <w:sz w:val="24"/>
          <w:szCs w:val="24"/>
        </w:rPr>
        <w:lastRenderedPageBreak/>
        <w:t>However, this writing down of</w:t>
      </w:r>
      <w:r w:rsidR="00C047BB">
        <w:rPr>
          <w:sz w:val="24"/>
          <w:szCs w:val="24"/>
        </w:rPr>
        <w:t xml:space="preserve"> the oral Torah could result in the Mishnah h</w:t>
      </w:r>
      <w:r w:rsidR="6696341F">
        <w:rPr>
          <w:sz w:val="24"/>
          <w:szCs w:val="24"/>
        </w:rPr>
        <w:t xml:space="preserve">aving</w:t>
      </w:r>
      <w:r w:rsidR="00C047BB">
        <w:rPr>
          <w:sz w:val="24"/>
          <w:szCs w:val="24"/>
        </w:rPr>
        <w:t xml:space="preserve"> less significance than the oral Torah held. This is because once the oral Torah had been written down it became static and so the Rabbis could no longer expand the teachings of the Mishnah as had been don</w:t>
      </w:r>
      <w:r w:rsidR="00C047BB">
        <w:rPr>
          <w:sz w:val="24"/>
          <w:szCs w:val="24"/>
        </w:rPr>
        <w:t>e before</w:t>
      </w:r>
      <w:r w:rsidR="2D76F438">
        <w:rPr>
          <w:sz w:val="24"/>
          <w:szCs w:val="24"/>
        </w:rPr>
        <w:t>,</w:t>
      </w:r>
      <w:r w:rsidR="00C047BB">
        <w:rPr>
          <w:sz w:val="24"/>
          <w:szCs w:val="24"/>
        </w:rPr>
        <w:t xml:space="preserve"> which is what led to the oral Torah becoming so large and needing to be written down, especially after the failed Bar </w:t>
      </w:r>
      <w:proofErr w:type="spellStart"/>
      <w:r w:rsidR="00C047BB">
        <w:rPr>
          <w:sz w:val="24"/>
          <w:szCs w:val="24"/>
        </w:rPr>
        <w:t>Kochba</w:t>
      </w:r>
      <w:proofErr w:type="spellEnd"/>
      <w:r w:rsidR="00C047BB">
        <w:rPr>
          <w:sz w:val="24"/>
          <w:szCs w:val="24"/>
        </w:rPr>
        <w:t xml:space="preserve"> Revolt.</w:t>
      </w:r>
      <w:r>
        <w:rPr>
          <w:rStyle w:val="FootnoteReference"/>
          <w:sz w:val="24"/>
          <w:szCs w:val="24"/>
        </w:rPr>
        <w:footnoteReference w:id="20"/>
      </w:r>
      <w:r w:rsidR="00C047BB">
        <w:rPr>
          <w:sz w:val="24"/>
          <w:szCs w:val="24"/>
        </w:rPr>
        <w:t xml:space="preserve"> However, although the writing of the Mishnah does result in it becoming a set piece of scripture, this does not result in the Mishnah losing significance within Judaism</w:t>
      </w:r>
      <w:r w:rsidR="43AF72DF">
        <w:rPr>
          <w:sz w:val="24"/>
          <w:szCs w:val="24"/>
        </w:rPr>
        <w:t xml:space="preserve">,</w:t>
      </w:r>
      <w:r w:rsidR="00C047BB">
        <w:rPr>
          <w:sz w:val="24"/>
          <w:szCs w:val="24"/>
        </w:rPr>
        <w:t xml:space="preserve"> as it remains a piece o</w:t>
      </w:r>
      <w:r w:rsidR="00C047BB">
        <w:rPr>
          <w:sz w:val="24"/>
          <w:szCs w:val="24"/>
        </w:rPr>
        <w:t>f scripture that can be utilized and recalled to remember the teachings and traditions given to Moses on Mount Sinai, in addition to numerous saying</w:t>
      </w:r>
      <w:r w:rsidR="0841A049">
        <w:rPr>
          <w:sz w:val="24"/>
          <w:szCs w:val="24"/>
        </w:rPr>
        <w:t>s</w:t>
      </w:r>
      <w:r w:rsidR="00C047BB">
        <w:rPr>
          <w:sz w:val="24"/>
          <w:szCs w:val="24"/>
        </w:rPr>
        <w:t>, arguments, and counter-arguments from a number of different Rabbis.</w:t>
      </w:r>
      <w:r>
        <w:rPr>
          <w:rStyle w:val="FootnoteReference"/>
          <w:sz w:val="24"/>
          <w:szCs w:val="24"/>
        </w:rPr>
        <w:footnoteReference w:id="21"/>
      </w:r>
    </w:p>
    <w:p w:rsidR="00B20EF8" w:rsidRDefault="00C047BB" w14:paraId="0F4C5B1E" w14:textId="3822C76E">
      <w:r w:rsidR="00C047BB">
        <w:rPr>
          <w:sz w:val="24"/>
          <w:szCs w:val="24"/>
        </w:rPr>
        <w:t>In addition to the Mishnah being significant because of remembrance of</w:t>
      </w:r>
      <w:r w:rsidR="00C047BB">
        <w:rPr>
          <w:sz w:val="24"/>
          <w:szCs w:val="24"/>
        </w:rPr>
        <w:t xml:space="preserve"> the oral Torah, it is also significant within Judaism as it records important traditions that took place before the Mishnah was written. A key example of this is that the Mishnah includes rituals and traditions surrounding the Second Temple before it was </w:t>
      </w:r>
      <w:r w:rsidR="00C047BB">
        <w:rPr>
          <w:sz w:val="24"/>
          <w:szCs w:val="24"/>
        </w:rPr>
        <w:t>destroyed in 70 CE.</w:t>
      </w:r>
      <w:r>
        <w:rPr>
          <w:rStyle w:val="FootnoteReference"/>
          <w:sz w:val="24"/>
          <w:szCs w:val="24"/>
        </w:rPr>
        <w:footnoteReference w:id="22"/>
      </w:r>
      <w:r w:rsidR="00C047BB">
        <w:rPr>
          <w:sz w:val="24"/>
          <w:szCs w:val="24"/>
        </w:rPr>
        <w:t xml:space="preserve"> The seder </w:t>
      </w:r>
      <w:proofErr w:type="spellStart"/>
      <w:r w:rsidR="00C047BB">
        <w:rPr>
          <w:sz w:val="24"/>
          <w:szCs w:val="24"/>
        </w:rPr>
        <w:t xml:space="preserve">Mo’ed</w:t>
      </w:r>
      <w:proofErr w:type="spellEnd"/>
      <w:r w:rsidRPr="3B26ACCE" w:rsidR="00C047BB">
        <w:rPr>
          <w:i w:val="1"/>
          <w:iCs w:val="1"/>
          <w:sz w:val="24"/>
          <w:szCs w:val="24"/>
        </w:rPr>
        <w:t xml:space="preserve"> </w:t>
      </w:r>
      <w:r w:rsidR="00C047BB">
        <w:rPr>
          <w:sz w:val="24"/>
          <w:szCs w:val="24"/>
        </w:rPr>
        <w:t xml:space="preserve">includes multiple teachings and traditions of the Temple </w:t>
      </w:r>
      <w:r w:rsidR="05F16E3A">
        <w:rPr>
          <w:sz w:val="24"/>
          <w:szCs w:val="24"/>
        </w:rPr>
        <w:t xml:space="preserve">such as</w:t>
      </w:r>
      <w:r w:rsidR="00C047BB">
        <w:rPr>
          <w:sz w:val="24"/>
          <w:szCs w:val="24"/>
        </w:rPr>
        <w:t xml:space="preserve"> what should be done with “the </w:t>
      </w:r>
      <w:r w:rsidR="00C047BB">
        <w:rPr>
          <w:sz w:val="24"/>
          <w:szCs w:val="24"/>
        </w:rPr>
        <w:t xml:space="preserve">surplus of [money set aside for] shekels” (M. </w:t>
      </w:r>
      <w:proofErr w:type="spellStart"/>
      <w:r w:rsidR="00C047BB">
        <w:rPr>
          <w:sz w:val="24"/>
          <w:szCs w:val="24"/>
        </w:rPr>
        <w:t>Shekalim</w:t>
      </w:r>
      <w:proofErr w:type="spellEnd"/>
      <w:r w:rsidR="00C047BB">
        <w:rPr>
          <w:sz w:val="24"/>
          <w:szCs w:val="24"/>
        </w:rPr>
        <w:t xml:space="preserve"> 2:5) including what sacrifices should be made for different occasions, such as childbirth, guilt-offerings, and peace-offerings. This gives the Mishnah significance within Judaism as it provides in dep</w:t>
      </w:r>
      <w:r w:rsidR="00C047BB">
        <w:rPr>
          <w:sz w:val="24"/>
          <w:szCs w:val="24"/>
        </w:rPr>
        <w:t>th details of what was considered the appropriate way t</w:t>
      </w:r>
      <w:r w:rsidR="5D1827DE">
        <w:rPr>
          <w:sz w:val="24"/>
          <w:szCs w:val="24"/>
        </w:rPr>
        <w:t>o</w:t>
      </w:r>
      <w:r w:rsidR="00C047BB">
        <w:rPr>
          <w:sz w:val="24"/>
          <w:szCs w:val="24"/>
        </w:rPr>
        <w:t xml:space="preserve"> honour God when the Temple was the main way that respects were shown. Furthermore, by providing such details of sacrifices that were p</w:t>
      </w:r>
      <w:r w:rsidR="128A2BEC">
        <w:rPr>
          <w:sz w:val="24"/>
          <w:szCs w:val="24"/>
        </w:rPr>
        <w:t>er</w:t>
      </w:r>
      <w:r w:rsidR="00C047BB">
        <w:rPr>
          <w:sz w:val="24"/>
          <w:szCs w:val="24"/>
        </w:rPr>
        <w:t xml:space="preserve">formed, the Mishnah </w:t>
      </w:r>
      <w:r w:rsidR="3E2FBD07">
        <w:rPr>
          <w:sz w:val="24"/>
          <w:szCs w:val="24"/>
        </w:rPr>
        <w:t>i</w:t>
      </w:r>
      <w:r w:rsidR="00C047BB">
        <w:rPr>
          <w:sz w:val="24"/>
          <w:szCs w:val="24"/>
        </w:rPr>
        <w:t>s significan</w:t>
      </w:r>
      <w:r w:rsidR="37220CCB">
        <w:rPr>
          <w:sz w:val="24"/>
          <w:szCs w:val="24"/>
        </w:rPr>
        <w:t>t</w:t>
      </w:r>
      <w:r w:rsidR="00C047BB">
        <w:rPr>
          <w:sz w:val="24"/>
          <w:szCs w:val="24"/>
        </w:rPr>
        <w:t xml:space="preserve"> as it </w:t>
      </w:r>
      <w:r w:rsidR="2379B739">
        <w:rPr>
          <w:sz w:val="24"/>
          <w:szCs w:val="24"/>
        </w:rPr>
        <w:t xml:space="preserve">provides </w:t>
      </w:r>
      <w:r w:rsidR="00C047BB">
        <w:rPr>
          <w:sz w:val="24"/>
          <w:szCs w:val="24"/>
        </w:rPr>
        <w:t>historical importance, in addition to spiritual importance. This historical importance can again be seen in other teachings surrounding the Temple. For example:</w:t>
      </w:r>
    </w:p>
    <w:p w:rsidR="00B20EF8" w:rsidRDefault="00C047BB" w14:paraId="7F505946" w14:textId="77777777">
      <w:pPr>
        <w:ind w:left="720"/>
      </w:pPr>
      <w:r>
        <w:rPr>
          <w:i/>
          <w:iCs/>
          <w:sz w:val="24"/>
          <w:szCs w:val="24"/>
        </w:rPr>
        <w:t>If one dedicated his possessions to the Temple, and there was among them things which was f</w:t>
      </w:r>
      <w:r>
        <w:rPr>
          <w:i/>
          <w:iCs/>
          <w:sz w:val="24"/>
          <w:szCs w:val="24"/>
        </w:rPr>
        <w:t>it for public offerings, they should be given to the craftsmen as their wages</w:t>
      </w:r>
      <w:r>
        <w:rPr>
          <w:sz w:val="24"/>
          <w:szCs w:val="24"/>
        </w:rPr>
        <w:t xml:space="preserve"> (M. Shekalim 4:6)</w:t>
      </w:r>
    </w:p>
    <w:p w:rsidR="00B20EF8" w:rsidRDefault="00C047BB" w14:paraId="487DC84B" w14:textId="7FB6BC16">
      <w:pPr>
        <w:rPr>
          <w:sz w:val="24"/>
          <w:szCs w:val="24"/>
        </w:rPr>
      </w:pPr>
      <w:r w:rsidRPr="3B26ACCE" w:rsidR="00C047BB">
        <w:rPr>
          <w:sz w:val="24"/>
          <w:szCs w:val="24"/>
        </w:rPr>
        <w:t>This again highlights the historical significance of Mishnah within Judaism as it demonstrates how sacrifices were pe</w:t>
      </w:r>
      <w:r w:rsidRPr="3B26ACCE" w:rsidR="0F000121">
        <w:rPr>
          <w:sz w:val="24"/>
          <w:szCs w:val="24"/>
        </w:rPr>
        <w:t>r</w:t>
      </w:r>
      <w:r w:rsidRPr="3B26ACCE" w:rsidR="00C047BB">
        <w:rPr>
          <w:sz w:val="24"/>
          <w:szCs w:val="24"/>
        </w:rPr>
        <w:t xml:space="preserve">formed and what sacrifices were </w:t>
      </w:r>
      <w:r w:rsidRPr="3B26ACCE" w:rsidR="00C047BB">
        <w:rPr>
          <w:sz w:val="24"/>
          <w:szCs w:val="24"/>
        </w:rPr>
        <w:t xml:space="preserve">considered appropriate for different events. The Mishnah provides </w:t>
      </w:r>
      <w:r w:rsidRPr="3B26ACCE" w:rsidR="0B56D0B8">
        <w:rPr>
          <w:sz w:val="24"/>
          <w:szCs w:val="24"/>
        </w:rPr>
        <w:t>considerable</w:t>
      </w:r>
      <w:r w:rsidRPr="3B26ACCE" w:rsidR="00C047BB">
        <w:rPr>
          <w:sz w:val="24"/>
          <w:szCs w:val="24"/>
        </w:rPr>
        <w:t xml:space="preserve"> detail of Temple worship and therefore helps to preserve the traditions in the Temple</w:t>
      </w:r>
      <w:r w:rsidRPr="3B26ACCE" w:rsidR="47C28210">
        <w:rPr>
          <w:sz w:val="24"/>
          <w:szCs w:val="24"/>
        </w:rPr>
        <w:t xml:space="preserve"> and</w:t>
      </w:r>
      <w:r w:rsidRPr="3B26ACCE" w:rsidR="1E0661C2">
        <w:rPr>
          <w:sz w:val="24"/>
          <w:szCs w:val="24"/>
        </w:rPr>
        <w:t xml:space="preserve"> </w:t>
      </w:r>
      <w:r w:rsidRPr="3B26ACCE" w:rsidR="00C047BB">
        <w:rPr>
          <w:sz w:val="24"/>
          <w:szCs w:val="24"/>
        </w:rPr>
        <w:t>to remember the history of the Temple</w:t>
      </w:r>
      <w:r w:rsidRPr="3B26ACCE" w:rsidR="7A071004">
        <w:rPr>
          <w:sz w:val="24"/>
          <w:szCs w:val="24"/>
        </w:rPr>
        <w:t>,</w:t>
      </w:r>
      <w:r w:rsidRPr="3B26ACCE" w:rsidR="00C047BB">
        <w:rPr>
          <w:sz w:val="24"/>
          <w:szCs w:val="24"/>
        </w:rPr>
        <w:t xml:space="preserve"> and could be implemented if the Temple is ever </w:t>
      </w:r>
      <w:r w:rsidRPr="3B26ACCE" w:rsidR="00C047BB">
        <w:rPr>
          <w:sz w:val="24"/>
          <w:szCs w:val="24"/>
        </w:rPr>
        <w:t xml:space="preserve">restored. </w:t>
      </w:r>
    </w:p>
    <w:p w:rsidR="00B20EF8" w:rsidRDefault="00C047BB" w14:paraId="1C79B473" w14:textId="6340B392">
      <w:r w:rsidR="00C047BB">
        <w:rPr>
          <w:sz w:val="24"/>
          <w:szCs w:val="24"/>
        </w:rPr>
        <w:t>However, it could be argued that although the Mishnah does provide a historical account of the practices that took place in the Temple, this does not make the Mishnah as significant because it does not have a substantial effect on modern practic</w:t>
      </w:r>
      <w:r w:rsidR="00C047BB">
        <w:rPr>
          <w:sz w:val="24"/>
          <w:szCs w:val="24"/>
        </w:rPr>
        <w:t>es. For example, within Reform Judaism any prayers about animal sacrifice were omitted,</w:t>
      </w:r>
      <w:r>
        <w:rPr>
          <w:rStyle w:val="FootnoteReference"/>
          <w:sz w:val="24"/>
          <w:szCs w:val="24"/>
        </w:rPr>
        <w:footnoteReference w:id="23"/>
      </w:r>
      <w:r w:rsidR="00C047BB">
        <w:rPr>
          <w:sz w:val="24"/>
          <w:szCs w:val="24"/>
        </w:rPr>
        <w:t xml:space="preserve"> and </w:t>
      </w:r>
      <w:proofErr w:type="gramStart"/>
      <w:r w:rsidR="00C047BB">
        <w:rPr>
          <w:sz w:val="24"/>
          <w:szCs w:val="24"/>
        </w:rPr>
        <w:t xml:space="preserve">therefore</w:t>
      </w:r>
      <w:proofErr w:type="gramEnd"/>
      <w:r w:rsidR="00C047BB">
        <w:rPr>
          <w:sz w:val="24"/>
          <w:szCs w:val="24"/>
        </w:rPr>
        <w:t xml:space="preserve"> it can be argued that the Mishnah does not hold as much importance as it dedicates a significant amount of space to historical traditions that are no longer p</w:t>
      </w:r>
      <w:r w:rsidR="50624C4D">
        <w:rPr>
          <w:sz w:val="24"/>
          <w:szCs w:val="24"/>
        </w:rPr>
        <w:t xml:space="preserve">er</w:t>
      </w:r>
      <w:r w:rsidR="00C047BB">
        <w:rPr>
          <w:sz w:val="24"/>
          <w:szCs w:val="24"/>
        </w:rPr>
        <w:t xml:space="preserve">for</w:t>
      </w:r>
      <w:r w:rsidR="00C047BB">
        <w:rPr>
          <w:sz w:val="24"/>
          <w:szCs w:val="24"/>
        </w:rPr>
        <w:t xml:space="preserve">med within Judaism today. </w:t>
      </w:r>
      <w:r w:rsidR="00C047BB">
        <w:rPr>
          <w:sz w:val="24"/>
          <w:szCs w:val="24"/>
        </w:rPr>
        <w:lastRenderedPageBreak/>
        <w:t>This is particularly true in Reform Judaism as there is more of an emphasis on moral commandments</w:t>
      </w:r>
      <w:r>
        <w:rPr>
          <w:rStyle w:val="FootnoteReference"/>
          <w:sz w:val="24"/>
          <w:szCs w:val="24"/>
        </w:rPr>
        <w:footnoteReference w:id="24"/>
      </w:r>
      <w:r w:rsidR="00C047BB">
        <w:rPr>
          <w:sz w:val="24"/>
          <w:szCs w:val="24"/>
        </w:rPr>
        <w:t xml:space="preserve"> than with the focus on historical practices which are not performed today</w:t>
      </w:r>
      <w:r w:rsidR="08A09B1B">
        <w:rPr>
          <w:sz w:val="24"/>
          <w:szCs w:val="24"/>
        </w:rPr>
        <w:t xml:space="preserve">,</w:t>
      </w:r>
      <w:r w:rsidR="00C047BB">
        <w:rPr>
          <w:sz w:val="24"/>
          <w:szCs w:val="24"/>
        </w:rPr>
        <w:t xml:space="preserve"> nor are similar practices. </w:t>
      </w:r>
      <w:proofErr w:type="gramStart"/>
      <w:r w:rsidR="00C047BB">
        <w:rPr>
          <w:sz w:val="24"/>
          <w:szCs w:val="24"/>
        </w:rPr>
        <w:t xml:space="preserve">Therefore</w:t>
      </w:r>
      <w:proofErr w:type="gramEnd"/>
      <w:r w:rsidR="00C047BB">
        <w:rPr>
          <w:sz w:val="24"/>
          <w:szCs w:val="24"/>
        </w:rPr>
        <w:t xml:space="preserve"> the Mishnah has limited appl</w:t>
      </w:r>
      <w:r w:rsidR="00C047BB">
        <w:rPr>
          <w:sz w:val="24"/>
          <w:szCs w:val="24"/>
        </w:rPr>
        <w:t xml:space="preserve">icable teachings, and as a result its significance is reduced. </w:t>
      </w:r>
    </w:p>
    <w:p w:rsidR="00B20EF8" w:rsidRDefault="00C047BB" w14:paraId="040C5308" w14:textId="77777777">
      <w:pPr>
        <w:rPr>
          <w:sz w:val="24"/>
          <w:szCs w:val="24"/>
        </w:rPr>
      </w:pPr>
      <w:r>
        <w:rPr>
          <w:sz w:val="24"/>
          <w:szCs w:val="24"/>
        </w:rPr>
        <w:t>In contrast to this, the argument could be countered by considering different tractates in the Mishnah, such as:</w:t>
      </w:r>
    </w:p>
    <w:p w:rsidR="00B20EF8" w:rsidRDefault="00C047BB" w14:paraId="67DA16AC" w14:textId="77777777">
      <w:pPr>
        <w:ind w:left="720"/>
      </w:pPr>
      <w:r>
        <w:rPr>
          <w:i/>
          <w:iCs/>
          <w:sz w:val="24"/>
          <w:szCs w:val="24"/>
        </w:rPr>
        <w:t>On the twenty-fifth they set them up in the Temple. When [the tables] we</w:t>
      </w:r>
      <w:r>
        <w:rPr>
          <w:i/>
          <w:iCs/>
          <w:sz w:val="24"/>
          <w:szCs w:val="24"/>
        </w:rPr>
        <w:t>re set up in the Temple, they began to exact pledges [from those who had not paid]. … but not women or slaves or minors.</w:t>
      </w:r>
      <w:r>
        <w:rPr>
          <w:sz w:val="24"/>
          <w:szCs w:val="24"/>
        </w:rPr>
        <w:t xml:space="preserve"> (M. Shekalim 1:3)</w:t>
      </w:r>
    </w:p>
    <w:p w:rsidR="00B20EF8" w:rsidRDefault="00C047BB" w14:paraId="34A4AA3D" w14:textId="4CB04CB6">
      <w:pPr>
        <w:rPr>
          <w:sz w:val="24"/>
          <w:szCs w:val="24"/>
        </w:rPr>
      </w:pPr>
      <w:r w:rsidRPr="3B26ACCE" w:rsidR="00C047BB">
        <w:rPr>
          <w:sz w:val="24"/>
          <w:szCs w:val="24"/>
        </w:rPr>
        <w:t>This tractate</w:t>
      </w:r>
      <w:r w:rsidRPr="3B26ACCE" w:rsidR="743C0859">
        <w:rPr>
          <w:sz w:val="24"/>
          <w:szCs w:val="24"/>
        </w:rPr>
        <w:t>,</w:t>
      </w:r>
      <w:r w:rsidRPr="3B26ACCE" w:rsidR="00C047BB">
        <w:rPr>
          <w:sz w:val="24"/>
          <w:szCs w:val="24"/>
        </w:rPr>
        <w:t xml:space="preserve"> along with others</w:t>
      </w:r>
      <w:r w:rsidRPr="3B26ACCE" w:rsidR="1B9997E4">
        <w:rPr>
          <w:sz w:val="24"/>
          <w:szCs w:val="24"/>
        </w:rPr>
        <w:t>,</w:t>
      </w:r>
      <w:r w:rsidRPr="3B26ACCE" w:rsidR="00C047BB">
        <w:rPr>
          <w:sz w:val="24"/>
          <w:szCs w:val="24"/>
        </w:rPr>
        <w:t xml:space="preserve"> highlights that the Mishnah is significant within Judaism, as even within tractates t</w:t>
      </w:r>
      <w:r w:rsidRPr="3B26ACCE" w:rsidR="00C047BB">
        <w:rPr>
          <w:sz w:val="24"/>
          <w:szCs w:val="24"/>
        </w:rPr>
        <w:t xml:space="preserve">hat are discussing historical practices, the teachings show how different groups were expected to contribute to the Temple, which could be applied to how those groups should then contribute to the synagogue and the community in general. The above tractate </w:t>
      </w:r>
      <w:r w:rsidRPr="3B26ACCE" w:rsidR="00C047BB">
        <w:rPr>
          <w:sz w:val="24"/>
          <w:szCs w:val="24"/>
        </w:rPr>
        <w:t>highlights that despite discuss</w:t>
      </w:r>
      <w:r w:rsidRPr="3B26ACCE" w:rsidR="7AA29EBD">
        <w:rPr>
          <w:sz w:val="24"/>
          <w:szCs w:val="24"/>
        </w:rPr>
        <w:t>ing</w:t>
      </w:r>
      <w:r w:rsidRPr="3B26ACCE" w:rsidR="00C047BB">
        <w:rPr>
          <w:sz w:val="24"/>
          <w:szCs w:val="24"/>
        </w:rPr>
        <w:t xml:space="preserve"> a practice that is no longer done, the underlying teachings</w:t>
      </w:r>
      <w:r w:rsidRPr="3B26ACCE" w:rsidR="12336024">
        <w:rPr>
          <w:sz w:val="24"/>
          <w:szCs w:val="24"/>
        </w:rPr>
        <w:t xml:space="preserve"> still apply</w:t>
      </w:r>
      <w:r w:rsidRPr="3B26ACCE" w:rsidR="00C047BB">
        <w:rPr>
          <w:sz w:val="24"/>
          <w:szCs w:val="24"/>
        </w:rPr>
        <w:t xml:space="preserve">, in this case that women and minors do not have the same expectation when contributing economically to the community as men. Consequently, the </w:t>
      </w:r>
      <w:r w:rsidRPr="3B26ACCE" w:rsidR="00C047BB">
        <w:rPr>
          <w:sz w:val="24"/>
          <w:szCs w:val="24"/>
        </w:rPr>
        <w:t>Mishnah is significant within Judaism as it provides historical practices that are important to remember</w:t>
      </w:r>
      <w:r w:rsidRPr="3B26ACCE" w:rsidR="6BA36E7A">
        <w:rPr>
          <w:sz w:val="24"/>
          <w:szCs w:val="24"/>
        </w:rPr>
        <w:t>,</w:t>
      </w:r>
      <w:r w:rsidRPr="3B26ACCE" w:rsidR="00C047BB">
        <w:rPr>
          <w:sz w:val="24"/>
          <w:szCs w:val="24"/>
        </w:rPr>
        <w:t xml:space="preserve"> </w:t>
      </w:r>
      <w:r w:rsidRPr="3B26ACCE" w:rsidR="7B0B6101">
        <w:rPr>
          <w:sz w:val="24"/>
          <w:szCs w:val="24"/>
        </w:rPr>
        <w:t>as</w:t>
      </w:r>
      <w:r w:rsidRPr="3B26ACCE" w:rsidR="00C047BB">
        <w:rPr>
          <w:sz w:val="24"/>
          <w:szCs w:val="24"/>
        </w:rPr>
        <w:t xml:space="preserve"> both the practices and the corresponding teachings can be applied to modern services.  </w:t>
      </w:r>
    </w:p>
    <w:p w:rsidR="00B20EF8" w:rsidRDefault="00C047BB" w14:paraId="2C23B343" w14:textId="7BFAE4D7">
      <w:r w:rsidR="00C047BB">
        <w:rPr>
          <w:sz w:val="24"/>
          <w:szCs w:val="24"/>
        </w:rPr>
        <w:t>As a result of the Mishnah working to explain the teachin</w:t>
      </w:r>
      <w:r w:rsidR="00C047BB">
        <w:rPr>
          <w:sz w:val="24"/>
          <w:szCs w:val="24"/>
        </w:rPr>
        <w:t xml:space="preserve">gs of the written Torah and helping to preserve the historical practices of Judaism before 200 CE, the Mishnah can be considered significant within Judaism. This is because although arguments such as the Mishnah working as an anthology of Rabbinic beliefs </w:t>
      </w:r>
      <w:r w:rsidR="00C047BB">
        <w:rPr>
          <w:sz w:val="24"/>
          <w:szCs w:val="24"/>
        </w:rPr>
        <w:t>and practices</w:t>
      </w:r>
      <w:r>
        <w:rPr>
          <w:rStyle w:val="FootnoteReference"/>
          <w:sz w:val="24"/>
          <w:szCs w:val="24"/>
        </w:rPr>
        <w:footnoteReference w:id="25"/>
      </w:r>
      <w:r w:rsidR="00C047BB">
        <w:rPr>
          <w:sz w:val="24"/>
          <w:szCs w:val="24"/>
        </w:rPr>
        <w:t xml:space="preserve"> should be taken into consideration when reading </w:t>
      </w:r>
      <w:r w:rsidR="2B7E1A4B">
        <w:rPr>
          <w:sz w:val="24"/>
          <w:szCs w:val="24"/>
        </w:rPr>
        <w:t xml:space="preserve">it</w:t>
      </w:r>
      <w:r w:rsidR="00C047BB">
        <w:rPr>
          <w:sz w:val="24"/>
          <w:szCs w:val="24"/>
        </w:rPr>
        <w:t xml:space="preserve"> and appl</w:t>
      </w:r>
      <w:r w:rsidR="79C1CF32">
        <w:rPr>
          <w:sz w:val="24"/>
          <w:szCs w:val="24"/>
        </w:rPr>
        <w:t xml:space="preserve">ying it</w:t>
      </w:r>
      <w:r w:rsidR="00C047BB">
        <w:rPr>
          <w:sz w:val="24"/>
          <w:szCs w:val="24"/>
        </w:rPr>
        <w:t xml:space="preserve"> to modern </w:t>
      </w:r>
      <w:r w:rsidR="7B43852F">
        <w:rPr>
          <w:sz w:val="24"/>
          <w:szCs w:val="24"/>
        </w:rPr>
        <w:t xml:space="preserve">teaching</w:t>
      </w:r>
      <w:r w:rsidR="00C047BB">
        <w:rPr>
          <w:sz w:val="24"/>
          <w:szCs w:val="24"/>
        </w:rPr>
        <w:t xml:space="preserve">s in Judaism, it was these practices</w:t>
      </w:r>
      <w:r w:rsidR="00C047BB">
        <w:rPr>
          <w:sz w:val="24"/>
          <w:szCs w:val="24"/>
        </w:rPr>
        <w:t xml:space="preserve"> that were the foundation for many contemporary practices, thus giving the Mishnah significance. Furthermore, even if one were to only consider the Mishnah as an anthology of Rabbinic beliefs, this still results in it holding significance within Judaism a</w:t>
      </w:r>
      <w:r w:rsidR="00C047BB">
        <w:rPr>
          <w:sz w:val="24"/>
          <w:szCs w:val="24"/>
        </w:rPr>
        <w:t xml:space="preserve">s it helps to preserve the traditions and practices during the Second Temple period and before. </w:t>
      </w:r>
      <w:r w:rsidR="1C7544B9">
        <w:rPr>
          <w:sz w:val="24"/>
          <w:szCs w:val="24"/>
        </w:rPr>
        <w:t>Furthermore</w:t>
      </w:r>
      <w:r w:rsidR="00C047BB">
        <w:rPr>
          <w:sz w:val="24"/>
          <w:szCs w:val="24"/>
        </w:rPr>
        <w:t>, one of the main reasons that the Mishnah is considered significant is because it provides detailed explanations of the teachings and commandments of th</w:t>
      </w:r>
      <w:r w:rsidR="00C047BB">
        <w:rPr>
          <w:sz w:val="24"/>
          <w:szCs w:val="24"/>
        </w:rPr>
        <w:t xml:space="preserve">e written Torah, which allows for Jews to have a better understanding of God’s Will and can learn how to obey God’s commandments by reading the Mishnah. Therefore, although there are factors that should be taken into </w:t>
      </w:r>
      <w:proofErr w:type="gramStart"/>
      <w:r w:rsidR="00C047BB">
        <w:rPr>
          <w:sz w:val="24"/>
          <w:szCs w:val="24"/>
        </w:rPr>
        <w:t xml:space="preserve">consideration  when</w:t>
      </w:r>
      <w:proofErr w:type="gramEnd"/>
      <w:r w:rsidR="00C047BB">
        <w:rPr>
          <w:sz w:val="24"/>
          <w:szCs w:val="24"/>
        </w:rPr>
        <w:t xml:space="preserve"> applying </w:t>
      </w:r>
      <w:r w:rsidR="00C047BB">
        <w:rPr>
          <w:sz w:val="24"/>
          <w:szCs w:val="24"/>
        </w:rPr>
        <w:t xml:space="preserve">the teachings of the Mishnah today, it still remains significant within Judaism.  </w:t>
      </w:r>
    </w:p>
    <w:p w:rsidR="00B20EF8" w:rsidRDefault="00B20EF8" w14:paraId="70A0E7A8" w14:textId="77777777">
      <w:pPr>
        <w:rPr>
          <w:sz w:val="24"/>
          <w:szCs w:val="24"/>
        </w:rPr>
      </w:pPr>
    </w:p>
    <w:p w:rsidR="00B20EF8" w:rsidRDefault="00B20EF8" w14:paraId="67E3FB76" w14:textId="77777777">
      <w:pPr>
        <w:rPr>
          <w:sz w:val="24"/>
          <w:szCs w:val="24"/>
        </w:rPr>
      </w:pPr>
    </w:p>
    <w:p w:rsidR="00B20EF8" w:rsidRDefault="00B20EF8" w14:paraId="3032B935" w14:textId="77777777">
      <w:pPr>
        <w:rPr>
          <w:sz w:val="24"/>
          <w:szCs w:val="24"/>
        </w:rPr>
      </w:pPr>
    </w:p>
    <w:p w:rsidR="00B20EF8" w:rsidRDefault="00B20EF8" w14:paraId="24F7E9D7" w14:textId="77777777">
      <w:pPr>
        <w:rPr>
          <w:sz w:val="24"/>
          <w:szCs w:val="24"/>
        </w:rPr>
      </w:pPr>
    </w:p>
    <w:p w:rsidR="00B20EF8" w:rsidRDefault="00C047BB" w14:paraId="55D2B0CD" w14:textId="77777777">
      <w:pPr>
        <w:rPr>
          <w:sz w:val="24"/>
          <w:szCs w:val="24"/>
        </w:rPr>
      </w:pPr>
      <w:r>
        <w:rPr>
          <w:sz w:val="24"/>
          <w:szCs w:val="24"/>
        </w:rPr>
        <w:lastRenderedPageBreak/>
        <w:t>Bibliography:</w:t>
      </w:r>
    </w:p>
    <w:p w:rsidR="00B20EF8" w:rsidRDefault="00C047BB" w14:paraId="0ED57E32" w14:textId="77777777">
      <w:pPr>
        <w:pStyle w:val="ListParagraph"/>
        <w:numPr>
          <w:ilvl w:val="0"/>
          <w:numId w:val="1"/>
        </w:numPr>
      </w:pPr>
      <w:r>
        <w:rPr>
          <w:sz w:val="24"/>
          <w:szCs w:val="24"/>
        </w:rPr>
        <w:t xml:space="preserve">Brandes, Y. ‘The Canonization of the Mishnah’, </w:t>
      </w:r>
      <w:r>
        <w:rPr>
          <w:i/>
          <w:iCs/>
          <w:sz w:val="24"/>
          <w:szCs w:val="24"/>
        </w:rPr>
        <w:t xml:space="preserve">Journal of Ancient Judaism, </w:t>
      </w:r>
      <w:r>
        <w:rPr>
          <w:sz w:val="24"/>
          <w:szCs w:val="24"/>
        </w:rPr>
        <w:t>10(2) (2019) 145-180</w:t>
      </w:r>
    </w:p>
    <w:p w:rsidR="00B20EF8" w:rsidRDefault="00C047BB" w14:paraId="2F56EFD9" w14:textId="77777777">
      <w:pPr>
        <w:pStyle w:val="ListParagraph"/>
        <w:numPr>
          <w:ilvl w:val="0"/>
          <w:numId w:val="1"/>
        </w:numPr>
      </w:pPr>
      <w:r>
        <w:rPr>
          <w:sz w:val="24"/>
          <w:szCs w:val="24"/>
        </w:rPr>
        <w:t xml:space="preserve">British Library, First Complete Mishnah, date </w:t>
      </w:r>
      <w:r>
        <w:rPr>
          <w:sz w:val="24"/>
          <w:szCs w:val="24"/>
        </w:rPr>
        <w:t>unknown &lt;</w:t>
      </w:r>
      <w:hyperlink w:history="1" r:id="rId7">
        <w:r>
          <w:rPr>
            <w:rStyle w:val="Hyperlink"/>
            <w:sz w:val="24"/>
            <w:szCs w:val="24"/>
          </w:rPr>
          <w:t>https://www.bl.uk/collection-items/first-complete-mishnah#</w:t>
        </w:r>
      </w:hyperlink>
      <w:r>
        <w:rPr>
          <w:sz w:val="24"/>
          <w:szCs w:val="24"/>
        </w:rPr>
        <w:t>&gt;</w:t>
      </w:r>
    </w:p>
    <w:p w:rsidR="00B20EF8" w:rsidRDefault="00C047BB" w14:paraId="353C2DB3" w14:textId="77777777">
      <w:pPr>
        <w:pStyle w:val="ListParagraph"/>
        <w:numPr>
          <w:ilvl w:val="0"/>
          <w:numId w:val="1"/>
        </w:numPr>
      </w:pPr>
      <w:r>
        <w:rPr>
          <w:sz w:val="24"/>
          <w:szCs w:val="24"/>
        </w:rPr>
        <w:t xml:space="preserve">Davies, P. ‘Judaism and the Hebrew Scriptre’ in </w:t>
      </w:r>
      <w:r>
        <w:rPr>
          <w:i/>
          <w:iCs/>
          <w:sz w:val="24"/>
          <w:szCs w:val="24"/>
        </w:rPr>
        <w:t>The Blackwell Companion to Judaism</w:t>
      </w:r>
      <w:r>
        <w:rPr>
          <w:sz w:val="24"/>
          <w:szCs w:val="24"/>
        </w:rPr>
        <w:t xml:space="preserve"> (ed. J. Neusner and A. Avery</w:t>
      </w:r>
      <w:r>
        <w:rPr>
          <w:sz w:val="24"/>
          <w:szCs w:val="24"/>
        </w:rPr>
        <w:t>-Peck) (Oxford: Blackwell Publishing Ltd, 2004)</w:t>
      </w:r>
    </w:p>
    <w:p w:rsidR="00B20EF8" w:rsidRDefault="00C047BB" w14:paraId="60B20C02" w14:textId="77777777">
      <w:pPr>
        <w:pStyle w:val="ListParagraph"/>
        <w:numPr>
          <w:ilvl w:val="0"/>
          <w:numId w:val="1"/>
        </w:numPr>
      </w:pPr>
      <w:r>
        <w:rPr>
          <w:sz w:val="24"/>
          <w:szCs w:val="24"/>
        </w:rPr>
        <w:t>Fox, Rabbi B. When the Written and Oral Tradition Contradict One Another, date unknown, &lt;</w:t>
      </w:r>
      <w:hyperlink w:history="1" r:id="rId8">
        <w:r>
          <w:rPr>
            <w:rStyle w:val="Hyperlink"/>
            <w:sz w:val="24"/>
            <w:szCs w:val="24"/>
          </w:rPr>
          <w:t>https://outorah.org/p/20197/</w:t>
        </w:r>
      </w:hyperlink>
      <w:r>
        <w:rPr>
          <w:sz w:val="24"/>
          <w:szCs w:val="24"/>
        </w:rPr>
        <w:t>&gt;</w:t>
      </w:r>
    </w:p>
    <w:p w:rsidR="00B20EF8" w:rsidRDefault="00C047BB" w14:paraId="29839CB8" w14:textId="77777777">
      <w:pPr>
        <w:pStyle w:val="ListParagraph"/>
        <w:numPr>
          <w:ilvl w:val="0"/>
          <w:numId w:val="1"/>
        </w:numPr>
      </w:pPr>
      <w:r>
        <w:rPr>
          <w:sz w:val="24"/>
          <w:szCs w:val="24"/>
        </w:rPr>
        <w:t xml:space="preserve">Goodman, M. ‘Mishnah’, Oxford </w:t>
      </w:r>
      <w:r>
        <w:rPr>
          <w:sz w:val="24"/>
          <w:szCs w:val="24"/>
        </w:rPr>
        <w:t xml:space="preserve">Classical Dictionary, 2015, </w:t>
      </w:r>
      <w:hyperlink w:history="1" r:id="rId9">
        <w:r>
          <w:rPr>
            <w:rStyle w:val="Hyperlink"/>
            <w:sz w:val="24"/>
            <w:szCs w:val="24"/>
          </w:rPr>
          <w:t>https://oxfordre.com/classics/view/10.1093/acrefore/9780199381135.001.0001/acrefore-9780199381135-e-4222</w:t>
        </w:r>
      </w:hyperlink>
    </w:p>
    <w:p w:rsidR="00B20EF8" w:rsidRDefault="00C047BB" w14:paraId="391FF937" w14:textId="77777777">
      <w:pPr>
        <w:pStyle w:val="ListParagraph"/>
        <w:numPr>
          <w:ilvl w:val="0"/>
          <w:numId w:val="1"/>
        </w:numPr>
      </w:pPr>
      <w:r>
        <w:rPr>
          <w:sz w:val="24"/>
          <w:szCs w:val="24"/>
        </w:rPr>
        <w:t>J</w:t>
      </w:r>
      <w:r>
        <w:rPr>
          <w:sz w:val="24"/>
          <w:szCs w:val="24"/>
        </w:rPr>
        <w:t>ewish Virtual Library, Mishnah, 2008, &lt;</w:t>
      </w:r>
      <w:hyperlink w:history="1" r:id="rId10">
        <w:r>
          <w:rPr>
            <w:rStyle w:val="Hyperlink"/>
            <w:sz w:val="24"/>
            <w:szCs w:val="24"/>
          </w:rPr>
          <w:t>https://www.jewishvirtuallibrary.org/mishnah</w:t>
        </w:r>
      </w:hyperlink>
      <w:r>
        <w:rPr>
          <w:sz w:val="24"/>
          <w:szCs w:val="24"/>
        </w:rPr>
        <w:t>&gt;</w:t>
      </w:r>
    </w:p>
    <w:p w:rsidR="00B20EF8" w:rsidRDefault="00C047BB" w14:paraId="1AA87991" w14:textId="77777777">
      <w:pPr>
        <w:pStyle w:val="ListParagraph"/>
        <w:numPr>
          <w:ilvl w:val="0"/>
          <w:numId w:val="1"/>
        </w:numPr>
      </w:pPr>
      <w:r>
        <w:rPr>
          <w:sz w:val="24"/>
          <w:szCs w:val="24"/>
        </w:rPr>
        <w:t xml:space="preserve">Kraemer, D. ‘The Mishnah’ in </w:t>
      </w:r>
      <w:r>
        <w:rPr>
          <w:i/>
          <w:iCs/>
          <w:sz w:val="24"/>
          <w:szCs w:val="24"/>
        </w:rPr>
        <w:t xml:space="preserve">The Cambridge History of Judaism, </w:t>
      </w:r>
      <w:r>
        <w:rPr>
          <w:sz w:val="24"/>
          <w:szCs w:val="24"/>
        </w:rPr>
        <w:t>vol. 4</w:t>
      </w:r>
      <w:r>
        <w:rPr>
          <w:i/>
          <w:iCs/>
          <w:sz w:val="24"/>
          <w:szCs w:val="24"/>
        </w:rPr>
        <w:t xml:space="preserve"> </w:t>
      </w:r>
      <w:r>
        <w:rPr>
          <w:sz w:val="24"/>
          <w:szCs w:val="24"/>
        </w:rPr>
        <w:t>(ed. S. Katz)</w:t>
      </w:r>
    </w:p>
    <w:p w:rsidR="00B20EF8" w:rsidRDefault="00C047BB" w14:paraId="4C4C6732" w14:textId="77777777">
      <w:pPr>
        <w:pStyle w:val="ListParagraph"/>
        <w:numPr>
          <w:ilvl w:val="0"/>
          <w:numId w:val="1"/>
        </w:numPr>
      </w:pPr>
      <w:r>
        <w:rPr>
          <w:sz w:val="24"/>
          <w:szCs w:val="24"/>
        </w:rPr>
        <w:t xml:space="preserve">Neusner, J </w:t>
      </w:r>
      <w:r>
        <w:rPr>
          <w:i/>
          <w:iCs/>
          <w:sz w:val="24"/>
          <w:szCs w:val="24"/>
        </w:rPr>
        <w:t>Rabbinic Judai</w:t>
      </w:r>
      <w:r>
        <w:rPr>
          <w:i/>
          <w:iCs/>
          <w:sz w:val="24"/>
          <w:szCs w:val="24"/>
        </w:rPr>
        <w:t>sm’s Generative Logic</w:t>
      </w:r>
      <w:r>
        <w:rPr>
          <w:sz w:val="24"/>
          <w:szCs w:val="24"/>
        </w:rPr>
        <w:t>, (New York: Global Publications, 2002)</w:t>
      </w:r>
    </w:p>
    <w:p w:rsidR="00B20EF8" w:rsidRDefault="00C047BB" w14:paraId="2A1FD9DC" w14:textId="77777777">
      <w:pPr>
        <w:pStyle w:val="ListParagraph"/>
        <w:numPr>
          <w:ilvl w:val="0"/>
          <w:numId w:val="1"/>
        </w:numPr>
      </w:pPr>
      <w:r>
        <w:rPr>
          <w:sz w:val="24"/>
          <w:szCs w:val="24"/>
        </w:rPr>
        <w:t xml:space="preserve">Neusner, J. </w:t>
      </w:r>
      <w:r>
        <w:rPr>
          <w:i/>
          <w:iCs/>
          <w:sz w:val="24"/>
          <w:szCs w:val="24"/>
        </w:rPr>
        <w:t>Making Gods Word Work: A Guide to the Mishnah</w:t>
      </w:r>
      <w:r>
        <w:rPr>
          <w:sz w:val="24"/>
          <w:szCs w:val="24"/>
        </w:rPr>
        <w:t xml:space="preserve"> (London: Continuum International Publishing, 2004)</w:t>
      </w:r>
    </w:p>
    <w:p w:rsidR="00B20EF8" w:rsidRDefault="00C047BB" w14:paraId="22F58798" w14:textId="77777777">
      <w:pPr>
        <w:pStyle w:val="ListParagraph"/>
        <w:numPr>
          <w:ilvl w:val="0"/>
          <w:numId w:val="1"/>
        </w:numPr>
      </w:pPr>
      <w:r>
        <w:rPr>
          <w:sz w:val="24"/>
          <w:szCs w:val="24"/>
        </w:rPr>
        <w:t xml:space="preserve">Neusner, J. </w:t>
      </w:r>
      <w:r>
        <w:rPr>
          <w:i/>
          <w:iCs/>
          <w:sz w:val="24"/>
          <w:szCs w:val="24"/>
        </w:rPr>
        <w:t>The Four Stages of Rabbinic Judaism</w:t>
      </w:r>
      <w:r>
        <w:rPr>
          <w:sz w:val="24"/>
          <w:szCs w:val="24"/>
        </w:rPr>
        <w:t xml:space="preserve"> (London: Routledge, 1999)</w:t>
      </w:r>
    </w:p>
    <w:p w:rsidR="00B20EF8" w:rsidRDefault="00C047BB" w14:paraId="405F8E50" w14:textId="77777777">
      <w:pPr>
        <w:pStyle w:val="ListParagraph"/>
        <w:numPr>
          <w:ilvl w:val="0"/>
          <w:numId w:val="1"/>
        </w:numPr>
      </w:pPr>
      <w:r>
        <w:rPr>
          <w:sz w:val="24"/>
          <w:szCs w:val="24"/>
        </w:rPr>
        <w:t>Reform Judai</w:t>
      </w:r>
      <w:r>
        <w:rPr>
          <w:sz w:val="24"/>
          <w:szCs w:val="24"/>
        </w:rPr>
        <w:t xml:space="preserve">sm, History: The Hanukkah Story, date unknown, &lt; </w:t>
      </w:r>
      <w:hyperlink w:history="1" r:id="rId11">
        <w:r>
          <w:rPr>
            <w:rStyle w:val="Hyperlink"/>
            <w:sz w:val="24"/>
            <w:szCs w:val="24"/>
          </w:rPr>
          <w:t>https://reformjudaism.org/jewish-holidays/hanukkah/history-hanukkah-story</w:t>
        </w:r>
      </w:hyperlink>
      <w:r>
        <w:rPr>
          <w:sz w:val="24"/>
          <w:szCs w:val="24"/>
        </w:rPr>
        <w:t>&gt;</w:t>
      </w:r>
    </w:p>
    <w:p w:rsidR="00B20EF8" w:rsidRDefault="00C047BB" w14:paraId="2CE36077" w14:textId="77777777">
      <w:pPr>
        <w:pStyle w:val="ListParagraph"/>
        <w:numPr>
          <w:ilvl w:val="0"/>
          <w:numId w:val="1"/>
        </w:numPr>
      </w:pPr>
      <w:r>
        <w:rPr>
          <w:sz w:val="24"/>
          <w:szCs w:val="24"/>
        </w:rPr>
        <w:t>Rich, T. Jewish Liturgy, 2020, &lt;</w:t>
      </w:r>
      <w:hyperlink w:history="1" r:id="rId12">
        <w:r>
          <w:rPr>
            <w:rStyle w:val="Hyperlink"/>
            <w:rFonts w:cs="Calibri"/>
            <w:sz w:val="24"/>
            <w:szCs w:val="24"/>
            <w:shd w:val="clear" w:color="auto" w:fill="FFFFFF"/>
          </w:rPr>
          <w:t>www.jewfaq.org/liturgy.htm</w:t>
        </w:r>
      </w:hyperlink>
      <w:r>
        <w:rPr>
          <w:rFonts w:cs="Calibri"/>
          <w:sz w:val="24"/>
          <w:szCs w:val="24"/>
          <w:shd w:val="clear" w:color="auto" w:fill="FFFFFF"/>
        </w:rPr>
        <w:t>&gt;</w:t>
      </w:r>
    </w:p>
    <w:p w:rsidR="00B20EF8" w:rsidRDefault="00C047BB" w14:paraId="29F8810F" w14:textId="77777777">
      <w:pPr>
        <w:pStyle w:val="FootnoteText"/>
        <w:numPr>
          <w:ilvl w:val="0"/>
          <w:numId w:val="1"/>
        </w:numPr>
      </w:pPr>
      <w:r>
        <w:rPr>
          <w:sz w:val="24"/>
          <w:szCs w:val="24"/>
        </w:rPr>
        <w:t xml:space="preserve">Rofeberg, L. ‘Why The Mishnah Is the Best Jewish Book You’ve Never Read’, My Jewish Learning, Date unknown, </w:t>
      </w:r>
      <w:hyperlink w:history="1" r:id="rId13">
        <w:r>
          <w:rPr>
            <w:rStyle w:val="Hyperlink"/>
            <w:sz w:val="24"/>
            <w:szCs w:val="24"/>
          </w:rPr>
          <w:t>https://www.myjewishlearning.com/article/why-the-mishnah-is-the-best-jewish-book-youve-never-read/</w:t>
        </w:r>
      </w:hyperlink>
      <w:r>
        <w:rPr>
          <w:sz w:val="24"/>
          <w:szCs w:val="24"/>
        </w:rPr>
        <w:t xml:space="preserve"> </w:t>
      </w:r>
    </w:p>
    <w:p w:rsidR="00B20EF8" w:rsidRDefault="00C047BB" w14:paraId="3D7BEF65" w14:textId="77777777">
      <w:pPr>
        <w:pStyle w:val="ListParagraph"/>
        <w:numPr>
          <w:ilvl w:val="0"/>
          <w:numId w:val="1"/>
        </w:numPr>
      </w:pPr>
      <w:r>
        <w:rPr>
          <w:sz w:val="24"/>
          <w:szCs w:val="24"/>
        </w:rPr>
        <w:t>Romain, Rabbi J. Reform Judaism, 2009, &lt;</w:t>
      </w:r>
      <w:hyperlink w:history="1" r:id="rId14">
        <w:r>
          <w:rPr>
            <w:rStyle w:val="Hyperlink"/>
            <w:sz w:val="24"/>
            <w:szCs w:val="24"/>
          </w:rPr>
          <w:t>https://www.bbc.co.uk/religion/religions/judaism/subdivisions/reform_1.shtml</w:t>
        </w:r>
      </w:hyperlink>
      <w:r>
        <w:rPr>
          <w:sz w:val="24"/>
          <w:szCs w:val="24"/>
        </w:rPr>
        <w:t>&gt;</w:t>
      </w:r>
    </w:p>
    <w:p w:rsidR="00B20EF8" w:rsidRDefault="00C047BB" w14:paraId="569BD274" w14:textId="77777777">
      <w:pPr>
        <w:pStyle w:val="ListParagraph"/>
        <w:numPr>
          <w:ilvl w:val="0"/>
          <w:numId w:val="1"/>
        </w:numPr>
      </w:pPr>
      <w:r>
        <w:rPr>
          <w:sz w:val="24"/>
          <w:szCs w:val="24"/>
        </w:rPr>
        <w:t xml:space="preserve">Sanders, E.P. </w:t>
      </w:r>
      <w:r>
        <w:rPr>
          <w:i/>
          <w:iCs/>
          <w:sz w:val="24"/>
          <w:szCs w:val="24"/>
        </w:rPr>
        <w:t>Judaism: Practices and Belief 63BCE-66CE</w:t>
      </w:r>
      <w:r>
        <w:rPr>
          <w:sz w:val="24"/>
          <w:szCs w:val="24"/>
        </w:rPr>
        <w:t xml:space="preserve"> (London: SCM Press, 1992)</w:t>
      </w:r>
    </w:p>
    <w:p w:rsidR="00B20EF8" w:rsidRDefault="00C047BB" w14:paraId="32E58109" w14:textId="77777777">
      <w:pPr>
        <w:pStyle w:val="ListParagraph"/>
        <w:numPr>
          <w:ilvl w:val="0"/>
          <w:numId w:val="1"/>
        </w:numPr>
      </w:pPr>
      <w:r>
        <w:rPr>
          <w:sz w:val="24"/>
          <w:szCs w:val="24"/>
        </w:rPr>
        <w:t>Sefaria, Mishnah Shabbat, date unknown, &lt;</w:t>
      </w:r>
      <w:hyperlink w:history="1" r:id="rId15">
        <w:r>
          <w:rPr>
            <w:rStyle w:val="Hyperlink"/>
            <w:sz w:val="24"/>
            <w:szCs w:val="24"/>
          </w:rPr>
          <w:t>https://www.sefaria.org/Mishnah_Shabbat?lang=bi</w:t>
        </w:r>
      </w:hyperlink>
      <w:r>
        <w:rPr>
          <w:sz w:val="24"/>
          <w:szCs w:val="24"/>
        </w:rPr>
        <w:t>&gt;</w:t>
      </w:r>
    </w:p>
    <w:p w:rsidR="00B20EF8" w:rsidRDefault="00C047BB" w14:paraId="29940865" w14:textId="77777777">
      <w:pPr>
        <w:pStyle w:val="ListParagraph"/>
        <w:numPr>
          <w:ilvl w:val="0"/>
          <w:numId w:val="1"/>
        </w:numPr>
      </w:pPr>
      <w:r>
        <w:rPr>
          <w:sz w:val="24"/>
          <w:szCs w:val="24"/>
        </w:rPr>
        <w:t xml:space="preserve">Stemberger, G. ‘The Formation of Rabbinic Judaism, 70-640 CE’ in </w:t>
      </w:r>
      <w:r>
        <w:rPr>
          <w:i/>
          <w:iCs/>
          <w:sz w:val="24"/>
          <w:szCs w:val="24"/>
        </w:rPr>
        <w:t>The Blackwell Companion to Judaism</w:t>
      </w:r>
      <w:r>
        <w:rPr>
          <w:sz w:val="24"/>
          <w:szCs w:val="24"/>
        </w:rPr>
        <w:t xml:space="preserve"> (ed. J. Neusner and A. Avery-Peck) (Oxford: Blackwell Publishing Ltd, 2004)</w:t>
      </w:r>
    </w:p>
    <w:p w:rsidR="00B20EF8" w:rsidRDefault="00C047BB" w14:paraId="2F12C12A" w14:textId="77777777">
      <w:pPr>
        <w:pStyle w:val="ListParagraph"/>
        <w:numPr>
          <w:ilvl w:val="0"/>
          <w:numId w:val="1"/>
        </w:numPr>
      </w:pPr>
      <w:r>
        <w:rPr>
          <w:sz w:val="24"/>
          <w:szCs w:val="24"/>
        </w:rPr>
        <w:t xml:space="preserve">Walfish, A. ‘Mishnah’ in </w:t>
      </w:r>
      <w:r>
        <w:rPr>
          <w:i/>
          <w:iCs/>
          <w:sz w:val="24"/>
          <w:szCs w:val="24"/>
        </w:rPr>
        <w:t xml:space="preserve">The Oxford Dictionary of the Jewish Religion, </w:t>
      </w:r>
      <w:r>
        <w:rPr>
          <w:sz w:val="24"/>
          <w:szCs w:val="24"/>
        </w:rPr>
        <w:t>(ed. R. Zwi Werblowsky and G. Wigoder) (Oxford: Oxford University Press, 1997)</w:t>
      </w:r>
    </w:p>
    <w:p w:rsidR="00B20EF8" w:rsidRDefault="00C047BB" w14:paraId="7D89441E" w14:textId="77777777">
      <w:pPr>
        <w:pStyle w:val="ListParagraph"/>
        <w:numPr>
          <w:ilvl w:val="0"/>
          <w:numId w:val="1"/>
        </w:numPr>
      </w:pPr>
      <w:r>
        <w:rPr>
          <w:sz w:val="24"/>
          <w:szCs w:val="24"/>
        </w:rPr>
        <w:lastRenderedPageBreak/>
        <w:t>Wein, B. The Mishnah, date unknown, &lt;</w:t>
      </w:r>
      <w:hyperlink w:history="1" r:id="rId16">
        <w:r>
          <w:rPr>
            <w:rStyle w:val="Hyperlink"/>
            <w:sz w:val="24"/>
            <w:szCs w:val="24"/>
          </w:rPr>
          <w:t>https://w</w:t>
        </w:r>
        <w:r>
          <w:rPr>
            <w:rStyle w:val="Hyperlink"/>
            <w:sz w:val="24"/>
            <w:szCs w:val="24"/>
          </w:rPr>
          <w:t>ww.jewishhistory.org/the-mishnah/</w:t>
        </w:r>
      </w:hyperlink>
      <w:r>
        <w:rPr>
          <w:sz w:val="24"/>
          <w:szCs w:val="24"/>
        </w:rPr>
        <w:t>&gt;</w:t>
      </w:r>
    </w:p>
    <w:p w:rsidR="00B20EF8" w:rsidRDefault="00B20EF8" w14:paraId="16072744" w14:textId="77777777">
      <w:pPr>
        <w:rPr>
          <w:sz w:val="24"/>
          <w:szCs w:val="24"/>
        </w:rPr>
      </w:pPr>
    </w:p>
    <w:sectPr w:rsidR="00B20EF8">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047BB" w:rsidRDefault="00C047BB" w14:paraId="6DB0CBF3" w14:textId="77777777">
      <w:pPr>
        <w:spacing w:after="0"/>
      </w:pPr>
      <w:r>
        <w:separator/>
      </w:r>
    </w:p>
  </w:endnote>
  <w:endnote w:type="continuationSeparator" w:id="0">
    <w:p w:rsidR="00C047BB" w:rsidRDefault="00C047BB" w14:paraId="68137854"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047BB" w:rsidRDefault="00C047BB" w14:paraId="22AF3175" w14:textId="77777777">
      <w:pPr>
        <w:spacing w:after="0"/>
      </w:pPr>
      <w:r>
        <w:rPr>
          <w:color w:val="000000"/>
        </w:rPr>
        <w:separator/>
      </w:r>
    </w:p>
  </w:footnote>
  <w:footnote w:type="continuationSeparator" w:id="0">
    <w:p w:rsidR="00C047BB" w:rsidRDefault="00C047BB" w14:paraId="18BABC88" w14:textId="77777777">
      <w:pPr>
        <w:spacing w:after="0"/>
      </w:pPr>
      <w:r>
        <w:continuationSeparator/>
      </w:r>
    </w:p>
  </w:footnote>
  <w:footnote w:id="1">
    <w:p w:rsidR="00B20EF8" w:rsidRDefault="00C047BB" w14:paraId="1AB3CC02" w14:textId="77777777">
      <w:pPr>
        <w:pStyle w:val="FootnoteText"/>
      </w:pPr>
      <w:r>
        <w:rPr>
          <w:rStyle w:val="FootnoteReference"/>
        </w:rPr>
        <w:footnoteRef/>
      </w:r>
      <w:r>
        <w:t xml:space="preserve"> Lex Rofeberg, ‘Why The Mishnah Is the Best Jewish Book You’ve Never Read’, My Jewish Learning, Date unknow</w:t>
      </w:r>
      <w:r>
        <w:t xml:space="preserve">n, </w:t>
      </w:r>
      <w:hyperlink w:history="1" r:id="rId1">
        <w:r>
          <w:rPr>
            <w:rStyle w:val="Hyperlink"/>
          </w:rPr>
          <w:t>https://www.myjewishlearning.com/article/why-the-mishnah-is-the-best-jewish-book-youve-n</w:t>
        </w:r>
        <w:bookmarkStart w:name="_Hlt73023401" w:id="0"/>
        <w:bookmarkStart w:name="_Hlt73023402" w:id="1"/>
        <w:r>
          <w:rPr>
            <w:rStyle w:val="Hyperlink"/>
          </w:rPr>
          <w:t>e</w:t>
        </w:r>
        <w:bookmarkEnd w:id="0"/>
        <w:bookmarkEnd w:id="1"/>
        <w:r>
          <w:rPr>
            <w:rStyle w:val="Hyperlink"/>
          </w:rPr>
          <w:t>ver-read/</w:t>
        </w:r>
      </w:hyperlink>
      <w:r>
        <w:t xml:space="preserve"> [Accessed: 24</w:t>
      </w:r>
      <w:r>
        <w:rPr>
          <w:vertAlign w:val="superscript"/>
        </w:rPr>
        <w:t>th</w:t>
      </w:r>
      <w:r>
        <w:t xml:space="preserve"> May 2021]</w:t>
      </w:r>
    </w:p>
  </w:footnote>
  <w:footnote w:id="2">
    <w:p w:rsidR="00B20EF8" w:rsidRDefault="00C047BB" w14:paraId="7EA62CFC" w14:textId="77777777">
      <w:pPr>
        <w:pStyle w:val="FootnoteText"/>
      </w:pPr>
      <w:r>
        <w:rPr>
          <w:rStyle w:val="FootnoteReference"/>
        </w:rPr>
        <w:footnoteRef/>
      </w:r>
      <w:r>
        <w:t xml:space="preserve"> Philip Davies, ‘Judaism an</w:t>
      </w:r>
      <w:r>
        <w:t xml:space="preserve">d the Hebrew Scriptre’ in </w:t>
      </w:r>
      <w:r>
        <w:rPr>
          <w:i/>
          <w:iCs/>
        </w:rPr>
        <w:t>The Blackwell Companion to Judaism</w:t>
      </w:r>
      <w:r>
        <w:t xml:space="preserve"> (ed. J. Neusner and A. Avery-Peck) (Oxford: Blackwell Publishing Ltd, 2004) pg. 52</w:t>
      </w:r>
    </w:p>
  </w:footnote>
  <w:footnote w:id="3">
    <w:p w:rsidR="00B20EF8" w:rsidRDefault="00C047BB" w14:paraId="4818AB98" w14:textId="77777777">
      <w:pPr>
        <w:pStyle w:val="FootnoteText"/>
      </w:pPr>
      <w:r>
        <w:rPr>
          <w:rStyle w:val="FootnoteReference"/>
        </w:rPr>
        <w:footnoteRef/>
      </w:r>
      <w:r>
        <w:t xml:space="preserve"> Martin Goodman, ‘Mishnah’, Oxford Classical Dictionary, 2015, </w:t>
      </w:r>
      <w:hyperlink w:history="1" r:id="rId2">
        <w:r>
          <w:rPr>
            <w:rStyle w:val="Hyperlink"/>
          </w:rPr>
          <w:t>https://oxfordre.com/classics/view/10.1093/acrefore/9780199381135.001.0001/acrefore-9780199381135-e-422</w:t>
        </w:r>
        <w:bookmarkStart w:name="_Hlt73023762" w:id="2"/>
        <w:bookmarkStart w:name="_Hlt73023763" w:id="3"/>
        <w:r>
          <w:rPr>
            <w:rStyle w:val="Hyperlink"/>
          </w:rPr>
          <w:t>2</w:t>
        </w:r>
        <w:bookmarkEnd w:id="2"/>
        <w:bookmarkEnd w:id="3"/>
      </w:hyperlink>
      <w:r>
        <w:t xml:space="preserve"> [Accessed: 25</w:t>
      </w:r>
      <w:r>
        <w:rPr>
          <w:vertAlign w:val="superscript"/>
        </w:rPr>
        <w:t>th</w:t>
      </w:r>
      <w:r>
        <w:t xml:space="preserve"> May 2021]</w:t>
      </w:r>
    </w:p>
  </w:footnote>
  <w:footnote w:id="4">
    <w:p w:rsidR="00B20EF8" w:rsidRDefault="00C047BB" w14:paraId="757BBD5B" w14:textId="77777777">
      <w:pPr>
        <w:pStyle w:val="FootnoteText"/>
      </w:pPr>
      <w:r>
        <w:rPr>
          <w:rStyle w:val="FootnoteReference"/>
        </w:rPr>
        <w:footnoteRef/>
      </w:r>
      <w:r>
        <w:t xml:space="preserve"> Avraham Walfish, ‘Mishnah’ in </w:t>
      </w:r>
      <w:r>
        <w:rPr>
          <w:i/>
          <w:iCs/>
        </w:rPr>
        <w:t xml:space="preserve">The Oxford Dictionary of the Jewish Religion, </w:t>
      </w:r>
      <w:r>
        <w:t>(ed. R. Zwi Werblowsky and G. Wigoder) (Oxford: Oxford University Press, 1997) pg. 471</w:t>
      </w:r>
    </w:p>
  </w:footnote>
  <w:footnote w:id="5">
    <w:p w:rsidR="00B20EF8" w:rsidRDefault="00C047BB" w14:paraId="271C55C7" w14:textId="77777777">
      <w:pPr>
        <w:pStyle w:val="FootnoteText"/>
      </w:pPr>
      <w:r>
        <w:rPr>
          <w:rStyle w:val="FootnoteReference"/>
        </w:rPr>
        <w:footnoteRef/>
      </w:r>
      <w:r>
        <w:t xml:space="preserve"> David Kraemer, ‘The Mishnah’ in </w:t>
      </w:r>
      <w:r>
        <w:rPr>
          <w:i/>
          <w:iCs/>
        </w:rPr>
        <w:t xml:space="preserve">The Cambridge History of Judaism, </w:t>
      </w:r>
      <w:r>
        <w:t>vol. 4</w:t>
      </w:r>
      <w:r>
        <w:rPr>
          <w:i/>
          <w:iCs/>
        </w:rPr>
        <w:t xml:space="preserve"> </w:t>
      </w:r>
      <w:r>
        <w:t xml:space="preserve">(ed. S. Katz) </w:t>
      </w:r>
      <w:r>
        <w:rPr>
          <w:rFonts w:cs="Calibri"/>
          <w:sz w:val="22"/>
          <w:szCs w:val="22"/>
        </w:rPr>
        <w:t>pg. 299</w:t>
      </w:r>
    </w:p>
  </w:footnote>
  <w:footnote w:id="6">
    <w:p w:rsidR="00B20EF8" w:rsidRDefault="00C047BB" w14:paraId="051387BE" w14:textId="77777777">
      <w:pPr>
        <w:pStyle w:val="FootnoteText"/>
      </w:pPr>
      <w:r>
        <w:rPr>
          <w:rStyle w:val="FootnoteReference"/>
        </w:rPr>
        <w:footnoteRef/>
      </w:r>
      <w:r>
        <w:t xml:space="preserve"> Jacob Neusner, </w:t>
      </w:r>
      <w:r>
        <w:rPr>
          <w:i/>
          <w:iCs/>
        </w:rPr>
        <w:t xml:space="preserve">Rabbinic </w:t>
      </w:r>
      <w:r>
        <w:rPr>
          <w:i/>
          <w:iCs/>
        </w:rPr>
        <w:t>Judaism’s Generative Logic</w:t>
      </w:r>
      <w:r>
        <w:t>, (New York: Global Publications, 2002) pg. 68</w:t>
      </w:r>
    </w:p>
  </w:footnote>
  <w:footnote w:id="7">
    <w:p w:rsidR="00B20EF8" w:rsidRDefault="00C047BB" w14:paraId="594B2C55" w14:textId="77777777">
      <w:pPr>
        <w:pStyle w:val="FootnoteText"/>
      </w:pPr>
      <w:r>
        <w:rPr>
          <w:rStyle w:val="FootnoteReference"/>
        </w:rPr>
        <w:footnoteRef/>
      </w:r>
      <w:r>
        <w:t xml:space="preserve"> David Kraemer, ‘The Mishnah’ in </w:t>
      </w:r>
      <w:r>
        <w:rPr>
          <w:i/>
          <w:iCs/>
        </w:rPr>
        <w:t xml:space="preserve">The Cambridge History of Judaism, </w:t>
      </w:r>
      <w:r>
        <w:t>vol. 4</w:t>
      </w:r>
      <w:r>
        <w:rPr>
          <w:i/>
          <w:iCs/>
        </w:rPr>
        <w:t xml:space="preserve"> </w:t>
      </w:r>
      <w:r>
        <w:t>(ed. S. Katz) pg. 304-5</w:t>
      </w:r>
    </w:p>
  </w:footnote>
  <w:footnote w:id="8">
    <w:p w:rsidR="00B20EF8" w:rsidRDefault="00C047BB" w14:paraId="33F0AE71" w14:textId="77777777">
      <w:pPr>
        <w:pStyle w:val="FootnoteText"/>
      </w:pPr>
      <w:r>
        <w:rPr>
          <w:rStyle w:val="FootnoteReference"/>
        </w:rPr>
        <w:footnoteRef/>
      </w:r>
      <w:r>
        <w:t xml:space="preserve"> G. Stemberger, ‘The Formation of Rabbinic Judaism, 70-640 CE’ in </w:t>
      </w:r>
      <w:r>
        <w:rPr>
          <w:i/>
          <w:iCs/>
        </w:rPr>
        <w:t>The Blackwell Companion to Judaism</w:t>
      </w:r>
      <w:r>
        <w:t xml:space="preserve"> (ed. J. Neusner and A. Avery-Peck) (Oxford: Blackwell Publishing Ltd, 2004) pg. 85</w:t>
      </w:r>
    </w:p>
  </w:footnote>
  <w:footnote w:id="9">
    <w:p w:rsidR="00B20EF8" w:rsidRDefault="00C047BB" w14:paraId="3360FEAB" w14:textId="77777777">
      <w:pPr>
        <w:pStyle w:val="FootnoteText"/>
      </w:pPr>
      <w:r>
        <w:rPr>
          <w:rStyle w:val="FootnoteReference"/>
        </w:rPr>
        <w:footnoteRef/>
      </w:r>
      <w:r>
        <w:t xml:space="preserve"> Jewish Virtual Library, Mishnah, 2008, &lt;</w:t>
      </w:r>
      <w:hyperlink w:history="1" r:id="rId3">
        <w:r>
          <w:rPr>
            <w:rStyle w:val="Hyperlink"/>
          </w:rPr>
          <w:t>https://www.jewishvirtuallibrary.o</w:t>
        </w:r>
        <w:bookmarkStart w:name="_Hlt73023945" w:id="4"/>
        <w:bookmarkStart w:name="_Hlt73023946" w:id="5"/>
        <w:r>
          <w:rPr>
            <w:rStyle w:val="Hyperlink"/>
          </w:rPr>
          <w:t>r</w:t>
        </w:r>
        <w:bookmarkEnd w:id="4"/>
        <w:bookmarkEnd w:id="5"/>
        <w:r>
          <w:rPr>
            <w:rStyle w:val="Hyperlink"/>
          </w:rPr>
          <w:t>g/mishnah</w:t>
        </w:r>
      </w:hyperlink>
      <w:r>
        <w:t>&gt; [Accessed: 25</w:t>
      </w:r>
      <w:r>
        <w:rPr>
          <w:vertAlign w:val="superscript"/>
        </w:rPr>
        <w:t>th</w:t>
      </w:r>
      <w:r>
        <w:t xml:space="preserve"> May 2021]</w:t>
      </w:r>
    </w:p>
  </w:footnote>
  <w:footnote w:id="10">
    <w:p w:rsidR="00B20EF8" w:rsidRDefault="00C047BB" w14:paraId="2B16A2E4" w14:textId="77777777">
      <w:pPr>
        <w:pStyle w:val="FootnoteText"/>
      </w:pPr>
      <w:r>
        <w:rPr>
          <w:rStyle w:val="FootnoteReference"/>
        </w:rPr>
        <w:footnoteRef/>
      </w:r>
      <w:r>
        <w:t xml:space="preserve"> Jacob Neusner, </w:t>
      </w:r>
      <w:r>
        <w:rPr>
          <w:i/>
          <w:iCs/>
        </w:rPr>
        <w:t>The Four Stages of Rabbinic Judaism</w:t>
      </w:r>
      <w:r>
        <w:t xml:space="preserve"> (London: Ro</w:t>
      </w:r>
      <w:r>
        <w:t>utledge, 1999) pg. xiii</w:t>
      </w:r>
    </w:p>
  </w:footnote>
  <w:footnote w:id="11">
    <w:p w:rsidR="00B20EF8" w:rsidRDefault="00C047BB" w14:paraId="1E73C438" w14:textId="77777777">
      <w:pPr>
        <w:pStyle w:val="FootnoteText"/>
      </w:pPr>
      <w:r>
        <w:rPr>
          <w:rStyle w:val="FootnoteReference"/>
        </w:rPr>
        <w:footnoteRef/>
      </w:r>
      <w:r>
        <w:t xml:space="preserve"> Sefaria, Mishnah Shabbat, date unknown, &lt;</w:t>
      </w:r>
      <w:hyperlink w:history="1" r:id="rId4">
        <w:r>
          <w:rPr>
            <w:rStyle w:val="Hyperlink"/>
          </w:rPr>
          <w:t>https://www.sefaria.org/Mishnah_Shabbat</w:t>
        </w:r>
        <w:bookmarkStart w:name="_Hlt73024232" w:id="6"/>
        <w:bookmarkStart w:name="_Hlt73024233" w:id="7"/>
        <w:r>
          <w:rPr>
            <w:rStyle w:val="Hyperlink"/>
          </w:rPr>
          <w:t>?</w:t>
        </w:r>
        <w:bookmarkEnd w:id="6"/>
        <w:bookmarkEnd w:id="7"/>
        <w:r>
          <w:rPr>
            <w:rStyle w:val="Hyperlink"/>
          </w:rPr>
          <w:t>lang=bi</w:t>
        </w:r>
      </w:hyperlink>
      <w:r>
        <w:t>&gt; [Accessed: 25</w:t>
      </w:r>
      <w:r>
        <w:rPr>
          <w:vertAlign w:val="superscript"/>
        </w:rPr>
        <w:t>th</w:t>
      </w:r>
      <w:r>
        <w:t xml:space="preserve"> May 2021] </w:t>
      </w:r>
    </w:p>
  </w:footnote>
  <w:footnote w:id="12">
    <w:p w:rsidR="00B20EF8" w:rsidRDefault="00C047BB" w14:paraId="5A3B6572" w14:textId="77777777">
      <w:pPr>
        <w:pStyle w:val="FootnoteText"/>
      </w:pPr>
      <w:r>
        <w:rPr>
          <w:rStyle w:val="FootnoteReference"/>
        </w:rPr>
        <w:footnoteRef/>
      </w:r>
      <w:r>
        <w:t xml:space="preserve"> Jacob Neusner, </w:t>
      </w:r>
      <w:r>
        <w:rPr>
          <w:i/>
          <w:iCs/>
        </w:rPr>
        <w:t>The Four Stages of Rabbinic Judaism</w:t>
      </w:r>
      <w:r>
        <w:t xml:space="preserve"> (London: Routledge, 1999) pg 79</w:t>
      </w:r>
    </w:p>
  </w:footnote>
  <w:footnote w:id="13">
    <w:p w:rsidR="00B20EF8" w:rsidRDefault="00C047BB" w14:paraId="33AF9CBC" w14:textId="77777777">
      <w:pPr>
        <w:pStyle w:val="FootnoteText"/>
      </w:pPr>
      <w:r>
        <w:rPr>
          <w:rStyle w:val="FootnoteReference"/>
        </w:rPr>
        <w:footnoteRef/>
      </w:r>
      <w:r>
        <w:t xml:space="preserve"> Y. Brandes, ‘The Canonization of the Mishnah’, </w:t>
      </w:r>
      <w:r>
        <w:rPr>
          <w:i/>
          <w:iCs/>
        </w:rPr>
        <w:t xml:space="preserve">Journal of Ancient Judaism, </w:t>
      </w:r>
      <w:r>
        <w:t>10(2) (2019) 145-180 (p.145)</w:t>
      </w:r>
    </w:p>
  </w:footnote>
  <w:footnote w:id="14">
    <w:p w:rsidR="00B20EF8" w:rsidRDefault="00C047BB" w14:paraId="731C955C" w14:textId="77777777">
      <w:pPr>
        <w:pStyle w:val="FootnoteText"/>
      </w:pPr>
      <w:r>
        <w:rPr>
          <w:rStyle w:val="FootnoteReference"/>
        </w:rPr>
        <w:footnoteRef/>
      </w:r>
      <w:r>
        <w:t xml:space="preserve"> Jacob Neusner, </w:t>
      </w:r>
      <w:r>
        <w:rPr>
          <w:i/>
          <w:iCs/>
        </w:rPr>
        <w:t>The Four Stages of Rabbinic Judaism</w:t>
      </w:r>
      <w:r>
        <w:t xml:space="preserve"> (London: Routledge, 1999) pg. xii</w:t>
      </w:r>
    </w:p>
  </w:footnote>
  <w:footnote w:id="15">
    <w:p w:rsidR="00B20EF8" w:rsidRDefault="00C047BB" w14:paraId="2A9AEC0D" w14:textId="77777777">
      <w:pPr>
        <w:pStyle w:val="FootnoteText"/>
      </w:pPr>
      <w:r>
        <w:rPr>
          <w:rStyle w:val="FootnoteReference"/>
        </w:rPr>
        <w:footnoteRef/>
      </w:r>
      <w:r>
        <w:t xml:space="preserve"> Rabbi Bernie Fox, When the Written and Oral Tradition Contradict One Another, date unknown, &lt;</w:t>
      </w:r>
      <w:hyperlink w:history="1" r:id="rId5">
        <w:r>
          <w:rPr>
            <w:rStyle w:val="Hyperlink"/>
          </w:rPr>
          <w:t>https://outorah.org</w:t>
        </w:r>
        <w:bookmarkStart w:name="_Hlt73024428" w:id="8"/>
        <w:bookmarkStart w:name="_Hlt73024429" w:id="9"/>
        <w:r>
          <w:rPr>
            <w:rStyle w:val="Hyperlink"/>
          </w:rPr>
          <w:t>/</w:t>
        </w:r>
        <w:bookmarkEnd w:id="8"/>
        <w:bookmarkEnd w:id="9"/>
        <w:r>
          <w:rPr>
            <w:rStyle w:val="Hyperlink"/>
          </w:rPr>
          <w:t>p/20</w:t>
        </w:r>
        <w:r>
          <w:rPr>
            <w:rStyle w:val="Hyperlink"/>
          </w:rPr>
          <w:t>197/</w:t>
        </w:r>
      </w:hyperlink>
      <w:r>
        <w:t>&gt; [Accessed: 26</w:t>
      </w:r>
      <w:r>
        <w:rPr>
          <w:vertAlign w:val="superscript"/>
        </w:rPr>
        <w:t>th</w:t>
      </w:r>
      <w:r>
        <w:t xml:space="preserve"> May 2021] </w:t>
      </w:r>
    </w:p>
  </w:footnote>
  <w:footnote w:id="16">
    <w:p w:rsidR="00B20EF8" w:rsidRDefault="00C047BB" w14:paraId="145E6B7E" w14:textId="77777777">
      <w:pPr>
        <w:pStyle w:val="FootnoteText"/>
      </w:pPr>
      <w:r>
        <w:rPr>
          <w:rStyle w:val="FootnoteReference"/>
        </w:rPr>
        <w:footnoteRef/>
      </w:r>
      <w:r>
        <w:t xml:space="preserve"> Y. Brandes, ‘The Canonization of the Mishnah’, </w:t>
      </w:r>
      <w:r>
        <w:rPr>
          <w:i/>
          <w:iCs/>
        </w:rPr>
        <w:t xml:space="preserve">Journal of Ancient Judaism, </w:t>
      </w:r>
      <w:r>
        <w:t>10(2) (2019) 145-180 (p.145)</w:t>
      </w:r>
    </w:p>
  </w:footnote>
  <w:footnote w:id="17">
    <w:p w:rsidR="00B20EF8" w:rsidRDefault="00C047BB" w14:paraId="054E802B" w14:textId="77777777">
      <w:pPr>
        <w:pStyle w:val="FootnoteText"/>
      </w:pPr>
      <w:r>
        <w:rPr>
          <w:rStyle w:val="FootnoteReference"/>
        </w:rPr>
        <w:footnoteRef/>
      </w:r>
      <w:r>
        <w:t xml:space="preserve"> Tracey Rich, Jewish Liturgy, 2020, &lt;</w:t>
      </w:r>
      <w:hyperlink w:history="1" r:id="rId6">
        <w:r>
          <w:rPr>
            <w:rStyle w:val="Hyperlink"/>
            <w:rFonts w:cs="Calibri"/>
            <w:shd w:val="clear" w:color="auto" w:fill="FFFFFF"/>
          </w:rPr>
          <w:t>www.jewfaq.org/lit</w:t>
        </w:r>
        <w:bookmarkStart w:name="_Hlt73024590" w:id="10"/>
        <w:bookmarkStart w:name="_Hlt73024591" w:id="11"/>
        <w:r>
          <w:rPr>
            <w:rStyle w:val="Hyperlink"/>
            <w:rFonts w:cs="Calibri"/>
            <w:shd w:val="clear" w:color="auto" w:fill="FFFFFF"/>
          </w:rPr>
          <w:t>u</w:t>
        </w:r>
        <w:bookmarkEnd w:id="10"/>
        <w:bookmarkEnd w:id="11"/>
        <w:r>
          <w:rPr>
            <w:rStyle w:val="Hyperlink"/>
            <w:rFonts w:cs="Calibri"/>
            <w:shd w:val="clear" w:color="auto" w:fill="FFFFFF"/>
          </w:rPr>
          <w:t>rgy.htm</w:t>
        </w:r>
      </w:hyperlink>
      <w:r>
        <w:rPr>
          <w:rFonts w:cs="Calibri"/>
          <w:shd w:val="clear" w:color="auto" w:fill="FFFFFF"/>
        </w:rPr>
        <w:t>&gt; [Accessed: 26</w:t>
      </w:r>
      <w:r>
        <w:rPr>
          <w:rFonts w:cs="Calibri"/>
          <w:shd w:val="clear" w:color="auto" w:fill="FFFFFF"/>
          <w:vertAlign w:val="superscript"/>
        </w:rPr>
        <w:t>th</w:t>
      </w:r>
      <w:r>
        <w:rPr>
          <w:rFonts w:cs="Calibri"/>
          <w:shd w:val="clear" w:color="auto" w:fill="FFFFFF"/>
        </w:rPr>
        <w:t xml:space="preserve"> May 2021] </w:t>
      </w:r>
    </w:p>
  </w:footnote>
  <w:footnote w:id="18">
    <w:p w:rsidR="00B20EF8" w:rsidRDefault="00C047BB" w14:paraId="2F97985C" w14:textId="77777777">
      <w:pPr>
        <w:pStyle w:val="FootnoteText"/>
      </w:pPr>
      <w:r>
        <w:rPr>
          <w:rStyle w:val="FootnoteReference"/>
        </w:rPr>
        <w:footnoteRef/>
      </w:r>
      <w:r>
        <w:t xml:space="preserve">Reform Judaism, History: The Hanukkah Story, date unknown, &lt; </w:t>
      </w:r>
      <w:hyperlink w:history="1" r:id="rId7">
        <w:r>
          <w:rPr>
            <w:rStyle w:val="Hyperlink"/>
          </w:rPr>
          <w:t>https://reformjudaism.org/jewish-holidays/hanukkah/history-hanukkah-story</w:t>
        </w:r>
      </w:hyperlink>
      <w:r>
        <w:t>&gt; [Accessed: 26</w:t>
      </w:r>
      <w:r>
        <w:rPr>
          <w:vertAlign w:val="superscript"/>
        </w:rPr>
        <w:t>th</w:t>
      </w:r>
      <w:r>
        <w:t xml:space="preserve"> May 2021]</w:t>
      </w:r>
    </w:p>
  </w:footnote>
  <w:footnote w:id="19">
    <w:p w:rsidR="00B20EF8" w:rsidRDefault="00C047BB" w14:paraId="65BCD7BD" w14:textId="77777777">
      <w:pPr>
        <w:pStyle w:val="FootnoteText"/>
      </w:pPr>
      <w:r>
        <w:rPr>
          <w:rStyle w:val="FootnoteReference"/>
        </w:rPr>
        <w:footnoteRef/>
      </w:r>
      <w:r>
        <w:t xml:space="preserve"> E.P. Sanders, </w:t>
      </w:r>
      <w:r>
        <w:rPr>
          <w:i/>
          <w:iCs/>
        </w:rPr>
        <w:t>Judaism: Practices and Belief 63BCE-66CE</w:t>
      </w:r>
      <w:r>
        <w:t xml:space="preserve"> (London: SCM Press, 1992) pg.3</w:t>
      </w:r>
    </w:p>
  </w:footnote>
  <w:footnote w:id="20">
    <w:p w:rsidR="00B20EF8" w:rsidRDefault="00C047BB" w14:paraId="18AD5118" w14:textId="77777777">
      <w:pPr>
        <w:pStyle w:val="FootnoteText"/>
      </w:pPr>
      <w:r>
        <w:rPr>
          <w:rStyle w:val="FootnoteReference"/>
        </w:rPr>
        <w:footnoteRef/>
      </w:r>
      <w:r>
        <w:t>Berel Wein, The Mishnah, date unknown, &lt;</w:t>
      </w:r>
      <w:hyperlink w:history="1" r:id="rId8">
        <w:r>
          <w:rPr>
            <w:rStyle w:val="Hyperlink"/>
          </w:rPr>
          <w:t>https://</w:t>
        </w:r>
        <w:r>
          <w:rPr>
            <w:rStyle w:val="Hyperlink"/>
          </w:rPr>
          <w:t>www.jewishhistory.org/the-m</w:t>
        </w:r>
        <w:bookmarkStart w:name="_Hlt73024935" w:id="12"/>
        <w:bookmarkStart w:name="_Hlt73024936" w:id="13"/>
        <w:r>
          <w:rPr>
            <w:rStyle w:val="Hyperlink"/>
          </w:rPr>
          <w:t>i</w:t>
        </w:r>
        <w:bookmarkEnd w:id="12"/>
        <w:bookmarkEnd w:id="13"/>
        <w:r>
          <w:rPr>
            <w:rStyle w:val="Hyperlink"/>
          </w:rPr>
          <w:t>shnah/</w:t>
        </w:r>
      </w:hyperlink>
      <w:r>
        <w:t>&gt; [Accessed: 26</w:t>
      </w:r>
      <w:r>
        <w:rPr>
          <w:vertAlign w:val="superscript"/>
        </w:rPr>
        <w:t>th</w:t>
      </w:r>
      <w:r>
        <w:t xml:space="preserve"> May 2021] </w:t>
      </w:r>
    </w:p>
  </w:footnote>
  <w:footnote w:id="21">
    <w:p w:rsidR="00B20EF8" w:rsidRDefault="00C047BB" w14:paraId="4C0CBA9E" w14:textId="77777777">
      <w:pPr>
        <w:pStyle w:val="FootnoteText"/>
      </w:pPr>
      <w:r>
        <w:rPr>
          <w:rStyle w:val="FootnoteReference"/>
        </w:rPr>
        <w:footnoteRef/>
      </w:r>
      <w:r>
        <w:t xml:space="preserve"> British Library, First Complete Mi</w:t>
      </w:r>
      <w:r>
        <w:t>shnah, date unknown &lt;</w:t>
      </w:r>
      <w:hyperlink w:history="1" r:id="rId9">
        <w:r>
          <w:rPr>
            <w:rStyle w:val="Hyperlink"/>
          </w:rPr>
          <w:t>https://www.bl.uk/collection-items/first-complete-</w:t>
        </w:r>
        <w:bookmarkStart w:name="_Hlt73025183" w:id="14"/>
        <w:bookmarkStart w:name="_Hlt73025184" w:id="15"/>
        <w:r>
          <w:rPr>
            <w:rStyle w:val="Hyperlink"/>
          </w:rPr>
          <w:t>m</w:t>
        </w:r>
        <w:bookmarkEnd w:id="14"/>
        <w:bookmarkEnd w:id="15"/>
        <w:r>
          <w:rPr>
            <w:rStyle w:val="Hyperlink"/>
          </w:rPr>
          <w:t>ishnah#</w:t>
        </w:r>
      </w:hyperlink>
      <w:r>
        <w:t>&gt; [Accessed: 26</w:t>
      </w:r>
      <w:r>
        <w:rPr>
          <w:vertAlign w:val="superscript"/>
        </w:rPr>
        <w:t>th</w:t>
      </w:r>
      <w:r>
        <w:t xml:space="preserve"> May 2021]   </w:t>
      </w:r>
    </w:p>
  </w:footnote>
  <w:footnote w:id="22">
    <w:p w:rsidR="00B20EF8" w:rsidRDefault="00C047BB" w14:paraId="1F602262" w14:textId="77777777">
      <w:pPr>
        <w:pStyle w:val="FootnoteText"/>
      </w:pPr>
      <w:r>
        <w:rPr>
          <w:rStyle w:val="FootnoteReference"/>
        </w:rPr>
        <w:footnoteRef/>
      </w:r>
      <w:r>
        <w:t xml:space="preserve">Jacob Neusner, </w:t>
      </w:r>
      <w:r>
        <w:rPr>
          <w:i/>
          <w:iCs/>
        </w:rPr>
        <w:t>Making Gods Word Work: A Guide to the Mishnah</w:t>
      </w:r>
      <w:r>
        <w:t xml:space="preserve"> (London: Continuum International Publishing, 2004) pg. 11 </w:t>
      </w:r>
    </w:p>
  </w:footnote>
  <w:footnote w:id="23">
    <w:p w:rsidR="00B20EF8" w:rsidRDefault="00C047BB" w14:paraId="4613BB0E" w14:textId="77777777">
      <w:pPr>
        <w:pStyle w:val="FootnoteText"/>
      </w:pPr>
      <w:r>
        <w:rPr>
          <w:rStyle w:val="FootnoteReference"/>
        </w:rPr>
        <w:footnoteRef/>
      </w:r>
      <w:r>
        <w:t>Rabbi Jonathan Romain, Reform Judaism, 2009, &lt;</w:t>
      </w:r>
      <w:hyperlink w:history="1" r:id="rId10">
        <w:r>
          <w:rPr>
            <w:rStyle w:val="Hyperlink"/>
          </w:rPr>
          <w:t>https://www.bbc.c</w:t>
        </w:r>
        <w:bookmarkStart w:name="_Hlt73025321" w:id="16"/>
        <w:bookmarkStart w:name="_Hlt73025322" w:id="17"/>
        <w:r>
          <w:rPr>
            <w:rStyle w:val="Hyperlink"/>
          </w:rPr>
          <w:t>o</w:t>
        </w:r>
        <w:bookmarkEnd w:id="16"/>
        <w:bookmarkEnd w:id="17"/>
        <w:r>
          <w:rPr>
            <w:rStyle w:val="Hyperlink"/>
          </w:rPr>
          <w:t>.uk/rel</w:t>
        </w:r>
        <w:r>
          <w:rPr>
            <w:rStyle w:val="Hyperlink"/>
          </w:rPr>
          <w:t>igion/religions/judaism/subdivisions/reform_1.shtml</w:t>
        </w:r>
      </w:hyperlink>
      <w:r>
        <w:t>&gt; [Accessed: 26</w:t>
      </w:r>
      <w:r>
        <w:rPr>
          <w:vertAlign w:val="superscript"/>
        </w:rPr>
        <w:t>th</w:t>
      </w:r>
      <w:r>
        <w:t xml:space="preserve"> May 2021]</w:t>
      </w:r>
    </w:p>
  </w:footnote>
  <w:footnote w:id="24">
    <w:p w:rsidR="00B20EF8" w:rsidRDefault="00C047BB" w14:paraId="7DFBDD6D" w14:textId="77777777">
      <w:pPr>
        <w:pStyle w:val="FootnoteText"/>
      </w:pPr>
      <w:r>
        <w:rPr>
          <w:rStyle w:val="FootnoteReference"/>
        </w:rPr>
        <w:footnoteRef/>
      </w:r>
      <w:r>
        <w:t xml:space="preserve"> Rabbi Jonathan Romain, Reform Judaism, 2009, &lt;</w:t>
      </w:r>
      <w:hyperlink w:history="1" r:id="rId11">
        <w:r>
          <w:rPr>
            <w:rStyle w:val="Hyperlink"/>
          </w:rPr>
          <w:t>https://www.bbc.co.uk/religion/religions/judaism/subdivisions/reform_1.shtml</w:t>
        </w:r>
      </w:hyperlink>
      <w:r>
        <w:t>&gt; [Accessed: 26</w:t>
      </w:r>
      <w:r>
        <w:rPr>
          <w:vertAlign w:val="superscript"/>
        </w:rPr>
        <w:t>th</w:t>
      </w:r>
      <w:r>
        <w:t xml:space="preserve"> May 2021]</w:t>
      </w:r>
    </w:p>
  </w:footnote>
  <w:footnote w:id="25">
    <w:p w:rsidR="00B20EF8" w:rsidRDefault="00C047BB" w14:paraId="426A9A87" w14:textId="77777777">
      <w:pPr>
        <w:pStyle w:val="FootnoteText"/>
      </w:pPr>
      <w:r>
        <w:rPr>
          <w:rStyle w:val="FootnoteReference"/>
        </w:rPr>
        <w:footnoteRef/>
      </w:r>
      <w:r>
        <w:t xml:space="preserve">Y. Brandes, ‘The Canonization of the Mishnah’, </w:t>
      </w:r>
      <w:r>
        <w:rPr>
          <w:i/>
          <w:iCs/>
        </w:rPr>
        <w:t xml:space="preserve">Journal of Ancient Judaism, </w:t>
      </w:r>
      <w:r>
        <w:t>10(2) (2019) 145-180 (p.145)</w:t>
      </w:r>
    </w:p>
    <w:p w:rsidR="00B20EF8" w:rsidRDefault="00C047BB" w14:paraId="0EB717AB" w14:textId="77777777">
      <w:pPr>
        <w:pStyle w:val="FootnoteText"/>
      </w:pP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34851"/>
    <w:multiLevelType w:val="multilevel"/>
    <w:tmpl w:val="162263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20EF8"/>
    <w:rsid w:val="00294CF5"/>
    <w:rsid w:val="00B20EF8"/>
    <w:rsid w:val="00C047BB"/>
    <w:rsid w:val="00CE1E39"/>
    <w:rsid w:val="034D80E1"/>
    <w:rsid w:val="05F16E3A"/>
    <w:rsid w:val="0841A049"/>
    <w:rsid w:val="08A09B1B"/>
    <w:rsid w:val="08D0ECF8"/>
    <w:rsid w:val="0B56D0B8"/>
    <w:rsid w:val="0DF4AAE6"/>
    <w:rsid w:val="0EA4B18A"/>
    <w:rsid w:val="0F000121"/>
    <w:rsid w:val="0F371301"/>
    <w:rsid w:val="12336024"/>
    <w:rsid w:val="128A2BEC"/>
    <w:rsid w:val="137AAC30"/>
    <w:rsid w:val="140A8424"/>
    <w:rsid w:val="15A65485"/>
    <w:rsid w:val="18342AD2"/>
    <w:rsid w:val="18629272"/>
    <w:rsid w:val="18DDF547"/>
    <w:rsid w:val="1B54603E"/>
    <w:rsid w:val="1B9997E4"/>
    <w:rsid w:val="1C7544B9"/>
    <w:rsid w:val="1DF8F53D"/>
    <w:rsid w:val="1E0661C2"/>
    <w:rsid w:val="1EA9EEBA"/>
    <w:rsid w:val="2379B739"/>
    <w:rsid w:val="242D5AD1"/>
    <w:rsid w:val="29E3B8B7"/>
    <w:rsid w:val="2B12237C"/>
    <w:rsid w:val="2B24DC66"/>
    <w:rsid w:val="2B7E1A4B"/>
    <w:rsid w:val="2C5E46FB"/>
    <w:rsid w:val="2D76F438"/>
    <w:rsid w:val="2DA31B4D"/>
    <w:rsid w:val="3080B068"/>
    <w:rsid w:val="321E54EC"/>
    <w:rsid w:val="3232929B"/>
    <w:rsid w:val="3363F66F"/>
    <w:rsid w:val="3596C6F2"/>
    <w:rsid w:val="37220CCB"/>
    <w:rsid w:val="3B26ACCE"/>
    <w:rsid w:val="3CF1B058"/>
    <w:rsid w:val="3E2FBD07"/>
    <w:rsid w:val="43AF72DF"/>
    <w:rsid w:val="45164F41"/>
    <w:rsid w:val="47C28210"/>
    <w:rsid w:val="488FCF6B"/>
    <w:rsid w:val="4A9FD175"/>
    <w:rsid w:val="4ADD8357"/>
    <w:rsid w:val="4B8FDF4C"/>
    <w:rsid w:val="4BB2F2EE"/>
    <w:rsid w:val="505901E8"/>
    <w:rsid w:val="50624C4D"/>
    <w:rsid w:val="52A7C8DB"/>
    <w:rsid w:val="571472DB"/>
    <w:rsid w:val="574BE2EE"/>
    <w:rsid w:val="5ADA7EC4"/>
    <w:rsid w:val="5BBC3470"/>
    <w:rsid w:val="5D1827DE"/>
    <w:rsid w:val="5D2C3E66"/>
    <w:rsid w:val="5FB43D18"/>
    <w:rsid w:val="60AECA64"/>
    <w:rsid w:val="61AE297C"/>
    <w:rsid w:val="6223F637"/>
    <w:rsid w:val="625D777D"/>
    <w:rsid w:val="62E590A9"/>
    <w:rsid w:val="635CB019"/>
    <w:rsid w:val="6481610A"/>
    <w:rsid w:val="6696341F"/>
    <w:rsid w:val="6A489520"/>
    <w:rsid w:val="6BA36E7A"/>
    <w:rsid w:val="6C60177D"/>
    <w:rsid w:val="6E3030D6"/>
    <w:rsid w:val="6E704647"/>
    <w:rsid w:val="70CE2421"/>
    <w:rsid w:val="714A531D"/>
    <w:rsid w:val="743C0859"/>
    <w:rsid w:val="749F725A"/>
    <w:rsid w:val="75B421FC"/>
    <w:rsid w:val="780ECA48"/>
    <w:rsid w:val="79C1CF32"/>
    <w:rsid w:val="7A071004"/>
    <w:rsid w:val="7AA29EBD"/>
    <w:rsid w:val="7B0B6101"/>
    <w:rsid w:val="7B43852F"/>
    <w:rsid w:val="7C0B924C"/>
    <w:rsid w:val="7D2762C0"/>
    <w:rsid w:val="7DBB8977"/>
    <w:rsid w:val="7FB5C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1B6F"/>
  <w15:docId w15:val="{5CFFFEF7-D3F6-4AC7-A80B-220B87D57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513"/>
        <w:tab w:val="right" w:pos="9026"/>
      </w:tabs>
      <w:spacing w:after="0"/>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after="0"/>
    </w:pPr>
  </w:style>
  <w:style w:type="character" w:styleId="FooterChar" w:customStyle="1">
    <w:name w:val="Footer Char"/>
    <w:basedOn w:val="DefaultParagraphFont"/>
  </w:style>
  <w:style w:type="paragraph" w:styleId="FootnoteText">
    <w:name w:val="footnote text"/>
    <w:basedOn w:val="Normal"/>
    <w:pPr>
      <w:spacing w:after="0"/>
    </w:pPr>
    <w:rPr>
      <w:sz w:val="20"/>
      <w:szCs w:val="20"/>
    </w:rPr>
  </w:style>
  <w:style w:type="character" w:styleId="FootnoteTextChar" w:customStyle="1">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ListParagraph">
    <w:name w:val="List Paragraph"/>
    <w:basedOn w:val="Normal"/>
    <w:pPr>
      <w:suppressAutoHyphens w:val="0"/>
      <w:spacing w:line="254" w:lineRule="auto"/>
      <w:ind w:left="72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s://outorah.org/p/20197/" TargetMode="External" Id="rId8" /><Relationship Type="http://schemas.openxmlformats.org/officeDocument/2006/relationships/hyperlink" Target="https://www.myjewishlearning.com/article/why-the-mishnah-is-the-best-jewish-book-youve-never-read/"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customXml" Target="../customXml/item3.xml" Id="rId21" /><Relationship Type="http://schemas.openxmlformats.org/officeDocument/2006/relationships/hyperlink" Target="https://www.bl.uk/collection-items/first-complete-mishnah#" TargetMode="External" Id="rId7" /><Relationship Type="http://schemas.openxmlformats.org/officeDocument/2006/relationships/hyperlink" Target="http://www.jewfaq.org/liturgy.htm"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www.jewishhistory.org/the-mishnah/" TargetMode="External" Id="rId16" /><Relationship Type="http://schemas.openxmlformats.org/officeDocument/2006/relationships/customXml" Target="../customXml/item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reformjudaism.org/jewish-holidays/hanukkah/history-hanukkah-story" TargetMode="External" Id="rId11" /><Relationship Type="http://schemas.openxmlformats.org/officeDocument/2006/relationships/footnotes" Target="footnotes.xml" Id="rId5" /><Relationship Type="http://schemas.openxmlformats.org/officeDocument/2006/relationships/hyperlink" Target="https://www.sefaria.org/Mishnah_Shabbat?lang=bi" TargetMode="External" Id="rId15" /><Relationship Type="http://schemas.openxmlformats.org/officeDocument/2006/relationships/hyperlink" Target="https://www.jewishvirtuallibrary.org/mishnah" TargetMode="External" Id="rId10" /><Relationship Type="http://schemas.openxmlformats.org/officeDocument/2006/relationships/customXml" Target="../customXml/item1.xml" Id="rId19" /><Relationship Type="http://schemas.openxmlformats.org/officeDocument/2006/relationships/webSettings" Target="webSettings.xml" Id="rId4" /><Relationship Type="http://schemas.openxmlformats.org/officeDocument/2006/relationships/hyperlink" Target="https://oxfordre.com/classics/view/10.1093/acrefore/9780199381135.001.0001/acrefore-9780199381135-e-4222" TargetMode="External" Id="rId9" /><Relationship Type="http://schemas.openxmlformats.org/officeDocument/2006/relationships/hyperlink" Target="https://www.bbc.co.uk/religion/religions/judaism/subdivisions/reform_1.shtml" TargetMode="Externa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jewishhistory.org/the-mishnah/" TargetMode="External"/><Relationship Id="rId3" Type="http://schemas.openxmlformats.org/officeDocument/2006/relationships/hyperlink" Target="https://www.jewishvirtuallibrary.org/mishnah" TargetMode="External"/><Relationship Id="rId7" Type="http://schemas.openxmlformats.org/officeDocument/2006/relationships/hyperlink" Target="https://reformjudaism.org/jewish-holidays/hanukkah/history-hanukkah-story" TargetMode="External"/><Relationship Id="rId2" Type="http://schemas.openxmlformats.org/officeDocument/2006/relationships/hyperlink" Target="https://oxfordre.com/classics/view/10.1093/acrefore/9780199381135.001.0001/acrefore-9780199381135-e-4222" TargetMode="External"/><Relationship Id="rId1" Type="http://schemas.openxmlformats.org/officeDocument/2006/relationships/hyperlink" Target="https://www.myjewishlearning.com/article/why-the-mishnah-is-the-best-jewish-book-youve-never-read/" TargetMode="External"/><Relationship Id="rId6" Type="http://schemas.openxmlformats.org/officeDocument/2006/relationships/hyperlink" Target="http://www.jewfaq.org/liturgy.htm" TargetMode="External"/><Relationship Id="rId11" Type="http://schemas.openxmlformats.org/officeDocument/2006/relationships/hyperlink" Target="https://www.bbc.co.uk/religion/religions/judaism/subdivisions/reform_1.shtml" TargetMode="External"/><Relationship Id="rId5" Type="http://schemas.openxmlformats.org/officeDocument/2006/relationships/hyperlink" Target="https://outorah.org/p/20197/" TargetMode="External"/><Relationship Id="rId10" Type="http://schemas.openxmlformats.org/officeDocument/2006/relationships/hyperlink" Target="https://www.bbc.co.uk/religion/religions/judaism/subdivisions/reform_1.shtml" TargetMode="External"/><Relationship Id="rId4" Type="http://schemas.openxmlformats.org/officeDocument/2006/relationships/hyperlink" Target="https://www.sefaria.org/Mishnah_Shabbat?lang=bi" TargetMode="External"/><Relationship Id="rId9" Type="http://schemas.openxmlformats.org/officeDocument/2006/relationships/hyperlink" Target="https://www.bl.uk/collection-items/first-complete-mishna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ac0534c46bcbdb4c9463cc65eee49e66">
  <xsd:schema xmlns:xsd="http://www.w3.org/2001/XMLSchema" xmlns:xs="http://www.w3.org/2001/XMLSchema" xmlns:p="http://schemas.microsoft.com/office/2006/metadata/properties" xmlns:ns2="92c24619-d6d5-42cf-b618-23d930ad9f20" targetNamespace="http://schemas.microsoft.com/office/2006/metadata/properties" ma:root="true" ma:fieldsID="0b4864dfc94ba0a34359730e2c7943f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F80BDC-725E-47BF-9732-CD60CC4E7E72}"/>
</file>

<file path=customXml/itemProps2.xml><?xml version="1.0" encoding="utf-8"?>
<ds:datastoreItem xmlns:ds="http://schemas.openxmlformats.org/officeDocument/2006/customXml" ds:itemID="{B0A6DDF2-5CE7-4899-A4D0-6D3EF6DFA779}"/>
</file>

<file path=customXml/itemProps3.xml><?xml version="1.0" encoding="utf-8"?>
<ds:datastoreItem xmlns:ds="http://schemas.openxmlformats.org/officeDocument/2006/customXml" ds:itemID="{F5C5121D-93BB-4D4F-82D3-8B53FEB54A9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Rhiannon Watts (1901401)</dc:creator>
  <dc:description/>
  <lastModifiedBy>Caitlin Rhiannon Watts (1901401)</lastModifiedBy>
  <revision>3</revision>
  <dcterms:created xsi:type="dcterms:W3CDTF">2021-05-28T08:31:00.0000000Z</dcterms:created>
  <dcterms:modified xsi:type="dcterms:W3CDTF">2021-05-28T14:54:43.3078453Z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