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9" w:lineRule="auto"/>
      </w:pPr>
      <w:r>
        <w:rPr>
          <w:sz w:val="20"/>
        </w:rPr>
        <mc:AlternateContent>
          <mc:Choice Requires="wps">
            <w:drawing>
              <wp:inline distT="0" distB="0" distL="0" distR="0">
                <wp:extent cx="5638800" cy="744220"/>
                <wp:effectExtent l="4445" t="4445" r="8255" b="13335"/>
                <wp:docPr id="959036491" name="Text Box 2"/>
                <wp:cNvGraphicFramePr/>
                <a:graphic xmlns:a="http://schemas.openxmlformats.org/drawingml/2006/main">
                  <a:graphicData uri="http://schemas.microsoft.com/office/word/2010/wordprocessingShape">
                    <wps:wsp>
                      <wps:cNvSpPr txBox="1">
                        <a:spLocks noChangeArrowheads="1"/>
                      </wps:cNvSpPr>
                      <wps:spPr bwMode="auto">
                        <a:xfrm>
                          <a:off x="0" y="0"/>
                          <a:ext cx="5638800" cy="744220"/>
                        </a:xfrm>
                        <a:prstGeom prst="rect">
                          <a:avLst/>
                        </a:prstGeom>
                        <a:solidFill>
                          <a:srgbClr val="C0C0C0"/>
                        </a:solidFill>
                        <a:ln w="6096">
                          <a:solidFill>
                            <a:srgbClr val="000000"/>
                          </a:solidFill>
                          <a:prstDash val="solid"/>
                          <a:miter lim="800000"/>
                        </a:ln>
                      </wps:spPr>
                      <wps:txbx>
                        <w:txbxContent>
                          <w:p>
                            <w:pPr>
                              <w:spacing w:line="460" w:lineRule="exact"/>
                              <w:ind w:left="1126" w:firstLine="600" w:firstLineChars="150"/>
                              <w:rPr>
                                <w:rFonts w:hint="default"/>
                                <w:b/>
                                <w:sz w:val="40"/>
                                <w:lang w:val="en-GB"/>
                              </w:rPr>
                            </w:pPr>
                            <w:r>
                              <w:rPr>
                                <w:rFonts w:hint="default"/>
                                <w:b/>
                                <w:sz w:val="40"/>
                                <w:lang w:val="en-GB"/>
                              </w:rPr>
                              <w:t>SUSTAINABLE  HOSPITALITY&amp;</w:t>
                            </w:r>
                          </w:p>
                          <w:p>
                            <w:pPr>
                              <w:spacing w:line="460" w:lineRule="exact"/>
                              <w:ind w:left="1126" w:firstLine="600" w:firstLineChars="150"/>
                              <w:rPr>
                                <w:rFonts w:hint="default"/>
                                <w:b/>
                                <w:sz w:val="40"/>
                                <w:lang w:val="en-GB"/>
                              </w:rPr>
                            </w:pPr>
                            <w:r>
                              <w:rPr>
                                <w:rFonts w:hint="default"/>
                                <w:b/>
                                <w:sz w:val="40"/>
                                <w:lang w:val="en-GB"/>
                              </w:rPr>
                              <w:t>TOURISM  MANAGEMENT</w:t>
                            </w:r>
                          </w:p>
                          <w:p>
                            <w:pPr>
                              <w:spacing w:line="460" w:lineRule="exact"/>
                              <w:ind w:left="1126"/>
                              <w:rPr>
                                <w:rFonts w:hint="default"/>
                                <w:b/>
                                <w:sz w:val="40"/>
                                <w:lang w:val="en-GB"/>
                              </w:rPr>
                            </w:pPr>
                          </w:p>
                          <w:p>
                            <w:pPr>
                              <w:spacing w:line="460" w:lineRule="exact"/>
                              <w:ind w:left="1126"/>
                              <w:rPr>
                                <w:rFonts w:hint="default"/>
                                <w:b/>
                                <w:sz w:val="40"/>
                                <w:lang w:val="en-GB"/>
                              </w:rPr>
                            </w:pPr>
                          </w:p>
                          <w:p>
                            <w:pPr>
                              <w:spacing w:line="460" w:lineRule="exact"/>
                              <w:ind w:left="1126"/>
                              <w:rPr>
                                <w:rFonts w:hint="default"/>
                                <w:b/>
                                <w:sz w:val="40"/>
                                <w:lang w:val="en-GB"/>
                              </w:rPr>
                            </w:pPr>
                          </w:p>
                        </w:txbxContent>
                      </wps:txbx>
                      <wps:bodyPr rot="0" vert="horz" wrap="square" lIns="0" tIns="0" rIns="0" bIns="0" anchor="t" anchorCtr="0" upright="1">
                        <a:noAutofit/>
                      </wps:bodyPr>
                    </wps:wsp>
                  </a:graphicData>
                </a:graphic>
              </wp:inline>
            </w:drawing>
          </mc:Choice>
          <mc:Fallback>
            <w:pict>
              <v:shape id="Text Box 2" o:spid="_x0000_s1026" o:spt="202" type="#_x0000_t202" style="height:58.6pt;width:444pt;" fillcolor="#C0C0C0" filled="t" stroked="t" coordsize="21600,21600" o:gfxdata="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fKhlitMAAAAFAQAADwAAAAAAAAABACAAAAAiAAAAZHJzL2Rvd25y&#10;ZXYueG1sUEsBAhQAFAAAAAgAh07iQA20Co48AgAAlwQAAA4AAAAAAAAAAQAgAAAAIgEAAGRycy9l&#10;Mm9Eb2MueG1sUEsFBgAAAAAGAAYAWQEAANAFAAAAAA==&#10;">
                <v:fill on="t" focussize="0,0"/>
                <v:stroke weight="0.48pt" color="#000000" miterlimit="8" joinstyle="miter"/>
                <v:imagedata o:title=""/>
                <o:lock v:ext="edit" aspectratio="f"/>
                <v:textbox inset="0mm,0mm,0mm,0mm">
                  <w:txbxContent>
                    <w:p>
                      <w:pPr>
                        <w:spacing w:line="460" w:lineRule="exact"/>
                        <w:ind w:left="1126" w:firstLine="600" w:firstLineChars="150"/>
                        <w:rPr>
                          <w:rFonts w:hint="default"/>
                          <w:b/>
                          <w:sz w:val="40"/>
                          <w:lang w:val="en-GB"/>
                        </w:rPr>
                      </w:pPr>
                      <w:r>
                        <w:rPr>
                          <w:rFonts w:hint="default"/>
                          <w:b/>
                          <w:sz w:val="40"/>
                          <w:lang w:val="en-GB"/>
                        </w:rPr>
                        <w:t>SUSTAINABLE  HOSPITALITY&amp;</w:t>
                      </w:r>
                    </w:p>
                    <w:p>
                      <w:pPr>
                        <w:spacing w:line="460" w:lineRule="exact"/>
                        <w:ind w:left="1126" w:firstLine="600" w:firstLineChars="150"/>
                        <w:rPr>
                          <w:rFonts w:hint="default"/>
                          <w:b/>
                          <w:sz w:val="40"/>
                          <w:lang w:val="en-GB"/>
                        </w:rPr>
                      </w:pPr>
                      <w:r>
                        <w:rPr>
                          <w:rFonts w:hint="default"/>
                          <w:b/>
                          <w:sz w:val="40"/>
                          <w:lang w:val="en-GB"/>
                        </w:rPr>
                        <w:t>TOURISM  MANAGEMENT</w:t>
                      </w:r>
                    </w:p>
                    <w:p>
                      <w:pPr>
                        <w:spacing w:line="460" w:lineRule="exact"/>
                        <w:ind w:left="1126"/>
                        <w:rPr>
                          <w:rFonts w:hint="default"/>
                          <w:b/>
                          <w:sz w:val="40"/>
                          <w:lang w:val="en-GB"/>
                        </w:rPr>
                      </w:pPr>
                    </w:p>
                    <w:p>
                      <w:pPr>
                        <w:spacing w:line="460" w:lineRule="exact"/>
                        <w:ind w:left="1126"/>
                        <w:rPr>
                          <w:rFonts w:hint="default"/>
                          <w:b/>
                          <w:sz w:val="40"/>
                          <w:lang w:val="en-GB"/>
                        </w:rPr>
                      </w:pPr>
                    </w:p>
                    <w:p>
                      <w:pPr>
                        <w:spacing w:line="460" w:lineRule="exact"/>
                        <w:ind w:left="1126"/>
                        <w:rPr>
                          <w:rFonts w:hint="default"/>
                          <w:b/>
                          <w:sz w:val="40"/>
                          <w:lang w:val="en-GB"/>
                        </w:rPr>
                      </w:pPr>
                    </w:p>
                  </w:txbxContent>
                </v:textbox>
                <w10:wrap type="none"/>
                <w10:anchorlock/>
              </v:shape>
            </w:pict>
          </mc:Fallback>
        </mc:AlternateContent>
      </w:r>
    </w:p>
    <w:p>
      <w:pPr>
        <w:spacing w:line="259" w:lineRule="auto"/>
      </w:pPr>
    </w:p>
    <w:p>
      <w:pPr>
        <w:spacing w:line="259" w:lineRule="auto"/>
      </w:pPr>
    </w:p>
    <w:p>
      <w:pPr>
        <w:spacing w:line="259" w:lineRule="auto"/>
      </w:pPr>
    </w:p>
    <w:p>
      <w:pPr>
        <w:spacing w:line="259" w:lineRule="auto"/>
      </w:pPr>
    </w:p>
    <w:p>
      <w:pPr>
        <w:spacing w:line="259" w:lineRule="auto"/>
        <w:rPr>
          <w:rFonts w:hint="default"/>
          <w:sz w:val="40"/>
          <w:szCs w:val="40"/>
          <w:lang w:val="en-GB"/>
        </w:rPr>
      </w:pPr>
      <w:r>
        <w:rPr>
          <w:rFonts w:hint="default"/>
          <w:sz w:val="40"/>
          <w:szCs w:val="40"/>
          <w:lang w:val="en-GB"/>
        </w:rPr>
        <w:t xml:space="preserve">STUDENT NAME:  MD MUHIBUR RAHMAN  </w:t>
      </w:r>
    </w:p>
    <w:p>
      <w:pPr>
        <w:spacing w:line="259" w:lineRule="auto"/>
        <w:rPr>
          <w:rFonts w:hint="default"/>
          <w:sz w:val="40"/>
          <w:szCs w:val="40"/>
          <w:lang w:val="en-GB"/>
        </w:rPr>
      </w:pPr>
    </w:p>
    <w:p>
      <w:pPr>
        <w:spacing w:line="259" w:lineRule="auto"/>
        <w:rPr>
          <w:rFonts w:hint="default"/>
          <w:sz w:val="40"/>
          <w:szCs w:val="40"/>
          <w:lang w:val="en-GB"/>
        </w:rPr>
      </w:pPr>
      <w:r>
        <w:rPr>
          <w:rFonts w:hint="default"/>
          <w:sz w:val="40"/>
          <w:szCs w:val="40"/>
          <w:lang w:val="en-GB"/>
        </w:rPr>
        <w:t>SDUDENT NUMBER: 2127738</w:t>
      </w:r>
    </w:p>
    <w:p>
      <w:pPr>
        <w:spacing w:line="259" w:lineRule="auto"/>
        <w:rPr>
          <w:rFonts w:hint="default"/>
          <w:sz w:val="40"/>
          <w:szCs w:val="40"/>
          <w:lang w:val="en-GB"/>
        </w:rPr>
      </w:pPr>
      <w:r>
        <w:rPr>
          <w:rFonts w:hint="default"/>
          <w:sz w:val="40"/>
          <w:szCs w:val="40"/>
          <w:lang w:val="en-GB"/>
        </w:rPr>
        <w:t>MOODLE: BMIH5006</w:t>
      </w:r>
    </w:p>
    <w:p>
      <w:pPr>
        <w:spacing w:line="259" w:lineRule="auto"/>
        <w:rPr>
          <w:rFonts w:hint="default"/>
          <w:sz w:val="40"/>
          <w:szCs w:val="40"/>
          <w:lang w:val="en-GB"/>
        </w:rPr>
      </w:pPr>
      <w:bookmarkStart w:id="11" w:name="_GoBack"/>
      <w:bookmarkEnd w:id="11"/>
    </w:p>
    <w:p>
      <w:pPr>
        <w:spacing w:line="259" w:lineRule="auto"/>
        <w:rPr>
          <w:rFonts w:hint="default"/>
          <w:sz w:val="40"/>
          <w:szCs w:val="40"/>
          <w:lang w:val="en-GB"/>
        </w:rPr>
      </w:pPr>
      <w:r>
        <w:rPr>
          <w:rFonts w:hint="default"/>
          <w:sz w:val="40"/>
          <w:szCs w:val="40"/>
          <w:lang w:val="en-GB"/>
        </w:rPr>
        <w:t>TEACHER NAME: KATHRYN ROBERTS</w:t>
      </w:r>
    </w:p>
    <w:p>
      <w:pPr>
        <w:spacing w:line="259" w:lineRule="auto"/>
        <w:rPr>
          <w:b/>
          <w:sz w:val="28"/>
        </w:rPr>
      </w:pPr>
      <w:r>
        <w:br w:type="page"/>
      </w:r>
    </w:p>
    <w:sdt>
      <w:sdtPr>
        <w:rPr>
          <w:rFonts w:asciiTheme="minorHAnsi" w:hAnsiTheme="minorHAnsi" w:eastAsiaTheme="minorHAnsi" w:cstheme="minorBidi"/>
          <w:color w:val="auto"/>
          <w:kern w:val="2"/>
          <w:sz w:val="24"/>
          <w:szCs w:val="22"/>
          <w:lang w:val="en-GB"/>
          <w14:ligatures w14:val="standardContextual"/>
        </w:rPr>
        <w:id w:val="1227502642"/>
        <w:docPartObj>
          <w:docPartGallery w:val="Table of Contents"/>
          <w:docPartUnique/>
        </w:docPartObj>
      </w:sdtPr>
      <w:sdtEndPr>
        <w:rPr>
          <w:rFonts w:ascii="Arial" w:hAnsi="Arial" w:eastAsiaTheme="minorHAnsi" w:cstheme="minorBidi"/>
          <w:b/>
          <w:bCs/>
          <w:color w:val="auto"/>
          <w:kern w:val="2"/>
          <w:sz w:val="24"/>
          <w:szCs w:val="22"/>
          <w:lang w:val="en-GB"/>
          <w14:ligatures w14:val="standardContextual"/>
        </w:rPr>
      </w:sdtEndPr>
      <w:sdtContent>
        <w:p>
          <w:pPr>
            <w:pStyle w:val="19"/>
            <w:rPr>
              <w:rFonts w:ascii="Arial" w:hAnsi="Arial" w:cs="Arial"/>
              <w:b/>
              <w:bCs/>
              <w:color w:val="auto"/>
              <w:sz w:val="28"/>
              <w:szCs w:val="28"/>
            </w:rPr>
          </w:pPr>
          <w:r>
            <w:rPr>
              <w:rFonts w:ascii="Arial" w:hAnsi="Arial" w:cs="Arial"/>
              <w:b/>
              <w:bCs/>
              <w:color w:val="auto"/>
              <w:sz w:val="28"/>
              <w:szCs w:val="28"/>
            </w:rPr>
            <w:t>Table of Contents</w:t>
          </w:r>
        </w:p>
        <w:p>
          <w:pPr>
            <w:pStyle w:val="12"/>
            <w:tabs>
              <w:tab w:val="right" w:leader="dot" w:pos="9016"/>
            </w:tabs>
            <w:spacing w:after="0"/>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"_Toc157036498" </w:instrText>
          </w:r>
          <w:r>
            <w:fldChar w:fldCharType="separate"/>
          </w:r>
          <w:r>
            <w:rPr>
              <w:rStyle w:val="10"/>
            </w:rPr>
            <w:t>Introduction</w:t>
          </w:r>
          <w:r>
            <w:tab/>
          </w:r>
          <w:r>
            <w:fldChar w:fldCharType="begin"/>
          </w:r>
          <w:r>
            <w:instrText xml:space="preserve"> PAGEREF _Toc157036498 \h </w:instrText>
          </w:r>
          <w:r>
            <w:fldChar w:fldCharType="separate"/>
          </w:r>
          <w:r>
            <w:t>1</w:t>
          </w:r>
          <w:r>
            <w:fldChar w:fldCharType="end"/>
          </w:r>
          <w:r>
            <w:fldChar w:fldCharType="end"/>
          </w:r>
        </w:p>
        <w:p>
          <w:pPr>
            <w:pStyle w:val="13"/>
            <w:tabs>
              <w:tab w:val="right" w:leader="dot" w:pos="9016"/>
            </w:tabs>
            <w:spacing w:after="0"/>
          </w:pPr>
          <w:r>
            <w:fldChar w:fldCharType="begin"/>
          </w:r>
          <w:r>
            <w:instrText xml:space="preserve"> HYPERLINK \l "_Toc157036499" </w:instrText>
          </w:r>
          <w:r>
            <w:fldChar w:fldCharType="separate"/>
          </w:r>
          <w:r>
            <w:rPr>
              <w:rStyle w:val="10"/>
            </w:rPr>
            <w:t>Concept of Greenwashing</w:t>
          </w:r>
          <w:r>
            <w:tab/>
          </w:r>
          <w:r>
            <w:fldChar w:fldCharType="begin"/>
          </w:r>
          <w:r>
            <w:instrText xml:space="preserve"> PAGEREF _Toc157036499 \h </w:instrText>
          </w:r>
          <w:r>
            <w:fldChar w:fldCharType="separate"/>
          </w:r>
          <w:r>
            <w:t>2</w:t>
          </w:r>
          <w:r>
            <w:fldChar w:fldCharType="end"/>
          </w:r>
          <w:r>
            <w:fldChar w:fldCharType="end"/>
          </w:r>
        </w:p>
        <w:p>
          <w:pPr>
            <w:pStyle w:val="13"/>
            <w:tabs>
              <w:tab w:val="right" w:leader="dot" w:pos="9016"/>
            </w:tabs>
            <w:spacing w:after="0"/>
          </w:pPr>
          <w:r>
            <w:fldChar w:fldCharType="begin"/>
          </w:r>
          <w:r>
            <w:instrText xml:space="preserve"> HYPERLINK \l "_Toc157036500" </w:instrText>
          </w:r>
          <w:r>
            <w:fldChar w:fldCharType="separate"/>
          </w:r>
          <w:r>
            <w:rPr>
              <w:rStyle w:val="10"/>
            </w:rPr>
            <w:t>Green Initiatives of Marriot International</w:t>
          </w:r>
          <w:r>
            <w:tab/>
          </w:r>
          <w:r>
            <w:fldChar w:fldCharType="begin"/>
          </w:r>
          <w:r>
            <w:instrText xml:space="preserve"> PAGEREF _Toc157036500 \h </w:instrText>
          </w:r>
          <w:r>
            <w:fldChar w:fldCharType="separate"/>
          </w:r>
          <w:r>
            <w:t>3</w:t>
          </w:r>
          <w:r>
            <w:fldChar w:fldCharType="end"/>
          </w:r>
          <w:r>
            <w:fldChar w:fldCharType="end"/>
          </w:r>
        </w:p>
        <w:p>
          <w:pPr>
            <w:pStyle w:val="13"/>
            <w:tabs>
              <w:tab w:val="right" w:leader="dot" w:pos="9016"/>
            </w:tabs>
            <w:spacing w:after="0"/>
          </w:pPr>
          <w:r>
            <w:fldChar w:fldCharType="begin"/>
          </w:r>
          <w:r>
            <w:instrText xml:space="preserve"> HYPERLINK \l "_Toc157036501" </w:instrText>
          </w:r>
          <w:r>
            <w:fldChar w:fldCharType="separate"/>
          </w:r>
          <w:r>
            <w:rPr>
              <w:rStyle w:val="10"/>
            </w:rPr>
            <w:t>Evaluation of Greenwashing Accusations on Marriot International</w:t>
          </w:r>
          <w:r>
            <w:tab/>
          </w:r>
          <w:r>
            <w:fldChar w:fldCharType="begin"/>
          </w:r>
          <w:r>
            <w:instrText xml:space="preserve"> PAGEREF _Toc157036501 \h </w:instrText>
          </w:r>
          <w:r>
            <w:fldChar w:fldCharType="separate"/>
          </w:r>
          <w:r>
            <w:t>5</w:t>
          </w:r>
          <w:r>
            <w:fldChar w:fldCharType="end"/>
          </w:r>
          <w:r>
            <w:fldChar w:fldCharType="end"/>
          </w:r>
        </w:p>
        <w:p>
          <w:pPr>
            <w:pStyle w:val="13"/>
            <w:tabs>
              <w:tab w:val="right" w:leader="dot" w:pos="9016"/>
            </w:tabs>
            <w:spacing w:after="0"/>
          </w:pPr>
          <w:r>
            <w:fldChar w:fldCharType="begin"/>
          </w:r>
          <w:r>
            <w:instrText xml:space="preserve"> HYPERLINK \l "_Toc157036502" </w:instrText>
          </w:r>
          <w:r>
            <w:fldChar w:fldCharType="separate"/>
          </w:r>
          <w:r>
            <w:rPr>
              <w:rStyle w:val="10"/>
            </w:rPr>
            <w:t>Self-Evaluation in Sustainability Reporting</w:t>
          </w:r>
          <w:r>
            <w:tab/>
          </w:r>
          <w:r>
            <w:fldChar w:fldCharType="begin"/>
          </w:r>
          <w:r>
            <w:instrText xml:space="preserve"> PAGEREF _Toc157036502 \h </w:instrText>
          </w:r>
          <w:r>
            <w:fldChar w:fldCharType="separate"/>
          </w:r>
          <w:r>
            <w:t>6</w:t>
          </w:r>
          <w:r>
            <w:fldChar w:fldCharType="end"/>
          </w:r>
          <w:r>
            <w:fldChar w:fldCharType="end"/>
          </w:r>
        </w:p>
        <w:p>
          <w:pPr>
            <w:pStyle w:val="13"/>
            <w:tabs>
              <w:tab w:val="right" w:leader="dot" w:pos="9016"/>
            </w:tabs>
            <w:spacing w:after="0"/>
          </w:pPr>
          <w:r>
            <w:fldChar w:fldCharType="begin"/>
          </w:r>
          <w:r>
            <w:instrText xml:space="preserve"> HYPERLINK \l "_Toc157036503" </w:instrText>
          </w:r>
          <w:r>
            <w:fldChar w:fldCharType="separate"/>
          </w:r>
          <w:r>
            <w:rPr>
              <w:rStyle w:val="10"/>
            </w:rPr>
            <w:t>Green Technology and Sustainability</w:t>
          </w:r>
          <w:r>
            <w:tab/>
          </w:r>
          <w:r>
            <w:fldChar w:fldCharType="begin"/>
          </w:r>
          <w:r>
            <w:instrText xml:space="preserve"> PAGEREF _Toc157036503 \h </w:instrText>
          </w:r>
          <w:r>
            <w:fldChar w:fldCharType="separate"/>
          </w:r>
          <w:r>
            <w:t>7</w:t>
          </w:r>
          <w:r>
            <w:fldChar w:fldCharType="end"/>
          </w:r>
          <w:r>
            <w:fldChar w:fldCharType="end"/>
          </w:r>
        </w:p>
        <w:p>
          <w:pPr>
            <w:pStyle w:val="12"/>
            <w:tabs>
              <w:tab w:val="right" w:leader="dot" w:pos="9016"/>
            </w:tabs>
            <w:spacing w:after="0"/>
            <w:rPr>
              <w:rFonts w:asciiTheme="minorHAnsi" w:hAnsiTheme="minorHAnsi" w:eastAsiaTheme="minorEastAsia"/>
              <w:sz w:val="22"/>
              <w:lang w:val="en-US"/>
            </w:rPr>
          </w:pPr>
          <w:r>
            <w:fldChar w:fldCharType="begin"/>
          </w:r>
          <w:r>
            <w:instrText xml:space="preserve"> HYPERLINK \l "_Toc157036504" </w:instrText>
          </w:r>
          <w:r>
            <w:fldChar w:fldCharType="separate"/>
          </w:r>
          <w:r>
            <w:rPr>
              <w:rStyle w:val="10"/>
            </w:rPr>
            <w:t>Conclusion</w:t>
          </w:r>
          <w:r>
            <w:tab/>
          </w:r>
          <w:r>
            <w:fldChar w:fldCharType="begin"/>
          </w:r>
          <w:r>
            <w:instrText xml:space="preserve"> PAGEREF _Toc157036504 \h </w:instrText>
          </w:r>
          <w:r>
            <w:fldChar w:fldCharType="separate"/>
          </w:r>
          <w:r>
            <w:t>9</w:t>
          </w:r>
          <w:r>
            <w:fldChar w:fldCharType="end"/>
          </w:r>
          <w:r>
            <w:fldChar w:fldCharType="end"/>
          </w:r>
        </w:p>
        <w:p>
          <w:pPr>
            <w:pStyle w:val="12"/>
            <w:tabs>
              <w:tab w:val="right" w:leader="dot" w:pos="9016"/>
            </w:tabs>
            <w:spacing w:after="0"/>
            <w:rPr>
              <w:rFonts w:asciiTheme="minorHAnsi" w:hAnsiTheme="minorHAnsi" w:eastAsiaTheme="minorEastAsia"/>
              <w:sz w:val="22"/>
              <w:lang w:val="en-US"/>
            </w:rPr>
          </w:pPr>
          <w:r>
            <w:fldChar w:fldCharType="begin"/>
          </w:r>
          <w:r>
            <w:instrText xml:space="preserve"> HYPERLINK \l "_Toc157036505" </w:instrText>
          </w:r>
          <w:r>
            <w:fldChar w:fldCharType="separate"/>
          </w:r>
          <w:r>
            <w:rPr>
              <w:rStyle w:val="10"/>
            </w:rPr>
            <w:t>References</w:t>
          </w:r>
          <w:r>
            <w:tab/>
          </w:r>
          <w:r>
            <w:fldChar w:fldCharType="begin"/>
          </w:r>
          <w:r>
            <w:instrText xml:space="preserve"> PAGEREF _Toc157036505 \h </w:instrText>
          </w:r>
          <w:r>
            <w:fldChar w:fldCharType="separate"/>
          </w:r>
          <w:r>
            <w:t>10</w:t>
          </w:r>
          <w:r>
            <w:fldChar w:fldCharType="end"/>
          </w:r>
          <w:r>
            <w:fldChar w:fldCharType="end"/>
          </w:r>
        </w:p>
        <w:p>
          <w:pPr>
            <w:spacing w:after="0"/>
          </w:pPr>
          <w:r>
            <w:rPr>
              <w:b/>
              <w:bCs/>
            </w:rPr>
            <w:fldChar w:fldCharType="end"/>
          </w:r>
        </w:p>
      </w:sdtContent>
    </w:sdt>
    <w:p>
      <w:pPr>
        <w:spacing w:line="259" w:lineRule="auto"/>
        <w:jc w:val="left"/>
        <w:rPr>
          <w:b/>
          <w:bCs/>
        </w:rPr>
      </w:pPr>
      <w:r>
        <w:rPr>
          <w:b/>
          <w:bCs/>
          <w:sz w:val="28"/>
          <w:szCs w:val="26"/>
        </w:rPr>
        <w:t>Table of Figures</w:t>
      </w:r>
    </w:p>
    <w:p>
      <w:pPr>
        <w:pStyle w:val="11"/>
        <w:tabs>
          <w:tab w:val="right" w:leader="dot" w:pos="9016"/>
        </w:tabs>
        <w:rPr>
          <w:rFonts w:asciiTheme="minorHAnsi" w:hAnsiTheme="minorHAnsi" w:eastAsiaTheme="minorEastAsia"/>
          <w:sz w:val="22"/>
          <w:lang w:val="en-US"/>
        </w:rPr>
      </w:pPr>
      <w:r>
        <w:rPr>
          <w:b/>
          <w:bCs/>
        </w:rPr>
        <w:fldChar w:fldCharType="begin"/>
      </w:r>
      <w:r>
        <w:rPr>
          <w:b/>
          <w:bCs/>
        </w:rPr>
        <w:instrText xml:space="preserve"> TOC \h \z \c "Figure" </w:instrText>
      </w:r>
      <w:r>
        <w:rPr>
          <w:b/>
          <w:bCs/>
        </w:rPr>
        <w:fldChar w:fldCharType="separate"/>
      </w:r>
      <w:r>
        <w:fldChar w:fldCharType="begin"/>
      </w:r>
      <w:r>
        <w:instrText xml:space="preserve"> HYPERLINK \l "_Toc157036517" </w:instrText>
      </w:r>
      <w:r>
        <w:fldChar w:fldCharType="separate"/>
      </w:r>
      <w:r>
        <w:rPr>
          <w:rStyle w:val="10"/>
        </w:rPr>
        <w:t>Figure 1: Reduction in emissions by Marriot</w:t>
      </w:r>
      <w:r>
        <w:tab/>
      </w:r>
      <w:r>
        <w:fldChar w:fldCharType="begin"/>
      </w:r>
      <w:r>
        <w:instrText xml:space="preserve"> PAGEREF _Toc157036517 \h </w:instrText>
      </w:r>
      <w:r>
        <w:fldChar w:fldCharType="separate"/>
      </w:r>
      <w:r>
        <w:t>3</w:t>
      </w:r>
      <w:r>
        <w:fldChar w:fldCharType="end"/>
      </w:r>
      <w:r>
        <w:fldChar w:fldCharType="end"/>
      </w:r>
    </w:p>
    <w:p>
      <w:pPr>
        <w:pStyle w:val="11"/>
        <w:tabs>
          <w:tab w:val="right" w:leader="dot" w:pos="9016"/>
        </w:tabs>
        <w:rPr>
          <w:rFonts w:asciiTheme="minorHAnsi" w:hAnsiTheme="minorHAnsi" w:eastAsiaTheme="minorEastAsia"/>
          <w:sz w:val="22"/>
          <w:lang w:val="en-US"/>
        </w:rPr>
      </w:pPr>
      <w:r>
        <w:fldChar w:fldCharType="begin"/>
      </w:r>
      <w:r>
        <w:instrText xml:space="preserve"> HYPERLINK \l "_Toc157036518" </w:instrText>
      </w:r>
      <w:r>
        <w:fldChar w:fldCharType="separate"/>
      </w:r>
      <w:r>
        <w:rPr>
          <w:rStyle w:val="10"/>
        </w:rPr>
        <w:t>Figure 2: ESG Excellence of Marriot International</w:t>
      </w:r>
      <w:r>
        <w:tab/>
      </w:r>
      <w:r>
        <w:fldChar w:fldCharType="begin"/>
      </w:r>
      <w:r>
        <w:instrText xml:space="preserve"> PAGEREF _Toc157036518 \h </w:instrText>
      </w:r>
      <w:r>
        <w:fldChar w:fldCharType="separate"/>
      </w:r>
      <w:r>
        <w:t>4</w:t>
      </w:r>
      <w:r>
        <w:fldChar w:fldCharType="end"/>
      </w:r>
      <w:r>
        <w:fldChar w:fldCharType="end"/>
      </w:r>
    </w:p>
    <w:p>
      <w:pPr>
        <w:pStyle w:val="11"/>
        <w:tabs>
          <w:tab w:val="right" w:leader="dot" w:pos="9016"/>
        </w:tabs>
        <w:rPr>
          <w:rFonts w:asciiTheme="minorHAnsi" w:hAnsiTheme="minorHAnsi" w:eastAsiaTheme="minorEastAsia"/>
          <w:sz w:val="22"/>
          <w:lang w:val="en-US"/>
        </w:rPr>
      </w:pPr>
      <w:r>
        <w:fldChar w:fldCharType="begin"/>
      </w:r>
      <w:r>
        <w:instrText xml:space="preserve"> HYPERLINK \l "_Toc157036519" </w:instrText>
      </w:r>
      <w:r>
        <w:fldChar w:fldCharType="separate"/>
      </w:r>
      <w:r>
        <w:rPr>
          <w:rStyle w:val="10"/>
        </w:rPr>
        <w:t>Figure 3: Actual and target emission reduction by Marriot International</w:t>
      </w:r>
      <w:r>
        <w:tab/>
      </w:r>
      <w:r>
        <w:fldChar w:fldCharType="begin"/>
      </w:r>
      <w:r>
        <w:instrText xml:space="preserve"> PAGEREF _Toc157036519 \h </w:instrText>
      </w:r>
      <w:r>
        <w:fldChar w:fldCharType="separate"/>
      </w:r>
      <w:r>
        <w:t>5</w:t>
      </w:r>
      <w:r>
        <w:fldChar w:fldCharType="end"/>
      </w:r>
      <w:r>
        <w:fldChar w:fldCharType="end"/>
      </w:r>
    </w:p>
    <w:p>
      <w:pPr>
        <w:spacing w:line="259" w:lineRule="auto"/>
        <w:jc w:val="left"/>
        <w:rPr>
          <w:b/>
          <w:bCs/>
          <w:sz w:val="28"/>
        </w:rPr>
      </w:pPr>
      <w:r>
        <w:rPr>
          <w:b/>
          <w:bCs/>
        </w:rPr>
        <w:fldChar w:fldCharType="end"/>
      </w:r>
      <w:r>
        <w:rPr>
          <w:b/>
          <w:bCs/>
        </w:rPr>
        <w:br w:type="page"/>
      </w:r>
    </w:p>
    <w:p>
      <w:pPr>
        <w:pStyle w:val="2"/>
        <w:sectPr>
          <w:footerReference r:id="rId5" w:type="default"/>
          <w:pgSz w:w="11906" w:h="16838"/>
          <w:pgMar w:top="1440" w:right="1440" w:bottom="1440" w:left="1440" w:header="708" w:footer="708" w:gutter="0"/>
          <w:pgNumType w:fmt="lowerRoman"/>
          <w:cols w:space="708" w:num="1"/>
          <w:docGrid w:linePitch="360" w:charSpace="0"/>
        </w:sectPr>
      </w:pPr>
    </w:p>
    <w:p>
      <w:pPr>
        <w:pStyle w:val="2"/>
      </w:pPr>
      <w:bookmarkStart w:id="0" w:name="_Toc157036498"/>
      <w:r>
        <w:t>Introduction</w:t>
      </w:r>
      <w:bookmarkEnd w:id="0"/>
    </w:p>
    <w:p>
      <w:r>
        <w:t>Greenwashing refers to when companies and organisations mislead their consumers or audiences by making them believe that a product, service they provide, or the organisation itself is environmentally friendly or sustainable, when it is not. Greenwashing involves making an unsubstantiated claim to deceive consumers into believing that a company’s products are environmentally friendly or have a greater positive environmental impact than they actually do. In addition, greenwashing may occur when a company attempts to emphasize sustainable aspects of a product to overshadow the company’s involvement in environmentally damaging practices. The report further addresses the key aspects of greenwashing in the hospitality industry, and analysed the green initiatives and sustainability claims of Marriot International.</w:t>
      </w:r>
    </w:p>
    <w:p>
      <w:pPr>
        <w:spacing w:line="259" w:lineRule="auto"/>
        <w:jc w:val="left"/>
        <w:rPr>
          <w:b/>
          <w:sz w:val="28"/>
        </w:rPr>
      </w:pPr>
      <w:r>
        <w:br w:type="page"/>
      </w:r>
    </w:p>
    <w:p>
      <w:pPr>
        <w:pStyle w:val="3"/>
      </w:pPr>
      <w:bookmarkStart w:id="1" w:name="_Toc157036499"/>
      <w:r>
        <w:t>Concept of Greenwashing</w:t>
      </w:r>
      <w:bookmarkEnd w:id="1"/>
    </w:p>
    <w:p>
      <w:pPr>
        <w:spacing w:after="0"/>
      </w:pPr>
      <w:r>
        <w:t xml:space="preserve">The technique of greenwashing, also known as green shine, is a sort of misleading marketing in which a company, product, or business activity is presented in an exaggerated or false manner as being ecologically beneficial. It undermines the efforts of those companies who are truly attempting to improve their effect and make the world a better place with their efforts </w:t>
      </w:r>
      <w:r>
        <w:rPr>
          <w:rFonts w:cs="Arial"/>
          <w:color w:val="222222"/>
          <w:szCs w:val="24"/>
          <w:shd w:val="clear" w:color="auto" w:fill="FFFFFF"/>
        </w:rPr>
        <w:t>(Han, 2021)</w:t>
      </w:r>
      <w:r>
        <w:t xml:space="preserve">. Customers who are wanting to acquire items that are really environmentally friendly or to do business with businesses that are ecologically conscious are led astray by this. It poses a threat to the confidence of investors at a time when sustainable investment funds are seeing a surge in popularity. The International Monetary Fund (IMF) said in October 2021 that up to twenty trillion dollars’ worth of additional sustainable investments will be necessary to accomplish global climate targets by the year 2050 </w:t>
      </w:r>
      <w:r>
        <w:rPr>
          <w:rFonts w:cs="Arial"/>
          <w:color w:val="222222"/>
          <w:szCs w:val="24"/>
          <w:shd w:val="clear" w:color="auto" w:fill="FFFFFF"/>
        </w:rPr>
        <w:t>(Achmad and Yulianah, 2022)</w:t>
      </w:r>
      <w:r>
        <w:t>.</w:t>
      </w:r>
    </w:p>
    <w:p>
      <w:pPr>
        <w:spacing w:after="0"/>
      </w:pPr>
      <w:r>
        <w:t xml:space="preserve">The collective worldwide efforts that are being made towards better sustainability have created the need for businesses of all sizes to be more open about the actions that they are doing to manage risks related to the environment, society, and governance. As a consequence of this, regulatory organisations, stock exchanges, and other government agencies have enforced reporting that is relevant to environmental, social, and governance issues; this reporting is referred to as ESG disclosure </w:t>
      </w:r>
      <w:r>
        <w:rPr>
          <w:rFonts w:cs="Arial"/>
          <w:color w:val="222222"/>
          <w:szCs w:val="24"/>
          <w:shd w:val="clear" w:color="auto" w:fill="FFFFFF"/>
        </w:rPr>
        <w:t>(Yousaf et al., 2021)</w:t>
      </w:r>
      <w:r>
        <w:t>. A great number of companies have made the decision to brand or redesign their image as environmentally friendly, even while they do not truly provide a sustainable product or service (Gatti et al., 2019). In order to deal these deceptive methods, the government of the United Kingdom, together with other groups that are working to combat global warming, is organising efforts to educate consumers about greenwashing and to urge businesses to take a socially responsible approach to sustainable development.</w:t>
      </w:r>
    </w:p>
    <w:p>
      <w:pPr>
        <w:spacing w:line="259" w:lineRule="auto"/>
        <w:jc w:val="left"/>
        <w:rPr>
          <w:b/>
          <w:sz w:val="28"/>
        </w:rPr>
      </w:pPr>
      <w:r>
        <w:br w:type="page"/>
      </w:r>
    </w:p>
    <w:p>
      <w:pPr>
        <w:pStyle w:val="3"/>
      </w:pPr>
      <w:bookmarkStart w:id="2" w:name="_Toc157036500"/>
      <w:r>
        <w:t>Green Initiatives of Marriot International</w:t>
      </w:r>
      <w:bookmarkEnd w:id="2"/>
    </w:p>
    <w:p>
      <w:pPr>
        <w:spacing w:after="0"/>
      </w:pPr>
      <w:r>
        <w:t xml:space="preserve">Marriott International is a worldwide hospitality company pioneered as a promoter of green practices sustainability. The hotel strives to reduce their environmental effect and promote ethics throughout their broad network of hotels and resorts in many nations and cultures. The Marriott sustainable architecture is multifaceted that addresses a comprehensive approach is needed to reconcile business and environmental goals (Wu et al., 2020). The strategies of the hotel emphasise energy efficiency, green sourcing and overall sustainable initiatives. </w:t>
      </w:r>
    </w:p>
    <w:p>
      <w:pPr>
        <w:keepNext/>
        <w:spacing w:after="0"/>
        <w:jc w:val="center"/>
      </w:pPr>
      <w:r>
        <w:drawing>
          <wp:inline distT="0" distB="0" distL="0" distR="0">
            <wp:extent cx="4890135" cy="2619375"/>
            <wp:effectExtent l="0" t="0" r="5715" b="9525"/>
            <wp:docPr id="165940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0481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b="5310"/>
                    <a:stretch>
                      <a:fillRect/>
                    </a:stretch>
                  </pic:blipFill>
                  <pic:spPr>
                    <a:xfrm>
                      <a:off x="0" y="0"/>
                      <a:ext cx="4919143" cy="2635018"/>
                    </a:xfrm>
                    <a:prstGeom prst="rect">
                      <a:avLst/>
                    </a:prstGeom>
                    <a:noFill/>
                    <a:ln>
                      <a:noFill/>
                    </a:ln>
                  </pic:spPr>
                </pic:pic>
              </a:graphicData>
            </a:graphic>
          </wp:inline>
        </w:drawing>
      </w:r>
    </w:p>
    <w:p>
      <w:pPr>
        <w:pStyle w:val="7"/>
        <w:spacing w:after="0"/>
      </w:pPr>
      <w:bookmarkStart w:id="3" w:name="_Toc157036517"/>
      <w:r>
        <w:t xml:space="preserve">Figure </w:t>
      </w:r>
      <w:r>
        <w:fldChar w:fldCharType="begin"/>
      </w:r>
      <w:r>
        <w:instrText xml:space="preserve"> SEQ Figure \* ARABIC </w:instrText>
      </w:r>
      <w:r>
        <w:fldChar w:fldCharType="separate"/>
      </w:r>
      <w:r>
        <w:t>1</w:t>
      </w:r>
      <w:r>
        <w:fldChar w:fldCharType="end"/>
      </w:r>
      <w:r>
        <w:t>: Reduction in emissions by Marriot</w:t>
      </w:r>
      <w:r>
        <w:br w:type="textWrapping"/>
      </w:r>
      <w:r>
        <w:t>Source: (Bernard and Nicolau, 2022)</w:t>
      </w:r>
      <w:bookmarkEnd w:id="3"/>
    </w:p>
    <w:p>
      <w:pPr>
        <w:spacing w:after="0"/>
      </w:pPr>
      <w:r>
        <w:t>Marriott uses modern technology and environmentally friendly methods worldwide in its hotels and such approaches are comprehensive and effective, from energy-saving light bulbs to smart thermostats. Marriott installs energy-efficient equipment in its properties to save electricity while the hotel also intends to save water and power (Szabo and Webster, 2021). Since water is an essential natural element, the corporation conserves it in its operations. It has emphasised on putting in water-efficient equipment as a component of this effort. In addition to water and energy savings, Marriott has initiatives of waste management, for which this approach reduces their businesses' environmental waste. Comprehensive recycle and responsible disposal of waste are included. The objective is to decrease landfill garbage and environmental impact (Gregory, 2023). Marriott's green tapestry includes sustainability and the hotel prioritises green products. Their meals, accommodation, and other services reflect this dedication. Marriott responsibly selects products to ensure social and environmental sustainability while promoting conscious purchasing amongst its discerning clientele.</w:t>
      </w:r>
    </w:p>
    <w:p>
      <w:pPr>
        <w:keepNext/>
        <w:spacing w:after="0"/>
        <w:jc w:val="center"/>
      </w:pPr>
      <w:r>
        <w:drawing>
          <wp:inline distT="0" distB="0" distL="0" distR="0">
            <wp:extent cx="3528060" cy="3479800"/>
            <wp:effectExtent l="0" t="0" r="0" b="6350"/>
            <wp:docPr id="1450542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2576" name="Picture 2"/>
                    <pic:cNvPicPr>
                      <a:picLocks noChangeAspect="1" noChangeArrowheads="1"/>
                    </pic:cNvPicPr>
                  </pic:nvPicPr>
                  <pic:blipFill>
                    <a:blip r:embed="rId8">
                      <a:extLst>
                        <a:ext uri="{28A0092B-C50C-407E-A947-70E740481C1C}">
                          <a14:useLocalDpi xmlns:a14="http://schemas.microsoft.com/office/drawing/2010/main" val="0"/>
                        </a:ext>
                      </a:extLst>
                    </a:blip>
                    <a:srcRect b="8646"/>
                    <a:stretch>
                      <a:fillRect/>
                    </a:stretch>
                  </pic:blipFill>
                  <pic:spPr>
                    <a:xfrm>
                      <a:off x="0" y="0"/>
                      <a:ext cx="3545018" cy="3497101"/>
                    </a:xfrm>
                    <a:prstGeom prst="rect">
                      <a:avLst/>
                    </a:prstGeom>
                    <a:noFill/>
                    <a:ln>
                      <a:noFill/>
                    </a:ln>
                  </pic:spPr>
                </pic:pic>
              </a:graphicData>
            </a:graphic>
          </wp:inline>
        </w:drawing>
      </w:r>
    </w:p>
    <w:p>
      <w:pPr>
        <w:pStyle w:val="7"/>
      </w:pPr>
      <w:bookmarkStart w:id="4" w:name="_Toc157036518"/>
      <w:r>
        <w:t xml:space="preserve">Figure </w:t>
      </w:r>
      <w:r>
        <w:fldChar w:fldCharType="begin"/>
      </w:r>
      <w:r>
        <w:instrText xml:space="preserve"> SEQ Figure \* ARABIC </w:instrText>
      </w:r>
      <w:r>
        <w:fldChar w:fldCharType="separate"/>
      </w:r>
      <w:r>
        <w:t>2</w:t>
      </w:r>
      <w:r>
        <w:fldChar w:fldCharType="end"/>
      </w:r>
      <w:r>
        <w:t>: ESG Excellence of Marriot International</w:t>
      </w:r>
      <w:r>
        <w:br w:type="textWrapping"/>
      </w:r>
      <w:r>
        <w:t>Source: (Szabo and Webster, 2021)</w:t>
      </w:r>
      <w:bookmarkEnd w:id="4"/>
    </w:p>
    <w:p>
      <w:r>
        <w:t>Marriott International seeks green certificates to show sustainability. These certifications indicate Marriott's environmental commitment to exceeding sustainable requirements. Marriott hotels seek regional and brand-specific accreditation. However, certain properties hold these prized accolades. These certificates show Marriott's environmental and sustainable development efforts (Koseoglu et al., 2021). They include LEED and municipal eco-labels, which verify these properties' environmental responsibility. These credentials show trust and reliability, not just symbols. Marriott's true environmental commitment throughout its company, comforting guests and stakeholders. Sustainable hospitality companies are chosen by environmentally conscious tourists and stakeholders using these certifications. They ensure that Marriott International's environmentally friendly procedures are deeply integrated in its blue print, overcoming greenwashing concerns and committing to sustainable development (Chen et al., 2019).</w:t>
      </w:r>
    </w:p>
    <w:p>
      <w:pPr>
        <w:spacing w:line="259" w:lineRule="auto"/>
        <w:jc w:val="left"/>
        <w:rPr>
          <w:b/>
          <w:sz w:val="28"/>
        </w:rPr>
      </w:pPr>
      <w:r>
        <w:br w:type="page"/>
      </w:r>
    </w:p>
    <w:p>
      <w:pPr>
        <w:pStyle w:val="3"/>
      </w:pPr>
      <w:bookmarkStart w:id="5" w:name="_Toc157036501"/>
      <w:r>
        <w:t>Evaluation of Greenwashing Accusations on Marriot International</w:t>
      </w:r>
      <w:bookmarkEnd w:id="5"/>
    </w:p>
    <w:p>
      <w:pPr>
        <w:spacing w:after="0"/>
      </w:pPr>
      <w:r>
        <w:t xml:space="preserve">The rising issue of greenwashing in business sustainability must be explored in Marriott International's efforts to promote sustainability. Business environmental responsibility is sometimes assessed by greenwashing allegations. Marriott faced similar allegations. Marriott's green initiatives have been criticised by monitoring groups (Sharma and Singh, 2021). These inquiries are often prompted by customers and stakeholders' rising scepticism of sustainable business assertions. To properly grasp Marriott International greenwashing claims, investigate specific allegations. These assertions highlight Marriott's environmental efforts but do not undermine them. Marriott's promotion of towels and sheet reuse as green initiatives is disputed </w:t>
      </w:r>
      <w:r>
        <w:rPr>
          <w:rFonts w:cs="Arial"/>
          <w:color w:val="222222"/>
          <w:szCs w:val="24"/>
          <w:shd w:val="clear" w:color="auto" w:fill="FFFFFF"/>
        </w:rPr>
        <w:t>(Sigala et al., 2021)</w:t>
      </w:r>
      <w:r>
        <w:t>. Marriott maintains these initiatives are eco-friendly, but others question their goals. Reports suggest these eco-friendly initiatives may save the company money. The scrutiny has concentrated on the linens and bedding change controversy, where tourists are encouraged to recycle items to conserve water and power (Booyens et al., 2022). Marriott's plastic waste minimization initiatives are also challenged. Some wonder whether environmental concerns, government needs, economic conditions, or price drive these changes. Marriott's commitment to eradicating plastic straws, a significant waste issue, is questioned.</w:t>
      </w:r>
    </w:p>
    <w:p>
      <w:pPr>
        <w:keepNext/>
        <w:spacing w:after="0"/>
        <w:jc w:val="center"/>
      </w:pPr>
      <w:r>
        <w:drawing>
          <wp:inline distT="0" distB="0" distL="0" distR="0">
            <wp:extent cx="4783455" cy="2200275"/>
            <wp:effectExtent l="0" t="0" r="0" b="9525"/>
            <wp:docPr id="1317217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17993" name="Picture 3"/>
                    <pic:cNvPicPr>
                      <a:picLocks noChangeAspect="1" noChangeArrowheads="1"/>
                    </pic:cNvPicPr>
                  </pic:nvPicPr>
                  <pic:blipFill>
                    <a:blip r:embed="rId9" cstate="print">
                      <a:extLst>
                        <a:ext uri="{BEBA8EAE-BF5A-486C-A8C5-ECC9F3942E4B}">
                          <a14:imgProps xmlns:a14="http://schemas.microsoft.com/office/drawing/2010/main">
                            <a14:imgLayer r:embed="rId10">
                              <a14:imgEffect>
                                <a14:saturation sat="400000"/>
                              </a14:imgEffect>
                            </a14:imgLayer>
                          </a14:imgProps>
                        </a:ext>
                        <a:ext uri="{28A0092B-C50C-407E-A947-70E740481C1C}">
                          <a14:useLocalDpi xmlns:a14="http://schemas.microsoft.com/office/drawing/2010/main" val="0"/>
                        </a:ext>
                      </a:extLst>
                    </a:blip>
                    <a:srcRect t="13919" b="4744"/>
                    <a:stretch>
                      <a:fillRect/>
                    </a:stretch>
                  </pic:blipFill>
                  <pic:spPr>
                    <a:xfrm>
                      <a:off x="0" y="0"/>
                      <a:ext cx="4799733" cy="2207853"/>
                    </a:xfrm>
                    <a:prstGeom prst="rect">
                      <a:avLst/>
                    </a:prstGeom>
                    <a:noFill/>
                    <a:ln>
                      <a:noFill/>
                    </a:ln>
                  </pic:spPr>
                </pic:pic>
              </a:graphicData>
            </a:graphic>
          </wp:inline>
        </w:drawing>
      </w:r>
    </w:p>
    <w:p>
      <w:pPr>
        <w:pStyle w:val="7"/>
      </w:pPr>
      <w:bookmarkStart w:id="6" w:name="_Toc157036519"/>
      <w:r>
        <w:t xml:space="preserve">Figure </w:t>
      </w:r>
      <w:r>
        <w:fldChar w:fldCharType="begin"/>
      </w:r>
      <w:r>
        <w:instrText xml:space="preserve"> SEQ Figure \* ARABIC </w:instrText>
      </w:r>
      <w:r>
        <w:fldChar w:fldCharType="separate"/>
      </w:r>
      <w:r>
        <w:t>3</w:t>
      </w:r>
      <w:r>
        <w:fldChar w:fldCharType="end"/>
      </w:r>
      <w:r>
        <w:t>: Actual and target emission reduction by Marriot International</w:t>
      </w:r>
      <w:r>
        <w:br w:type="textWrapping"/>
      </w:r>
      <w:r>
        <w:t>Source: (Koseoglu et al., 2021)</w:t>
      </w:r>
      <w:bookmarkEnd w:id="6"/>
    </w:p>
    <w:p>
      <w:pPr>
        <w:spacing w:after="0"/>
      </w:pPr>
      <w:r>
        <w:t>Marriott International greenwashing allegations must be verified. We must examine greenwashing and the organization's sustainability efforts while analysing these accusations. Critically, these allegations must be considered in the context of corporate sustainability activities, where actual sustainability and perceived greenwashing may blend (Pou Truyols, 2021). Each charge should be examined for facts, motivations, and context to make an informed conclusion. Sustainability issues and trade-offs are specific to the hotel industry. Marriott and other global hotel chains must combine environmental responsibility and visitor satisfaction. Even unproven greenwashing claims demonstrate the necessity for transparency, data verification, and third-party validation in sustainability reporting (Majeed and Kim, 2022). These costs should motivate companies to go beyond at the surface marketing and demonstrate their commitment towards environmental conservation and responsible company behaviour. Marriott International must continually enhance its sustainability reporting in a world where consumers want honesty and accountability.</w:t>
      </w:r>
    </w:p>
    <w:p>
      <w:pPr>
        <w:pStyle w:val="3"/>
      </w:pPr>
      <w:bookmarkStart w:id="7" w:name="_Toc157036502"/>
      <w:r>
        <w:t>Self-Evaluation in Sustainability Reporting</w:t>
      </w:r>
      <w:bookmarkEnd w:id="7"/>
    </w:p>
    <w:p>
      <w:pPr>
        <w:spacing w:after="0"/>
      </w:pPr>
      <w:r>
        <w:t>Marriott and other environmental reporting experts self-evaluate for multiple reasons. Understanding this practice's goals exposes Marriott's self-evaluation and larger implications. Companies self-evaluate and measure their efficacy. It supports their moral and environmental goals (Bernard and Nicolau, 2022). Marriott International promotes self-evaluation for various reasons, unlike many firms. Accountability and openness inspire self-evaluation. This process lets Marriott be transparent to numerous stakeholders. They openly disclose their sustainability policies to show openness and commitment to the environment. Continuous growth is another self-evaluation benefit. Marriott evaluates their environmental practices to find ways to improve. Identifying strengths and weaknesses helps the company establish ambitious goals, improve planning, and promote sustainability (Jones and Comfort, 2019). Self-evaluation promotes open dialogue between organisations and their stakeholders—customers, investors, and groups that represent them. Facilitates meaningful sustainability talks. Marriott can address issues and strengthen its sustainability plan with this cooperation. Self-evaluation lets them adapt fast to sustainability standards and maintain market position. But self-evaluation is hard. Credibility issues develop when stakeholders see it as prejudiced or unobjective (Gatti et al., 2019). Greenwashing, when companies falsely claim to be sustainable, may harm trust if ignored. Stakeholders may trust third-party validation above self-evaluation. Businesses must balance self-interest and impartiality while analysing sustainability.</w:t>
      </w:r>
    </w:p>
    <w:p>
      <w:pPr>
        <w:spacing w:after="0"/>
      </w:pPr>
      <w:r>
        <w:t xml:space="preserve">Marriott employs dynamic and responsive self-evaluation. Openness and development dictate their approach, even as specifics alter. Regular evaluation by internal conservation groups or divisions may work. Marriott may assess its environmental and ethical performance utilising KPIs, data analytics, and sustainability reporting frameworks (Szabo and Webster, 2021). Complete reviews involve stakeholder cooperation throughout the organisation. Marriott may also ask tourists, stockholders, and environmental groups on their sustainability efforts. Marriott employs this iterative approach to create, establish ambitious sustainability goals, and improve strategies. Marriott International's sustainability reporting self-evaluation prioritises transparency, accountability, and progress </w:t>
      </w:r>
      <w:r>
        <w:rPr>
          <w:rFonts w:cs="Arial"/>
          <w:color w:val="222222"/>
          <w:szCs w:val="24"/>
          <w:shd w:val="clear" w:color="auto" w:fill="FFFFFF"/>
        </w:rPr>
        <w:t>(Hossain et al., 2021)</w:t>
      </w:r>
      <w:r>
        <w:t>. Despite challenges, environmentally conscious and ethical corporations must self-evaluate. Marriott adapts its self-evaluation procedures to new sustainability criteria and maintains credibility and sustainability objectives using these concepts.</w:t>
      </w:r>
    </w:p>
    <w:p>
      <w:pPr>
        <w:pStyle w:val="3"/>
      </w:pPr>
      <w:bookmarkStart w:id="8" w:name="_Toc157036503"/>
      <w:r>
        <w:t>Green Technology and Sustainability</w:t>
      </w:r>
      <w:bookmarkEnd w:id="8"/>
    </w:p>
    <w:p>
      <w:pPr>
        <w:spacing w:after="0"/>
      </w:pPr>
      <w:r>
        <w:t>Marriott International's global usage of green technologies shows its commitment to sustainability and the environment. Marriott reduces its environmental footprint while preserving quality and comfort with innovative eco-friendly solutions (Koseoglu et al., 2021). Marriott's worldwide sustainability policy is seen in its green technology deployment. This method emphasises energy efficiency. Marriott has optimised energy consumption throughout its diverse hotel and resort portfolio using green technology. These methods include energy-efficient lighting and automatic thermostats that regulate room temperatures. Marriott uses energy-efficient technology across its buildings to promote energy efficiency and environmental preservation (Sharma and Singh, 2021). Marriott prioritises energy and water saving using green technology. Marriott conserves water via water-saving equipment and systems globally. Water conservation and cost savings are achieved using these strategies.</w:t>
      </w:r>
    </w:p>
    <w:p>
      <w:pPr>
        <w:spacing w:after="0"/>
      </w:pPr>
      <w:r>
        <w:t>Marriott reduces waste using biodegradable goods, recycling, and waste-to-energy. Marriott's comprehensive trash reduction plan and eco-friendly technology show its commitment to resource conservation. Marriott's green technology choices for sustainability, these technologies reduce resource usage and cost, but their lifetime must be addressed. Production energy, materials, disposal, and recycling are examined (Gregory, 2023). Marriott rigorously evaluates their technological solutions' environmental impact to meet their sustainability objectives. Marriott also knows it must compare its green technology choices to industry norms and trends. In a time when sustainability is essential in the hotel industry for environmental responsibility and consumer satisfaction, Marriott goes beyond adoption. The company compares its operations to sustainability standards and tracks green technology adoption to outperform peers.</w:t>
      </w:r>
    </w:p>
    <w:p>
      <w:r>
        <w:t xml:space="preserve">Marriott benchmarking is multifaceted. First, it optimises the company's technological decisions to promote sustainability. Second, it makes Marriott a hospitality sustainability leader, influencing others (Majeed and Kim, 2022). Marriott leads the industry in sustainable technology adoption with this proactive and inventive benchmarking strategy. Marriott International's global green technology deployment shows unwavering sustainability. Marriott utilises energy, water, and waste-reducing technologies to reduce its environmental impact and improve visitor satisfaction (Sharma and Singh, 2021). To guarantee Marriott's technological solutions satisfy sustainability goals, the total lifecycle impact must be examined. </w:t>
      </w:r>
    </w:p>
    <w:p/>
    <w:p>
      <w:r>
        <w:br w:type="page"/>
      </w:r>
    </w:p>
    <w:p>
      <w:pPr>
        <w:pStyle w:val="2"/>
      </w:pPr>
      <w:bookmarkStart w:id="9" w:name="_Toc157036504"/>
      <w:r>
        <w:t>Conclusion</w:t>
      </w:r>
      <w:bookmarkEnd w:id="9"/>
    </w:p>
    <w:p>
      <w:r>
        <w:t>Marriott Worldwide and other hotels provide several sustainability and environmental self-evaluation tools to increase transparency, trust, and accountability. These systems provide robust sustainability reporting and third-party certifications. External certifications and standards might replace self-evaluation. These renowned credentials objectively and carefully evaluate a hotel's environmental efforts. Hotels seeking LEED, Green Key, or ISO 14001 certifications must meet high sustainability criteria. Marriott and other hotels may demonstrate their excellent, independently certified sustainability standards with these credentials. These certifications distinguish hotels in a competitive market and attract eco-conscious guests.</w:t>
      </w:r>
    </w:p>
    <w:p>
      <w:pPr>
        <w:spacing w:line="259" w:lineRule="auto"/>
        <w:jc w:val="left"/>
      </w:pPr>
      <w:r>
        <w:br w:type="page"/>
      </w:r>
    </w:p>
    <w:p>
      <w:pPr>
        <w:pStyle w:val="2"/>
      </w:pPr>
      <w:bookmarkStart w:id="10" w:name="_Toc157036505"/>
      <w:r>
        <w:t>References</w:t>
      </w:r>
      <w:bookmarkEnd w:id="10"/>
    </w:p>
    <w:p>
      <w:pPr>
        <w:spacing w:after="0"/>
        <w:rPr>
          <w:rFonts w:cs="Arial"/>
          <w:color w:val="222222"/>
          <w:szCs w:val="24"/>
          <w:shd w:val="clear" w:color="auto" w:fill="FFFFFF"/>
        </w:rPr>
      </w:pPr>
      <w:r>
        <w:rPr>
          <w:rFonts w:cs="Arial"/>
          <w:color w:val="222222"/>
          <w:szCs w:val="24"/>
          <w:shd w:val="clear" w:color="auto" w:fill="FFFFFF"/>
        </w:rPr>
        <w:t>Achmad, W. and Yulianah, Y., 2022. Corporate social responsibility of the hospitality industry in realizing sustainable tourism development. </w:t>
      </w:r>
      <w:r>
        <w:rPr>
          <w:rFonts w:cs="Arial"/>
          <w:i/>
          <w:iCs/>
          <w:color w:val="222222"/>
          <w:szCs w:val="24"/>
          <w:shd w:val="clear" w:color="auto" w:fill="FFFFFF"/>
        </w:rPr>
        <w:t>Enrichment: Journal of Management</w:t>
      </w:r>
      <w:r>
        <w:rPr>
          <w:rFonts w:cs="Arial"/>
          <w:color w:val="222222"/>
          <w:szCs w:val="24"/>
          <w:shd w:val="clear" w:color="auto" w:fill="FFFFFF"/>
        </w:rPr>
        <w:t>, </w:t>
      </w:r>
      <w:r>
        <w:rPr>
          <w:rFonts w:cs="Arial"/>
          <w:i/>
          <w:iCs/>
          <w:color w:val="222222"/>
          <w:szCs w:val="24"/>
          <w:shd w:val="clear" w:color="auto" w:fill="FFFFFF"/>
        </w:rPr>
        <w:t>12</w:t>
      </w:r>
      <w:r>
        <w:rPr>
          <w:rFonts w:cs="Arial"/>
          <w:color w:val="222222"/>
          <w:szCs w:val="24"/>
          <w:shd w:val="clear" w:color="auto" w:fill="FFFFFF"/>
        </w:rPr>
        <w:t>(2), pp.1610-1616.</w:t>
      </w:r>
    </w:p>
    <w:p>
      <w:pPr>
        <w:spacing w:after="0"/>
        <w:rPr>
          <w:rFonts w:cs="Arial"/>
          <w:color w:val="222222"/>
          <w:szCs w:val="24"/>
          <w:shd w:val="clear" w:color="auto" w:fill="FFFFFF"/>
        </w:rPr>
      </w:pPr>
      <w:r>
        <w:rPr>
          <w:rFonts w:cs="Arial"/>
          <w:color w:val="222222"/>
          <w:szCs w:val="24"/>
          <w:shd w:val="clear" w:color="auto" w:fill="FFFFFF"/>
        </w:rPr>
        <w:t>Bernard, S. and Nicolau, J.L., 2022. Environmental certification and hotel market value. </w:t>
      </w:r>
      <w:r>
        <w:rPr>
          <w:rFonts w:cs="Arial"/>
          <w:i/>
          <w:iCs/>
          <w:color w:val="222222"/>
          <w:szCs w:val="24"/>
          <w:shd w:val="clear" w:color="auto" w:fill="FFFFFF"/>
        </w:rPr>
        <w:t>International Journal of Hospitality Management</w:t>
      </w:r>
      <w:r>
        <w:rPr>
          <w:rFonts w:cs="Arial"/>
          <w:color w:val="222222"/>
          <w:szCs w:val="24"/>
          <w:shd w:val="clear" w:color="auto" w:fill="FFFFFF"/>
        </w:rPr>
        <w:t>, </w:t>
      </w:r>
      <w:r>
        <w:rPr>
          <w:rFonts w:cs="Arial"/>
          <w:i/>
          <w:iCs/>
          <w:color w:val="222222"/>
          <w:szCs w:val="24"/>
          <w:shd w:val="clear" w:color="auto" w:fill="FFFFFF"/>
        </w:rPr>
        <w:t>101</w:t>
      </w:r>
      <w:r>
        <w:rPr>
          <w:rFonts w:cs="Arial"/>
          <w:color w:val="222222"/>
          <w:szCs w:val="24"/>
          <w:shd w:val="clear" w:color="auto" w:fill="FFFFFF"/>
        </w:rPr>
        <w:t>, p.103129.</w:t>
      </w:r>
    </w:p>
    <w:p>
      <w:pPr>
        <w:spacing w:after="0"/>
        <w:rPr>
          <w:rFonts w:cs="Arial"/>
          <w:color w:val="222222"/>
          <w:szCs w:val="24"/>
          <w:shd w:val="clear" w:color="auto" w:fill="FFFFFF"/>
        </w:rPr>
      </w:pPr>
      <w:r>
        <w:rPr>
          <w:rFonts w:cs="Arial"/>
          <w:color w:val="222222"/>
          <w:szCs w:val="24"/>
          <w:shd w:val="clear" w:color="auto" w:fill="FFFFFF"/>
        </w:rPr>
        <w:t>Booyens, I., Hadjisolomou, A., Nickson, D., Cunningham, T. and Baum, T., 2022. ‘It’s not a big deal’: customer misbehaviour and social washing in hospitality.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34</w:t>
      </w:r>
      <w:r>
        <w:rPr>
          <w:rFonts w:cs="Arial"/>
          <w:color w:val="222222"/>
          <w:szCs w:val="24"/>
          <w:shd w:val="clear" w:color="auto" w:fill="FFFFFF"/>
        </w:rPr>
        <w:t>(11), pp.4123-4141.</w:t>
      </w:r>
    </w:p>
    <w:p>
      <w:pPr>
        <w:spacing w:after="0"/>
        <w:rPr>
          <w:rFonts w:cs="Arial"/>
          <w:color w:val="222222"/>
          <w:szCs w:val="24"/>
          <w:shd w:val="clear" w:color="auto" w:fill="FFFFFF"/>
        </w:rPr>
      </w:pPr>
      <w:r>
        <w:rPr>
          <w:rFonts w:cs="Arial"/>
          <w:color w:val="222222"/>
          <w:szCs w:val="24"/>
          <w:shd w:val="clear" w:color="auto" w:fill="FFFFFF"/>
        </w:rPr>
        <w:t>Chen, H., Bernard, S. and Rahman, I., 2019. Greenwashing in hotels: A structural model of trust and behavioral intentions. </w:t>
      </w:r>
      <w:r>
        <w:rPr>
          <w:rFonts w:cs="Arial"/>
          <w:i/>
          <w:iCs/>
          <w:color w:val="222222"/>
          <w:szCs w:val="24"/>
          <w:shd w:val="clear" w:color="auto" w:fill="FFFFFF"/>
        </w:rPr>
        <w:t>Journal of cleaner production</w:t>
      </w:r>
      <w:r>
        <w:rPr>
          <w:rFonts w:cs="Arial"/>
          <w:color w:val="222222"/>
          <w:szCs w:val="24"/>
          <w:shd w:val="clear" w:color="auto" w:fill="FFFFFF"/>
        </w:rPr>
        <w:t>, </w:t>
      </w:r>
      <w:r>
        <w:rPr>
          <w:rFonts w:cs="Arial"/>
          <w:i/>
          <w:iCs/>
          <w:color w:val="222222"/>
          <w:szCs w:val="24"/>
          <w:shd w:val="clear" w:color="auto" w:fill="FFFFFF"/>
        </w:rPr>
        <w:t>206</w:t>
      </w:r>
      <w:r>
        <w:rPr>
          <w:rFonts w:cs="Arial"/>
          <w:color w:val="222222"/>
          <w:szCs w:val="24"/>
          <w:shd w:val="clear" w:color="auto" w:fill="FFFFFF"/>
        </w:rPr>
        <w:t>, pp.326-335.</w:t>
      </w:r>
    </w:p>
    <w:p>
      <w:pPr>
        <w:spacing w:after="0"/>
        <w:rPr>
          <w:rFonts w:cs="Arial"/>
          <w:color w:val="222222"/>
          <w:szCs w:val="24"/>
          <w:shd w:val="clear" w:color="auto" w:fill="FFFFFF"/>
        </w:rPr>
      </w:pPr>
      <w:r>
        <w:rPr>
          <w:rFonts w:cs="Arial"/>
          <w:color w:val="222222"/>
          <w:szCs w:val="24"/>
          <w:shd w:val="clear" w:color="auto" w:fill="FFFFFF"/>
        </w:rPr>
        <w:t>de Freitas Netto, S.V., Sobral, M.F.F., Ribeiro, A.R.B. and Soares, G.R.D.L., 2020. Concepts and forms of greenwashing: A systematic review. </w:t>
      </w:r>
      <w:r>
        <w:rPr>
          <w:rFonts w:cs="Arial"/>
          <w:i/>
          <w:iCs/>
          <w:color w:val="222222"/>
          <w:szCs w:val="24"/>
          <w:shd w:val="clear" w:color="auto" w:fill="FFFFFF"/>
        </w:rPr>
        <w:t>Environmental Sciences Europe</w:t>
      </w:r>
      <w:r>
        <w:rPr>
          <w:rFonts w:cs="Arial"/>
          <w:color w:val="222222"/>
          <w:szCs w:val="24"/>
          <w:shd w:val="clear" w:color="auto" w:fill="FFFFFF"/>
        </w:rPr>
        <w:t>, </w:t>
      </w:r>
      <w:r>
        <w:rPr>
          <w:rFonts w:cs="Arial"/>
          <w:i/>
          <w:iCs/>
          <w:color w:val="222222"/>
          <w:szCs w:val="24"/>
          <w:shd w:val="clear" w:color="auto" w:fill="FFFFFF"/>
        </w:rPr>
        <w:t>32</w:t>
      </w:r>
      <w:r>
        <w:rPr>
          <w:rFonts w:cs="Arial"/>
          <w:color w:val="222222"/>
          <w:szCs w:val="24"/>
          <w:shd w:val="clear" w:color="auto" w:fill="FFFFFF"/>
        </w:rPr>
        <w:t>(1), pp.1-12.</w:t>
      </w:r>
    </w:p>
    <w:p>
      <w:pPr>
        <w:spacing w:after="0"/>
        <w:rPr>
          <w:rFonts w:cs="Arial"/>
          <w:color w:val="222222"/>
          <w:szCs w:val="24"/>
          <w:shd w:val="clear" w:color="auto" w:fill="FFFFFF"/>
        </w:rPr>
      </w:pPr>
      <w:r>
        <w:rPr>
          <w:rFonts w:cs="Arial"/>
          <w:color w:val="222222"/>
          <w:szCs w:val="24"/>
          <w:shd w:val="clear" w:color="auto" w:fill="FFFFFF"/>
        </w:rPr>
        <w:t>Gatti, L., Seele, P. and Rademacher, L., 2019. Grey zone in–greenwash out. A review of greenwashing research and implications for the voluntary-mandatory transition of CSR. </w:t>
      </w:r>
      <w:r>
        <w:rPr>
          <w:rFonts w:cs="Arial"/>
          <w:i/>
          <w:iCs/>
          <w:color w:val="222222"/>
          <w:szCs w:val="24"/>
          <w:shd w:val="clear" w:color="auto" w:fill="FFFFFF"/>
        </w:rPr>
        <w:t>International Journal of Corporate Social Responsibility</w:t>
      </w:r>
      <w:r>
        <w:rPr>
          <w:rFonts w:cs="Arial"/>
          <w:color w:val="222222"/>
          <w:szCs w:val="24"/>
          <w:shd w:val="clear" w:color="auto" w:fill="FFFFFF"/>
        </w:rPr>
        <w:t>, </w:t>
      </w:r>
      <w:r>
        <w:rPr>
          <w:rFonts w:cs="Arial"/>
          <w:i/>
          <w:iCs/>
          <w:color w:val="222222"/>
          <w:szCs w:val="24"/>
          <w:shd w:val="clear" w:color="auto" w:fill="FFFFFF"/>
        </w:rPr>
        <w:t>4</w:t>
      </w:r>
      <w:r>
        <w:rPr>
          <w:rFonts w:cs="Arial"/>
          <w:color w:val="222222"/>
          <w:szCs w:val="24"/>
          <w:shd w:val="clear" w:color="auto" w:fill="FFFFFF"/>
        </w:rPr>
        <w:t>(1), pp.1-15.</w:t>
      </w:r>
    </w:p>
    <w:p>
      <w:pPr>
        <w:spacing w:after="0"/>
        <w:rPr>
          <w:rFonts w:cs="Arial"/>
          <w:color w:val="222222"/>
          <w:szCs w:val="24"/>
          <w:shd w:val="clear" w:color="auto" w:fill="FFFFFF"/>
        </w:rPr>
      </w:pPr>
      <w:r>
        <w:rPr>
          <w:rFonts w:cs="Arial"/>
          <w:color w:val="222222"/>
          <w:szCs w:val="24"/>
          <w:shd w:val="clear" w:color="auto" w:fill="FFFFFF"/>
        </w:rPr>
        <w:t>Gregory, R.P., 2023. When is greenwashing an easy fix?. </w:t>
      </w:r>
      <w:r>
        <w:rPr>
          <w:rFonts w:cs="Arial"/>
          <w:i/>
          <w:iCs/>
          <w:color w:val="222222"/>
          <w:szCs w:val="24"/>
          <w:shd w:val="clear" w:color="auto" w:fill="FFFFFF"/>
        </w:rPr>
        <w:t>Journal of Sustainable Finance &amp; Investment</w:t>
      </w:r>
      <w:r>
        <w:rPr>
          <w:rFonts w:cs="Arial"/>
          <w:color w:val="222222"/>
          <w:szCs w:val="24"/>
          <w:shd w:val="clear" w:color="auto" w:fill="FFFFFF"/>
        </w:rPr>
        <w:t>, </w:t>
      </w:r>
      <w:r>
        <w:rPr>
          <w:rFonts w:cs="Arial"/>
          <w:i/>
          <w:iCs/>
          <w:color w:val="222222"/>
          <w:szCs w:val="24"/>
          <w:shd w:val="clear" w:color="auto" w:fill="FFFFFF"/>
        </w:rPr>
        <w:t>13</w:t>
      </w:r>
      <w:r>
        <w:rPr>
          <w:rFonts w:cs="Arial"/>
          <w:color w:val="222222"/>
          <w:szCs w:val="24"/>
          <w:shd w:val="clear" w:color="auto" w:fill="FFFFFF"/>
        </w:rPr>
        <w:t>(2), pp.919-942.</w:t>
      </w:r>
    </w:p>
    <w:p>
      <w:pPr>
        <w:spacing w:after="0"/>
        <w:rPr>
          <w:rFonts w:cs="Arial"/>
          <w:color w:val="222222"/>
          <w:szCs w:val="24"/>
          <w:shd w:val="clear" w:color="auto" w:fill="FFFFFF"/>
        </w:rPr>
      </w:pPr>
      <w:r>
        <w:rPr>
          <w:rFonts w:cs="Arial"/>
          <w:color w:val="222222"/>
          <w:szCs w:val="24"/>
          <w:shd w:val="clear" w:color="auto" w:fill="FFFFFF"/>
        </w:rPr>
        <w:t>Han, H., 2021. Consumer behavior and environmental sustainability in tourism and hospitality: A review of theories, concepts, and latest research. </w:t>
      </w:r>
      <w:r>
        <w:rPr>
          <w:rFonts w:cs="Arial"/>
          <w:i/>
          <w:iCs/>
          <w:color w:val="222222"/>
          <w:szCs w:val="24"/>
          <w:shd w:val="clear" w:color="auto" w:fill="FFFFFF"/>
        </w:rPr>
        <w:t>Journal of Sustainable Tourism</w:t>
      </w:r>
      <w:r>
        <w:rPr>
          <w:rFonts w:cs="Arial"/>
          <w:color w:val="222222"/>
          <w:szCs w:val="24"/>
          <w:shd w:val="clear" w:color="auto" w:fill="FFFFFF"/>
        </w:rPr>
        <w:t>, </w:t>
      </w:r>
      <w:r>
        <w:rPr>
          <w:rFonts w:cs="Arial"/>
          <w:i/>
          <w:iCs/>
          <w:color w:val="222222"/>
          <w:szCs w:val="24"/>
          <w:shd w:val="clear" w:color="auto" w:fill="FFFFFF"/>
        </w:rPr>
        <w:t>29</w:t>
      </w:r>
      <w:r>
        <w:rPr>
          <w:rFonts w:cs="Arial"/>
          <w:color w:val="222222"/>
          <w:szCs w:val="24"/>
          <w:shd w:val="clear" w:color="auto" w:fill="FFFFFF"/>
        </w:rPr>
        <w:t>(7), pp.1021-1042.</w:t>
      </w:r>
    </w:p>
    <w:p>
      <w:pPr>
        <w:spacing w:after="0"/>
        <w:rPr>
          <w:rFonts w:cs="Arial"/>
          <w:color w:val="222222"/>
          <w:szCs w:val="24"/>
          <w:shd w:val="clear" w:color="auto" w:fill="FFFFFF"/>
        </w:rPr>
      </w:pPr>
      <w:r>
        <w:rPr>
          <w:rFonts w:cs="Arial"/>
          <w:color w:val="222222"/>
          <w:szCs w:val="24"/>
          <w:shd w:val="clear" w:color="auto" w:fill="FFFFFF"/>
        </w:rPr>
        <w:t>Hossain, M.S., Kannan, S.N. and Raman Nair, S.K.K., 2021. Factors influencing sustainable competitive advantage in the hospitality industry. </w:t>
      </w:r>
      <w:r>
        <w:rPr>
          <w:rFonts w:cs="Arial"/>
          <w:i/>
          <w:iCs/>
          <w:color w:val="222222"/>
          <w:szCs w:val="24"/>
          <w:shd w:val="clear" w:color="auto" w:fill="FFFFFF"/>
        </w:rPr>
        <w:t>Journal of Quality Assurance in Hospitality &amp; Tourism</w:t>
      </w:r>
      <w:r>
        <w:rPr>
          <w:rFonts w:cs="Arial"/>
          <w:color w:val="222222"/>
          <w:szCs w:val="24"/>
          <w:shd w:val="clear" w:color="auto" w:fill="FFFFFF"/>
        </w:rPr>
        <w:t>, </w:t>
      </w:r>
      <w:r>
        <w:rPr>
          <w:rFonts w:cs="Arial"/>
          <w:i/>
          <w:iCs/>
          <w:color w:val="222222"/>
          <w:szCs w:val="24"/>
          <w:shd w:val="clear" w:color="auto" w:fill="FFFFFF"/>
        </w:rPr>
        <w:t>22</w:t>
      </w:r>
      <w:r>
        <w:rPr>
          <w:rFonts w:cs="Arial"/>
          <w:color w:val="222222"/>
          <w:szCs w:val="24"/>
          <w:shd w:val="clear" w:color="auto" w:fill="FFFFFF"/>
        </w:rPr>
        <w:t>(6), pp.679-710.</w:t>
      </w:r>
    </w:p>
    <w:p>
      <w:pPr>
        <w:spacing w:after="0"/>
        <w:rPr>
          <w:sz w:val="28"/>
          <w:szCs w:val="26"/>
        </w:rPr>
      </w:pPr>
      <w:r>
        <w:rPr>
          <w:rFonts w:cs="Arial"/>
          <w:color w:val="222222"/>
          <w:szCs w:val="24"/>
          <w:shd w:val="clear" w:color="auto" w:fill="FFFFFF"/>
        </w:rPr>
        <w:t>Jones, P. and Comfort, D., 2019. Sustainable development goals and the world’s leading hotel groups. </w:t>
      </w:r>
      <w:r>
        <w:rPr>
          <w:rFonts w:cs="Arial"/>
          <w:i/>
          <w:iCs/>
          <w:color w:val="222222"/>
          <w:szCs w:val="24"/>
          <w:shd w:val="clear" w:color="auto" w:fill="FFFFFF"/>
        </w:rPr>
        <w:t>Athens Journal of Tourism</w:t>
      </w:r>
      <w:r>
        <w:rPr>
          <w:rFonts w:cs="Arial"/>
          <w:color w:val="222222"/>
          <w:szCs w:val="24"/>
          <w:shd w:val="clear" w:color="auto" w:fill="FFFFFF"/>
        </w:rPr>
        <w:t>, </w:t>
      </w:r>
      <w:r>
        <w:rPr>
          <w:rFonts w:cs="Arial"/>
          <w:i/>
          <w:iCs/>
          <w:color w:val="222222"/>
          <w:szCs w:val="24"/>
          <w:shd w:val="clear" w:color="auto" w:fill="FFFFFF"/>
        </w:rPr>
        <w:t>6</w:t>
      </w:r>
      <w:r>
        <w:rPr>
          <w:rFonts w:cs="Arial"/>
          <w:color w:val="222222"/>
          <w:szCs w:val="24"/>
          <w:shd w:val="clear" w:color="auto" w:fill="FFFFFF"/>
        </w:rPr>
        <w:t>(1), pp.1-14.</w:t>
      </w:r>
    </w:p>
    <w:p>
      <w:pPr>
        <w:spacing w:after="0"/>
        <w:rPr>
          <w:rFonts w:cs="Arial"/>
          <w:color w:val="222222"/>
          <w:szCs w:val="24"/>
          <w:shd w:val="clear" w:color="auto" w:fill="FFFFFF"/>
        </w:rPr>
      </w:pPr>
      <w:r>
        <w:rPr>
          <w:rFonts w:cs="Arial"/>
          <w:color w:val="222222"/>
          <w:szCs w:val="24"/>
          <w:shd w:val="clear" w:color="auto" w:fill="FFFFFF"/>
        </w:rPr>
        <w:t>Koseoglu, M.A., Uyar, A., Kilic, M., Kuzey, C. and Karaman, A.S., 2021. Exploring the connections among CSR performance, reporting, and external assurance: Evidence from the hospitality and tourism industry. </w:t>
      </w:r>
      <w:r>
        <w:rPr>
          <w:rFonts w:cs="Arial"/>
          <w:i/>
          <w:iCs/>
          <w:color w:val="222222"/>
          <w:szCs w:val="24"/>
          <w:shd w:val="clear" w:color="auto" w:fill="FFFFFF"/>
        </w:rPr>
        <w:t>International Journal of Hospitality Management</w:t>
      </w:r>
      <w:r>
        <w:rPr>
          <w:rFonts w:cs="Arial"/>
          <w:color w:val="222222"/>
          <w:szCs w:val="24"/>
          <w:shd w:val="clear" w:color="auto" w:fill="FFFFFF"/>
        </w:rPr>
        <w:t>, </w:t>
      </w:r>
      <w:r>
        <w:rPr>
          <w:rFonts w:cs="Arial"/>
          <w:i/>
          <w:iCs/>
          <w:color w:val="222222"/>
          <w:szCs w:val="24"/>
          <w:shd w:val="clear" w:color="auto" w:fill="FFFFFF"/>
        </w:rPr>
        <w:t>94</w:t>
      </w:r>
      <w:r>
        <w:rPr>
          <w:rFonts w:cs="Arial"/>
          <w:color w:val="222222"/>
          <w:szCs w:val="24"/>
          <w:shd w:val="clear" w:color="auto" w:fill="FFFFFF"/>
        </w:rPr>
        <w:t>, p.102819.</w:t>
      </w:r>
    </w:p>
    <w:p>
      <w:pPr>
        <w:spacing w:after="0"/>
        <w:rPr>
          <w:rFonts w:cs="Arial"/>
          <w:color w:val="222222"/>
          <w:szCs w:val="24"/>
          <w:shd w:val="clear" w:color="auto" w:fill="FFFFFF"/>
        </w:rPr>
      </w:pPr>
      <w:r>
        <w:rPr>
          <w:rFonts w:cs="Arial"/>
          <w:color w:val="222222"/>
          <w:szCs w:val="24"/>
          <w:shd w:val="clear" w:color="auto" w:fill="FFFFFF"/>
        </w:rPr>
        <w:t>Majeed, S. and Kim, W.G., 2022. A reflection of greenwashing practices in the hospitality industry: a scoping review.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35</w:t>
      </w:r>
      <w:r>
        <w:rPr>
          <w:rFonts w:cs="Arial"/>
          <w:color w:val="222222"/>
          <w:szCs w:val="24"/>
          <w:shd w:val="clear" w:color="auto" w:fill="FFFFFF"/>
        </w:rPr>
        <w:t>(3), pp.1125-1146.</w:t>
      </w:r>
    </w:p>
    <w:p>
      <w:pPr>
        <w:spacing w:after="0"/>
        <w:rPr>
          <w:rFonts w:cs="Arial"/>
          <w:color w:val="222222"/>
          <w:szCs w:val="24"/>
          <w:shd w:val="clear" w:color="auto" w:fill="FFFFFF"/>
        </w:rPr>
      </w:pPr>
      <w:r>
        <w:rPr>
          <w:rFonts w:cs="Arial"/>
          <w:color w:val="222222"/>
          <w:szCs w:val="24"/>
          <w:shd w:val="clear" w:color="auto" w:fill="FFFFFF"/>
        </w:rPr>
        <w:t>Majeed, S. and Kim, W.G., 2022. A reflection of greenwashing practices in the hospitality industry: a scoping review.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35</w:t>
      </w:r>
      <w:r>
        <w:rPr>
          <w:rFonts w:cs="Arial"/>
          <w:color w:val="222222"/>
          <w:szCs w:val="24"/>
          <w:shd w:val="clear" w:color="auto" w:fill="FFFFFF"/>
        </w:rPr>
        <w:t>(3), pp.1125-1146.</w:t>
      </w:r>
    </w:p>
    <w:p>
      <w:pPr>
        <w:spacing w:after="0"/>
        <w:rPr>
          <w:rFonts w:cs="Arial"/>
          <w:color w:val="222222"/>
          <w:szCs w:val="24"/>
          <w:shd w:val="clear" w:color="auto" w:fill="FFFFFF"/>
        </w:rPr>
      </w:pPr>
      <w:r>
        <w:rPr>
          <w:rFonts w:cs="Arial"/>
          <w:color w:val="222222"/>
          <w:szCs w:val="24"/>
          <w:shd w:val="clear" w:color="auto" w:fill="FFFFFF"/>
        </w:rPr>
        <w:t>Pou Truyols, I. 2021. Consequences of greenwashing: effects on consumers, relationship with environmental awareness; and ecolabels in the tourism sector.</w:t>
      </w:r>
    </w:p>
    <w:p>
      <w:pPr>
        <w:spacing w:after="0"/>
        <w:rPr>
          <w:rFonts w:cs="Arial"/>
          <w:color w:val="222222"/>
          <w:szCs w:val="24"/>
          <w:shd w:val="clear" w:color="auto" w:fill="FFFFFF"/>
        </w:rPr>
      </w:pPr>
      <w:r>
        <w:rPr>
          <w:rFonts w:cs="Arial"/>
          <w:color w:val="222222"/>
          <w:szCs w:val="24"/>
          <w:shd w:val="clear" w:color="auto" w:fill="FFFFFF"/>
        </w:rPr>
        <w:t>Sharma, A. and Singh, A., 2021. Corporate Social Responsibility In Hospitality Industry. </w:t>
      </w:r>
      <w:r>
        <w:rPr>
          <w:rFonts w:cs="Arial"/>
          <w:i/>
          <w:iCs/>
          <w:color w:val="222222"/>
          <w:szCs w:val="24"/>
          <w:shd w:val="clear" w:color="auto" w:fill="FFFFFF"/>
        </w:rPr>
        <w:t>PUSA Journal of Hospitality and Applied Sciences</w:t>
      </w:r>
      <w:r>
        <w:rPr>
          <w:rFonts w:cs="Arial"/>
          <w:color w:val="222222"/>
          <w:szCs w:val="24"/>
          <w:shd w:val="clear" w:color="auto" w:fill="FFFFFF"/>
        </w:rPr>
        <w:t>, </w:t>
      </w:r>
      <w:r>
        <w:rPr>
          <w:rFonts w:cs="Arial"/>
          <w:i/>
          <w:iCs/>
          <w:color w:val="222222"/>
          <w:szCs w:val="24"/>
          <w:shd w:val="clear" w:color="auto" w:fill="FFFFFF"/>
        </w:rPr>
        <w:t>7</w:t>
      </w:r>
      <w:r>
        <w:rPr>
          <w:rFonts w:cs="Arial"/>
          <w:color w:val="222222"/>
          <w:szCs w:val="24"/>
          <w:shd w:val="clear" w:color="auto" w:fill="FFFFFF"/>
        </w:rPr>
        <w:t>(1), pp.11-25.</w:t>
      </w:r>
    </w:p>
    <w:p>
      <w:pPr>
        <w:spacing w:after="0"/>
        <w:rPr>
          <w:rFonts w:cs="Arial"/>
          <w:color w:val="222222"/>
          <w:szCs w:val="24"/>
          <w:shd w:val="clear" w:color="auto" w:fill="FFFFFF"/>
        </w:rPr>
      </w:pPr>
      <w:r>
        <w:rPr>
          <w:rFonts w:cs="Arial"/>
          <w:color w:val="222222"/>
          <w:szCs w:val="24"/>
          <w:shd w:val="clear" w:color="auto" w:fill="FFFFFF"/>
        </w:rPr>
        <w:t>Sigala, M., Kumar, S., Donthu, N., Sureka, R. and Joshi, Y., 2021. A bibliometric overview of the Journal of Hospitality and Tourism Management: Research contributions and influence. </w:t>
      </w:r>
      <w:r>
        <w:rPr>
          <w:rFonts w:cs="Arial"/>
          <w:i/>
          <w:iCs/>
          <w:color w:val="222222"/>
          <w:szCs w:val="24"/>
          <w:shd w:val="clear" w:color="auto" w:fill="FFFFFF"/>
        </w:rPr>
        <w:t>Journal of Hospitality and Tourism Management</w:t>
      </w:r>
      <w:r>
        <w:rPr>
          <w:rFonts w:cs="Arial"/>
          <w:color w:val="222222"/>
          <w:szCs w:val="24"/>
          <w:shd w:val="clear" w:color="auto" w:fill="FFFFFF"/>
        </w:rPr>
        <w:t>, </w:t>
      </w:r>
      <w:r>
        <w:rPr>
          <w:rFonts w:cs="Arial"/>
          <w:i/>
          <w:iCs/>
          <w:color w:val="222222"/>
          <w:szCs w:val="24"/>
          <w:shd w:val="clear" w:color="auto" w:fill="FFFFFF"/>
        </w:rPr>
        <w:t>47</w:t>
      </w:r>
      <w:r>
        <w:rPr>
          <w:rFonts w:cs="Arial"/>
          <w:color w:val="222222"/>
          <w:szCs w:val="24"/>
          <w:shd w:val="clear" w:color="auto" w:fill="FFFFFF"/>
        </w:rPr>
        <w:t>, pp.273-288.</w:t>
      </w:r>
    </w:p>
    <w:p>
      <w:pPr>
        <w:spacing w:after="0"/>
        <w:rPr>
          <w:rFonts w:cs="Arial"/>
          <w:color w:val="222222"/>
          <w:szCs w:val="24"/>
          <w:shd w:val="clear" w:color="auto" w:fill="FFFFFF"/>
        </w:rPr>
      </w:pPr>
      <w:r>
        <w:rPr>
          <w:rFonts w:cs="Arial"/>
          <w:color w:val="222222"/>
          <w:szCs w:val="24"/>
          <w:shd w:val="clear" w:color="auto" w:fill="FFFFFF"/>
        </w:rPr>
        <w:t>Szabo, S. and Webster, J., 2021. Perceived greenwashing: the effects of green marketing on environmental and product perceptions. </w:t>
      </w:r>
      <w:r>
        <w:rPr>
          <w:rFonts w:cs="Arial"/>
          <w:i/>
          <w:iCs/>
          <w:color w:val="222222"/>
          <w:szCs w:val="24"/>
          <w:shd w:val="clear" w:color="auto" w:fill="FFFFFF"/>
        </w:rPr>
        <w:t>Journal of business ethics</w:t>
      </w:r>
      <w:r>
        <w:rPr>
          <w:rFonts w:cs="Arial"/>
          <w:color w:val="222222"/>
          <w:szCs w:val="24"/>
          <w:shd w:val="clear" w:color="auto" w:fill="FFFFFF"/>
        </w:rPr>
        <w:t>, </w:t>
      </w:r>
      <w:r>
        <w:rPr>
          <w:rFonts w:cs="Arial"/>
          <w:i/>
          <w:iCs/>
          <w:color w:val="222222"/>
          <w:szCs w:val="24"/>
          <w:shd w:val="clear" w:color="auto" w:fill="FFFFFF"/>
        </w:rPr>
        <w:t>171</w:t>
      </w:r>
      <w:r>
        <w:rPr>
          <w:rFonts w:cs="Arial"/>
          <w:color w:val="222222"/>
          <w:szCs w:val="24"/>
          <w:shd w:val="clear" w:color="auto" w:fill="FFFFFF"/>
        </w:rPr>
        <w:t>, pp.719-739.</w:t>
      </w:r>
    </w:p>
    <w:p>
      <w:pPr>
        <w:spacing w:after="0"/>
        <w:rPr>
          <w:rFonts w:cs="Arial"/>
          <w:color w:val="222222"/>
          <w:szCs w:val="24"/>
          <w:shd w:val="clear" w:color="auto" w:fill="FFFFFF"/>
        </w:rPr>
      </w:pPr>
      <w:r>
        <w:rPr>
          <w:rFonts w:cs="Arial"/>
          <w:color w:val="222222"/>
          <w:szCs w:val="24"/>
          <w:shd w:val="clear" w:color="auto" w:fill="FFFFFF"/>
        </w:rPr>
        <w:t>Wu, Y., Zhang, K. and Xie, J., 2020. Bad greenwashing, good greenwashing: Corporate social responsibility and information transparency. </w:t>
      </w:r>
      <w:r>
        <w:rPr>
          <w:rFonts w:cs="Arial"/>
          <w:i/>
          <w:iCs/>
          <w:color w:val="222222"/>
          <w:szCs w:val="24"/>
          <w:shd w:val="clear" w:color="auto" w:fill="FFFFFF"/>
        </w:rPr>
        <w:t>Management Science</w:t>
      </w:r>
      <w:r>
        <w:rPr>
          <w:rFonts w:cs="Arial"/>
          <w:color w:val="222222"/>
          <w:szCs w:val="24"/>
          <w:shd w:val="clear" w:color="auto" w:fill="FFFFFF"/>
        </w:rPr>
        <w:t>, </w:t>
      </w:r>
      <w:r>
        <w:rPr>
          <w:rFonts w:cs="Arial"/>
          <w:i/>
          <w:iCs/>
          <w:color w:val="222222"/>
          <w:szCs w:val="24"/>
          <w:shd w:val="clear" w:color="auto" w:fill="FFFFFF"/>
        </w:rPr>
        <w:t>66</w:t>
      </w:r>
      <w:r>
        <w:rPr>
          <w:rFonts w:cs="Arial"/>
          <w:color w:val="222222"/>
          <w:szCs w:val="24"/>
          <w:shd w:val="clear" w:color="auto" w:fill="FFFFFF"/>
        </w:rPr>
        <w:t>(7), pp.3095-3112.</w:t>
      </w:r>
    </w:p>
    <w:p>
      <w:pPr>
        <w:spacing w:after="0"/>
        <w:rPr>
          <w:rFonts w:cs="Arial"/>
          <w:color w:val="222222"/>
          <w:szCs w:val="24"/>
          <w:shd w:val="clear" w:color="auto" w:fill="FFFFFF"/>
        </w:rPr>
      </w:pPr>
      <w:r>
        <w:rPr>
          <w:rFonts w:cs="Arial"/>
          <w:color w:val="222222"/>
          <w:szCs w:val="24"/>
          <w:shd w:val="clear" w:color="auto" w:fill="FFFFFF"/>
        </w:rPr>
        <w:t>Yang, Z., Nguyen, T.T.H., Nguyen, H.N., Nguyen, T.T.N. and Cao, T.T., 2020. Greenwashing behaviours: Causes, taxonomy and consequences based on a systematic literature review. </w:t>
      </w:r>
      <w:r>
        <w:rPr>
          <w:rFonts w:cs="Arial"/>
          <w:i/>
          <w:iCs/>
          <w:color w:val="222222"/>
          <w:szCs w:val="24"/>
          <w:shd w:val="clear" w:color="auto" w:fill="FFFFFF"/>
        </w:rPr>
        <w:t>Journal of Business Economics and Management</w:t>
      </w:r>
      <w:r>
        <w:rPr>
          <w:rFonts w:cs="Arial"/>
          <w:color w:val="222222"/>
          <w:szCs w:val="24"/>
          <w:shd w:val="clear" w:color="auto" w:fill="FFFFFF"/>
        </w:rPr>
        <w:t>, </w:t>
      </w:r>
      <w:r>
        <w:rPr>
          <w:rFonts w:cs="Arial"/>
          <w:i/>
          <w:iCs/>
          <w:color w:val="222222"/>
          <w:szCs w:val="24"/>
          <w:shd w:val="clear" w:color="auto" w:fill="FFFFFF"/>
        </w:rPr>
        <w:t>21</w:t>
      </w:r>
      <w:r>
        <w:rPr>
          <w:rFonts w:cs="Arial"/>
          <w:color w:val="222222"/>
          <w:szCs w:val="24"/>
          <w:shd w:val="clear" w:color="auto" w:fill="FFFFFF"/>
        </w:rPr>
        <w:t>(5), pp.1486-1507.</w:t>
      </w:r>
    </w:p>
    <w:p>
      <w:pPr>
        <w:spacing w:after="0"/>
        <w:rPr>
          <w:rFonts w:cs="Arial"/>
          <w:color w:val="222222"/>
          <w:szCs w:val="24"/>
          <w:shd w:val="clear" w:color="auto" w:fill="FFFFFF"/>
        </w:rPr>
      </w:pPr>
      <w:r>
        <w:rPr>
          <w:rFonts w:cs="Arial"/>
          <w:color w:val="222222"/>
          <w:szCs w:val="24"/>
          <w:shd w:val="clear" w:color="auto" w:fill="FFFFFF"/>
        </w:rPr>
        <w:t>Yousaf, Z., Radulescu, M., Sinisi, C.I., Serbanescu, L. and Paunescu, L.M., 2021. Harmonization of green motives and green business strategies towards sustainable development of hospitality and tourism industry: Green environmental policies. </w:t>
      </w:r>
      <w:r>
        <w:rPr>
          <w:rFonts w:cs="Arial"/>
          <w:i/>
          <w:iCs/>
          <w:color w:val="222222"/>
          <w:szCs w:val="24"/>
          <w:shd w:val="clear" w:color="auto" w:fill="FFFFFF"/>
        </w:rPr>
        <w:t>Sustainability</w:t>
      </w:r>
      <w:r>
        <w:rPr>
          <w:rFonts w:cs="Arial"/>
          <w:color w:val="222222"/>
          <w:szCs w:val="24"/>
          <w:shd w:val="clear" w:color="auto" w:fill="FFFFFF"/>
        </w:rPr>
        <w:t>, </w:t>
      </w:r>
      <w:r>
        <w:rPr>
          <w:rFonts w:cs="Arial"/>
          <w:i/>
          <w:iCs/>
          <w:color w:val="222222"/>
          <w:szCs w:val="24"/>
          <w:shd w:val="clear" w:color="auto" w:fill="FFFFFF"/>
        </w:rPr>
        <w:t>13</w:t>
      </w:r>
      <w:r>
        <w:rPr>
          <w:rFonts w:cs="Arial"/>
          <w:color w:val="222222"/>
          <w:szCs w:val="24"/>
          <w:shd w:val="clear" w:color="auto" w:fill="FFFFFF"/>
        </w:rPr>
        <w:t>(12), p.6592.</w:t>
      </w:r>
    </w:p>
    <w:p>
      <w:pPr>
        <w:spacing w:after="0"/>
        <w:rPr>
          <w:rFonts w:cs="Arial"/>
          <w:color w:val="222222"/>
          <w:szCs w:val="24"/>
          <w:shd w:val="clear" w:color="auto" w:fill="FFFFFF"/>
        </w:rPr>
      </w:pPr>
    </w:p>
    <w:sectPr>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Arial MT">
    <w:altName w:val="Arial"/>
    <w:panose1 w:val="00000000000000000000"/>
    <w:charset w:val="01"/>
    <w:family w:val="swiss"/>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9952963"/>
      <w:docPartObj>
        <w:docPartGallery w:val="autotext"/>
      </w:docPartObj>
    </w:sdtPr>
    <w:sdtContent>
      <w:p>
        <w:pPr>
          <w:pStyle w:val="8"/>
          <w:jc w:val="right"/>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343"/>
    <w:rsid w:val="00000ECB"/>
    <w:rsid w:val="0000353C"/>
    <w:rsid w:val="000075FF"/>
    <w:rsid w:val="0000761C"/>
    <w:rsid w:val="000C32FC"/>
    <w:rsid w:val="0010584B"/>
    <w:rsid w:val="00114776"/>
    <w:rsid w:val="00162C2E"/>
    <w:rsid w:val="001808BA"/>
    <w:rsid w:val="001B0343"/>
    <w:rsid w:val="001F3B49"/>
    <w:rsid w:val="002619BA"/>
    <w:rsid w:val="002701CB"/>
    <w:rsid w:val="00280F3A"/>
    <w:rsid w:val="003527C7"/>
    <w:rsid w:val="003564E2"/>
    <w:rsid w:val="003A0767"/>
    <w:rsid w:val="003B070A"/>
    <w:rsid w:val="004613D1"/>
    <w:rsid w:val="004747B5"/>
    <w:rsid w:val="004A491E"/>
    <w:rsid w:val="005053E4"/>
    <w:rsid w:val="00517CB7"/>
    <w:rsid w:val="005348E0"/>
    <w:rsid w:val="0053598E"/>
    <w:rsid w:val="00546707"/>
    <w:rsid w:val="00594052"/>
    <w:rsid w:val="005B2252"/>
    <w:rsid w:val="005C7E70"/>
    <w:rsid w:val="00600476"/>
    <w:rsid w:val="00605ACD"/>
    <w:rsid w:val="00664B19"/>
    <w:rsid w:val="006664E9"/>
    <w:rsid w:val="00674AF4"/>
    <w:rsid w:val="00683C1A"/>
    <w:rsid w:val="006A37F3"/>
    <w:rsid w:val="006E3FD9"/>
    <w:rsid w:val="0070135C"/>
    <w:rsid w:val="00701719"/>
    <w:rsid w:val="0074630E"/>
    <w:rsid w:val="007B5352"/>
    <w:rsid w:val="007E7DA9"/>
    <w:rsid w:val="008A79DD"/>
    <w:rsid w:val="008D50B9"/>
    <w:rsid w:val="008D7C67"/>
    <w:rsid w:val="00900341"/>
    <w:rsid w:val="00914413"/>
    <w:rsid w:val="00934D55"/>
    <w:rsid w:val="00941390"/>
    <w:rsid w:val="00991E73"/>
    <w:rsid w:val="009E35E9"/>
    <w:rsid w:val="009F7E8D"/>
    <w:rsid w:val="00A26881"/>
    <w:rsid w:val="00A300D7"/>
    <w:rsid w:val="00AB2D56"/>
    <w:rsid w:val="00AC4D65"/>
    <w:rsid w:val="00AF1E53"/>
    <w:rsid w:val="00B04A83"/>
    <w:rsid w:val="00B16FE8"/>
    <w:rsid w:val="00B37D4E"/>
    <w:rsid w:val="00B472C0"/>
    <w:rsid w:val="00BB169E"/>
    <w:rsid w:val="00BC56AF"/>
    <w:rsid w:val="00BD6B2B"/>
    <w:rsid w:val="00BF1040"/>
    <w:rsid w:val="00C110A8"/>
    <w:rsid w:val="00C414CB"/>
    <w:rsid w:val="00C41BA7"/>
    <w:rsid w:val="00C63BAB"/>
    <w:rsid w:val="00C828E0"/>
    <w:rsid w:val="00CA1734"/>
    <w:rsid w:val="00CB63FE"/>
    <w:rsid w:val="00D600E1"/>
    <w:rsid w:val="00D67C53"/>
    <w:rsid w:val="00DC0C61"/>
    <w:rsid w:val="00DC1D11"/>
    <w:rsid w:val="00E072DF"/>
    <w:rsid w:val="00E17993"/>
    <w:rsid w:val="00E40EF6"/>
    <w:rsid w:val="00E84783"/>
    <w:rsid w:val="00F85B8D"/>
    <w:rsid w:val="00FD1ACA"/>
    <w:rsid w:val="00FE432B"/>
    <w:rsid w:val="00FF0D28"/>
    <w:rsid w:val="0A405CA6"/>
    <w:rsid w:val="20182EE3"/>
    <w:rsid w:val="2C717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4"/>
      <w:szCs w:val="22"/>
      <w:lang w:val="en-GB" w:eastAsia="en-US" w:bidi="ar-SA"/>
      <w14:ligatures w14:val="standardContextual"/>
    </w:rPr>
  </w:style>
  <w:style w:type="paragraph" w:styleId="2">
    <w:name w:val="heading 1"/>
    <w:basedOn w:val="1"/>
    <w:next w:val="1"/>
    <w:link w:val="14"/>
    <w:qFormat/>
    <w:uiPriority w:val="9"/>
    <w:pPr>
      <w:spacing w:after="0"/>
      <w:outlineLvl w:val="0"/>
    </w:pPr>
    <w:rPr>
      <w:b/>
      <w:sz w:val="28"/>
    </w:rPr>
  </w:style>
  <w:style w:type="paragraph" w:styleId="3">
    <w:name w:val="heading 2"/>
    <w:basedOn w:val="2"/>
    <w:next w:val="1"/>
    <w:link w:val="15"/>
    <w:unhideWhenUsed/>
    <w:qFormat/>
    <w:uiPriority w:val="9"/>
    <w:pPr>
      <w:outlineLvl w:val="1"/>
    </w:pPr>
    <w:rPr>
      <w:sz w:val="26"/>
    </w:rPr>
  </w:style>
  <w:style w:type="paragraph" w:styleId="4">
    <w:name w:val="heading 3"/>
    <w:basedOn w:val="1"/>
    <w:next w:val="1"/>
    <w:link w:val="16"/>
    <w:semiHidden/>
    <w:unhideWhenUsed/>
    <w:qFormat/>
    <w:uiPriority w:val="9"/>
    <w:pPr>
      <w:keepNext/>
      <w:keepLines/>
      <w:spacing w:before="40" w:after="0"/>
      <w:outlineLvl w:val="2"/>
    </w:pPr>
    <w:rPr>
      <w:rFonts w:eastAsiaTheme="majorEastAsia" w:cstheme="majorBidi"/>
      <w:b/>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line="240" w:lineRule="auto"/>
      <w:jc w:val="center"/>
    </w:pPr>
    <w:rPr>
      <w:b/>
      <w:iCs/>
      <w:sz w:val="18"/>
      <w:szCs w:val="18"/>
    </w:rPr>
  </w:style>
  <w:style w:type="paragraph" w:styleId="8">
    <w:name w:val="footer"/>
    <w:basedOn w:val="1"/>
    <w:link w:val="18"/>
    <w:unhideWhenUsed/>
    <w:qFormat/>
    <w:uiPriority w:val="99"/>
    <w:pPr>
      <w:tabs>
        <w:tab w:val="center" w:pos="4513"/>
        <w:tab w:val="right" w:pos="9026"/>
      </w:tabs>
      <w:spacing w:after="0" w:line="240" w:lineRule="auto"/>
    </w:pPr>
  </w:style>
  <w:style w:type="paragraph" w:styleId="9">
    <w:name w:val="header"/>
    <w:basedOn w:val="1"/>
    <w:link w:val="17"/>
    <w:unhideWhenUsed/>
    <w:qFormat/>
    <w:uiPriority w:val="99"/>
    <w:pPr>
      <w:tabs>
        <w:tab w:val="center" w:pos="4513"/>
        <w:tab w:val="right" w:pos="9026"/>
      </w:tabs>
      <w:spacing w:after="0"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table of figures"/>
    <w:basedOn w:val="1"/>
    <w:next w:val="1"/>
    <w:unhideWhenUsed/>
    <w:qFormat/>
    <w:uiPriority w:val="99"/>
    <w:pPr>
      <w:spacing w:after="0"/>
    </w:p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40"/>
    </w:pPr>
  </w:style>
  <w:style w:type="character" w:customStyle="1" w:styleId="14">
    <w:name w:val="Heading 1 Char"/>
    <w:basedOn w:val="5"/>
    <w:link w:val="2"/>
    <w:qFormat/>
    <w:uiPriority w:val="9"/>
    <w:rPr>
      <w:rFonts w:ascii="Arial" w:hAnsi="Arial"/>
      <w:b/>
      <w:sz w:val="28"/>
    </w:rPr>
  </w:style>
  <w:style w:type="character" w:customStyle="1" w:styleId="15">
    <w:name w:val="Heading 2 Char"/>
    <w:basedOn w:val="5"/>
    <w:link w:val="3"/>
    <w:qFormat/>
    <w:uiPriority w:val="9"/>
    <w:rPr>
      <w:b/>
      <w:sz w:val="26"/>
    </w:rPr>
  </w:style>
  <w:style w:type="character" w:customStyle="1" w:styleId="16">
    <w:name w:val="Heading 3 Char"/>
    <w:basedOn w:val="5"/>
    <w:link w:val="4"/>
    <w:semiHidden/>
    <w:qFormat/>
    <w:uiPriority w:val="9"/>
    <w:rPr>
      <w:rFonts w:ascii="Arial" w:hAnsi="Arial" w:eastAsiaTheme="majorEastAsia" w:cstheme="majorBidi"/>
      <w:b/>
      <w:sz w:val="24"/>
      <w:szCs w:val="24"/>
    </w:rPr>
  </w:style>
  <w:style w:type="character" w:customStyle="1" w:styleId="17">
    <w:name w:val="Header Char"/>
    <w:basedOn w:val="5"/>
    <w:link w:val="9"/>
    <w:qFormat/>
    <w:uiPriority w:val="99"/>
    <w:rPr>
      <w:sz w:val="24"/>
    </w:rPr>
  </w:style>
  <w:style w:type="character" w:customStyle="1" w:styleId="18">
    <w:name w:val="Footer Char"/>
    <w:basedOn w:val="5"/>
    <w:link w:val="8"/>
    <w:qFormat/>
    <w:uiPriority w:val="99"/>
    <w:rPr>
      <w:sz w:val="24"/>
    </w:rPr>
  </w:style>
  <w:style w:type="paragraph" w:customStyle="1" w:styleId="19">
    <w:name w:val="TOC Heading"/>
    <w:basedOn w:val="2"/>
    <w:next w:val="1"/>
    <w:unhideWhenUsed/>
    <w:qFormat/>
    <w:uiPriority w:val="39"/>
    <w:pPr>
      <w:keepNext/>
      <w:keepLines/>
      <w:spacing w:before="240" w:line="259" w:lineRule="auto"/>
      <w:jc w:val="left"/>
      <w:outlineLvl w:val="9"/>
    </w:pPr>
    <w:rPr>
      <w:rFonts w:asciiTheme="majorHAnsi" w:hAnsiTheme="majorHAnsi" w:eastAsiaTheme="majorEastAsia" w:cstheme="majorBidi"/>
      <w:b w:val="0"/>
      <w:color w:val="2F5597" w:themeColor="accent1" w:themeShade="BF"/>
      <w:kern w:val="0"/>
      <w:sz w:val="32"/>
      <w:szCs w:val="32"/>
      <w:lang w:val="en-US"/>
      <w14:ligatures w14:val="none"/>
    </w:rPr>
  </w:style>
  <w:style w:type="paragraph" w:styleId="20">
    <w:name w:val="List Paragraph"/>
    <w:basedOn w:val="1"/>
    <w:qFormat/>
    <w:uiPriority w:val="34"/>
    <w:pPr>
      <w:ind w:left="720"/>
      <w:contextualSpacing/>
    </w:pPr>
  </w:style>
  <w:style w:type="paragraph" w:customStyle="1" w:styleId="21">
    <w:name w:val="Table Paragraph"/>
    <w:basedOn w:val="1"/>
    <w:qFormat/>
    <w:uiPriority w:val="1"/>
    <w:pPr>
      <w:widowControl w:val="0"/>
      <w:autoSpaceDE w:val="0"/>
      <w:autoSpaceDN w:val="0"/>
      <w:spacing w:after="0" w:line="240" w:lineRule="auto"/>
      <w:jc w:val="left"/>
    </w:pPr>
    <w:rPr>
      <w:rFonts w:ascii="Arial MT" w:hAnsi="Arial MT" w:eastAsia="Arial MT" w:cs="Arial MT"/>
      <w:kern w:val="0"/>
      <w:sz w:val="2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microsoft.com/office/2007/relationships/hdphoto" Target="media/image4.wdp"/><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E8E5E5F-99DE-4252-BC38-35914AE36FE6}">
  <ds:schemaRefs/>
</ds:datastoreItem>
</file>

<file path=docProps/app.xml><?xml version="1.0" encoding="utf-8"?>
<Properties xmlns="http://schemas.openxmlformats.org/officeDocument/2006/extended-properties" xmlns:vt="http://schemas.openxmlformats.org/officeDocument/2006/docPropsVTypes">
  <Template>Normal</Template>
  <Pages>13</Pages>
  <Words>3045</Words>
  <Characters>17357</Characters>
  <Lines>144</Lines>
  <Paragraphs>40</Paragraphs>
  <TotalTime>5</TotalTime>
  <ScaleCrop>false</ScaleCrop>
  <LinksUpToDate>false</LinksUpToDate>
  <CharactersWithSpaces>20362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2024-01-20T17:59:00Z</dcterms:created>
  <dcterms:modified xsi:type="dcterms:W3CDTF">2024-02-01T09:01:48Z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058EC5AF367C4AEA8644F9E58E0CE9CC_13</vt:lpwstr>
  </property>
</Properties>
</file>