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09E224" w14:textId="77777777" w:rsidR="00C95837" w:rsidRDefault="00C95837" w:rsidP="008C2EED">
      <w:pPr>
        <w:pStyle w:val="Normal10"/>
        <w:jc w:val="center"/>
        <w:rPr>
          <w:rFonts w:eastAsia="Times New Roman" w:cs="Times New Roman"/>
          <w:sz w:val="28"/>
          <w:szCs w:val="28"/>
        </w:rPr>
      </w:pPr>
      <w:r>
        <w:rPr>
          <w:rFonts w:eastAsia="Times New Roman" w:cs="Times New Roman"/>
          <w:sz w:val="28"/>
          <w:szCs w:val="28"/>
        </w:rPr>
        <w:t xml:space="preserve">Module: </w:t>
      </w:r>
      <w:r w:rsidR="00B8630C" w:rsidRPr="00C95837">
        <w:rPr>
          <w:rFonts w:eastAsia="Times New Roman" w:cs="Times New Roman"/>
          <w:sz w:val="28"/>
          <w:szCs w:val="28"/>
        </w:rPr>
        <w:t>Community Engagement</w:t>
      </w:r>
      <w:r>
        <w:rPr>
          <w:rFonts w:eastAsia="Times New Roman" w:cs="Times New Roman"/>
          <w:sz w:val="28"/>
          <w:szCs w:val="28"/>
        </w:rPr>
        <w:t xml:space="preserve"> (LCBB4002)</w:t>
      </w:r>
    </w:p>
    <w:p w14:paraId="62F43335" w14:textId="1F13FBDF" w:rsidR="008C2EED" w:rsidRPr="00A94523" w:rsidRDefault="00C95837" w:rsidP="008C2EED">
      <w:pPr>
        <w:pStyle w:val="Normal10"/>
        <w:jc w:val="center"/>
        <w:rPr>
          <w:rFonts w:eastAsia="Times New Roman" w:cs="Times New Roman"/>
          <w:bCs/>
          <w:szCs w:val="24"/>
        </w:rPr>
      </w:pPr>
      <w:r>
        <w:rPr>
          <w:rFonts w:eastAsia="Times New Roman" w:cs="Times New Roman"/>
          <w:sz w:val="28"/>
          <w:szCs w:val="28"/>
        </w:rPr>
        <w:t>Lecturer: Faizu Edu</w:t>
      </w:r>
      <w:r w:rsidR="008C2EED">
        <w:rPr>
          <w:rFonts w:eastAsia="Times New Roman" w:cs="Times New Roman"/>
          <w:b/>
          <w:sz w:val="28"/>
          <w:szCs w:val="28"/>
        </w:rPr>
        <w:br/>
      </w:r>
      <w:r w:rsidR="008C2EED" w:rsidRPr="00A94523">
        <w:rPr>
          <w:rFonts w:eastAsia="Times New Roman" w:cs="Times New Roman"/>
          <w:bCs/>
          <w:szCs w:val="24"/>
        </w:rPr>
        <w:t>Student Name:</w:t>
      </w:r>
      <w:r>
        <w:rPr>
          <w:rFonts w:eastAsia="Times New Roman" w:cs="Times New Roman"/>
          <w:bCs/>
          <w:szCs w:val="24"/>
        </w:rPr>
        <w:t xml:space="preserve"> Lucica Barbu</w:t>
      </w:r>
    </w:p>
    <w:p w14:paraId="4D5D699F" w14:textId="5CB26803" w:rsidR="008C2EED" w:rsidRDefault="008C2EED" w:rsidP="008C2EED">
      <w:pPr>
        <w:pStyle w:val="Normal10"/>
        <w:jc w:val="center"/>
        <w:rPr>
          <w:rFonts w:eastAsia="Times New Roman" w:cs="Times New Roman"/>
          <w:bCs/>
          <w:szCs w:val="24"/>
        </w:rPr>
      </w:pPr>
      <w:r w:rsidRPr="00A94523">
        <w:rPr>
          <w:rFonts w:eastAsia="Times New Roman" w:cs="Times New Roman"/>
          <w:bCs/>
          <w:szCs w:val="24"/>
        </w:rPr>
        <w:t>Student ID:</w:t>
      </w:r>
      <w:r w:rsidR="00C95837">
        <w:rPr>
          <w:rFonts w:eastAsia="Times New Roman" w:cs="Times New Roman"/>
          <w:bCs/>
          <w:szCs w:val="24"/>
        </w:rPr>
        <w:t xml:space="preserve"> 2006789</w:t>
      </w:r>
    </w:p>
    <w:p w14:paraId="0561B3EA" w14:textId="7733B3ED" w:rsidR="00C95837" w:rsidRPr="00A94523" w:rsidRDefault="00B50E97" w:rsidP="008C2EED">
      <w:pPr>
        <w:pStyle w:val="Normal10"/>
        <w:jc w:val="center"/>
        <w:rPr>
          <w:rFonts w:eastAsia="Times New Roman" w:cs="Times New Roman"/>
          <w:bCs/>
          <w:szCs w:val="24"/>
        </w:rPr>
      </w:pPr>
      <w:r>
        <w:rPr>
          <w:rFonts w:eastAsia="Times New Roman" w:cs="Times New Roman"/>
          <w:bCs/>
          <w:szCs w:val="24"/>
        </w:rPr>
        <w:t>Word Count: 2548</w:t>
      </w:r>
      <w:bookmarkStart w:id="0" w:name="_GoBack"/>
      <w:bookmarkEnd w:id="0"/>
    </w:p>
    <w:p w14:paraId="1684F5BE" w14:textId="77777777" w:rsidR="008C2EED" w:rsidRPr="008C2EED" w:rsidRDefault="008C2EED" w:rsidP="008C2EED">
      <w:pPr>
        <w:pStyle w:val="Normal1"/>
        <w:jc w:val="center"/>
        <w:rPr>
          <w:rFonts w:ascii="Times New Roman" w:eastAsia="Times New Roman" w:hAnsi="Times New Roman" w:cs="Times New Roman"/>
          <w:sz w:val="28"/>
          <w:szCs w:val="28"/>
        </w:rPr>
      </w:pPr>
    </w:p>
    <w:p w14:paraId="7AC00BA2" w14:textId="25617C46" w:rsidR="008C2EED" w:rsidRPr="00C713F1" w:rsidRDefault="00B8630C" w:rsidP="00C713F1">
      <w:pPr>
        <w:pStyle w:val="Normal1"/>
        <w:jc w:val="center"/>
        <w:rPr>
          <w:rFonts w:ascii="Times New Roman" w:eastAsia="Times New Roman" w:hAnsi="Times New Roman" w:cs="Times New Roman"/>
          <w:b/>
          <w:sz w:val="28"/>
          <w:szCs w:val="28"/>
        </w:rPr>
      </w:pPr>
      <w:r>
        <w:br w:type="page"/>
      </w:r>
    </w:p>
    <w:p w14:paraId="348B30C6" w14:textId="77777777" w:rsidR="008C2EED" w:rsidRDefault="008C2EED" w:rsidP="008C2EED">
      <w:pPr>
        <w:jc w:val="both"/>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1609119833"/>
        <w:docPartObj>
          <w:docPartGallery w:val="Table of Contents"/>
          <w:docPartUnique/>
        </w:docPartObj>
      </w:sdtPr>
      <w:sdtEndPr>
        <w:rPr>
          <w:noProof/>
        </w:rPr>
      </w:sdtEndPr>
      <w:sdtContent>
        <w:p w14:paraId="3B83F016" w14:textId="1A1C9D5D" w:rsidR="00C713F1" w:rsidRPr="00C713F1" w:rsidRDefault="00C713F1" w:rsidP="00C713F1">
          <w:pPr>
            <w:pStyle w:val="TOCHeading"/>
            <w:spacing w:line="360" w:lineRule="auto"/>
            <w:jc w:val="center"/>
            <w:rPr>
              <w:rFonts w:ascii="Times New Roman" w:hAnsi="Times New Roman" w:cs="Times New Roman"/>
              <w:color w:val="000000" w:themeColor="text1"/>
            </w:rPr>
          </w:pPr>
          <w:r w:rsidRPr="00C713F1">
            <w:rPr>
              <w:rFonts w:ascii="Times New Roman" w:hAnsi="Times New Roman" w:cs="Times New Roman"/>
              <w:color w:val="000000" w:themeColor="text1"/>
            </w:rPr>
            <w:t>Table of Contents</w:t>
          </w:r>
        </w:p>
        <w:p w14:paraId="610B7129" w14:textId="04D32766" w:rsidR="00C713F1" w:rsidRPr="00C713F1" w:rsidRDefault="00C713F1"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C713F1">
            <w:rPr>
              <w:rFonts w:ascii="Times New Roman" w:hAnsi="Times New Roman" w:cs="Times New Roman"/>
              <w:sz w:val="24"/>
              <w:szCs w:val="24"/>
            </w:rPr>
            <w:fldChar w:fldCharType="begin"/>
          </w:r>
          <w:r w:rsidRPr="00C713F1">
            <w:rPr>
              <w:rFonts w:ascii="Times New Roman" w:hAnsi="Times New Roman" w:cs="Times New Roman"/>
              <w:sz w:val="24"/>
              <w:szCs w:val="24"/>
            </w:rPr>
            <w:instrText xml:space="preserve"> TOC \o "1-3" \h \z \u </w:instrText>
          </w:r>
          <w:r w:rsidRPr="00C713F1">
            <w:rPr>
              <w:rFonts w:ascii="Times New Roman" w:hAnsi="Times New Roman" w:cs="Times New Roman"/>
              <w:sz w:val="24"/>
              <w:szCs w:val="24"/>
            </w:rPr>
            <w:fldChar w:fldCharType="separate"/>
          </w:r>
          <w:hyperlink w:anchor="_Toc100299924" w:history="1">
            <w:r w:rsidRPr="00C713F1">
              <w:rPr>
                <w:rStyle w:val="Hyperlink"/>
                <w:rFonts w:ascii="Times New Roman" w:hAnsi="Times New Roman" w:cs="Times New Roman"/>
                <w:noProof/>
                <w:sz w:val="24"/>
                <w:szCs w:val="24"/>
              </w:rPr>
              <w:t>Introduction</w:t>
            </w:r>
            <w:r w:rsidRPr="00C713F1">
              <w:rPr>
                <w:rFonts w:ascii="Times New Roman" w:hAnsi="Times New Roman" w:cs="Times New Roman"/>
                <w:noProof/>
                <w:webHidden/>
                <w:sz w:val="24"/>
                <w:szCs w:val="24"/>
              </w:rPr>
              <w:tab/>
            </w:r>
            <w:r w:rsidRPr="00C713F1">
              <w:rPr>
                <w:rFonts w:ascii="Times New Roman" w:hAnsi="Times New Roman" w:cs="Times New Roman"/>
                <w:noProof/>
                <w:webHidden/>
                <w:sz w:val="24"/>
                <w:szCs w:val="24"/>
              </w:rPr>
              <w:fldChar w:fldCharType="begin"/>
            </w:r>
            <w:r w:rsidRPr="00C713F1">
              <w:rPr>
                <w:rFonts w:ascii="Times New Roman" w:hAnsi="Times New Roman" w:cs="Times New Roman"/>
                <w:noProof/>
                <w:webHidden/>
                <w:sz w:val="24"/>
                <w:szCs w:val="24"/>
              </w:rPr>
              <w:instrText xml:space="preserve"> PAGEREF _Toc100299924 \h </w:instrText>
            </w:r>
            <w:r w:rsidRPr="00C713F1">
              <w:rPr>
                <w:rFonts w:ascii="Times New Roman" w:hAnsi="Times New Roman" w:cs="Times New Roman"/>
                <w:noProof/>
                <w:webHidden/>
                <w:sz w:val="24"/>
                <w:szCs w:val="24"/>
              </w:rPr>
            </w:r>
            <w:r w:rsidRPr="00C713F1">
              <w:rPr>
                <w:rFonts w:ascii="Times New Roman" w:hAnsi="Times New Roman" w:cs="Times New Roman"/>
                <w:noProof/>
                <w:webHidden/>
                <w:sz w:val="24"/>
                <w:szCs w:val="24"/>
              </w:rPr>
              <w:fldChar w:fldCharType="separate"/>
            </w:r>
            <w:r w:rsidRPr="00C713F1">
              <w:rPr>
                <w:rFonts w:ascii="Times New Roman" w:hAnsi="Times New Roman" w:cs="Times New Roman"/>
                <w:noProof/>
                <w:webHidden/>
                <w:sz w:val="24"/>
                <w:szCs w:val="24"/>
              </w:rPr>
              <w:t>3</w:t>
            </w:r>
            <w:r w:rsidRPr="00C713F1">
              <w:rPr>
                <w:rFonts w:ascii="Times New Roman" w:hAnsi="Times New Roman" w:cs="Times New Roman"/>
                <w:noProof/>
                <w:webHidden/>
                <w:sz w:val="24"/>
                <w:szCs w:val="24"/>
              </w:rPr>
              <w:fldChar w:fldCharType="end"/>
            </w:r>
          </w:hyperlink>
        </w:p>
        <w:p w14:paraId="0F0109DD" w14:textId="06E31FDE"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25" w:history="1">
            <w:r w:rsidR="00C713F1" w:rsidRPr="00C713F1">
              <w:rPr>
                <w:rStyle w:val="Hyperlink"/>
                <w:rFonts w:ascii="Times New Roman" w:hAnsi="Times New Roman" w:cs="Times New Roman"/>
                <w:noProof/>
                <w:sz w:val="24"/>
                <w:szCs w:val="24"/>
              </w:rPr>
              <w:t>Description of the project</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_Toc100299925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3</w:t>
            </w:r>
            <w:r w:rsidR="00C713F1" w:rsidRPr="00C713F1">
              <w:rPr>
                <w:rFonts w:ascii="Times New Roman" w:hAnsi="Times New Roman" w:cs="Times New Roman"/>
                <w:noProof/>
                <w:webHidden/>
                <w:sz w:val="24"/>
                <w:szCs w:val="24"/>
              </w:rPr>
              <w:fldChar w:fldCharType="end"/>
            </w:r>
          </w:hyperlink>
        </w:p>
        <w:p w14:paraId="35E42034" w14:textId="1B4620A5"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26" w:history="1">
            <w:r w:rsidR="00C713F1" w:rsidRPr="00C713F1">
              <w:rPr>
                <w:rStyle w:val="Hyperlink"/>
                <w:rFonts w:ascii="Times New Roman" w:hAnsi="Times New Roman" w:cs="Times New Roman"/>
                <w:noProof/>
                <w:sz w:val="24"/>
                <w:szCs w:val="24"/>
              </w:rPr>
              <w:t>Participation of the stakeholders in the project</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_Toc100299926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4</w:t>
            </w:r>
            <w:r w:rsidR="00C713F1" w:rsidRPr="00C713F1">
              <w:rPr>
                <w:rFonts w:ascii="Times New Roman" w:hAnsi="Times New Roman" w:cs="Times New Roman"/>
                <w:noProof/>
                <w:webHidden/>
                <w:sz w:val="24"/>
                <w:szCs w:val="24"/>
              </w:rPr>
              <w:fldChar w:fldCharType="end"/>
            </w:r>
          </w:hyperlink>
        </w:p>
        <w:p w14:paraId="0BB43838" w14:textId="37B5CEEC"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27" w:history="1">
            <w:r w:rsidR="00C713F1" w:rsidRPr="00C713F1">
              <w:rPr>
                <w:rStyle w:val="Hyperlink"/>
                <w:rFonts w:ascii="Times New Roman" w:hAnsi="Times New Roman" w:cs="Times New Roman"/>
                <w:noProof/>
                <w:sz w:val="24"/>
                <w:szCs w:val="24"/>
              </w:rPr>
              <w:t>Engagement of social media on multiculturalism and cultural integration</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_Toc100299927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5</w:t>
            </w:r>
            <w:r w:rsidR="00C713F1" w:rsidRPr="00C713F1">
              <w:rPr>
                <w:rFonts w:ascii="Times New Roman" w:hAnsi="Times New Roman" w:cs="Times New Roman"/>
                <w:noProof/>
                <w:webHidden/>
                <w:sz w:val="24"/>
                <w:szCs w:val="24"/>
              </w:rPr>
              <w:fldChar w:fldCharType="end"/>
            </w:r>
          </w:hyperlink>
        </w:p>
        <w:p w14:paraId="1BDD8135" w14:textId="36D21F44"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28" w:history="1">
            <w:r w:rsidR="00C713F1" w:rsidRPr="00C713F1">
              <w:rPr>
                <w:rStyle w:val="Hyperlink"/>
                <w:rFonts w:ascii="Times New Roman" w:hAnsi="Times New Roman" w:cs="Times New Roman"/>
                <w:noProof/>
                <w:sz w:val="24"/>
                <w:szCs w:val="24"/>
              </w:rPr>
              <w:t>Forthcoming approaches</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_Toc100299928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6</w:t>
            </w:r>
            <w:r w:rsidR="00C713F1" w:rsidRPr="00C713F1">
              <w:rPr>
                <w:rFonts w:ascii="Times New Roman" w:hAnsi="Times New Roman" w:cs="Times New Roman"/>
                <w:noProof/>
                <w:webHidden/>
                <w:sz w:val="24"/>
                <w:szCs w:val="24"/>
              </w:rPr>
              <w:fldChar w:fldCharType="end"/>
            </w:r>
          </w:hyperlink>
        </w:p>
        <w:p w14:paraId="1BB27EF6" w14:textId="0AD692A7"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29" w:history="1">
            <w:r w:rsidR="00C713F1" w:rsidRPr="00C713F1">
              <w:rPr>
                <w:rStyle w:val="Hyperlink"/>
                <w:rFonts w:ascii="Times New Roman" w:hAnsi="Times New Roman" w:cs="Times New Roman"/>
                <w:noProof/>
                <w:sz w:val="24"/>
                <w:szCs w:val="24"/>
              </w:rPr>
              <w:t>Conclusion</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_Toc100299929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8</w:t>
            </w:r>
            <w:r w:rsidR="00C713F1" w:rsidRPr="00C713F1">
              <w:rPr>
                <w:rFonts w:ascii="Times New Roman" w:hAnsi="Times New Roman" w:cs="Times New Roman"/>
                <w:noProof/>
                <w:webHidden/>
                <w:sz w:val="24"/>
                <w:szCs w:val="24"/>
              </w:rPr>
              <w:fldChar w:fldCharType="end"/>
            </w:r>
          </w:hyperlink>
        </w:p>
        <w:p w14:paraId="29BD5964" w14:textId="11040363" w:rsidR="00C713F1" w:rsidRPr="00C713F1" w:rsidRDefault="005221EE" w:rsidP="00C713F1">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00299930" w:history="1">
            <w:r w:rsidR="00C713F1" w:rsidRPr="00C713F1">
              <w:rPr>
                <w:rStyle w:val="Hyperlink"/>
                <w:rFonts w:ascii="Times New Roman" w:hAnsi="Times New Roman" w:cs="Times New Roman"/>
                <w:noProof/>
                <w:sz w:val="24"/>
                <w:szCs w:val="24"/>
              </w:rPr>
              <w:t>Reference list</w:t>
            </w:r>
            <w:r w:rsidR="00C713F1" w:rsidRPr="00C713F1">
              <w:rPr>
                <w:rFonts w:ascii="Times New Roman" w:hAnsi="Times New Roman" w:cs="Times New Roman"/>
                <w:noProof/>
                <w:webHidden/>
                <w:sz w:val="24"/>
                <w:szCs w:val="24"/>
              </w:rPr>
              <w:tab/>
            </w:r>
            <w:r w:rsidR="00C713F1" w:rsidRPr="00C713F1">
              <w:rPr>
                <w:rFonts w:ascii="Times New Roman" w:hAnsi="Times New Roman" w:cs="Times New Roman"/>
                <w:noProof/>
                <w:webHidden/>
                <w:sz w:val="24"/>
                <w:szCs w:val="24"/>
              </w:rPr>
              <w:fldChar w:fldCharType="begin"/>
            </w:r>
            <w:r w:rsidR="00C713F1" w:rsidRPr="00C713F1">
              <w:rPr>
                <w:rFonts w:ascii="Times New Roman" w:hAnsi="Times New Roman" w:cs="Times New Roman"/>
                <w:noProof/>
                <w:webHidden/>
                <w:sz w:val="24"/>
                <w:szCs w:val="24"/>
              </w:rPr>
              <w:instrText xml:space="preserve"> PAGEREF _Toc100299930 \h </w:instrText>
            </w:r>
            <w:r w:rsidR="00C713F1" w:rsidRPr="00C713F1">
              <w:rPr>
                <w:rFonts w:ascii="Times New Roman" w:hAnsi="Times New Roman" w:cs="Times New Roman"/>
                <w:noProof/>
                <w:webHidden/>
                <w:sz w:val="24"/>
                <w:szCs w:val="24"/>
              </w:rPr>
            </w:r>
            <w:r w:rsidR="00C713F1" w:rsidRPr="00C713F1">
              <w:rPr>
                <w:rFonts w:ascii="Times New Roman" w:hAnsi="Times New Roman" w:cs="Times New Roman"/>
                <w:noProof/>
                <w:webHidden/>
                <w:sz w:val="24"/>
                <w:szCs w:val="24"/>
              </w:rPr>
              <w:fldChar w:fldCharType="separate"/>
            </w:r>
            <w:r w:rsidR="00C713F1" w:rsidRPr="00C713F1">
              <w:rPr>
                <w:rFonts w:ascii="Times New Roman" w:hAnsi="Times New Roman" w:cs="Times New Roman"/>
                <w:noProof/>
                <w:webHidden/>
                <w:sz w:val="24"/>
                <w:szCs w:val="24"/>
              </w:rPr>
              <w:t>9</w:t>
            </w:r>
            <w:r w:rsidR="00C713F1" w:rsidRPr="00C713F1">
              <w:rPr>
                <w:rFonts w:ascii="Times New Roman" w:hAnsi="Times New Roman" w:cs="Times New Roman"/>
                <w:noProof/>
                <w:webHidden/>
                <w:sz w:val="24"/>
                <w:szCs w:val="24"/>
              </w:rPr>
              <w:fldChar w:fldCharType="end"/>
            </w:r>
          </w:hyperlink>
        </w:p>
        <w:p w14:paraId="4F9E5CE0" w14:textId="6202A263" w:rsidR="00C713F1" w:rsidRDefault="00C713F1" w:rsidP="00C713F1">
          <w:pPr>
            <w:spacing w:line="360" w:lineRule="auto"/>
            <w:jc w:val="both"/>
          </w:pPr>
          <w:r w:rsidRPr="00C713F1">
            <w:rPr>
              <w:rFonts w:ascii="Times New Roman" w:hAnsi="Times New Roman" w:cs="Times New Roman"/>
              <w:b/>
              <w:bCs/>
              <w:noProof/>
              <w:sz w:val="24"/>
              <w:szCs w:val="24"/>
            </w:rPr>
            <w:fldChar w:fldCharType="end"/>
          </w:r>
        </w:p>
      </w:sdtContent>
    </w:sdt>
    <w:p w14:paraId="5E775F4F" w14:textId="77777777" w:rsidR="008C2EED" w:rsidRDefault="008C2EED" w:rsidP="008C2EED">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4904047" w14:textId="77777777" w:rsidR="008D320E" w:rsidRPr="00C95837" w:rsidRDefault="00B8630C">
      <w:pPr>
        <w:pStyle w:val="Normal1"/>
        <w:spacing w:line="360" w:lineRule="auto"/>
        <w:jc w:val="both"/>
        <w:rPr>
          <w:rFonts w:eastAsia="Times New Roman"/>
          <w:b/>
        </w:rPr>
      </w:pPr>
      <w:r w:rsidRPr="00C95837">
        <w:rPr>
          <w:rFonts w:eastAsia="Times New Roman"/>
          <w:b/>
        </w:rPr>
        <w:lastRenderedPageBreak/>
        <w:t xml:space="preserve">Part A </w:t>
      </w:r>
    </w:p>
    <w:p w14:paraId="4CFEB0D2" w14:textId="77777777" w:rsidR="008D320E" w:rsidRPr="00C95837" w:rsidRDefault="00B8630C">
      <w:pPr>
        <w:pStyle w:val="Normal1"/>
        <w:spacing w:line="360" w:lineRule="auto"/>
        <w:jc w:val="both"/>
        <w:rPr>
          <w:rFonts w:eastAsia="Times New Roman"/>
          <w:b/>
        </w:rPr>
      </w:pPr>
      <w:r w:rsidRPr="00C95837">
        <w:rPr>
          <w:rFonts w:eastAsia="Times New Roman"/>
          <w:b/>
        </w:rPr>
        <w:t>Local community engagement</w:t>
      </w:r>
    </w:p>
    <w:p w14:paraId="61D237A3" w14:textId="77777777" w:rsidR="008D320E" w:rsidRPr="00C95837" w:rsidRDefault="008C2EED" w:rsidP="008C2EED">
      <w:pPr>
        <w:pStyle w:val="Heading1"/>
        <w:rPr>
          <w:rFonts w:ascii="Arial" w:hAnsi="Arial" w:cs="Arial"/>
          <w:sz w:val="22"/>
          <w:szCs w:val="22"/>
        </w:rPr>
      </w:pPr>
      <w:bookmarkStart w:id="1" w:name="_Toc100299924"/>
      <w:r w:rsidRPr="00C95837">
        <w:rPr>
          <w:rFonts w:ascii="Arial" w:hAnsi="Arial" w:cs="Arial"/>
          <w:sz w:val="22"/>
          <w:szCs w:val="22"/>
        </w:rPr>
        <w:t>Introduction</w:t>
      </w:r>
      <w:bookmarkEnd w:id="1"/>
      <w:r w:rsidRPr="00C95837">
        <w:rPr>
          <w:rFonts w:ascii="Arial" w:hAnsi="Arial" w:cs="Arial"/>
          <w:sz w:val="22"/>
          <w:szCs w:val="22"/>
        </w:rPr>
        <w:t xml:space="preserve"> </w:t>
      </w:r>
    </w:p>
    <w:p w14:paraId="58AD4FC4" w14:textId="77777777"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Community engagement is the procedure of collaborative working with the individuals and groups of people in the community associated with the proximity of geographical areas. Community engagement is important for addressing the issues that affect the behavioural and environmental changes among the people of the community. The behavioural and cultural changes will improve the health of the members of the community. Community engagement consists of different stages like arrangement of the investors, development of a plan for the project and so on. The main objective of community engagement is to involve all the people in a project from all age groups in overall well-being (Barker et al., 2020). In society, there are various types of communities of different cultures. Community engagement covers different parts of the community like social awareness, education of children, awareness of various diseases, health checkups, benefits of environmental factors and so on. Community engagement has the same principles in all aspects. Basic principles of community engagement are planning perfection, choosing an area for the well-being of people and some meaningful actions with proper sponsorship. Diabetes Professional Care is one of the important community engagements held on 14th November 2020. Diabetes professional care addresses some important issues created by the Covid-19 pandemic with 100 educational sessions to improve the outcomes of the treatment of diabetes patients. </w:t>
      </w:r>
    </w:p>
    <w:p w14:paraId="0BD9ED18" w14:textId="77777777" w:rsidR="008D320E" w:rsidRPr="00C95837" w:rsidRDefault="008C2EED" w:rsidP="008C2EED">
      <w:pPr>
        <w:pStyle w:val="Heading1"/>
        <w:rPr>
          <w:rFonts w:ascii="Arial" w:hAnsi="Arial" w:cs="Arial"/>
          <w:sz w:val="22"/>
          <w:szCs w:val="22"/>
        </w:rPr>
      </w:pPr>
      <w:bookmarkStart w:id="2" w:name="_Toc100299925"/>
      <w:r w:rsidRPr="00C95837">
        <w:rPr>
          <w:rFonts w:ascii="Arial" w:hAnsi="Arial" w:cs="Arial"/>
          <w:sz w:val="22"/>
          <w:szCs w:val="22"/>
        </w:rPr>
        <w:t>Description of the project</w:t>
      </w:r>
      <w:bookmarkEnd w:id="2"/>
      <w:r w:rsidRPr="00C95837">
        <w:rPr>
          <w:rFonts w:ascii="Arial" w:hAnsi="Arial" w:cs="Arial"/>
          <w:sz w:val="22"/>
          <w:szCs w:val="22"/>
        </w:rPr>
        <w:t xml:space="preserve"> </w:t>
      </w:r>
    </w:p>
    <w:p w14:paraId="426971DC" w14:textId="77777777"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The conference of Diabetes Professional Care will take place on 14th November 2020. The deficiency of blood pressure and glucose gives an excellent view to this project that energises the people of the community to participate in different physical activities in the project. Extensive care units have been evaluated that have been named Diabetes Professional Care and it was held on 14th November 2020. With the support of 100 educational sessions, Diabetes Professional Care focused on some major issues regarding type 2 Diabetes Mellitus (Verma et al., 2018). This event was organised at Queen Elizabeth II Centre, London. All the adventures of this event will be provided total hospitality and support throughout the management process. The participants can choose the option of giving care to the diabetes patient in this event of Diabetes Professional Care. This event has been organised with the apparatus of a broad range of prevention and care depending upon the age groups. In this series of this event, a total of 14 conferences will be organised by Diabetes Professional Care (Aroda et al., 2019). Apart from participating in Diabetes Professional Care as an adventurer, people of the community will enjoy the outstanding outdoor projects. Medical facilities are arranged by the entire router of this event. At the borderline of this </w:t>
      </w:r>
      <w:r w:rsidRPr="00C95837">
        <w:rPr>
          <w:rFonts w:eastAsia="Times New Roman"/>
          <w:color w:val="0E101A"/>
        </w:rPr>
        <w:lastRenderedPageBreak/>
        <w:t xml:space="preserve">event, the winner will enjoy and celebrate a series of winnings. It will be exciting for the people of the community to join this event as it offers the real challenges of human lives. The organisers of this event suggest the people of the community prepare themselves more attentively and carefully. Smart and effective planning of the event is important to achieve the success of the event. The organisers of Diabetes Professional Care have launched some challenging applications with advanced training modules, online forums and recent news updates. The organisers of this event named Diabetes Professional Care kept welfare and medical tents every 25 km. The sitting arrangements, catering services and changing rooms are also available in the area of this event. In the application and website of Diabetes Professional Care, a route map of this event will be uploaded (Dave et al., 2021). Diabetes can create a destructive impact on the individuals of the community and their family members. Diabetes causes blindness in the working-age group of the people of the community. The UK government has a bad record of blood pressure control and blood sugar control for diabetes patients. The organisers of Diabetes Professional Care have observed higher rates of strokes and heart attacks, renal problems, foot ulcers and damage to nerves. To give primary care to diabetes patients, the organisers of this event determine the engagement of the community. </w:t>
      </w:r>
    </w:p>
    <w:p w14:paraId="6241CAFA" w14:textId="77777777" w:rsidR="008D320E" w:rsidRPr="00C95837" w:rsidRDefault="00B8630C" w:rsidP="008C2EED">
      <w:pPr>
        <w:pStyle w:val="Heading1"/>
        <w:rPr>
          <w:rFonts w:ascii="Arial" w:hAnsi="Arial" w:cs="Arial"/>
          <w:sz w:val="22"/>
          <w:szCs w:val="22"/>
        </w:rPr>
      </w:pPr>
      <w:bookmarkStart w:id="3" w:name="_Toc100299926"/>
      <w:r w:rsidRPr="00C95837">
        <w:rPr>
          <w:rFonts w:ascii="Arial" w:hAnsi="Arial" w:cs="Arial"/>
          <w:sz w:val="22"/>
          <w:szCs w:val="22"/>
        </w:rPr>
        <w:t>Participation of the stakeho</w:t>
      </w:r>
      <w:r w:rsidR="008C2EED" w:rsidRPr="00C95837">
        <w:rPr>
          <w:rFonts w:ascii="Arial" w:hAnsi="Arial" w:cs="Arial"/>
          <w:sz w:val="22"/>
          <w:szCs w:val="22"/>
        </w:rPr>
        <w:t>lders in the project</w:t>
      </w:r>
      <w:bookmarkEnd w:id="3"/>
      <w:r w:rsidR="008C2EED" w:rsidRPr="00C95837">
        <w:rPr>
          <w:rFonts w:ascii="Arial" w:hAnsi="Arial" w:cs="Arial"/>
          <w:sz w:val="22"/>
          <w:szCs w:val="22"/>
        </w:rPr>
        <w:t xml:space="preserve"> </w:t>
      </w:r>
    </w:p>
    <w:p w14:paraId="1114D2A8" w14:textId="3BE34A28"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The primary stakeholders of the project based on diabetes issues named Diabetes Professional care are the participants of this project. The organisation should maintain both emotional and professional relationships with the stakeholders. The conference program of Diabetes Professional Care will feature several debates and panel discussions. Diabetes Professional Care 2021 offers an extensive courtesy to the stakeholders and the participants of the project (Roberts et al., 2021). To develop the preventive measures for Diabetes, the professionals and the stakeholders develop a competency framework. The organisers for this project of diabetes control are to stay ahead with the arrangements at the time of looking into the services for the members of the team. The stakeholders get motivation from these types of impressive presentations. Therefore, the funding obtained from the fundraisers of the organisation becomes profitable. On the other side, stakeholders can also raise the funding of the project (James et al., 2020). At the time of registration, the stakeholders there will be an option to choose whether the fund is to be raised or contributed by the participants of this project. Stakeholders are a prestigious part of this event. Stakeholders also play an important role in arranging the rest stops for people in some particular distance intervals. In this event, there is no deficiency of food and drinks for the audience. The total fund arranged for the Diabetes Professional care programme is contributed to the diabetes patients of the UK. The organisers of Diabetes Professional Care arrange different </w:t>
      </w:r>
      <w:r w:rsidRPr="00C95837">
        <w:rPr>
          <w:rFonts w:eastAsia="Times New Roman"/>
          <w:color w:val="0E101A"/>
        </w:rPr>
        <w:lastRenderedPageBreak/>
        <w:t xml:space="preserve">events and conference programs every year to engage a large number of people in the community in this type of project (Zorrilla‐Zubilete et al., 2018). The organisers accept the sponsorship of different companies to make this event successful. The committee of Diabetes Professional Care can get both </w:t>
      </w:r>
      <w:r w:rsidR="00C713F1" w:rsidRPr="00C95837">
        <w:rPr>
          <w:rFonts w:eastAsia="Times New Roman"/>
          <w:color w:val="0E101A"/>
        </w:rPr>
        <w:t>economic</w:t>
      </w:r>
      <w:r w:rsidRPr="00C95837">
        <w:rPr>
          <w:rFonts w:eastAsia="Times New Roman"/>
          <w:color w:val="0E101A"/>
        </w:rPr>
        <w:t xml:space="preserve"> and social benefits from the stakeholders by maintaining a healthy relationship with them. </w:t>
      </w:r>
    </w:p>
    <w:p w14:paraId="66E237D8" w14:textId="77777777" w:rsidR="008D320E" w:rsidRPr="00C95837" w:rsidRDefault="00B8630C" w:rsidP="008C2EED">
      <w:pPr>
        <w:pStyle w:val="Heading1"/>
        <w:rPr>
          <w:rFonts w:ascii="Arial" w:hAnsi="Arial" w:cs="Arial"/>
          <w:sz w:val="22"/>
          <w:szCs w:val="22"/>
        </w:rPr>
      </w:pPr>
      <w:bookmarkStart w:id="4" w:name="_Toc100299927"/>
      <w:r w:rsidRPr="00C95837">
        <w:rPr>
          <w:rFonts w:ascii="Arial" w:hAnsi="Arial" w:cs="Arial"/>
          <w:sz w:val="22"/>
          <w:szCs w:val="22"/>
        </w:rPr>
        <w:t>Engagement of social media on multiculturalis</w:t>
      </w:r>
      <w:r w:rsidR="008C2EED" w:rsidRPr="00C95837">
        <w:rPr>
          <w:rFonts w:ascii="Arial" w:hAnsi="Arial" w:cs="Arial"/>
          <w:sz w:val="22"/>
          <w:szCs w:val="22"/>
        </w:rPr>
        <w:t>m and cultural integration</w:t>
      </w:r>
      <w:bookmarkEnd w:id="4"/>
      <w:r w:rsidR="008C2EED" w:rsidRPr="00C95837">
        <w:rPr>
          <w:rFonts w:ascii="Arial" w:hAnsi="Arial" w:cs="Arial"/>
          <w:sz w:val="22"/>
          <w:szCs w:val="22"/>
        </w:rPr>
        <w:t xml:space="preserve"> </w:t>
      </w:r>
    </w:p>
    <w:p w14:paraId="0F8537E2" w14:textId="77777777" w:rsidR="008D320E" w:rsidRPr="00C95837" w:rsidRDefault="00B8630C">
      <w:pPr>
        <w:pStyle w:val="Normal1"/>
        <w:spacing w:line="360" w:lineRule="auto"/>
        <w:jc w:val="both"/>
        <w:rPr>
          <w:rFonts w:eastAsia="Times New Roman"/>
          <w:b/>
          <w:color w:val="0E101A"/>
        </w:rPr>
      </w:pPr>
      <w:r w:rsidRPr="00C95837">
        <w:rPr>
          <w:rFonts w:eastAsia="Times New Roman"/>
          <w:b/>
          <w:color w:val="0E101A"/>
        </w:rPr>
        <w:t xml:space="preserve">Social media influences multiculturalism </w:t>
      </w:r>
    </w:p>
    <w:p w14:paraId="7033CE92" w14:textId="77777777" w:rsidR="00C713F1" w:rsidRPr="00C95837" w:rsidRDefault="00B8630C">
      <w:pPr>
        <w:pStyle w:val="Normal1"/>
        <w:spacing w:line="360" w:lineRule="auto"/>
        <w:jc w:val="both"/>
        <w:rPr>
          <w:rFonts w:eastAsia="Times New Roman"/>
          <w:color w:val="0E101A"/>
        </w:rPr>
      </w:pPr>
      <w:r w:rsidRPr="00C95837">
        <w:rPr>
          <w:rFonts w:eastAsia="Times New Roman"/>
          <w:color w:val="0E101A"/>
        </w:rPr>
        <w:t xml:space="preserve">Social media has an impactful role in spoiling the diversity of the community. Instagram, Facebook, Twitter and other social media applications and pages enhance the reaction of all the participants of this project in the framework of any topic. Without understanding the matter, the unknown people of the community react to the content of the project. Social media platforms do not have any limitations, so they reach many people collectively in a short time gap (Vora et al., 2019). With the help of social media, the participants of this project instantly react to the social media posts. People who come from different backgrounds are encouraged through social media to active cooperation in this event of Diabetes Professional Care 2021. Therefore, a </w:t>
      </w:r>
      <w:r w:rsidR="00C713F1" w:rsidRPr="00C95837">
        <w:rPr>
          <w:rFonts w:eastAsia="Times New Roman"/>
          <w:color w:val="0E101A"/>
        </w:rPr>
        <w:t>setup</w:t>
      </w:r>
      <w:r w:rsidRPr="00C95837">
        <w:rPr>
          <w:rFonts w:eastAsia="Times New Roman"/>
          <w:color w:val="0E101A"/>
        </w:rPr>
        <w:t xml:space="preserve"> of multiculturalism occurs doubtlessly. The organisers of Diabetes Professional Care also take help from the social media platforms exclusively to promote the event of Diabetes Professional Care so that a large number of people in the community can join this event. </w:t>
      </w:r>
    </w:p>
    <w:p w14:paraId="04BD877C" w14:textId="21DB2C00"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The organisers also used social media platforms to promote communal diversity. Most of the people in the community get attracted to these types of advertisements and want to participate in these programs. The advertisements consist of the links for registration to the event of Diabetes Professional Care (Ahmed et al., 2021). At the time of registration for Diabetes Professional Care, a nominal registration has to be provided to obtain the facilities of participation. The organisers have broadly used social media platforms to publish the policies of this event regarding fundraising. These fundraising policies have three divisions that are described on the website of the organisation. The sponsorships, policies of self-funding and mixed funding kept in the frontline of the event at the time of posting ads on social media pages. Social media covers a broad area without any limitations so there will be a chance for the participants to come from abroad. Multiculturalism has been cultivated through social media. </w:t>
      </w:r>
    </w:p>
    <w:p w14:paraId="7603643B" w14:textId="77777777" w:rsidR="008D320E" w:rsidRPr="00C95837" w:rsidRDefault="00B8630C">
      <w:pPr>
        <w:pStyle w:val="Normal1"/>
        <w:spacing w:line="360" w:lineRule="auto"/>
        <w:jc w:val="both"/>
        <w:rPr>
          <w:rFonts w:eastAsia="Times New Roman"/>
          <w:b/>
          <w:color w:val="0E101A"/>
        </w:rPr>
      </w:pPr>
      <w:r w:rsidRPr="00C95837">
        <w:rPr>
          <w:rFonts w:eastAsia="Times New Roman"/>
          <w:b/>
          <w:color w:val="0E101A"/>
        </w:rPr>
        <w:t>Social media influences social integration</w:t>
      </w:r>
    </w:p>
    <w:p w14:paraId="7B291082" w14:textId="77777777"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Besides multiculturalism, social media platforms also have a strong side to creating cultural integrity in the community. Social integration refers to the combination and permutation of different cultures, people of the community have to stay together for any particular reason. Social integration enhances the participants’ quality to be more flexible and user friendly. Social media </w:t>
      </w:r>
      <w:r w:rsidRPr="00C95837">
        <w:rPr>
          <w:rFonts w:eastAsia="Times New Roman"/>
          <w:color w:val="0E101A"/>
        </w:rPr>
        <w:lastRenderedPageBreak/>
        <w:t xml:space="preserve">is a big world where every person operates their profiles to share content as per the expectations of other members. Social integration establishes healthy communication among the unknown and known members from different sides of the world (Bekalu et al., 2019). Through the discussion of national and international issues, sports and media healthy communication can be established among all the members of social media. So many groups of social media consist of a large number of people in society and everybody is well associated. The organisers of Diabetes Professional Care have taken broad advantage of social media platforms to establish social integrity in the community, by posting the images or advertisements the organisers have noticed different people from different backgrounds can easily share their thoughts on a common platform. </w:t>
      </w:r>
    </w:p>
    <w:p w14:paraId="716B4CC6" w14:textId="77777777" w:rsidR="008D320E" w:rsidRPr="00C95837" w:rsidRDefault="008C2EED" w:rsidP="008C2EED">
      <w:pPr>
        <w:pStyle w:val="Heading1"/>
        <w:rPr>
          <w:rFonts w:ascii="Arial" w:hAnsi="Arial" w:cs="Arial"/>
          <w:sz w:val="22"/>
          <w:szCs w:val="22"/>
        </w:rPr>
      </w:pPr>
      <w:bookmarkStart w:id="5" w:name="_Toc100299928"/>
      <w:r w:rsidRPr="00C95837">
        <w:rPr>
          <w:rFonts w:ascii="Arial" w:hAnsi="Arial" w:cs="Arial"/>
          <w:sz w:val="22"/>
          <w:szCs w:val="22"/>
        </w:rPr>
        <w:t>Forthcoming approaches</w:t>
      </w:r>
      <w:bookmarkEnd w:id="5"/>
      <w:r w:rsidRPr="00C95837">
        <w:rPr>
          <w:rFonts w:ascii="Arial" w:hAnsi="Arial" w:cs="Arial"/>
          <w:sz w:val="22"/>
          <w:szCs w:val="22"/>
        </w:rPr>
        <w:t xml:space="preserve"> </w:t>
      </w:r>
    </w:p>
    <w:p w14:paraId="3C6D4A61" w14:textId="77777777"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The organisers of Diabetes Professional care have set some forthcoming approaches a practitioner should follow to aware the people of the community about diabetes issues are discussed below: </w:t>
      </w:r>
    </w:p>
    <w:p w14:paraId="47CB4E38" w14:textId="77777777" w:rsidR="008D320E" w:rsidRPr="00C95837" w:rsidRDefault="00B8630C">
      <w:pPr>
        <w:pStyle w:val="Normal1"/>
        <w:numPr>
          <w:ilvl w:val="0"/>
          <w:numId w:val="1"/>
        </w:numPr>
        <w:spacing w:line="360" w:lineRule="auto"/>
        <w:jc w:val="both"/>
        <w:rPr>
          <w:rFonts w:eastAsia="Times New Roman"/>
        </w:rPr>
      </w:pPr>
      <w:r w:rsidRPr="00C95837">
        <w:rPr>
          <w:rFonts w:eastAsia="Times New Roman"/>
          <w:b/>
          <w:color w:val="0E101A"/>
        </w:rPr>
        <w:t xml:space="preserve">Multidisciplinary approach- </w:t>
      </w:r>
      <w:r w:rsidRPr="00C95837">
        <w:rPr>
          <w:rFonts w:eastAsia="Times New Roman"/>
          <w:color w:val="0E101A"/>
        </w:rPr>
        <w:t xml:space="preserve">The treatment of type 2 Diabetes Mellitus has progressed over the last 40 years. The multidisciplinary approach must focus on integrated diabetes management with the targets of multiple treatments including blood pressure, glucose and lipid control, management of the lifestyle, screening and regular appointments to prevent the morbidity of Type 2 Diabetes Mellitus (Wolkowicz et al., 2021). For those diabetes patients who need integrated care with the support of a multidisciplinary team. </w:t>
      </w:r>
    </w:p>
    <w:p w14:paraId="5D849229" w14:textId="77777777" w:rsidR="008D320E" w:rsidRPr="00C95837" w:rsidRDefault="00B8630C">
      <w:pPr>
        <w:pStyle w:val="Normal1"/>
        <w:numPr>
          <w:ilvl w:val="0"/>
          <w:numId w:val="1"/>
        </w:numPr>
        <w:spacing w:line="360" w:lineRule="auto"/>
        <w:jc w:val="both"/>
        <w:rPr>
          <w:rFonts w:eastAsia="Times New Roman"/>
        </w:rPr>
      </w:pPr>
      <w:r w:rsidRPr="00C95837">
        <w:rPr>
          <w:rFonts w:eastAsia="Times New Roman"/>
          <w:b/>
          <w:color w:val="0E101A"/>
        </w:rPr>
        <w:t xml:space="preserve">Empowerment of patients- </w:t>
      </w:r>
      <w:r w:rsidRPr="00C95837">
        <w:rPr>
          <w:rFonts w:eastAsia="Times New Roman"/>
          <w:color w:val="0E101A"/>
        </w:rPr>
        <w:t xml:space="preserve">In both type 1 and type 2 diabetes, a healthy lifestyle, exercise, diet and medication are the important part of the treatment of Diabetes. At an early time, the treatment of diabetes patients is considered by the agreement of the recommendations based on medical grounds (Govindarajan and Ramamurti, 2018). The self-management plan was adjusted to the illness of the patients and not to the possibilities, priorities, lifestyle and objectives. Compiling all the recommendations of medicines is tough for patients having diabetes. Another issue in the treatment of diabetes is the implementation of complex therapies. Educational events are arranged to educate the patients about the management of this disease. </w:t>
      </w:r>
    </w:p>
    <w:p w14:paraId="3B39630B" w14:textId="3DC697BB" w:rsidR="008D320E" w:rsidRPr="00C95837" w:rsidRDefault="008C2EED" w:rsidP="00C713F1">
      <w:pPr>
        <w:pStyle w:val="Heading1"/>
        <w:rPr>
          <w:rFonts w:ascii="Arial" w:hAnsi="Arial" w:cs="Arial"/>
          <w:sz w:val="22"/>
          <w:szCs w:val="22"/>
        </w:rPr>
      </w:pPr>
      <w:bookmarkStart w:id="6" w:name="_Toc100299929"/>
      <w:r w:rsidRPr="00C95837">
        <w:rPr>
          <w:rFonts w:ascii="Arial" w:hAnsi="Arial" w:cs="Arial"/>
          <w:sz w:val="22"/>
          <w:szCs w:val="22"/>
        </w:rPr>
        <w:t>Conclusion</w:t>
      </w:r>
      <w:bookmarkEnd w:id="6"/>
      <w:r w:rsidRPr="00C95837">
        <w:rPr>
          <w:rFonts w:ascii="Arial" w:hAnsi="Arial" w:cs="Arial"/>
          <w:sz w:val="22"/>
          <w:szCs w:val="22"/>
        </w:rPr>
        <w:t xml:space="preserve"> </w:t>
      </w:r>
    </w:p>
    <w:p w14:paraId="23997B2F" w14:textId="77777777" w:rsidR="008D320E" w:rsidRPr="00C95837" w:rsidRDefault="00B8630C">
      <w:pPr>
        <w:pStyle w:val="Normal1"/>
        <w:spacing w:line="360" w:lineRule="auto"/>
        <w:jc w:val="both"/>
        <w:rPr>
          <w:rFonts w:eastAsia="Times New Roman"/>
          <w:color w:val="0E101A"/>
        </w:rPr>
      </w:pPr>
      <w:r w:rsidRPr="00C95837">
        <w:rPr>
          <w:rFonts w:eastAsia="Times New Roman"/>
          <w:color w:val="0E101A"/>
        </w:rPr>
        <w:t xml:space="preserve">From the above report on community engagement, it can be concluded that the local people have to be engaged in any activities performed in the community. So many organisations performed these events regarding community engagement to get economic and social benefits. The organisers of Diabetes Professional Care may form a corporate framework or charitable workshops. The objective of this type of community engagement is to stand by the people of the </w:t>
      </w:r>
      <w:r w:rsidRPr="00C95837">
        <w:rPr>
          <w:rFonts w:eastAsia="Times New Roman"/>
          <w:color w:val="0E101A"/>
        </w:rPr>
        <w:lastRenderedPageBreak/>
        <w:t xml:space="preserve">community where a particular group of unprivileged people required external support from the organisers. Diabetes Professional Care is one of the most famous community engagement events in the United Kingdom. This community engagement is organised for the well-being of diabetes patients in the United Kingdom. In this event, the participants join the program through social media platforms. The organisers of this event have specific links for advertising to promote their events on diabetes control. The participants can apply through the websites and the online links by giving a nominal registration fee to join this event named Diabetes Professional Care. There is an option of self-funding in this event where the participants can give a donation from their funding. Mixed funding and charitable sponsorship are also present in the agendas of this event where participants can donate a minimum amount and the rest must be provided by the organisation. The total amount of the findings will be contributed to the well-being of diabetes patients. The organisation maintains a healthy relationship with the stakeholders and the participants of this event. The founders of the organisation have the responsibility of arranging medical checkups for the patients, drinks, food, security and safety of the participants throughout the event Diabetes Professional Care. To promote the event the organisers used social media platforms. </w:t>
      </w:r>
    </w:p>
    <w:p w14:paraId="434D184D" w14:textId="77777777" w:rsidR="00C95837" w:rsidRDefault="00C95837" w:rsidP="00C713F1">
      <w:pPr>
        <w:pStyle w:val="Heading1"/>
      </w:pPr>
      <w:bookmarkStart w:id="7" w:name="_Toc100299930"/>
    </w:p>
    <w:p w14:paraId="7FAA1A4F" w14:textId="77777777" w:rsidR="00C95837" w:rsidRDefault="00C95837" w:rsidP="00C713F1">
      <w:pPr>
        <w:pStyle w:val="Heading1"/>
      </w:pPr>
    </w:p>
    <w:p w14:paraId="3BC04ED2" w14:textId="77777777" w:rsidR="00C95837" w:rsidRDefault="00C95837" w:rsidP="00C713F1">
      <w:pPr>
        <w:pStyle w:val="Heading1"/>
      </w:pPr>
    </w:p>
    <w:p w14:paraId="5B9CAD86" w14:textId="77777777" w:rsidR="00C95837" w:rsidRDefault="00C95837" w:rsidP="00C713F1">
      <w:pPr>
        <w:pStyle w:val="Heading1"/>
      </w:pPr>
    </w:p>
    <w:p w14:paraId="24B9C25A" w14:textId="77777777" w:rsidR="00C95837" w:rsidRDefault="00C95837" w:rsidP="00C713F1">
      <w:pPr>
        <w:pStyle w:val="Heading1"/>
      </w:pPr>
    </w:p>
    <w:p w14:paraId="085349B3" w14:textId="739AE99A" w:rsidR="008C2EED" w:rsidRPr="00C713F1" w:rsidRDefault="00B8630C" w:rsidP="00C713F1">
      <w:pPr>
        <w:pStyle w:val="Heading1"/>
        <w:rPr>
          <w:sz w:val="24"/>
        </w:rPr>
      </w:pPr>
      <w:r w:rsidRPr="008C2EED">
        <w:t>Reference list</w:t>
      </w:r>
      <w:bookmarkEnd w:id="7"/>
    </w:p>
    <w:p w14:paraId="7E3F0C19"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S., Chen, V.H.H. and Chib, A.I., 2021. Xenophobia in the time of a pandemic: social media use, stereotypes, and prejudice against immigrants during the COVID-19 crisis. </w:t>
      </w:r>
      <w:r>
        <w:rPr>
          <w:rFonts w:ascii="Times New Roman" w:eastAsia="Times New Roman" w:hAnsi="Times New Roman" w:cs="Times New Roman"/>
          <w:i/>
          <w:color w:val="222222"/>
          <w:sz w:val="24"/>
          <w:szCs w:val="24"/>
          <w:highlight w:val="white"/>
        </w:rPr>
        <w:t>International Journal of Public Opinion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(3), pp.637-653. Available at: </w:t>
      </w:r>
      <w:hyperlink r:id="rId8">
        <w:r>
          <w:rPr>
            <w:rFonts w:ascii="Times New Roman" w:eastAsia="Times New Roman" w:hAnsi="Times New Roman" w:cs="Times New Roman"/>
            <w:color w:val="1155CC"/>
            <w:sz w:val="24"/>
            <w:szCs w:val="24"/>
            <w:highlight w:val="white"/>
            <w:u w:val="single"/>
          </w:rPr>
          <w:t>https://web.archive.org/web/20210715144828id_/https://watermark.silverchair.com/edab014.pdf?token=AQECAHi208BE49Ooan9kkhW_Ercy7Dm3ZL_9Cf3qfKAc485ysgAAAtswggLXBgkqhkiG9w0BBwagggLIMIICxAIBADCCAr0GCSqGSIb3DQEHATAeBglghkgBZQMEAS4wEQQM7NpO5DkjL4HokYieAgEQgIICjswT7dd2ey-j5dZW7xJJDTr_vdxjVBXIg4pF4nnVKay9LMUfpbt4BvKRr-WQXZ0L0-ZO3-VsB2zm2HlqqhRZUGScF9GAF_9vmgsKQN1B5SKqlhJ1gJvetCGRkqJgKh6P2Sj8qHxtpAUh</w:t>
        </w:r>
        <w:r>
          <w:rPr>
            <w:rFonts w:ascii="Times New Roman" w:eastAsia="Times New Roman" w:hAnsi="Times New Roman" w:cs="Times New Roman"/>
            <w:color w:val="1155CC"/>
            <w:sz w:val="24"/>
            <w:szCs w:val="24"/>
            <w:highlight w:val="white"/>
            <w:u w:val="single"/>
          </w:rPr>
          <w:lastRenderedPageBreak/>
          <w:t>BQqDwM1XPVUTWcM9pR5hCxhGIAigq8UDs1dU3EzQ8a5mHThf2g8kcQL6yArxAoKjJuf0wZJ_M-xN_5q-BVYYMouSKLhgNI3bvBVvPYXQrudCiUJ3FYOnqqk8QixOz-TmNc_ppcCzVXILYGXgAbDQVkEoJbP84HFnhPVNe6w0fAhvLFei5d_C_BCpJfLPN8JIOt4obEySzB8r9y_AJ573gQWxeIgtkTy3O-Jng1Zvq4J2Q0LKGR7pv6tsapEJ4AoyYBWsGNEvzoIWw5SnolVZTNEkCjbqiNcbI28MXT82w-wLpLFf5Mz_TiK2wT3VT9NYo5Y3wQzAPLXdaA-CPQ28S1MnzVCckbwF-ChWLaQZ507deeXx9gH1j_EdgWFGDRKPZLRrYPZz4VUxzun-L4sIt-11SAChpdFdUc8-b2tOoKSIypGePaVi4WGJXiSSSUWLNFqTBlem-FshDjw3jlXczYgucES5EzebVlsWH5ISVNl4lBjtsgBv7WAfchrC4xKE3JFPwPse1x8JoQPv07FMAHsJqMbbAPmW0Pc8kv0PW6jJKl_sRuwrhFjA9SGl8MS5UfVRuzi-M4BIlYU3DjvweT72u_TCMbW2y-lsWeLyiooncTOHds02QdftWbRppUvvmPYOmd3Sr0jeAt9ql4NEjlED3nJwt_cwa6zOBvmMviIDK2LP_Dtng7GV2gJmSj9x0WGxMf1G0JxxGXWGajqRy7CoBZqYzg</w:t>
        </w:r>
      </w:hyperlink>
    </w:p>
    <w:p w14:paraId="53C02480"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Aroda, V.R., Saugstrup, T., Buse, J.B., Donsmark, M., Zacho, J. and Davies, M.J., 2019. Incorporating and interpreting regulatory guidance on estimands in diabetes clinical trials: the PIONEER 1 randomized clinical trial as an example. </w:t>
      </w:r>
      <w:r>
        <w:rPr>
          <w:rFonts w:ascii="Times New Roman" w:eastAsia="Times New Roman" w:hAnsi="Times New Roman" w:cs="Times New Roman"/>
          <w:i/>
          <w:color w:val="222222"/>
          <w:sz w:val="24"/>
          <w:szCs w:val="24"/>
          <w:highlight w:val="white"/>
        </w:rPr>
        <w:t>Diabetes, Obesity and Metabolism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(10), pp.2203-2210. Available at: </w:t>
      </w:r>
      <w:hyperlink r:id="rId9">
        <w:r>
          <w:rPr>
            <w:rFonts w:ascii="Times New Roman" w:eastAsia="Times New Roman" w:hAnsi="Times New Roman" w:cs="Times New Roman"/>
            <w:color w:val="1155CC"/>
            <w:sz w:val="24"/>
            <w:szCs w:val="24"/>
            <w:highlight w:val="white"/>
            <w:u w:val="single"/>
          </w:rPr>
          <w:t>https://dom-pubs.onlinelibrary.wiley.com/doi/pdf/10.1111/dom.13804</w:t>
        </w:r>
      </w:hyperlink>
    </w:p>
    <w:p w14:paraId="0D452170"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Barker, K.M., Ling, E.J., Fallah, M., VanDeBogert, B., Kodl, Y., Macauley, R.J., Viswanath, K. and Kruk, M.E., 2020. Community engagement for health system resilience: evidence from Liberia’s Ebola epidemic. </w:t>
      </w:r>
      <w:r>
        <w:rPr>
          <w:rFonts w:ascii="Times New Roman" w:eastAsia="Times New Roman" w:hAnsi="Times New Roman" w:cs="Times New Roman"/>
          <w:i/>
          <w:color w:val="222222"/>
          <w:sz w:val="24"/>
          <w:szCs w:val="24"/>
          <w:highlight w:val="white"/>
        </w:rPr>
        <w:t>Health policy and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(4), pp.416-423. Available at: </w:t>
      </w:r>
      <w:hyperlink r:id="rId10">
        <w:r>
          <w:rPr>
            <w:rFonts w:ascii="Times New Roman" w:eastAsia="Times New Roman" w:hAnsi="Times New Roman" w:cs="Times New Roman"/>
            <w:color w:val="1155CC"/>
            <w:sz w:val="24"/>
            <w:szCs w:val="24"/>
            <w:highlight w:val="white"/>
            <w:u w:val="single"/>
          </w:rPr>
          <w:t>https://web.archive.org/web/20200829025807id_/https://watermark.silverchair.com/czz174.pdf?token=AQECAHi208BE49Ooan9kkhW_Ercy7Dm3ZL_9Cf3qfKAc485ysgAAAqMwggKfBgkqhkiG9w0BBwagggKQMIICjAIBADCCAoUGCSqGSIb3DQEHATAeBglghkgBZQMEAS4wEQQMjMpaot2DxKf26peHAgEQgIICVsrs2MOF6zAaiK8R9FZLm01uAvlHbAQEL_6P1UxW7N7XFzeihiT2uEduPjAj88TfDoNBgz-BBWDhboNOsQ9gpDQcGdSxr8w9G3254UfUaJznX3OZUFhBSqC9M3rmww8iZGLerLCLr2wK1I_SU2duQA8TnMQj3rBy9PkKH_JTGg2rJIkk388wSJAoFGrIg96xoBFIuNBEI2nZVJfYzWuOm12InUUsooePj6nXJKh8vfL4D2AN77H6ITqiHyJK7rQvvQLSzvzdjf4WPcYUguHsMQx-tN_maE9aRwt_QACRpTbSa7_-33J1YrEdlY1VqvrABr6New77IsfdbxIj0bIh7KJOSnFHLmMO7nS3y0vUW3miG5X5sJ-</w:t>
        </w:r>
        <w:r>
          <w:rPr>
            <w:rFonts w:ascii="Times New Roman" w:eastAsia="Times New Roman" w:hAnsi="Times New Roman" w:cs="Times New Roman"/>
            <w:color w:val="1155CC"/>
            <w:sz w:val="24"/>
            <w:szCs w:val="24"/>
            <w:highlight w:val="white"/>
            <w:u w:val="single"/>
          </w:rPr>
          <w:lastRenderedPageBreak/>
          <w:t>pQW2fP83cv-xbpOUyF5urTZqy6J_CYWk26WdKykKr8N5AhSnPWX1CjVrd3QpAXtjAr8zfREbppU91hPtaFeSI6QgNPNAVU5rzGsxOAA9U0HrO-LeGDeLIgOvan0odvcKMFDaNJMlSq1pCq-uACJMoJxuCLZfUc-DpybSByWF0y3V3Ehdq4fjCkH9KBMtav34vfydE85c4TVwbiAXBBgPaTdB9gBQTbCwoGOO_NzDx3uoLXHIuBoiqdAaRLXqLw6VQ4EE1Wt1YUNN9zJYYyrKki1AKX7nt5lzlUGn5Y5mOTbJki3I9-hCbYC_qz2FsyOf2RgVPrBdTQC5G992rDq8VFJrth3cI3QrVGbQFR8cYE17mihLvEpiDXxPniPEVLUUjA3lJay7r_u2B55_gDkW1PjYOvYenD4Y3gqwyLyJv9B8</w:t>
        </w:r>
      </w:hyperlink>
    </w:p>
    <w:p w14:paraId="30207E7C"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Bekalu, M.A., McCloud, R.F. and Viswanath, K., 2019. Association of social media use with social well-being, positive mental health, and self-rated health: disentangling routine use from emotional connection to use. </w:t>
      </w:r>
      <w:r>
        <w:rPr>
          <w:rFonts w:ascii="Times New Roman" w:eastAsia="Times New Roman" w:hAnsi="Times New Roman" w:cs="Times New Roman"/>
          <w:i/>
          <w:color w:val="222222"/>
          <w:sz w:val="24"/>
          <w:szCs w:val="24"/>
          <w:highlight w:val="white"/>
        </w:rPr>
        <w:t>Health Education &amp;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 xml:space="preserve">(2_suppl), pp.69S-80S. Available at: </w:t>
      </w:r>
      <w:hyperlink r:id="rId11">
        <w:r>
          <w:rPr>
            <w:rFonts w:ascii="Times New Roman" w:eastAsia="Times New Roman" w:hAnsi="Times New Roman" w:cs="Times New Roman"/>
            <w:color w:val="1155CC"/>
            <w:sz w:val="24"/>
            <w:szCs w:val="24"/>
            <w:highlight w:val="white"/>
            <w:u w:val="single"/>
          </w:rPr>
          <w:t>https://journals.sagepub.com/doi/pdf/10.1177/1090198119863768</w:t>
        </w:r>
      </w:hyperlink>
    </w:p>
    <w:p w14:paraId="69A128BF"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Dave, C.V., Kim, S.C., Goldfine, A.B., Glynn, R.J., Tong, A. and Patorno, E., 2021. Risk of cardiovascular outcomes in patients with type 2 diabetes after addition of SGLT2 inhibitors versus sulfonylureas to baseline GLP-1RA therapy. </w:t>
      </w:r>
      <w:r>
        <w:rPr>
          <w:rFonts w:ascii="Times New Roman" w:eastAsia="Times New Roman" w:hAnsi="Times New Roman" w:cs="Times New Roman"/>
          <w:i/>
          <w:color w:val="222222"/>
          <w:sz w:val="24"/>
          <w:szCs w:val="24"/>
          <w:highlight w:val="white"/>
        </w:rPr>
        <w:t>Circulation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 xml:space="preserve">(8), pp.770-779. Available at: </w:t>
      </w:r>
      <w:hyperlink r:id="rId12">
        <w:r>
          <w:rPr>
            <w:rFonts w:ascii="Times New Roman" w:eastAsia="Times New Roman" w:hAnsi="Times New Roman" w:cs="Times New Roman"/>
            <w:color w:val="1155CC"/>
            <w:sz w:val="24"/>
            <w:szCs w:val="24"/>
            <w:highlight w:val="white"/>
            <w:u w:val="single"/>
          </w:rPr>
          <w:t>https://www.ahajournals.org/doi/pdf/10.1161/CIRCULATIONAHA.120.047965</w:t>
        </w:r>
      </w:hyperlink>
    </w:p>
    <w:p w14:paraId="66A50F16"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Govindarajan, V. and Ramamurti, R., 2018. Transforming health care from the ground up. </w:t>
      </w:r>
      <w:r>
        <w:rPr>
          <w:rFonts w:ascii="Times New Roman" w:eastAsia="Times New Roman" w:hAnsi="Times New Roman" w:cs="Times New Roman"/>
          <w:i/>
          <w:color w:val="222222"/>
          <w:sz w:val="24"/>
          <w:szCs w:val="24"/>
          <w:highlight w:val="white"/>
        </w:rPr>
        <w:t>Harvard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96</w:t>
      </w:r>
      <w:r>
        <w:rPr>
          <w:rFonts w:ascii="Times New Roman" w:eastAsia="Times New Roman" w:hAnsi="Times New Roman" w:cs="Times New Roman"/>
          <w:color w:val="222222"/>
          <w:sz w:val="24"/>
          <w:szCs w:val="24"/>
          <w:highlight w:val="white"/>
        </w:rPr>
        <w:t xml:space="preserve">(4), pp.96-104. Available at: </w:t>
      </w:r>
      <w:hyperlink r:id="rId13">
        <w:r>
          <w:rPr>
            <w:rFonts w:ascii="Times New Roman" w:eastAsia="Times New Roman" w:hAnsi="Times New Roman" w:cs="Times New Roman"/>
            <w:color w:val="1155CC"/>
            <w:sz w:val="24"/>
            <w:szCs w:val="24"/>
            <w:highlight w:val="white"/>
            <w:u w:val="single"/>
          </w:rPr>
          <w:t>https://www.hbsab.org/s/1738/images/gid8/editor_documents/2018-2019/pdflib_ttg/20200114_healthcare/20191023c_curing_health_care_hbr_threearticles.pdf?gid=8&amp;pgid=61&amp;sessionid=2bdd12eb-12c0-4b37-8913-6be33d6677b9&amp;cc=1</w:t>
        </w:r>
      </w:hyperlink>
    </w:p>
    <w:p w14:paraId="6540A7D1"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James, E., Lajous, M. and Reich, M.R., 2020. The politics of taxes for health: an analysis of the passage of the sugar-sweetened beverage tax in Mexico. </w:t>
      </w:r>
      <w:r>
        <w:rPr>
          <w:rFonts w:ascii="Times New Roman" w:eastAsia="Times New Roman" w:hAnsi="Times New Roman" w:cs="Times New Roman"/>
          <w:i/>
          <w:color w:val="222222"/>
          <w:sz w:val="24"/>
          <w:szCs w:val="24"/>
          <w:highlight w:val="white"/>
        </w:rPr>
        <w:t>Health Systems &amp; Reform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p.e1669122. Available at: </w:t>
      </w:r>
      <w:hyperlink r:id="rId14">
        <w:r>
          <w:rPr>
            <w:rFonts w:ascii="Times New Roman" w:eastAsia="Times New Roman" w:hAnsi="Times New Roman" w:cs="Times New Roman"/>
            <w:color w:val="1155CC"/>
            <w:sz w:val="24"/>
            <w:szCs w:val="24"/>
            <w:highlight w:val="white"/>
            <w:u w:val="single"/>
          </w:rPr>
          <w:t>https://www.tandfonline.com/doi/pdf/10.1080/23288604.2019.1669122</w:t>
        </w:r>
      </w:hyperlink>
    </w:p>
    <w:p w14:paraId="7C72DB2F"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Roberts, A.L., Zafonte, R.D., Speizer, F.E., Baggish, A., Taylor, H.A., Nadler, L. and Weisskopf, M.G., 2021. Modifiable risk factors for poor cognitive function in former American-style football players: findings from the Harvard Football Players Health Study. </w:t>
      </w:r>
      <w:r>
        <w:rPr>
          <w:rFonts w:ascii="Times New Roman" w:eastAsia="Times New Roman" w:hAnsi="Times New Roman" w:cs="Times New Roman"/>
          <w:i/>
          <w:color w:val="222222"/>
          <w:sz w:val="24"/>
          <w:szCs w:val="24"/>
          <w:highlight w:val="white"/>
        </w:rPr>
        <w:t>Journal of neurotrauma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(2), pp.189-195. Available at: </w:t>
      </w:r>
      <w:hyperlink r:id="rId15">
        <w:r>
          <w:rPr>
            <w:rFonts w:ascii="Times New Roman" w:eastAsia="Times New Roman" w:hAnsi="Times New Roman" w:cs="Times New Roman"/>
            <w:color w:val="1155CC"/>
            <w:sz w:val="24"/>
            <w:szCs w:val="24"/>
            <w:highlight w:val="white"/>
            <w:u w:val="single"/>
          </w:rPr>
          <w:t>https://www.liebertpub.com/doi/pdfplus/10.1089/neu.2020.7070</w:t>
        </w:r>
      </w:hyperlink>
    </w:p>
    <w:p w14:paraId="5D4F873E"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Verma, S., Bhatt, D.L., Bain, S.C., Buse, J.B., Mann, J.F., Marso, S.P., Nauck, M.A., Poulter, N.R., Pratley, R.E., Zinman, B. and Michelsen, M.M., 2018. Effect of liraglutide on cardiovascular events in patients with type 2 diabetes mellitus and polyvascular disease: results of the LEADER trial. </w:t>
      </w:r>
      <w:r>
        <w:rPr>
          <w:rFonts w:ascii="Times New Roman" w:eastAsia="Times New Roman" w:hAnsi="Times New Roman" w:cs="Times New Roman"/>
          <w:i/>
          <w:color w:val="222222"/>
          <w:sz w:val="24"/>
          <w:szCs w:val="24"/>
          <w:highlight w:val="white"/>
        </w:rPr>
        <w:t>Circulation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137</w:t>
      </w:r>
      <w:r>
        <w:rPr>
          <w:rFonts w:ascii="Times New Roman" w:eastAsia="Times New Roman" w:hAnsi="Times New Roman" w:cs="Times New Roman"/>
          <w:color w:val="222222"/>
          <w:sz w:val="24"/>
          <w:szCs w:val="24"/>
          <w:highlight w:val="white"/>
        </w:rPr>
        <w:t xml:space="preserve">(20), pp.2179-2183. Available at: </w:t>
      </w:r>
      <w:hyperlink r:id="rId16">
        <w:r>
          <w:rPr>
            <w:rFonts w:ascii="Times New Roman" w:eastAsia="Times New Roman" w:hAnsi="Times New Roman" w:cs="Times New Roman"/>
            <w:color w:val="1155CC"/>
            <w:sz w:val="24"/>
            <w:szCs w:val="24"/>
            <w:highlight w:val="white"/>
            <w:u w:val="single"/>
          </w:rPr>
          <w:t>https://www.ahajournals.org/doi/pdf/10.1161/CIRCULATIONAHA.118.033898</w:t>
        </w:r>
      </w:hyperlink>
    </w:p>
    <w:p w14:paraId="4F044863"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Vora, D., Martin, L., Fitzsimmons, S.R., Pekerti, A.A., Lakshman, C. and Raheem, S., 2019. Multiculturalism within individuals: A review, critique, and agenda for future research.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xml:space="preserve">(4), pp.499-524. Available at: </w:t>
      </w:r>
      <w:hyperlink r:id="rId17">
        <w:r>
          <w:rPr>
            <w:rFonts w:ascii="Times New Roman" w:eastAsia="Times New Roman" w:hAnsi="Times New Roman" w:cs="Times New Roman"/>
            <w:color w:val="1155CC"/>
            <w:sz w:val="24"/>
            <w:szCs w:val="24"/>
            <w:highlight w:val="white"/>
            <w:u w:val="single"/>
          </w:rPr>
          <w:t>http://eprints.lse.ac.uk/91774/1/Raheem_Multiculturalism-within-individuals.pdf</w:t>
        </w:r>
      </w:hyperlink>
    </w:p>
    <w:p w14:paraId="7259E942"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Wolkowicz, K.L., Aiello, E.M., Vargas, E., Teymourian, H., Tehrani, F., Wang, J., Pinsker, J.E., Doyle III, F.J., Patti, M.E., Laffel, L.M. and Dassau, E., 2021. A review of biomarkers in the context of type 1 diabetes: Biological sensing for enhanced glucose control. </w:t>
      </w:r>
      <w:r>
        <w:rPr>
          <w:rFonts w:ascii="Times New Roman" w:eastAsia="Times New Roman" w:hAnsi="Times New Roman" w:cs="Times New Roman"/>
          <w:i/>
          <w:color w:val="222222"/>
          <w:sz w:val="24"/>
          <w:szCs w:val="24"/>
          <w:highlight w:val="white"/>
        </w:rPr>
        <w:t>Bioengineering &amp; Translational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(2), p.e10201. Available at: </w:t>
      </w:r>
      <w:hyperlink r:id="rId18">
        <w:r>
          <w:rPr>
            <w:rFonts w:ascii="Times New Roman" w:eastAsia="Times New Roman" w:hAnsi="Times New Roman" w:cs="Times New Roman"/>
            <w:color w:val="1155CC"/>
            <w:sz w:val="24"/>
            <w:szCs w:val="24"/>
            <w:highlight w:val="white"/>
            <w:u w:val="single"/>
          </w:rPr>
          <w:t>https://aiche.onlinelibrary.wiley.com/doi/pdf/10.1002/btm2.10201</w:t>
        </w:r>
      </w:hyperlink>
    </w:p>
    <w:p w14:paraId="7E568D5F" w14:textId="77777777" w:rsidR="008C2EED" w:rsidRDefault="008C2EE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Zorrilla‐Zubilete, M.A., Yeste, A., Quintana, F.J., Toiber, D., Mostoslavsky, R. and Silberman, D.M., 2018. Epigenetic control of early neurodegenerative events in diabetic retinopathy by the histone deacetylase SIRT 6. </w:t>
      </w:r>
      <w:r>
        <w:rPr>
          <w:rFonts w:ascii="Times New Roman" w:eastAsia="Times New Roman" w:hAnsi="Times New Roman" w:cs="Times New Roman"/>
          <w:i/>
          <w:color w:val="222222"/>
          <w:sz w:val="24"/>
          <w:szCs w:val="24"/>
          <w:highlight w:val="white"/>
        </w:rPr>
        <w:t>Journal of Neurochemistry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144</w:t>
      </w:r>
      <w:r>
        <w:rPr>
          <w:rFonts w:ascii="Times New Roman" w:eastAsia="Times New Roman" w:hAnsi="Times New Roman" w:cs="Times New Roman"/>
          <w:color w:val="222222"/>
          <w:sz w:val="24"/>
          <w:szCs w:val="24"/>
          <w:highlight w:val="white"/>
        </w:rPr>
        <w:t xml:space="preserve">(2), pp.128-138. Available at: </w:t>
      </w:r>
      <w:hyperlink r:id="rId19">
        <w:r>
          <w:rPr>
            <w:rFonts w:ascii="Times New Roman" w:eastAsia="Times New Roman" w:hAnsi="Times New Roman" w:cs="Times New Roman"/>
            <w:color w:val="1155CC"/>
            <w:sz w:val="24"/>
            <w:szCs w:val="24"/>
            <w:highlight w:val="white"/>
            <w:u w:val="single"/>
          </w:rPr>
          <w:t>https://onlinelibrary.wiley.com/doi/pdf/10.1111/jnc.14243</w:t>
        </w:r>
      </w:hyperlink>
    </w:p>
    <w:sectPr w:rsidR="008C2EED" w:rsidSect="008C2EED">
      <w:footerReference w:type="default" r:id="rId2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E90ECB" w14:textId="77777777" w:rsidR="005221EE" w:rsidRDefault="005221EE" w:rsidP="008C2EED">
      <w:pPr>
        <w:spacing w:line="240" w:lineRule="auto"/>
      </w:pPr>
      <w:r>
        <w:separator/>
      </w:r>
    </w:p>
  </w:endnote>
  <w:endnote w:type="continuationSeparator" w:id="0">
    <w:p w14:paraId="3DF88BD9" w14:textId="77777777" w:rsidR="005221EE" w:rsidRDefault="005221EE" w:rsidP="008C2E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3196985"/>
      <w:docPartObj>
        <w:docPartGallery w:val="Page Numbers (Bottom of Page)"/>
        <w:docPartUnique/>
      </w:docPartObj>
    </w:sdtPr>
    <w:sdtEndPr/>
    <w:sdtContent>
      <w:sdt>
        <w:sdtPr>
          <w:id w:val="565050523"/>
          <w:docPartObj>
            <w:docPartGallery w:val="Page Numbers (Top of Page)"/>
            <w:docPartUnique/>
          </w:docPartObj>
        </w:sdtPr>
        <w:sdtEndPr/>
        <w:sdtContent>
          <w:p w14:paraId="00D3AD3A" w14:textId="77777777" w:rsidR="008C2EED" w:rsidRDefault="008C2EE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B50E9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50E97">
              <w:rPr>
                <w:b/>
                <w:noProof/>
              </w:rPr>
              <w:t>10</w:t>
            </w:r>
            <w:r>
              <w:rPr>
                <w:b/>
                <w:sz w:val="24"/>
                <w:szCs w:val="24"/>
              </w:rPr>
              <w:fldChar w:fldCharType="end"/>
            </w:r>
          </w:p>
        </w:sdtContent>
      </w:sdt>
    </w:sdtContent>
  </w:sdt>
  <w:p w14:paraId="53A9371A" w14:textId="77777777" w:rsidR="008C2EED" w:rsidRDefault="008C2EE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A4B979" w14:textId="77777777" w:rsidR="005221EE" w:rsidRDefault="005221EE" w:rsidP="008C2EED">
      <w:pPr>
        <w:spacing w:line="240" w:lineRule="auto"/>
      </w:pPr>
      <w:r>
        <w:separator/>
      </w:r>
    </w:p>
  </w:footnote>
  <w:footnote w:type="continuationSeparator" w:id="0">
    <w:p w14:paraId="6E706A14" w14:textId="77777777" w:rsidR="005221EE" w:rsidRDefault="005221EE" w:rsidP="008C2EE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FD7CB6"/>
    <w:multiLevelType w:val="multilevel"/>
    <w:tmpl w:val="2736BE2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20E"/>
    <w:rsid w:val="00133126"/>
    <w:rsid w:val="00456AD0"/>
    <w:rsid w:val="005221EE"/>
    <w:rsid w:val="00744AD0"/>
    <w:rsid w:val="008A3AA0"/>
    <w:rsid w:val="008C2EED"/>
    <w:rsid w:val="008D320E"/>
    <w:rsid w:val="00B50E97"/>
    <w:rsid w:val="00B8630C"/>
    <w:rsid w:val="00B94A7D"/>
    <w:rsid w:val="00C713F1"/>
    <w:rsid w:val="00C95837"/>
    <w:rsid w:val="00DF6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CFD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1"/>
    <w:next w:val="Normal1"/>
    <w:rsid w:val="00C713F1"/>
    <w:pPr>
      <w:spacing w:line="360" w:lineRule="auto"/>
      <w:jc w:val="both"/>
      <w:outlineLvl w:val="0"/>
    </w:pPr>
    <w:rPr>
      <w:rFonts w:ascii="Times New Roman" w:eastAsia="Times New Roman" w:hAnsi="Times New Roman" w:cs="Times New Roman"/>
      <w:b/>
      <w:color w:val="0E101A"/>
      <w:sz w:val="28"/>
      <w:szCs w:val="24"/>
    </w:rPr>
  </w:style>
  <w:style w:type="paragraph" w:styleId="Heading2">
    <w:name w:val="heading 2"/>
    <w:basedOn w:val="Normal1"/>
    <w:next w:val="Normal1"/>
    <w:rsid w:val="008D320E"/>
    <w:pPr>
      <w:keepNext/>
      <w:keepLines/>
      <w:spacing w:before="360" w:after="120"/>
      <w:outlineLvl w:val="1"/>
    </w:pPr>
    <w:rPr>
      <w:sz w:val="32"/>
      <w:szCs w:val="32"/>
    </w:rPr>
  </w:style>
  <w:style w:type="paragraph" w:styleId="Heading3">
    <w:name w:val="heading 3"/>
    <w:basedOn w:val="Normal1"/>
    <w:next w:val="Normal1"/>
    <w:rsid w:val="008D320E"/>
    <w:pPr>
      <w:keepNext/>
      <w:keepLines/>
      <w:spacing w:before="320" w:after="80"/>
      <w:outlineLvl w:val="2"/>
    </w:pPr>
    <w:rPr>
      <w:color w:val="434343"/>
      <w:sz w:val="28"/>
      <w:szCs w:val="28"/>
    </w:rPr>
  </w:style>
  <w:style w:type="paragraph" w:styleId="Heading4">
    <w:name w:val="heading 4"/>
    <w:basedOn w:val="Normal1"/>
    <w:next w:val="Normal1"/>
    <w:rsid w:val="008D320E"/>
    <w:pPr>
      <w:keepNext/>
      <w:keepLines/>
      <w:spacing w:before="280" w:after="80"/>
      <w:outlineLvl w:val="3"/>
    </w:pPr>
    <w:rPr>
      <w:color w:val="666666"/>
      <w:sz w:val="24"/>
      <w:szCs w:val="24"/>
    </w:rPr>
  </w:style>
  <w:style w:type="paragraph" w:styleId="Heading5">
    <w:name w:val="heading 5"/>
    <w:basedOn w:val="Normal1"/>
    <w:next w:val="Normal1"/>
    <w:rsid w:val="008D320E"/>
    <w:pPr>
      <w:keepNext/>
      <w:keepLines/>
      <w:spacing w:before="240" w:after="80"/>
      <w:outlineLvl w:val="4"/>
    </w:pPr>
    <w:rPr>
      <w:color w:val="666666"/>
    </w:rPr>
  </w:style>
  <w:style w:type="paragraph" w:styleId="Heading6">
    <w:name w:val="heading 6"/>
    <w:basedOn w:val="Normal1"/>
    <w:next w:val="Normal1"/>
    <w:rsid w:val="008D320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320E"/>
  </w:style>
  <w:style w:type="paragraph" w:styleId="Title">
    <w:name w:val="Title"/>
    <w:basedOn w:val="Normal1"/>
    <w:next w:val="Normal1"/>
    <w:rsid w:val="008D320E"/>
    <w:pPr>
      <w:keepNext/>
      <w:keepLines/>
      <w:spacing w:after="60"/>
    </w:pPr>
    <w:rPr>
      <w:sz w:val="52"/>
      <w:szCs w:val="52"/>
    </w:rPr>
  </w:style>
  <w:style w:type="paragraph" w:styleId="Subtitle">
    <w:name w:val="Subtitle"/>
    <w:basedOn w:val="Normal1"/>
    <w:next w:val="Normal1"/>
    <w:rsid w:val="008D320E"/>
    <w:pPr>
      <w:keepNext/>
      <w:keepLines/>
      <w:spacing w:after="320"/>
    </w:pPr>
    <w:rPr>
      <w:color w:val="666666"/>
      <w:sz w:val="30"/>
      <w:szCs w:val="30"/>
    </w:rPr>
  </w:style>
  <w:style w:type="paragraph" w:customStyle="1" w:styleId="Normal10">
    <w:name w:val="Normal1"/>
    <w:rsid w:val="008C2EED"/>
    <w:pPr>
      <w:spacing w:line="360" w:lineRule="auto"/>
      <w:jc w:val="both"/>
    </w:pPr>
    <w:rPr>
      <w:rFonts w:ascii="Times New Roman" w:hAnsi="Times New Roman"/>
      <w:sz w:val="24"/>
    </w:rPr>
  </w:style>
  <w:style w:type="paragraph" w:styleId="Header">
    <w:name w:val="header"/>
    <w:basedOn w:val="Normal"/>
    <w:link w:val="HeaderChar"/>
    <w:uiPriority w:val="99"/>
    <w:unhideWhenUsed/>
    <w:rsid w:val="008C2EED"/>
    <w:pPr>
      <w:tabs>
        <w:tab w:val="center" w:pos="4680"/>
        <w:tab w:val="right" w:pos="9360"/>
      </w:tabs>
      <w:spacing w:line="240" w:lineRule="auto"/>
    </w:pPr>
  </w:style>
  <w:style w:type="character" w:customStyle="1" w:styleId="HeaderChar">
    <w:name w:val="Header Char"/>
    <w:basedOn w:val="DefaultParagraphFont"/>
    <w:link w:val="Header"/>
    <w:uiPriority w:val="99"/>
    <w:rsid w:val="008C2EED"/>
  </w:style>
  <w:style w:type="paragraph" w:styleId="Footer">
    <w:name w:val="footer"/>
    <w:basedOn w:val="Normal"/>
    <w:link w:val="FooterChar"/>
    <w:uiPriority w:val="99"/>
    <w:unhideWhenUsed/>
    <w:rsid w:val="008C2EED"/>
    <w:pPr>
      <w:tabs>
        <w:tab w:val="center" w:pos="4680"/>
        <w:tab w:val="right" w:pos="9360"/>
      </w:tabs>
      <w:spacing w:line="240" w:lineRule="auto"/>
    </w:pPr>
  </w:style>
  <w:style w:type="character" w:customStyle="1" w:styleId="FooterChar">
    <w:name w:val="Footer Char"/>
    <w:basedOn w:val="DefaultParagraphFont"/>
    <w:link w:val="Footer"/>
    <w:uiPriority w:val="99"/>
    <w:rsid w:val="008C2EED"/>
  </w:style>
  <w:style w:type="paragraph" w:styleId="TOCHeading">
    <w:name w:val="TOC Heading"/>
    <w:basedOn w:val="Heading1"/>
    <w:next w:val="Normal"/>
    <w:uiPriority w:val="39"/>
    <w:unhideWhenUsed/>
    <w:qFormat/>
    <w:rsid w:val="008C2EED"/>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C2EED"/>
    <w:pPr>
      <w:spacing w:after="100"/>
    </w:pPr>
  </w:style>
  <w:style w:type="character" w:styleId="Hyperlink">
    <w:name w:val="Hyperlink"/>
    <w:basedOn w:val="DefaultParagraphFont"/>
    <w:uiPriority w:val="99"/>
    <w:unhideWhenUsed/>
    <w:rsid w:val="008C2EED"/>
    <w:rPr>
      <w:color w:val="0000FF" w:themeColor="hyperlink"/>
      <w:u w:val="single"/>
    </w:rPr>
  </w:style>
  <w:style w:type="paragraph" w:styleId="BalloonText">
    <w:name w:val="Balloon Text"/>
    <w:basedOn w:val="Normal"/>
    <w:link w:val="BalloonTextChar"/>
    <w:uiPriority w:val="99"/>
    <w:semiHidden/>
    <w:unhideWhenUsed/>
    <w:rsid w:val="008C2E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EE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dom-pubs.onlinelibrary.wiley.com/doi/pdf/10.1111/dom.13804" TargetMode="Externa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eb.archive.org/web/20200829025807id_/https://watermark.silverchair.com/czz174.pdf?token=AQECAHi208BE49Ooan9kkhW_Ercy7Dm3ZL_9Cf3qfKAc485ysgAAAqMwggKfBgkqhkiG9w0BBwagggKQMIICjAIBADCCAoUGCSqGSIb3DQEHATAeBglghkgBZQMEAS4wEQQMjMpaot2DxKf26peHAgEQgIICVsrs2MOF6zAaiK8R9FZLm01uAvlHbAQEL_6P1UxW7N7XFzeihiT2uEduPjAj88TfDoNBgz-BBWDhboNOsQ9gpDQcGdSxr8w9G3254UfUaJznX3OZUFhBSqC9M3rmww8iZGLerLCLr2wK1I_SU2duQA8TnMQj3rBy9PkKH_JTGg2rJIkk388wSJAoFGrIg96xoBFIuNBEI2nZVJfYzWuOm12InUUsooePj6nXJKh8vfL4D2AN77H6ITqiHyJK7rQvvQLSzvzdjf4WPcYUguHsMQx-tN_maE9aRwt_QACRpTbSa7_-33J1YrEdlY1VqvrABr6New77IsfdbxIj0bIh7KJOSnFHLmMO7nS3y0vUW3miG5X5sJ-pQW2fP83cv-xbpOUyF5urTZqy6J_CYWk26WdKykKr8N5AhSnPWX1CjVrd3QpAXtjAr8zfREbppU91hPtaFeSI6QgNPNAVU5rzGsxOAA9U0HrO-LeGDeLIgOvan0odvcKMFDaNJMlSq1pCq-uACJMoJxuCLZfUc-DpybSByWF0y3V3Ehdq4fjCkH9KBMtav34vfydE85c4TVwbiAXBBgPaTdB9gBQTbCwoGOO_NzDx3uoLXHIuBoiqdAaRLXqLw6VQ4EE1Wt1YUNN9zJYYyrKki1AKX7nt5lzlUGn5Y5mOTbJki3I9-hCbYC_qz2FsyOf2RgVPrBdTQC5G992rDq8VFJrth3cI3QrVGbQFR8cYE17mihLvEpiDXxPniPEVLUUjA3lJay7r_u2B55_gDkW1PjYOvYenD4Y3gqwyLyJv9B8" TargetMode="External"/><Relationship Id="rId11" Type="http://schemas.openxmlformats.org/officeDocument/2006/relationships/hyperlink" Target="https://journals.sagepub.com/doi/pdf/10.1177/1090198119863768" TargetMode="External"/><Relationship Id="rId12" Type="http://schemas.openxmlformats.org/officeDocument/2006/relationships/hyperlink" Target="https://www.ahajournals.org/doi/pdf/10.1161/CIRCULATIONAHA.120.047965" TargetMode="External"/><Relationship Id="rId13" Type="http://schemas.openxmlformats.org/officeDocument/2006/relationships/hyperlink" Target="https://www.hbsab.org/s/1738/images/gid8/editor_documents/2018-2019/pdflib_ttg/20200114_healthcare/20191023c_curing_health_care_hbr_threearticles.pdf?gid=8&amp;pgid=61&amp;sessionid=2bdd12eb-12c0-4b37-8913-6be33d6677b9&amp;cc=1" TargetMode="External"/><Relationship Id="rId14" Type="http://schemas.openxmlformats.org/officeDocument/2006/relationships/hyperlink" Target="https://www.tandfonline.com/doi/pdf/10.1080/23288604.2019.1669122" TargetMode="External"/><Relationship Id="rId15" Type="http://schemas.openxmlformats.org/officeDocument/2006/relationships/hyperlink" Target="https://www.liebertpub.com/doi/pdfplus/10.1089/neu.2020.7070" TargetMode="External"/><Relationship Id="rId16" Type="http://schemas.openxmlformats.org/officeDocument/2006/relationships/hyperlink" Target="https://www.ahajournals.org/doi/pdf/10.1161/CIRCULATIONAHA.118.033898" TargetMode="External"/><Relationship Id="rId17" Type="http://schemas.openxmlformats.org/officeDocument/2006/relationships/hyperlink" Target="http://eprints.lse.ac.uk/91774/1/Raheem_Multiculturalism-within-individuals.pdf" TargetMode="External"/><Relationship Id="rId18" Type="http://schemas.openxmlformats.org/officeDocument/2006/relationships/hyperlink" Target="https://aiche.onlinelibrary.wiley.com/doi/pdf/10.1002/btm2.10201" TargetMode="External"/><Relationship Id="rId19" Type="http://schemas.openxmlformats.org/officeDocument/2006/relationships/hyperlink" Target="https://onlinelibrary.wiley.com/doi/pdf/10.1111/jnc.14243"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eb.archive.org/web/20210715144828id_/https://watermark.silverchair.com/edab014.pdf?token=AQECAHi208BE49Ooan9kkhW_Ercy7Dm3ZL_9Cf3qfKAc485ysgAAAtswggLXBgkqhkiG9w0BBwagggLIMIICxAIBADCCAr0GCSqGSIb3DQEHATAeBglghkgBZQMEAS4wEQQM7NpO5DkjL4HokYieAgEQgIICjswT7dd2ey-j5dZW7xJJDTr_vdxjVBXIg4pF4nnVKay9LMUfpbt4BvKRr-WQXZ0L0-ZO3-VsB2zm2HlqqhRZUGScF9GAF_9vmgsKQN1B5SKqlhJ1gJvetCGRkqJgKh6P2Sj8qHxtpAUhBQqDwM1XPVUTWcM9pR5hCxhGIAigq8UDs1dU3EzQ8a5mHThf2g8kcQL6yArxAoKjJuf0wZJ_M-xN_5q-BVYYMouSKLhgNI3bvBVvPYXQrudCiUJ3FYOnqqk8QixOz-TmNc_ppcCzVXILYGXgAbDQVkEoJbP84HFnhPVNe6w0fAhvLFei5d_C_BCpJfLPN8JIOt4obEySzB8r9y_AJ573gQWxeIgtkTy3O-Jng1Zvq4J2Q0LKGR7pv6tsapEJ4AoyYBWsGNEvzoIWw5SnolVZTNEkCjbqiNcbI28MXT82w-wLpLFf5Mz_TiK2wT3VT9NYo5Y3wQzAPLXdaA-CPQ28S1MnzVCckbwF-ChWLaQZ507deeXx9gH1j_EdgWFGDRKPZLRrYPZz4VUxzun-L4sIt-11SAChpdFdUc8-b2tOoKSIypGePaVi4WGJXiSSSUWLNFqTBlem-FshDjw3jlXczYgucES5EzebVlsWH5ISVNl4lBjtsgBv7WAfchrC4xKE3JFPwPse1x8JoQPv07FMAHsJqMbbAPmW0Pc8kv0PW6jJKl_sRuwrhFjA9SGl8MS5UfVRuzi-M4BIlYU3DjvweT72u_TCMbW2y-lsWeLyiooncTOHds02QdftWbRppUvvmPYOmd3Sr0jeAt9ql4NEjlED3nJwt_cwa6zOBvmMviIDK2LP_Dtng7GV2gJmSj9x0WGxMf1G0JxxGXWGajqRy7CoBZqYz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7387B8-0F0E-4C47-8AEA-EFFF8DD0E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3528</Words>
  <Characters>20112</Characters>
  <Application>Microsoft Macintosh Word</Application>
  <DocSecurity>0</DocSecurity>
  <Lines>167</Lines>
  <Paragraphs>47</Paragraphs>
  <ScaleCrop>false</ScaleCrop>
  <Company/>
  <LinksUpToDate>false</LinksUpToDate>
  <CharactersWithSpaces>23593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2022-04-21T14:56:00Z</dcterms:created>
  <dcterms:modified xsi:type="dcterms:W3CDTF">2022-04-23T22:44:00Z</dcterms:modified>
</cp:coreProperties>
</file>