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657BF"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UNIVERSITY OF WALES ASSIGNMENT SUBMISSION</w:t>
      </w:r>
    </w:p>
    <w:p w14:paraId="4810F50E"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Name: Veronica Chidi</w:t>
      </w:r>
    </w:p>
    <w:p w14:paraId="4D95FC8B"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Student Number: 2536574</w:t>
      </w:r>
    </w:p>
    <w:p w14:paraId="0E062DE7"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Module Code and Title: Introduction to Health and Social Care/ (LCHS 4003_BIRM)</w:t>
      </w:r>
    </w:p>
    <w:p w14:paraId="1E1B9C62"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lecturer’s name: Zarah Ahmed.</w:t>
      </w:r>
    </w:p>
    <w:p w14:paraId="244B2E8D"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Assignment Title: Component 1, Task 1 &amp; 2.</w:t>
      </w:r>
    </w:p>
    <w:p w14:paraId="73458D9E"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 xml:space="preserve"> </w:t>
      </w:r>
    </w:p>
    <w:p w14:paraId="2096BA38"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TASK 1</w:t>
      </w:r>
    </w:p>
    <w:p w14:paraId="5172CD2F"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Lack of Residential Care Home Services in Birmingham</w:t>
      </w:r>
    </w:p>
    <w:p w14:paraId="3C3671EB" w14:textId="77777777" w:rsidR="00415FD2" w:rsidRPr="00415FD2" w:rsidRDefault="00415FD2" w:rsidP="00415FD2">
      <w:pPr>
        <w:spacing w:line="360" w:lineRule="auto"/>
        <w:rPr>
          <w:rFonts w:ascii="Arial" w:hAnsi="Arial" w:cs="Arial"/>
          <w:sz w:val="22"/>
          <w:szCs w:val="22"/>
        </w:rPr>
      </w:pPr>
      <w:r w:rsidRPr="00415FD2">
        <w:rPr>
          <w:rFonts w:ascii="Arial" w:hAnsi="Arial" w:cs="Arial"/>
          <w:b/>
          <w:bCs/>
          <w:sz w:val="22"/>
          <w:szCs w:val="22"/>
        </w:rPr>
        <w:t>To:</w:t>
      </w:r>
      <w:r w:rsidRPr="00415FD2">
        <w:rPr>
          <w:rFonts w:ascii="Arial" w:hAnsi="Arial" w:cs="Arial"/>
          <w:sz w:val="22"/>
          <w:szCs w:val="22"/>
        </w:rPr>
        <w:t xml:space="preserve"> Councillor Mohammed Saeed, Small Heath ward, Birmingham City Council</w:t>
      </w:r>
    </w:p>
    <w:p w14:paraId="0FBD2927" w14:textId="77777777" w:rsidR="00415FD2" w:rsidRPr="00415FD2" w:rsidRDefault="00415FD2" w:rsidP="00415FD2">
      <w:pPr>
        <w:spacing w:line="360" w:lineRule="auto"/>
        <w:rPr>
          <w:rFonts w:ascii="Arial" w:hAnsi="Arial" w:cs="Arial"/>
          <w:sz w:val="22"/>
          <w:szCs w:val="22"/>
        </w:rPr>
      </w:pPr>
      <w:r w:rsidRPr="00415FD2">
        <w:rPr>
          <w:rFonts w:ascii="Arial" w:hAnsi="Arial" w:cs="Arial"/>
          <w:b/>
          <w:bCs/>
          <w:sz w:val="22"/>
          <w:szCs w:val="22"/>
        </w:rPr>
        <w:t>Subject:</w:t>
      </w:r>
      <w:r w:rsidRPr="00415FD2">
        <w:rPr>
          <w:rFonts w:ascii="Arial" w:hAnsi="Arial" w:cs="Arial"/>
          <w:sz w:val="22"/>
          <w:szCs w:val="22"/>
        </w:rPr>
        <w:t xml:space="preserve"> Lack of Residential Care Home Services in Birmingham</w:t>
      </w:r>
    </w:p>
    <w:p w14:paraId="66E07C68" w14:textId="77777777" w:rsidR="00415FD2" w:rsidRPr="00415FD2" w:rsidRDefault="00415FD2" w:rsidP="00415FD2">
      <w:pPr>
        <w:spacing w:line="360" w:lineRule="auto"/>
        <w:rPr>
          <w:rFonts w:ascii="Arial" w:hAnsi="Arial" w:cs="Arial"/>
          <w:sz w:val="22"/>
          <w:szCs w:val="22"/>
        </w:rPr>
      </w:pPr>
      <w:r w:rsidRPr="00415FD2">
        <w:rPr>
          <w:rFonts w:ascii="Arial" w:hAnsi="Arial" w:cs="Arial"/>
          <w:b/>
          <w:bCs/>
          <w:sz w:val="22"/>
          <w:szCs w:val="22"/>
        </w:rPr>
        <w:t>Written by:</w:t>
      </w:r>
      <w:r w:rsidRPr="00415FD2">
        <w:rPr>
          <w:rFonts w:ascii="Arial" w:hAnsi="Arial" w:cs="Arial"/>
          <w:sz w:val="22"/>
          <w:szCs w:val="22"/>
        </w:rPr>
        <w:t xml:space="preserve"> Veronica Chidi</w:t>
      </w:r>
    </w:p>
    <w:p w14:paraId="4D11874F" w14:textId="77777777" w:rsidR="00415FD2" w:rsidRPr="00415FD2" w:rsidRDefault="00415FD2" w:rsidP="00415FD2">
      <w:pPr>
        <w:spacing w:line="360" w:lineRule="auto"/>
        <w:rPr>
          <w:rFonts w:ascii="Arial" w:hAnsi="Arial" w:cs="Arial"/>
          <w:sz w:val="22"/>
          <w:szCs w:val="22"/>
        </w:rPr>
      </w:pPr>
      <w:r w:rsidRPr="00415FD2">
        <w:rPr>
          <w:rFonts w:ascii="Arial" w:hAnsi="Arial" w:cs="Arial"/>
          <w:b/>
          <w:bCs/>
          <w:sz w:val="22"/>
          <w:szCs w:val="22"/>
        </w:rPr>
        <w:t>Date:</w:t>
      </w:r>
      <w:r w:rsidRPr="00415FD2">
        <w:rPr>
          <w:rFonts w:ascii="Arial" w:hAnsi="Arial" w:cs="Arial"/>
          <w:sz w:val="22"/>
          <w:szCs w:val="22"/>
        </w:rPr>
        <w:t xml:space="preserve"> October 2026</w:t>
      </w:r>
    </w:p>
    <w:p w14:paraId="3480C042"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Introduction</w:t>
      </w:r>
    </w:p>
    <w:p w14:paraId="4A5C86A8"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Residential care homes house individuals who require ongoing care and support, enabling people unable to look after themselves at home to live in a safe environment. Many elderly individuals and adults with complex support needs benefit from residential care, receiving essential assistance with daily tasks such as washing, dressing, feeding, medication administration, and mobility. However, a shortage of residential care home places locally creates severe consequences for vulnerable individuals, family members, local hospitals, and broader social care services. The Care Act 2014 dictates that local authorities must actively promote individual wellbeing, prevent or delay the development of care needs, and ensure appropriate provision for those with eligible needs (Care Act 2014). In this report, I will examine how the lack of residential care home services impacts the Birmingham community and outline practical recommendations for Birmingham City Council to address this pressing issue.</w:t>
      </w:r>
    </w:p>
    <w:p w14:paraId="5AA6BD56"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How It Can Impact the Community</w:t>
      </w:r>
    </w:p>
    <w:p w14:paraId="49BA7212"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 xml:space="preserve">A shortage of residential care home services severely affects individuals requiring constant care. Under the Care Act 2014, local authorities must promote individual wellbeing, encompassing personal dignity, physical and mental health, protection from abuse and </w:t>
      </w:r>
      <w:r w:rsidRPr="00415FD2">
        <w:rPr>
          <w:rFonts w:ascii="Arial" w:hAnsi="Arial" w:cs="Arial"/>
          <w:sz w:val="22"/>
          <w:szCs w:val="22"/>
        </w:rPr>
        <w:lastRenderedPageBreak/>
        <w:t>neglect, control over daily life, and community participation (Care Act 2014). When residential care is unavailable, individuals remain at home without adequate assistance, deteriorating all aspects of their wellbeing.</w:t>
      </w:r>
    </w:p>
    <w:p w14:paraId="10B6F09D"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Furthermore, family members are forced to step in as informal carers. This additional burden leads to severe exhaustion and financial hardship, particularly when intensive care is required. The Care Act 2014 mandates that carers' needs be assessed and supported; thus, service shortages negatively impact entire families alongside service users.</w:t>
      </w:r>
    </w:p>
    <w:p w14:paraId="553962DE"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Another major critical issue is the direct strain placed on the NHS. When patients are medically fit for hospital discharge but lack appropriate social care placements, they experience prolonged, unnecessary hospital stays. Adult social care shortfalls directly drive delayed hospital discharges, placing unsustainable pressure on local acute healthcare services (Care Quality Commission, 2025). Expanding residential care availability is essential to alleviate hospital bed blocking.</w:t>
      </w:r>
    </w:p>
    <w:p w14:paraId="1592C275"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Finally, service deficits deepen existing health inequalities. Unregistered elderly residents living alone or adults with complex physical and mental conditions suffer disproportionately when care is scarce. Because the Care Act 2014 prioritises early intervention and prevention, local services must prevent individual care needs from escalating into emergency crises rather than delaying necessary support.</w:t>
      </w:r>
    </w:p>
    <w:p w14:paraId="3A3AB3E2"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Recommendations</w:t>
      </w:r>
    </w:p>
    <w:p w14:paraId="7913B379"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Birmingham City Council should first conduct a comprehensive local needs assessment to evaluate current residential care home capacity against projected demand. The Care Act 2014 specifies that local authorities must shape a diverse, high-quality care market to meet varied community needs. The council must analyse current service gaps and forecast future residential requirements for both aging populations and individuals with complex care needs.</w:t>
      </w:r>
    </w:p>
    <w:p w14:paraId="03D92903"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Secondly, the council must expand residential care home capacity by collaborating closely with independent care providers and ensuring fair fee rates for care provision. Chronic underfunding across the adult social care sector currently limits the financial viability and availability of care homes (Skills for Care, 2025). Addressing commissioning rates will encourage provider investment and open necessary care beds.</w:t>
      </w:r>
    </w:p>
    <w:p w14:paraId="3D071BE7"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When expanding residential provision, the council must rigorously maintain care standards. By partnering with the Care Quality Commission—the independent regulator of health and social care in England—the council can monitor service quality, ensuring local care homes consistently deliver safe, high-quality support (Care Quality Commission, 2025).</w:t>
      </w:r>
    </w:p>
    <w:p w14:paraId="54C62F27"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lastRenderedPageBreak/>
        <w:t>Lastly, Birmingham City Council should prioritize preventive community care. By collaborating with local health trusts, voluntary organizations, and housing services, the council can support individuals in maintaining independence at home for longer, reducing or delaying the need for full-time residential placements.</w:t>
      </w:r>
    </w:p>
    <w:p w14:paraId="520BDAE3"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Conclusion</w:t>
      </w:r>
    </w:p>
    <w:p w14:paraId="2BD909A3"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In conclusion, a shortage of residential care home services produces far-hence negative consequences across Birmingham. It impairs the personal wellbeing of vulnerable residents, places excessive financial and emotional strain on family carers, and exacerbates operational pressures within the NHS. Utilizing the statutory framework provided by the Care Act 2014, Birmingham City Council must proactively assess local care demand, support care providers, enforce quality standards, and invest in preventive services. Implementing these measures will ensure vulnerable residents receive timely, high-quality care, ultimately enhancing community wellbeing and creating a resilient social care system across the city.</w:t>
      </w:r>
    </w:p>
    <w:p w14:paraId="40537D85"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TASK 2</w:t>
      </w:r>
    </w:p>
    <w:p w14:paraId="5E031FD8"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Community Antenatal Midwifery Services</w:t>
      </w:r>
    </w:p>
    <w:p w14:paraId="38E99B14"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Introduction</w:t>
      </w:r>
    </w:p>
    <w:p w14:paraId="74EF2089"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There are many community antenatal midwifery services that operate across the UK. Antenatal care describes the care given to a woman whilst she is pregnant. This allows for her health to be monitored and promotes positive health outcomes for both the mother and child. Midwives can offer this care in a variety of settings including GPs, community health centres, children's centres, and the patient's home. During these appointments, midwives carry out checks and screenings, offer advice and support, and help identify any problems that may arise. According to the National Institute for Health and Care Excellence (NICE), women should be offered an antenatal appointment with a midwife by 10 weeks (National Institute for Health and Care Excellence, 2021). As you can see, there are many benefits to having community antenatal midwifery available. This allows for the prevention and detection of problems as well as enabling women to make informed decisions. In this essay, I will discuss how community antenatal midwifery works and its importance on quality of life.</w:t>
      </w:r>
    </w:p>
    <w:p w14:paraId="14C0128C"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Historical Context and Current Function</w:t>
      </w:r>
    </w:p>
    <w:p w14:paraId="27943231"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 xml:space="preserve">There have been many changes to how midwifery is practised throughout the years. Before regulation, women could become a midwife without formal training or knowledge on how to look after a woman and baby. Due to this, the government implemented the Midwives Act 1902, requiring women to be certified and supervised as a midwife (UK Parliament, 1902). </w:t>
      </w:r>
      <w:r w:rsidRPr="00415FD2">
        <w:rPr>
          <w:rFonts w:ascii="Arial" w:hAnsi="Arial" w:cs="Arial"/>
          <w:sz w:val="22"/>
          <w:szCs w:val="22"/>
        </w:rPr>
        <w:lastRenderedPageBreak/>
        <w:t>This introduced regulation around the midwifery profession, helping to protect women and babies. The foundation of the NHS was another change that allowed for better maternity care, enabling people to receive free healthcare and access maternity services through the NHS (National Archives, 2023). Later, modern strategic frameworks were introduced to create a safer and more personalised approach by encouraging services to be family-friendly and closer to women in the community (House of Commons Library, 2025).</w:t>
      </w:r>
    </w:p>
    <w:p w14:paraId="7B565784"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Currently, community midwives offer regular appointments to women during their pregnancy. They check on the health of the mother and baby, perform or order screenings, and give advice on diet and healthy lifestyle choices. They also discuss birth options and assess physical, psychological, or social risks. NICE recommends that women have an antenatal appointment by 10 weeks, with additional visits depending on individual needs (National Institute for Health and Care Excellence, 2021). Women can self-refer to maternity services or be referred by their GP (National Health Service, 2026). If any issues are found during an antenatal appointment, the midwife can refer the woman to further specialist care, such as an obstetrician. Overall, these historical developments have shaped community midwifery into a vital service today.</w:t>
      </w:r>
    </w:p>
    <w:p w14:paraId="3A685B5D"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Critical Evaluation and Significance for Service Users</w:t>
      </w:r>
    </w:p>
    <w:p w14:paraId="5085D4BA"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There are many positive aspects to community antenatal midwifery. Providing care directly in the community helps decrease unnecessary hospital visits. Midwives provide essential education about nutrition, exercise, screenings, and vaccinations, while informing women about warning signs during pregnancy. Detecting problems early enables timely intervention and prevents further harm. Furthermore, NICE states that information should be accessible to all and extra support offered to those facing social issues (National Institute for Health and Care Excellence, 2021). Providing continuity of care builds a trusting relationship between midwives and patients, as highlighted in modern maternity evaluations (Care Quality Commission, 2025). When a woman knows her midwife, she feels more comfortable sharing concerns, increasing her confidence and improving her overall quality of life.</w:t>
      </w:r>
    </w:p>
    <w:p w14:paraId="2294FE57" w14:textId="2BAA662B" w:rsidR="00415FD2" w:rsidRDefault="00415FD2" w:rsidP="00415FD2">
      <w:pPr>
        <w:spacing w:line="360" w:lineRule="auto"/>
        <w:rPr>
          <w:rFonts w:ascii="Arial" w:hAnsi="Arial" w:cs="Arial"/>
          <w:sz w:val="22"/>
          <w:szCs w:val="22"/>
        </w:rPr>
      </w:pPr>
      <w:r w:rsidRPr="00415FD2">
        <w:rPr>
          <w:rFonts w:ascii="Arial" w:hAnsi="Arial" w:cs="Arial"/>
          <w:sz w:val="22"/>
          <w:szCs w:val="22"/>
        </w:rPr>
        <w:t xml:space="preserve">However, the service faces significant challenges. Staff shortages and high demand make it difficult for women to consistently receive continuity of care with the same midwife. Parliamentary research has highlighted the urgent need to address workforce gaps and rising medical needs to meet service demands (House of Commons Library, 2025). Another major issue is healthcare inequalities. Ethnic minorities and individuals living in deprived areas frequently experience poorer maternity outcomes, an issue that ongoing safety investigations continue to target through equity assessment tools (Francis, 2025). Additionally, </w:t>
      </w:r>
      <w:r w:rsidR="00D772B6">
        <w:rPr>
          <w:rFonts w:ascii="Arial" w:hAnsi="Arial" w:cs="Arial"/>
          <w:sz w:val="22"/>
          <w:szCs w:val="22"/>
        </w:rPr>
        <w:t>community midwifery</w:t>
      </w:r>
    </w:p>
    <w:p w14:paraId="393ECA86" w14:textId="316A7F9C"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lastRenderedPageBreak/>
        <w:t>cannot cater to all pregnancies; women with underlying conditions or complex complications require obstetric care. Therefore, effective communication between all healthcare professionals is critical to ensure no patient falls through the net.</w:t>
      </w:r>
    </w:p>
    <w:p w14:paraId="38EC402F"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Conclusion</w:t>
      </w:r>
    </w:p>
    <w:p w14:paraId="5A672C2E"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In conclusion, community antenatal midwifery has evolved significantly from an unregulated role into an essential component of NHS healthcare. Throughout this essay, I have discussed how the service operates and its overall significance for service users. Offering care within local communities enables the early prevention and detection of health issues while providing women with the necessary support to make informed decisions about their pregnancy. Although the service currently faces challenges regarding staffing shortages and health inequalities, community antenatal midwifery remains highly beneficial in improving quality of life and promoting positive health outcomes for mothers and babies.</w:t>
      </w:r>
    </w:p>
    <w:p w14:paraId="4316CA23"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References</w:t>
      </w:r>
    </w:p>
    <w:p w14:paraId="5C5569FE" w14:textId="0BE20ECD"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Care Act 2014 (2014) </w:t>
      </w:r>
      <w:r w:rsidRPr="00415FD2">
        <w:rPr>
          <w:rFonts w:ascii="Arial" w:hAnsi="Arial" w:cs="Arial"/>
          <w:i/>
          <w:iCs/>
          <w:sz w:val="22"/>
          <w:szCs w:val="22"/>
        </w:rPr>
        <w:t>Care Act 2014, c. 23</w:t>
      </w:r>
      <w:r w:rsidRPr="00415FD2">
        <w:rPr>
          <w:rFonts w:ascii="Arial" w:hAnsi="Arial" w:cs="Arial"/>
          <w:sz w:val="22"/>
          <w:szCs w:val="22"/>
        </w:rPr>
        <w:t xml:space="preserve">. Available at: </w:t>
      </w:r>
      <w:hyperlink r:id="rId7" w:tgtFrame="_blank" w:history="1">
        <w:r w:rsidRPr="00415FD2">
          <w:rPr>
            <w:rStyle w:val="Hyperlink"/>
            <w:rFonts w:ascii="Arial" w:hAnsi="Arial" w:cs="Arial"/>
            <w:sz w:val="22"/>
            <w:szCs w:val="22"/>
          </w:rPr>
          <w:t>https://www.legislation.gov.uk/ukpga/2014/23</w:t>
        </w:r>
      </w:hyperlink>
      <w:r w:rsidRPr="00415FD2">
        <w:rPr>
          <w:rFonts w:ascii="Arial" w:hAnsi="Arial" w:cs="Arial"/>
          <w:sz w:val="22"/>
          <w:szCs w:val="22"/>
        </w:rPr>
        <w:t xml:space="preserve"> (Accessed: </w:t>
      </w:r>
      <w:r w:rsidR="00BF49B6">
        <w:rPr>
          <w:rFonts w:ascii="Arial" w:hAnsi="Arial" w:cs="Arial"/>
          <w:sz w:val="22"/>
          <w:szCs w:val="22"/>
        </w:rPr>
        <w:t>6</w:t>
      </w:r>
      <w:r w:rsidRPr="00415FD2">
        <w:rPr>
          <w:rFonts w:ascii="Arial" w:hAnsi="Arial" w:cs="Arial"/>
          <w:sz w:val="22"/>
          <w:szCs w:val="22"/>
        </w:rPr>
        <w:t xml:space="preserve"> October 2026).</w:t>
      </w:r>
    </w:p>
    <w:p w14:paraId="53D027D7" w14:textId="049409C3"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Care Quality Commission (2025) </w:t>
      </w:r>
      <w:r w:rsidRPr="00415FD2">
        <w:rPr>
          <w:rFonts w:ascii="Arial" w:hAnsi="Arial" w:cs="Arial"/>
          <w:i/>
          <w:iCs/>
          <w:sz w:val="22"/>
          <w:szCs w:val="22"/>
        </w:rPr>
        <w:t>The state of health care and adult social care in England 2024/25</w:t>
      </w:r>
      <w:r w:rsidRPr="00415FD2">
        <w:rPr>
          <w:rFonts w:ascii="Arial" w:hAnsi="Arial" w:cs="Arial"/>
          <w:sz w:val="22"/>
          <w:szCs w:val="22"/>
        </w:rPr>
        <w:t xml:space="preserve">. Newcastle upon Tyne: Care Quality Commission. Available at: </w:t>
      </w:r>
      <w:hyperlink r:id="rId8" w:tgtFrame="_blank" w:history="1">
        <w:r w:rsidRPr="00415FD2">
          <w:rPr>
            <w:rStyle w:val="Hyperlink"/>
            <w:rFonts w:ascii="Arial" w:hAnsi="Arial" w:cs="Arial"/>
            <w:sz w:val="22"/>
            <w:szCs w:val="22"/>
          </w:rPr>
          <w:t>https://assets.publishing.service.gov.uk/media/68fa3b4fe200d653d8b63735/care-quality-commission-state-of-health-care-and-adult-social-care-England-2024-2025.pdf</w:t>
        </w:r>
      </w:hyperlink>
      <w:r w:rsidRPr="00415FD2">
        <w:rPr>
          <w:rFonts w:ascii="Arial" w:hAnsi="Arial" w:cs="Arial"/>
          <w:sz w:val="22"/>
          <w:szCs w:val="22"/>
        </w:rPr>
        <w:t xml:space="preserve"> (Accessed: </w:t>
      </w:r>
      <w:r w:rsidR="00BF49B6">
        <w:rPr>
          <w:rFonts w:ascii="Arial" w:hAnsi="Arial" w:cs="Arial"/>
          <w:sz w:val="22"/>
          <w:szCs w:val="22"/>
        </w:rPr>
        <w:t>6</w:t>
      </w:r>
      <w:r w:rsidRPr="00415FD2">
        <w:rPr>
          <w:rFonts w:ascii="Arial" w:hAnsi="Arial" w:cs="Arial"/>
          <w:sz w:val="22"/>
          <w:szCs w:val="22"/>
        </w:rPr>
        <w:t xml:space="preserve"> October 2026).</w:t>
      </w:r>
    </w:p>
    <w:p w14:paraId="73953287" w14:textId="1FCB62C5"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Francis, J. (2025) 'Improving maternity safety', </w:t>
      </w:r>
      <w:r w:rsidRPr="00415FD2">
        <w:rPr>
          <w:rFonts w:ascii="Arial" w:hAnsi="Arial" w:cs="Arial"/>
          <w:i/>
          <w:iCs/>
          <w:sz w:val="22"/>
          <w:szCs w:val="22"/>
        </w:rPr>
        <w:t>British Journal of Midwifery</w:t>
      </w:r>
      <w:r w:rsidRPr="00415FD2">
        <w:rPr>
          <w:rFonts w:ascii="Arial" w:hAnsi="Arial" w:cs="Arial"/>
          <w:sz w:val="22"/>
          <w:szCs w:val="22"/>
        </w:rPr>
        <w:t xml:space="preserve">, 33(1). Available at: </w:t>
      </w:r>
      <w:hyperlink r:id="rId9" w:tgtFrame="_blank" w:history="1">
        <w:r w:rsidRPr="00415FD2">
          <w:rPr>
            <w:rStyle w:val="Hyperlink"/>
            <w:rFonts w:ascii="Arial" w:hAnsi="Arial" w:cs="Arial"/>
            <w:sz w:val="22"/>
            <w:szCs w:val="22"/>
          </w:rPr>
          <w:t>https://www.magonlinelibrary.com/doi/10.12968/bjom.2025.0001</w:t>
        </w:r>
      </w:hyperlink>
      <w:r w:rsidRPr="00415FD2">
        <w:rPr>
          <w:rFonts w:ascii="Arial" w:hAnsi="Arial" w:cs="Arial"/>
          <w:sz w:val="22"/>
          <w:szCs w:val="22"/>
        </w:rPr>
        <w:t xml:space="preserve"> (Accessed: </w:t>
      </w:r>
      <w:r w:rsidR="00BF49B6">
        <w:rPr>
          <w:rFonts w:ascii="Arial" w:hAnsi="Arial" w:cs="Arial"/>
          <w:sz w:val="22"/>
          <w:szCs w:val="22"/>
        </w:rPr>
        <w:t>8</w:t>
      </w:r>
      <w:r w:rsidRPr="00415FD2">
        <w:rPr>
          <w:rFonts w:ascii="Arial" w:hAnsi="Arial" w:cs="Arial"/>
          <w:sz w:val="22"/>
          <w:szCs w:val="22"/>
        </w:rPr>
        <w:t xml:space="preserve"> October 2026).</w:t>
      </w:r>
    </w:p>
    <w:p w14:paraId="3DC05390" w14:textId="5289D55B"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House of Commons Library (2025) </w:t>
      </w:r>
      <w:r w:rsidRPr="00415FD2">
        <w:rPr>
          <w:rFonts w:ascii="Arial" w:hAnsi="Arial" w:cs="Arial"/>
          <w:i/>
          <w:iCs/>
          <w:sz w:val="22"/>
          <w:szCs w:val="22"/>
        </w:rPr>
        <w:t>Quality and safety of maternity care (England)</w:t>
      </w:r>
      <w:r w:rsidRPr="00415FD2">
        <w:rPr>
          <w:rFonts w:ascii="Arial" w:hAnsi="Arial" w:cs="Arial"/>
          <w:sz w:val="22"/>
          <w:szCs w:val="22"/>
        </w:rPr>
        <w:t xml:space="preserve">. London: UK Parliament. Available at: </w:t>
      </w:r>
      <w:hyperlink r:id="rId10" w:tgtFrame="_blank" w:history="1">
        <w:r w:rsidRPr="00415FD2">
          <w:rPr>
            <w:rStyle w:val="Hyperlink"/>
            <w:rFonts w:ascii="Arial" w:hAnsi="Arial" w:cs="Arial"/>
            <w:sz w:val="22"/>
            <w:szCs w:val="22"/>
          </w:rPr>
          <w:t>https://commonslibrary.parliament.uk/research-briefings/cbp-9815/</w:t>
        </w:r>
      </w:hyperlink>
      <w:r w:rsidRPr="00415FD2">
        <w:rPr>
          <w:rFonts w:ascii="Arial" w:hAnsi="Arial" w:cs="Arial"/>
          <w:sz w:val="22"/>
          <w:szCs w:val="22"/>
        </w:rPr>
        <w:t xml:space="preserve"> (Accessed: </w:t>
      </w:r>
      <w:r w:rsidR="00BF49B6">
        <w:rPr>
          <w:rFonts w:ascii="Arial" w:hAnsi="Arial" w:cs="Arial"/>
          <w:sz w:val="22"/>
          <w:szCs w:val="22"/>
        </w:rPr>
        <w:t>8</w:t>
      </w:r>
      <w:r w:rsidRPr="00415FD2">
        <w:rPr>
          <w:rFonts w:ascii="Arial" w:hAnsi="Arial" w:cs="Arial"/>
          <w:sz w:val="22"/>
          <w:szCs w:val="22"/>
        </w:rPr>
        <w:t xml:space="preserve"> October 2026).</w:t>
      </w:r>
    </w:p>
    <w:p w14:paraId="16529228" w14:textId="00EF7557"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National Archives (2023) </w:t>
      </w:r>
      <w:r w:rsidRPr="00415FD2">
        <w:rPr>
          <w:rFonts w:ascii="Arial" w:hAnsi="Arial" w:cs="Arial"/>
          <w:i/>
          <w:iCs/>
          <w:sz w:val="22"/>
          <w:szCs w:val="22"/>
        </w:rPr>
        <w:t>The foundation of the NHS</w:t>
      </w:r>
      <w:r w:rsidRPr="00415FD2">
        <w:rPr>
          <w:rFonts w:ascii="Arial" w:hAnsi="Arial" w:cs="Arial"/>
          <w:sz w:val="22"/>
          <w:szCs w:val="22"/>
        </w:rPr>
        <w:t xml:space="preserve">. London: The National Archives. Available at: </w:t>
      </w:r>
      <w:hyperlink r:id="rId11" w:tgtFrame="_blank" w:history="1">
        <w:r w:rsidRPr="00415FD2">
          <w:rPr>
            <w:rStyle w:val="Hyperlink"/>
            <w:rFonts w:ascii="Arial" w:hAnsi="Arial" w:cs="Arial"/>
            <w:sz w:val="22"/>
            <w:szCs w:val="22"/>
          </w:rPr>
          <w:t>https://www.nationalarchives.gov.uk/explore-the-collection/stories/the-foundation-of-the-nhs/</w:t>
        </w:r>
      </w:hyperlink>
      <w:r w:rsidRPr="00415FD2">
        <w:rPr>
          <w:rFonts w:ascii="Arial" w:hAnsi="Arial" w:cs="Arial"/>
          <w:sz w:val="22"/>
          <w:szCs w:val="22"/>
        </w:rPr>
        <w:t xml:space="preserve"> (Accessed: </w:t>
      </w:r>
      <w:r w:rsidR="00BF49B6">
        <w:rPr>
          <w:rFonts w:ascii="Arial" w:hAnsi="Arial" w:cs="Arial"/>
          <w:sz w:val="22"/>
          <w:szCs w:val="22"/>
        </w:rPr>
        <w:t>10</w:t>
      </w:r>
      <w:r w:rsidRPr="00415FD2">
        <w:rPr>
          <w:rFonts w:ascii="Arial" w:hAnsi="Arial" w:cs="Arial"/>
          <w:sz w:val="22"/>
          <w:szCs w:val="22"/>
        </w:rPr>
        <w:t xml:space="preserve"> October 2026).</w:t>
      </w:r>
    </w:p>
    <w:p w14:paraId="78BDD002" w14:textId="4D9AE1ED"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National Health Service (2026) </w:t>
      </w:r>
      <w:r w:rsidRPr="00415FD2">
        <w:rPr>
          <w:rFonts w:ascii="Arial" w:hAnsi="Arial" w:cs="Arial"/>
          <w:i/>
          <w:iCs/>
          <w:sz w:val="22"/>
          <w:szCs w:val="22"/>
        </w:rPr>
        <w:t>Antenatal care and appointments</w:t>
      </w:r>
      <w:r w:rsidRPr="00415FD2">
        <w:rPr>
          <w:rFonts w:ascii="Arial" w:hAnsi="Arial" w:cs="Arial"/>
          <w:sz w:val="22"/>
          <w:szCs w:val="22"/>
        </w:rPr>
        <w:t xml:space="preserve">. Available at: </w:t>
      </w:r>
      <w:hyperlink r:id="rId12" w:tgtFrame="_blank" w:history="1">
        <w:r w:rsidRPr="00415FD2">
          <w:rPr>
            <w:rStyle w:val="Hyperlink"/>
            <w:rFonts w:ascii="Arial" w:hAnsi="Arial" w:cs="Arial"/>
            <w:sz w:val="22"/>
            <w:szCs w:val="22"/>
          </w:rPr>
          <w:t>https://www.nhs.uk/pregnancy/your-pregnancy-care/your-antenatal-care-and-appointments/</w:t>
        </w:r>
      </w:hyperlink>
      <w:r w:rsidRPr="00415FD2">
        <w:rPr>
          <w:rFonts w:ascii="Arial" w:hAnsi="Arial" w:cs="Arial"/>
          <w:sz w:val="22"/>
          <w:szCs w:val="22"/>
        </w:rPr>
        <w:t xml:space="preserve"> (Accessed: </w:t>
      </w:r>
      <w:r w:rsidR="00BF49B6">
        <w:rPr>
          <w:rFonts w:ascii="Arial" w:hAnsi="Arial" w:cs="Arial"/>
          <w:sz w:val="22"/>
          <w:szCs w:val="22"/>
        </w:rPr>
        <w:t>10</w:t>
      </w:r>
      <w:r w:rsidRPr="00415FD2">
        <w:rPr>
          <w:rFonts w:ascii="Arial" w:hAnsi="Arial" w:cs="Arial"/>
          <w:sz w:val="22"/>
          <w:szCs w:val="22"/>
        </w:rPr>
        <w:t xml:space="preserve"> October 2026).</w:t>
      </w:r>
    </w:p>
    <w:p w14:paraId="24E1E7DF" w14:textId="5CBE1D17"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lastRenderedPageBreak/>
        <w:t xml:space="preserve">National Institute for Health and Care Excellence (2021) </w:t>
      </w:r>
      <w:r w:rsidRPr="00415FD2">
        <w:rPr>
          <w:rFonts w:ascii="Arial" w:hAnsi="Arial" w:cs="Arial"/>
          <w:i/>
          <w:iCs/>
          <w:sz w:val="22"/>
          <w:szCs w:val="22"/>
        </w:rPr>
        <w:t>Antenatal care (NICE Guideline NG201)</w:t>
      </w:r>
      <w:r w:rsidRPr="00415FD2">
        <w:rPr>
          <w:rFonts w:ascii="Arial" w:hAnsi="Arial" w:cs="Arial"/>
          <w:sz w:val="22"/>
          <w:szCs w:val="22"/>
        </w:rPr>
        <w:t xml:space="preserve">. London: NICE. Available at: </w:t>
      </w:r>
      <w:hyperlink r:id="rId13" w:tgtFrame="_blank" w:history="1">
        <w:r w:rsidRPr="00415FD2">
          <w:rPr>
            <w:rStyle w:val="Hyperlink"/>
            <w:rFonts w:ascii="Arial" w:hAnsi="Arial" w:cs="Arial"/>
            <w:sz w:val="22"/>
            <w:szCs w:val="22"/>
          </w:rPr>
          <w:t>https://www.nice.org.uk/guidance/ng201</w:t>
        </w:r>
      </w:hyperlink>
      <w:r w:rsidRPr="00415FD2">
        <w:rPr>
          <w:rFonts w:ascii="Arial" w:hAnsi="Arial" w:cs="Arial"/>
          <w:sz w:val="22"/>
          <w:szCs w:val="22"/>
        </w:rPr>
        <w:t xml:space="preserve"> (Accessed: 1</w:t>
      </w:r>
      <w:r w:rsidR="00BF49B6">
        <w:rPr>
          <w:rFonts w:ascii="Arial" w:hAnsi="Arial" w:cs="Arial"/>
          <w:sz w:val="22"/>
          <w:szCs w:val="22"/>
        </w:rPr>
        <w:t>1</w:t>
      </w:r>
      <w:r w:rsidRPr="00415FD2">
        <w:rPr>
          <w:rFonts w:ascii="Arial" w:hAnsi="Arial" w:cs="Arial"/>
          <w:sz w:val="22"/>
          <w:szCs w:val="22"/>
        </w:rPr>
        <w:t xml:space="preserve"> October 2026).</w:t>
      </w:r>
    </w:p>
    <w:p w14:paraId="09891554" w14:textId="2B06F010"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Skills for Care (2025) </w:t>
      </w:r>
      <w:r w:rsidRPr="00415FD2">
        <w:rPr>
          <w:rFonts w:ascii="Arial" w:hAnsi="Arial" w:cs="Arial"/>
          <w:i/>
          <w:iCs/>
          <w:sz w:val="22"/>
          <w:szCs w:val="22"/>
        </w:rPr>
        <w:t>The state of the adult social care sector and workforce in England 2024/25</w:t>
      </w:r>
      <w:r w:rsidRPr="00415FD2">
        <w:rPr>
          <w:rFonts w:ascii="Arial" w:hAnsi="Arial" w:cs="Arial"/>
          <w:sz w:val="22"/>
          <w:szCs w:val="22"/>
        </w:rPr>
        <w:t xml:space="preserve">. Leeds: Skills for Care. Available at: </w:t>
      </w:r>
      <w:hyperlink r:id="rId14" w:tgtFrame="_blank" w:history="1">
        <w:r w:rsidRPr="00415FD2">
          <w:rPr>
            <w:rStyle w:val="Hyperlink"/>
            <w:rFonts w:ascii="Arial" w:hAnsi="Arial" w:cs="Arial"/>
            <w:sz w:val="22"/>
            <w:szCs w:val="22"/>
          </w:rPr>
          <w:t>https://www.skillsforcare.org.uk/Adult-Social-Care-Workforce-Data/workforceintelligence/resources/Reports/National/The-state-of-the-adult-social-care-sector-and-workforce-in-England-2025-Executive-Summary.pdf</w:t>
        </w:r>
      </w:hyperlink>
      <w:r w:rsidRPr="00415FD2">
        <w:rPr>
          <w:rFonts w:ascii="Arial" w:hAnsi="Arial" w:cs="Arial"/>
          <w:sz w:val="22"/>
          <w:szCs w:val="22"/>
        </w:rPr>
        <w:t xml:space="preserve"> (Accessed: 1</w:t>
      </w:r>
      <w:r w:rsidR="00BF49B6">
        <w:rPr>
          <w:rFonts w:ascii="Arial" w:hAnsi="Arial" w:cs="Arial"/>
          <w:sz w:val="22"/>
          <w:szCs w:val="22"/>
        </w:rPr>
        <w:t>1</w:t>
      </w:r>
      <w:r w:rsidRPr="00415FD2">
        <w:rPr>
          <w:rFonts w:ascii="Arial" w:hAnsi="Arial" w:cs="Arial"/>
          <w:sz w:val="22"/>
          <w:szCs w:val="22"/>
        </w:rPr>
        <w:t xml:space="preserve"> October 2026).</w:t>
      </w:r>
    </w:p>
    <w:p w14:paraId="6B03FDA5" w14:textId="77777777"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UK Parliament (1902) </w:t>
      </w:r>
      <w:r w:rsidRPr="00415FD2">
        <w:rPr>
          <w:rFonts w:ascii="Arial" w:hAnsi="Arial" w:cs="Arial"/>
          <w:i/>
          <w:iCs/>
          <w:sz w:val="22"/>
          <w:szCs w:val="22"/>
        </w:rPr>
        <w:t>Midwives Act 1902 (2 Edw. 7. c. 17)</w:t>
      </w:r>
      <w:r w:rsidRPr="00415FD2">
        <w:rPr>
          <w:rFonts w:ascii="Arial" w:hAnsi="Arial" w:cs="Arial"/>
          <w:sz w:val="22"/>
          <w:szCs w:val="22"/>
        </w:rPr>
        <w:t>. London: HMSO.</w:t>
      </w:r>
    </w:p>
    <w:p w14:paraId="2F12830D" w14:textId="77777777" w:rsidR="00415FD2" w:rsidRPr="00415FD2" w:rsidRDefault="00415FD2" w:rsidP="00415FD2">
      <w:pPr>
        <w:spacing w:line="360" w:lineRule="auto"/>
        <w:rPr>
          <w:rFonts w:ascii="Arial" w:hAnsi="Arial" w:cs="Arial"/>
          <w:sz w:val="22"/>
          <w:szCs w:val="22"/>
        </w:rPr>
      </w:pPr>
    </w:p>
    <w:sectPr w:rsidR="00415FD2" w:rsidRPr="00415FD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9D72D" w14:textId="77777777" w:rsidR="007446BA" w:rsidRDefault="007446BA" w:rsidP="00415FD2">
      <w:pPr>
        <w:spacing w:after="0" w:line="240" w:lineRule="auto"/>
      </w:pPr>
      <w:r>
        <w:separator/>
      </w:r>
    </w:p>
  </w:endnote>
  <w:endnote w:type="continuationSeparator" w:id="0">
    <w:p w14:paraId="110FF471" w14:textId="77777777" w:rsidR="007446BA" w:rsidRDefault="007446BA" w:rsidP="00415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4124649"/>
      <w:docPartObj>
        <w:docPartGallery w:val="Page Numbers (Bottom of Page)"/>
        <w:docPartUnique/>
      </w:docPartObj>
    </w:sdtPr>
    <w:sdtContent>
      <w:p w14:paraId="75295AEC" w14:textId="30C34B14" w:rsidR="00415FD2" w:rsidRDefault="00415FD2">
        <w:pPr>
          <w:pStyle w:val="Footer"/>
          <w:jc w:val="center"/>
        </w:pPr>
        <w:r>
          <w:fldChar w:fldCharType="begin"/>
        </w:r>
        <w:r>
          <w:instrText>PAGE   \* MERGEFORMAT</w:instrText>
        </w:r>
        <w:r>
          <w:fldChar w:fldCharType="separate"/>
        </w:r>
        <w:r>
          <w:t>2</w:t>
        </w:r>
        <w:r>
          <w:fldChar w:fldCharType="end"/>
        </w:r>
      </w:p>
    </w:sdtContent>
  </w:sdt>
  <w:p w14:paraId="3CB5E85C" w14:textId="77777777" w:rsidR="00415FD2" w:rsidRDefault="00415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A2CFF" w14:textId="77777777" w:rsidR="007446BA" w:rsidRDefault="007446BA" w:rsidP="00415FD2">
      <w:pPr>
        <w:spacing w:after="0" w:line="240" w:lineRule="auto"/>
      </w:pPr>
      <w:r>
        <w:separator/>
      </w:r>
    </w:p>
  </w:footnote>
  <w:footnote w:type="continuationSeparator" w:id="0">
    <w:p w14:paraId="740E2510" w14:textId="77777777" w:rsidR="007446BA" w:rsidRDefault="007446BA" w:rsidP="00415F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E81DD9"/>
    <w:multiLevelType w:val="multilevel"/>
    <w:tmpl w:val="A338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7345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FD2"/>
    <w:rsid w:val="000D7B30"/>
    <w:rsid w:val="00415FD2"/>
    <w:rsid w:val="004A447E"/>
    <w:rsid w:val="007446BA"/>
    <w:rsid w:val="0078554D"/>
    <w:rsid w:val="00BF49B6"/>
    <w:rsid w:val="00D772B6"/>
    <w:rsid w:val="00E341AC"/>
    <w:rsid w:val="00F23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25D3A"/>
  <w15:chartTrackingRefBased/>
  <w15:docId w15:val="{121D2BDD-6C9C-4AE5-8FF8-D75286BE4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FD2"/>
  </w:style>
  <w:style w:type="paragraph" w:styleId="Heading1">
    <w:name w:val="heading 1"/>
    <w:basedOn w:val="Normal"/>
    <w:next w:val="Normal"/>
    <w:link w:val="Heading1Char"/>
    <w:uiPriority w:val="9"/>
    <w:qFormat/>
    <w:rsid w:val="00415F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5F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F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F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F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F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F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F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F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F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5F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5F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F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F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F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F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F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FD2"/>
    <w:rPr>
      <w:rFonts w:eastAsiaTheme="majorEastAsia" w:cstheme="majorBidi"/>
      <w:color w:val="272727" w:themeColor="text1" w:themeTint="D8"/>
    </w:rPr>
  </w:style>
  <w:style w:type="paragraph" w:styleId="Title">
    <w:name w:val="Title"/>
    <w:basedOn w:val="Normal"/>
    <w:next w:val="Normal"/>
    <w:link w:val="TitleChar"/>
    <w:uiPriority w:val="10"/>
    <w:qFormat/>
    <w:rsid w:val="00415F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F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F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F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FD2"/>
    <w:pPr>
      <w:spacing w:before="160"/>
      <w:jc w:val="center"/>
    </w:pPr>
    <w:rPr>
      <w:i/>
      <w:iCs/>
      <w:color w:val="404040" w:themeColor="text1" w:themeTint="BF"/>
    </w:rPr>
  </w:style>
  <w:style w:type="character" w:customStyle="1" w:styleId="QuoteChar">
    <w:name w:val="Quote Char"/>
    <w:basedOn w:val="DefaultParagraphFont"/>
    <w:link w:val="Quote"/>
    <w:uiPriority w:val="29"/>
    <w:rsid w:val="00415FD2"/>
    <w:rPr>
      <w:i/>
      <w:iCs/>
      <w:color w:val="404040" w:themeColor="text1" w:themeTint="BF"/>
    </w:rPr>
  </w:style>
  <w:style w:type="paragraph" w:styleId="ListParagraph">
    <w:name w:val="List Paragraph"/>
    <w:basedOn w:val="Normal"/>
    <w:uiPriority w:val="34"/>
    <w:qFormat/>
    <w:rsid w:val="00415FD2"/>
    <w:pPr>
      <w:ind w:left="720"/>
      <w:contextualSpacing/>
    </w:pPr>
  </w:style>
  <w:style w:type="character" w:styleId="IntenseEmphasis">
    <w:name w:val="Intense Emphasis"/>
    <w:basedOn w:val="DefaultParagraphFont"/>
    <w:uiPriority w:val="21"/>
    <w:qFormat/>
    <w:rsid w:val="00415FD2"/>
    <w:rPr>
      <w:i/>
      <w:iCs/>
      <w:color w:val="0F4761" w:themeColor="accent1" w:themeShade="BF"/>
    </w:rPr>
  </w:style>
  <w:style w:type="paragraph" w:styleId="IntenseQuote">
    <w:name w:val="Intense Quote"/>
    <w:basedOn w:val="Normal"/>
    <w:next w:val="Normal"/>
    <w:link w:val="IntenseQuoteChar"/>
    <w:uiPriority w:val="30"/>
    <w:qFormat/>
    <w:rsid w:val="00415F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FD2"/>
    <w:rPr>
      <w:i/>
      <w:iCs/>
      <w:color w:val="0F4761" w:themeColor="accent1" w:themeShade="BF"/>
    </w:rPr>
  </w:style>
  <w:style w:type="character" w:styleId="IntenseReference">
    <w:name w:val="Intense Reference"/>
    <w:basedOn w:val="DefaultParagraphFont"/>
    <w:uiPriority w:val="32"/>
    <w:qFormat/>
    <w:rsid w:val="00415FD2"/>
    <w:rPr>
      <w:b/>
      <w:bCs/>
      <w:smallCaps/>
      <w:color w:val="0F4761" w:themeColor="accent1" w:themeShade="BF"/>
      <w:spacing w:val="5"/>
    </w:rPr>
  </w:style>
  <w:style w:type="character" w:styleId="Hyperlink">
    <w:name w:val="Hyperlink"/>
    <w:basedOn w:val="DefaultParagraphFont"/>
    <w:uiPriority w:val="99"/>
    <w:unhideWhenUsed/>
    <w:rsid w:val="00415FD2"/>
    <w:rPr>
      <w:color w:val="467886" w:themeColor="hyperlink"/>
      <w:u w:val="single"/>
    </w:rPr>
  </w:style>
  <w:style w:type="character" w:styleId="UnresolvedMention">
    <w:name w:val="Unresolved Mention"/>
    <w:basedOn w:val="DefaultParagraphFont"/>
    <w:uiPriority w:val="99"/>
    <w:semiHidden/>
    <w:unhideWhenUsed/>
    <w:rsid w:val="00415FD2"/>
    <w:rPr>
      <w:color w:val="605E5C"/>
      <w:shd w:val="clear" w:color="auto" w:fill="E1DFDD"/>
    </w:rPr>
  </w:style>
  <w:style w:type="paragraph" w:styleId="Header">
    <w:name w:val="header"/>
    <w:basedOn w:val="Normal"/>
    <w:link w:val="HeaderChar"/>
    <w:uiPriority w:val="99"/>
    <w:unhideWhenUsed/>
    <w:rsid w:val="00415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FD2"/>
  </w:style>
  <w:style w:type="paragraph" w:styleId="Footer">
    <w:name w:val="footer"/>
    <w:basedOn w:val="Normal"/>
    <w:link w:val="FooterChar"/>
    <w:uiPriority w:val="99"/>
    <w:unhideWhenUsed/>
    <w:rsid w:val="00415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8fa3b4fe200d653d8b63735/care-quality-commission-state-of-health-care-and-adult-social-care-England-2024-2025.pdf" TargetMode="External"/><Relationship Id="rId13" Type="http://schemas.openxmlformats.org/officeDocument/2006/relationships/hyperlink" Target="https://www.nice.org.uk/guidance/ng201" TargetMode="External"/><Relationship Id="rId3" Type="http://schemas.openxmlformats.org/officeDocument/2006/relationships/settings" Target="settings.xml"/><Relationship Id="rId7" Type="http://schemas.openxmlformats.org/officeDocument/2006/relationships/hyperlink" Target="https://www.legislation.gov.uk/ukpga/2014/23" TargetMode="External"/><Relationship Id="rId12" Type="http://schemas.openxmlformats.org/officeDocument/2006/relationships/hyperlink" Target="https://www.nhs.uk/pregnancy/your-pregnancy-care/your-antenatal-care-and-appointmen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tionalarchives.gov.uk/explore-the-collection/stories/the-foundation-of-the-nh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ommonslibrary.parliament.uk/research-briefings/cbp-9815/" TargetMode="External"/><Relationship Id="rId4" Type="http://schemas.openxmlformats.org/officeDocument/2006/relationships/webSettings" Target="webSettings.xml"/><Relationship Id="rId9" Type="http://schemas.openxmlformats.org/officeDocument/2006/relationships/hyperlink" Target="https://www.magonlinelibrary.com/doi/10.12968/bjom.2025.0001" TargetMode="External"/><Relationship Id="rId14" Type="http://schemas.openxmlformats.org/officeDocument/2006/relationships/hyperlink" Target="https://www.skillsforcare.org.uk/Adult-Social-Care-Workforce-Data/workforceintelligence/resources/Reports/National/The-state-of-the-adult-social-care-sector-and-workforce-in-England-2025-Executive-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6</Pages>
  <Words>2068</Words>
  <Characters>11793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Ikwe, Onoriode</dc:creator>
  <cp:keywords/>
  <dc:description/>
  <cp:lastModifiedBy>Veronica Chidi (2536574)</cp:lastModifiedBy>
  <cp:revision>4</cp:revision>
  <dcterms:created xsi:type="dcterms:W3CDTF">2026-10-17T00:53:00Z</dcterms:created>
  <dcterms:modified xsi:type="dcterms:W3CDTF">2026-10-17T08:41:00Z</dcterms:modified>
</cp:coreProperties>
</file>