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FC837" w14:textId="77777777" w:rsidR="00102ACF" w:rsidRDefault="00102ACF" w:rsidP="00102ACF">
      <w:pPr>
        <w:jc w:val="center"/>
        <w:rPr>
          <w:b/>
          <w:bCs/>
        </w:rPr>
      </w:pPr>
      <w:r w:rsidRPr="00102ACF">
        <w:rPr>
          <w:b/>
          <w:bCs/>
        </w:rPr>
        <w:t>Eyewitness Testimony - factors that influence eyewitness decision-making and memory during a police lineup</w:t>
      </w:r>
    </w:p>
    <w:p w14:paraId="5BC2DEDD" w14:textId="77777777" w:rsidR="002C6E9F" w:rsidRPr="00102ACF" w:rsidRDefault="002C6E9F" w:rsidP="00102ACF">
      <w:pPr>
        <w:jc w:val="center"/>
        <w:rPr>
          <w:b/>
          <w:bCs/>
        </w:rPr>
      </w:pPr>
    </w:p>
    <w:p w14:paraId="46C0B927" w14:textId="77777777" w:rsidR="00102ACF" w:rsidRPr="00102ACF" w:rsidRDefault="00102ACF" w:rsidP="00102ACF">
      <w:pPr>
        <w:spacing w:line="360" w:lineRule="auto"/>
        <w:ind w:firstLine="720"/>
        <w:jc w:val="both"/>
      </w:pPr>
      <w:r w:rsidRPr="00102ACF">
        <w:t xml:space="preserve">One of the first aspects of a criminal investigation is to gather statement-based evidence from witnesses to the event.  Eyewitness testimony comes from first-hand accounts of victims or bystanders to a crime. Ideally, eyewitnesses provide accurate and detailed descriptions of a crime that can be admissible in court and when identifying suspects (Lipton, 1977).  However, eyewitness perceptions of an event are based solely on the accuracy of memory, which will become of significant importance when suspects are gathered.  Central and peripheral memories of an event can become considerably distorted by many factors, leading to inaccurate or misrepresented evidence when presented in court or during a police lineup as a suspect's face could either be a central or peripheral detail depending on the context of a crime (Eysenck &amp; Keane, 2015).    This essay will explain and evaluate the various theories behind factors that can influence eyewitness decision-making and suspect identification, drawing on empirical evidence and case studies with references to a mock eyewitness activity conducted in class. </w:t>
      </w:r>
    </w:p>
    <w:p w14:paraId="6A8BD878" w14:textId="77777777" w:rsidR="00102ACF" w:rsidRPr="00102ACF" w:rsidRDefault="00102ACF" w:rsidP="00102ACF">
      <w:pPr>
        <w:spacing w:line="360" w:lineRule="auto"/>
        <w:ind w:firstLine="720"/>
        <w:jc w:val="both"/>
      </w:pPr>
      <w:r w:rsidRPr="00102ACF">
        <w:t>Eyewitness memory distortions were demonstrated during an in-lecture activity, during which half the class viewed and memorised an AI-generated image of a “crime scene”.  The other half of the class was then invited to listen to descriptions of the scene and retain this description until the following week's lecture.   During the shared discussion of this activity, different ‘witnesses’ recalled the scene slightly differently. For example, some remembered the suspect wearing a blue shirt, and some remembered a grey shirt. There were also different descriptions of the suspect's build and differences in the room’s layout.  While most of the class was able to agree on the correct suspect when presented with a lineup, this activity highlighted how a scene can be perceived, memorised and recalled in many different ways that could have a considerable effect on identifying suspects.</w:t>
      </w:r>
    </w:p>
    <w:p w14:paraId="11FC627E" w14:textId="737FAE95" w:rsidR="00102ACF" w:rsidRPr="00102ACF" w:rsidRDefault="00102ACF" w:rsidP="00102ACF">
      <w:pPr>
        <w:spacing w:line="360" w:lineRule="auto"/>
        <w:ind w:firstLine="720"/>
        <w:jc w:val="both"/>
      </w:pPr>
      <w:r w:rsidRPr="00102ACF">
        <w:t xml:space="preserve">Inaccurate memories of a crime often stem from the witness's inability to fully attend to the scene, whether through environmental factors or simply being under frightful or stressful situations (Wells et al., 2006).  Certain findings have assessed that eyewitness memories can be easily distorted by misinformation before and after an </w:t>
      </w:r>
      <w:r w:rsidRPr="00102ACF">
        <w:lastRenderedPageBreak/>
        <w:t xml:space="preserve">event. </w:t>
      </w:r>
      <w:r w:rsidR="007D71B6">
        <w:t xml:space="preserve"> </w:t>
      </w:r>
      <w:r w:rsidRPr="00102ACF">
        <w:t>Loftus and Palmer (1974)</w:t>
      </w:r>
      <w:r w:rsidR="007D71B6">
        <w:t xml:space="preserve"> ran</w:t>
      </w:r>
      <w:r w:rsidRPr="00102ACF">
        <w:t xml:space="preserve"> a notable study on post-event misinformation in which participants were shown footage of a multi-vehicle road accident and asked, </w:t>
      </w:r>
      <w:r w:rsidRPr="00102ACF">
        <w:rPr>
          <w:i/>
          <w:iCs/>
        </w:rPr>
        <w:t>“How fast were the cars going when they ____ each other?”</w:t>
      </w:r>
      <w:r w:rsidRPr="00102ACF">
        <w:t xml:space="preserve">.  The substituted verbs for different participant groups were </w:t>
      </w:r>
      <w:r w:rsidRPr="00102ACF">
        <w:rPr>
          <w:i/>
          <w:iCs/>
        </w:rPr>
        <w:t>Hit,</w:t>
      </w:r>
      <w:r w:rsidRPr="00102ACF">
        <w:t xml:space="preserve"> </w:t>
      </w:r>
      <w:r w:rsidRPr="00102ACF">
        <w:rPr>
          <w:i/>
          <w:iCs/>
        </w:rPr>
        <w:t>Smashed, Collided, Bumped</w:t>
      </w:r>
      <w:r w:rsidRPr="00102ACF">
        <w:t xml:space="preserve"> or </w:t>
      </w:r>
      <w:r w:rsidRPr="00102ACF">
        <w:rPr>
          <w:i/>
          <w:iCs/>
        </w:rPr>
        <w:t xml:space="preserve">Contacted. </w:t>
      </w:r>
      <w:r w:rsidRPr="00102ACF">
        <w:t xml:space="preserve"> Findings showed the group that was told the cars </w:t>
      </w:r>
      <w:r w:rsidRPr="00102ACF">
        <w:rPr>
          <w:i/>
          <w:iCs/>
        </w:rPr>
        <w:t>“Smashed into each other”</w:t>
      </w:r>
      <w:r w:rsidRPr="00102ACF">
        <w:t xml:space="preserve"> judged the car's speed to be greater (average 41mph) than those who were told they </w:t>
      </w:r>
      <w:r w:rsidRPr="00102ACF">
        <w:rPr>
          <w:i/>
          <w:iCs/>
        </w:rPr>
        <w:t>“Hit each other”</w:t>
      </w:r>
      <w:r w:rsidRPr="00102ACF">
        <w:t xml:space="preserve"> (average 34mph) despite being the same video.  Furthermore, one week later, a retest asked participants if they recalled seeing any broken glass (there was none).  Participants in the </w:t>
      </w:r>
      <w:r w:rsidRPr="00102ACF">
        <w:rPr>
          <w:i/>
          <w:iCs/>
        </w:rPr>
        <w:t xml:space="preserve">Smashed </w:t>
      </w:r>
      <w:r w:rsidRPr="00102ACF">
        <w:t xml:space="preserve">group were more likely to say there had been glass when compared to the less dramatic verb groups (Loftus &amp; Palmer, 1975).  These findings imply that even changing one word during interview questions can contaminate the memory of both central information about an event (suspect/weapon/crash) and more severely, peripheral information that may not be the main focus of a witness's attention (broken glass) (Dalton &amp; Daneman, 2006; Parker et al., 2024).  Misinformation given before witnessing a crime can also affect the accuracy of recall.   One study investigated pre-event misinformation by showing one group of participants an audio narrative of a palace burglary and another group a narrative of a school trip to a palace.  The following day, both groups became eyewitnesses to a video of a museum burglary and found more errors were made by the group who previously listened to a thematically similar situation, likely confusing and merging the two burglary scenarios/stories (Lindsay et al., 2004). This implies that witnesses with similar past experiences can warp their memory of new events. </w:t>
      </w:r>
    </w:p>
    <w:p w14:paraId="1A5B28A8" w14:textId="77777777" w:rsidR="00102ACF" w:rsidRPr="00102ACF" w:rsidRDefault="00102ACF" w:rsidP="00102ACF">
      <w:pPr>
        <w:spacing w:line="360" w:lineRule="auto"/>
        <w:ind w:firstLine="720"/>
        <w:jc w:val="both"/>
      </w:pPr>
      <w:r w:rsidRPr="00102ACF">
        <w:t xml:space="preserve">Loftus &amp; Hoffman (1989) theorise that when misinformation is introduced, original memory traces are weakened and features are eroded and changed, but original memory traces are still retrievable if slightly altered, but this has been heavily challenged.  McCloskey &amp; Zaragoza (1985) criticised Loftus’ methodologies of depicting traffic accidents in that there was little to no stress or emotional impact involved (this will be revisited) and countered the theory that misinformation distorts recollection by replacing memory traces and providing other explanations for memory errors by recreating experiments without demand characteristics.  New findings suggest that aspects of a scene from Loftus’ studies may not have been fully attended to, so there is no memory of these aspects to distort.  Furthermore, this critical research emphasises that memory is </w:t>
      </w:r>
      <w:r w:rsidRPr="00102ACF">
        <w:lastRenderedPageBreak/>
        <w:t xml:space="preserve">a flexible reconstructive process, and external misinformation does not erase memories or is a catalyst for memory failure but rather influences the memory to be reconstructed in a way that includes mistakes (Loftus, 2005; McCloskey &amp; Zaragoza, 1985).  This supports the idea that misinformation affects peripheral memory details more than central features (Dalton &amp; Daneman, 2006). </w:t>
      </w:r>
    </w:p>
    <w:p w14:paraId="3633874E" w14:textId="4D609EDD" w:rsidR="00102ACF" w:rsidRPr="00102ACF" w:rsidRDefault="00102ACF" w:rsidP="00102ACF">
      <w:pPr>
        <w:spacing w:line="360" w:lineRule="auto"/>
        <w:jc w:val="both"/>
      </w:pPr>
      <w:r w:rsidRPr="00102ACF">
        <w:tab/>
        <w:t xml:space="preserve">Police investigators are often cautious of pre and post-event misinformation and usually avoid bias or leading questions and explicitly informing eyewitnesses to avoid influences and sources of misinformation, </w:t>
      </w:r>
      <w:r w:rsidR="007D71B6">
        <w:t>with</w:t>
      </w:r>
      <w:r w:rsidRPr="00102ACF">
        <w:t xml:space="preserve"> varying success (Ecker et al., 2010).  Misinformation can be avoided by using cognitive interviewing (CI) techniques to improve the accuracy of recall (Geiselman, 1984). CI interviewing encourages eyewitnesses to recall as much information as possible, even if it may seem insignificant.  This can help reinstate the context of the crime as an information retrieval cue as memory recall is greater when recall conditions are similar to encoding conditions by activating the same memory traces, this is known as Tulving’s Encoding Specificity Principle (Tulving, 1984).   </w:t>
      </w:r>
    </w:p>
    <w:p w14:paraId="71DA7FBE" w14:textId="08EE5585" w:rsidR="00102ACF" w:rsidRPr="00102ACF" w:rsidRDefault="00102ACF" w:rsidP="00102ACF">
      <w:pPr>
        <w:spacing w:line="360" w:lineRule="auto"/>
        <w:ind w:firstLine="720"/>
        <w:jc w:val="both"/>
      </w:pPr>
      <w:r w:rsidRPr="00102ACF">
        <w:t xml:space="preserve">How eyewitnesses are questioned and instructed before a line-up is under the justice system’s control and are known as System Variables. However, certain variables cannot be controlled by the system and can become confounding in an investigation, these are known as Estimator Variables (Wells, 1978).  Both variables can be </w:t>
      </w:r>
      <w:r w:rsidR="007D71B6" w:rsidRPr="00102ACF">
        <w:t xml:space="preserve">manipulated </w:t>
      </w:r>
      <w:r w:rsidR="007D71B6">
        <w:t xml:space="preserve">and </w:t>
      </w:r>
      <w:r w:rsidRPr="00102ACF">
        <w:t>controlled by experiments, but only the system variables can be controlled during a case.  Estimator variables are named as such as they help estimate factor impacts during a case (Wells et al., 2006).  Estimator variables include the effect of cross-race identification, witness intoxication, stress levels of witnesses and weapon focus as well as environmental factors such as lighting conditions, weather, duration of exposure to the perpetrator, distance to perpetrator and retention interval between witnessing and identification (Semmler et al., 2018; Wells, 2006).  For example, eyewitness intoxication is one estimator variable that should be considered for crimes of a certain nature or circumstance.  As a disproportionate amount of alcohol-induced crime occurs in and around areas of nightlife (aggravated assault, robbery, sexual harassment) (</w:t>
      </w:r>
      <w:proofErr w:type="spellStart"/>
      <w:r w:rsidRPr="00102ACF">
        <w:t>Wüllenweber</w:t>
      </w:r>
      <w:proofErr w:type="spellEnd"/>
      <w:r w:rsidRPr="00102ACF">
        <w:t xml:space="preserve"> &amp; Burrell, 2024), the accuracy of testimony from witnesses who may have been under the influence of alcohol or drugs </w:t>
      </w:r>
      <w:r w:rsidR="00CE6B66">
        <w:t>during</w:t>
      </w:r>
      <w:r w:rsidRPr="00102ACF">
        <w:t xml:space="preserve"> the event must be considered. Fieldwork studies conclude that the intoxication level of an eyewitness may produce, not necessarily </w:t>
      </w:r>
      <w:r w:rsidRPr="00102ACF">
        <w:lastRenderedPageBreak/>
        <w:t xml:space="preserve">inaccurate, but more incomplete recollections of an event (Altman et al., 2019; Barlett et al., 2022; Crosslands et al., 2016).  Furthermore, higher intoxication levels increase co-witness discussions immediately after an event increasing susceptibility to co-witness misinformation and a higher likelihood of going along with a co-witness account to fill the gaps in one's recollection. (Patterson et al., 2012; Van </w:t>
      </w:r>
      <w:proofErr w:type="spellStart"/>
      <w:r w:rsidRPr="00102ACF">
        <w:t>Oorsouw</w:t>
      </w:r>
      <w:proofErr w:type="spellEnd"/>
      <w:r w:rsidRPr="00102ACF">
        <w:t xml:space="preserve"> et al., 2019).  Yet intoxicated fieldwork participants have also been shown to equally incorporate correct post-event information from co-witnesses to strengthen memory, so the estimated impact of intoxication and co-witness discussions remains debated  (Barlett et al., 2022).   Concerning the lecture activity, although our class was not intoxicated, each account of the scene varied slightly when discussing what we each thought we saw, leading to many second-guessing our recollection due to co-witness influence.  </w:t>
      </w:r>
    </w:p>
    <w:p w14:paraId="66639601" w14:textId="1E133796" w:rsidR="00102ACF" w:rsidRPr="00102ACF" w:rsidRDefault="00102ACF" w:rsidP="00102ACF">
      <w:pPr>
        <w:spacing w:line="360" w:lineRule="auto"/>
        <w:ind w:firstLine="720"/>
        <w:jc w:val="both"/>
      </w:pPr>
      <w:r w:rsidRPr="00102ACF">
        <w:t xml:space="preserve">In the case of Cornelius Dupree Jr, Mr Dupree was sentenced to 75 years in prison for the alleged rape and aggravated robbery of a woman in Texas in 1979.   After serving 30 years of that sentence, Dupree was exonerated and given parole in 2010 after the new use of DNA evidence found that Dupree’s semen did not match the DNA profile of the trace evidence found in the case (Hoston, 2016).   Dupree was initially sentenced after he was identified as the perpetrator from a line-up of other black males by the victim.  This misidentification was not an example of overt racism, but rather an example of the cross-race effect (CRE) estimator variable.  Many studies show eyewitness identification is considerably more unreliable when a witness and a suspect are of different races (Brigham, 2008; Young &amp; Hugenberg, 2012; </w:t>
      </w:r>
      <w:proofErr w:type="spellStart"/>
      <w:r w:rsidRPr="00102ACF">
        <w:t>Zalman</w:t>
      </w:r>
      <w:proofErr w:type="spellEnd"/>
      <w:r w:rsidRPr="00102ACF">
        <w:t xml:space="preserve"> et al., 2012).   Most studies that used black and white participants suggest that people are better at recognising faces within their own race and ethnicity, with white participants showing more bias toward black suspects and misidentifying black suspects more (Edlund &amp; Skowronski, 2008).   Resultantly, the CRE is a key contributor to the disproportionate number of black males receiving wrongful accusations and convictions in the US (Hoston et al., 2017; Smith &amp; Hattery, 2011).  Another study investigated timing characteristics as a factor in CRE and found in one experiment, the CRE was increased when the encoding time for a ‘cross-race’ face was shortened and for the second experiment, that CRE was stronger when the retention time between witnessing and identification was increased (Marcon et al., </w:t>
      </w:r>
      <w:r w:rsidRPr="00102ACF">
        <w:lastRenderedPageBreak/>
        <w:t xml:space="preserve">2010).  This reflects </w:t>
      </w:r>
      <w:r w:rsidR="007D71B6" w:rsidRPr="00102ACF">
        <w:t>a</w:t>
      </w:r>
      <w:r w:rsidRPr="00102ACF">
        <w:t xml:space="preserve"> victim in </w:t>
      </w:r>
      <w:r w:rsidR="007D71B6">
        <w:t>this case</w:t>
      </w:r>
      <w:r w:rsidRPr="00102ACF">
        <w:t xml:space="preserve"> </w:t>
      </w:r>
      <w:r w:rsidR="007D71B6">
        <w:t>not</w:t>
      </w:r>
      <w:r w:rsidRPr="00102ACF">
        <w:t xml:space="preserve"> </w:t>
      </w:r>
      <w:r w:rsidR="007D71B6">
        <w:t xml:space="preserve">being able </w:t>
      </w:r>
      <w:r w:rsidR="007D71B6" w:rsidRPr="00102ACF">
        <w:t>identif</w:t>
      </w:r>
      <w:r w:rsidR="007D71B6">
        <w:t>ying</w:t>
      </w:r>
      <w:r w:rsidRPr="00102ACF">
        <w:t xml:space="preserve"> the suspect the day after the crime, yet on the day of the trial months later, identified Dupree as a perpetrator. </w:t>
      </w:r>
    </w:p>
    <w:p w14:paraId="157E997B" w14:textId="7587CFB9" w:rsidR="00102ACF" w:rsidRPr="00102ACF" w:rsidRDefault="00102ACF" w:rsidP="00102ACF">
      <w:pPr>
        <w:spacing w:line="360" w:lineRule="auto"/>
        <w:ind w:firstLine="720"/>
        <w:jc w:val="both"/>
      </w:pPr>
      <w:r w:rsidRPr="00102ACF">
        <w:t>A further estimator variable that may severely affect the accuracy of event recall is the age of a witness.  Children are known to have a high suggestibility</w:t>
      </w:r>
      <w:r w:rsidRPr="00102ACF">
        <w:rPr>
          <w:i/>
          <w:iCs/>
        </w:rPr>
        <w:t xml:space="preserve"> </w:t>
      </w:r>
      <w:r w:rsidRPr="00102ACF">
        <w:t xml:space="preserve">to post-event information being embedded into memory itself.  A review of research surrounding child suggestibility finds that children at an early developmental stage are significantly more susceptible to the misinformation effect and leading questions which can blur the memory of peripheral details of an event and cannot retain just the facts of an event when given suggestions (Bruck &amp; Ceci, 1999).  Particularly, pre-schoolers memory can also be distorted when dealing with a sexual context as many studies find pre-schoolers make false claims about ‘sexualised’ bodily contact when purposely suggested after nonsexual events, claims that would have </w:t>
      </w:r>
      <w:r w:rsidR="007D71B6">
        <w:t>major</w:t>
      </w:r>
      <w:r w:rsidRPr="00102ACF">
        <w:t xml:space="preserve"> legal consequences i</w:t>
      </w:r>
      <w:r w:rsidR="007D71B6">
        <w:t>f</w:t>
      </w:r>
      <w:r w:rsidRPr="00102ACF">
        <w:t xml:space="preserve"> true (Goodman et al., 1991; Ornstein et al., 1992).  Misleading information can affect the memory recall of older adults considerably more than younger adults, particularly post-event information (Wylie et al., 2014).   Jacoby et al., (2005) found that older adults were considerably more likely to misremember events when given simple misleading information, with the older demographic having a 43% error rate compared to the 4% error rate of the younger demographic.  Similar to the cross-race/same-race bias, studies have identified an own-age bias.   In a study involving witnessing crime videos and identifying a culprit from a line-up, participants were more precise when correctly identifying culprits of a similar age to themselves (Wright &amp; Stroud, 2002).  Interestingly, two studies of own-age bias surrounding exposure to other ages found that schoolteachers showed no own-age bias as they could identify children's faces just as well as faces their own age (Harrison &amp; Hole, 2009).  Likewise, younger nurses of geriatric facilities identified elderly faces even better than younger faces or those of a similar age (Wiese et al., 2013).   Based on this, it is suggested that we are more capable of identifying faces of age demographics that we are most frequently exposed to, for the majority of the population these are people of a similar age to ourselves.  Given that the suspect of the mock eyewitness activity was seemingly a similar age to most of the class, own-age bias was potentially a contributing factor to the correct identification of the suspect from the mock lineup.</w:t>
      </w:r>
    </w:p>
    <w:p w14:paraId="34D2B37D" w14:textId="77777777" w:rsidR="00102ACF" w:rsidRPr="00102ACF" w:rsidRDefault="00102ACF" w:rsidP="00102ACF">
      <w:pPr>
        <w:spacing w:line="360" w:lineRule="auto"/>
        <w:ind w:firstLine="720"/>
        <w:jc w:val="both"/>
      </w:pPr>
      <w:r w:rsidRPr="00102ACF">
        <w:lastRenderedPageBreak/>
        <w:t>As previously discussed, central information Is usually attended to more than peripheral information therefore the recall of central features is considerably better (Dalton &amp; Daneman, 2006).  However, this can also have an adverse effect when features that may identify a suspect may fall into the periphery.  One prime example of this is the idea of Weapon Focus.  This is when witnesses to a crime are more likely to attend more to the dangers of a weapon than to neutral objects or faces in an event (</w:t>
      </w:r>
      <w:proofErr w:type="spellStart"/>
      <w:r w:rsidRPr="00102ACF">
        <w:t>Steblay</w:t>
      </w:r>
      <w:proofErr w:type="spellEnd"/>
      <w:r w:rsidRPr="00102ACF">
        <w:t xml:space="preserve">, 1992).  Similar studies have found that when presented with videos of a suspect holding neutral objects (money, shopping items) versus a suspect holding a weapon (gun, knife),  dangerous objects were fixated on more than peripheral and unrelated items, in many cases, faces were attended to less under the weapon conditions.  (Biggs et al., 2013; Loftus et al., 1987).  This theory was expanded on by Pickel (1998) who highlighted that witnesses often fixate more on stimuli that are ‘unusual’ and outside the usual schema of a situation.   Participants were shown videos of a hair salon where a ‘target’ approached a worker holding objects varying between high or low threat and high or low unusualness depending on the condition  (wallet, scissors, gun and raw chicken).  The wallet would endorse low unusualness and low threat, while the scissors would be of low unusualness, but high (potential) threat given the salon environment.  The gun would be of high threat and high unusualness while the raw chicken, although unusual, poses a low threat.  Witnesses remembered less about the target if they were holding unusual items (gun or chicken).  The non-unusual scissors, which were held in reverse as if in preparation for a stabbing to increase the sense of threat, were also remembered well by participants who interpreted the scene as a robbery. The wallet was noted as being more forgettable when compared to the objects of high threat or unusualness, concluding that attention is taken away from other aspects of a scene if a threatening or unusual item is central to the scene (Pickel, 1998). </w:t>
      </w:r>
    </w:p>
    <w:p w14:paraId="123C97E8" w14:textId="77777777" w:rsidR="00102ACF" w:rsidRPr="00102ACF" w:rsidRDefault="00102ACF" w:rsidP="00102ACF">
      <w:pPr>
        <w:spacing w:line="360" w:lineRule="auto"/>
        <w:ind w:firstLine="720"/>
        <w:jc w:val="both"/>
      </w:pPr>
      <w:r w:rsidRPr="00102ACF">
        <w:t xml:space="preserve">When a weapon is present, it will likely increase the stress levels of an eyewitness.  In conjunction with weapon focus, a stressed witness will likely focus more on central and important threatening details and naturally neglect peripheral details and faces.  Easterbrook’s (1959) proposed cue utilisation hypothesis states that as arousal (stress) increases, attention and focus narrow to lessen the interference of irrelevant environmental cues and attend to only an optimal number of cues while other resources </w:t>
      </w:r>
      <w:r w:rsidRPr="00102ACF">
        <w:lastRenderedPageBreak/>
        <w:t>are being prepared to react to danger, causing a reduction in memory of peripheral details.  This hypothesis is supported by subsequent investigations that explored the impact of stress on detail and facial recognition and found that among participants experiencing the highest levels of anxiety, central details were remembered more but faces and peripheral details were remembered less when compared to lower anxiety conditions in which faces and peripheral details were recalled more (</w:t>
      </w:r>
      <w:proofErr w:type="spellStart"/>
      <w:r w:rsidRPr="00102ACF">
        <w:t>Deffenbacher</w:t>
      </w:r>
      <w:proofErr w:type="spellEnd"/>
      <w:r w:rsidRPr="00102ACF">
        <w:t xml:space="preserve"> et al., 2004; </w:t>
      </w:r>
      <w:proofErr w:type="spellStart"/>
      <w:r w:rsidRPr="00102ACF">
        <w:t>Yegiyan</w:t>
      </w:r>
      <w:proofErr w:type="spellEnd"/>
      <w:r w:rsidRPr="00102ACF">
        <w:t xml:space="preserve"> &amp; Lang, 2010). </w:t>
      </w:r>
    </w:p>
    <w:p w14:paraId="399C5C6C" w14:textId="77777777" w:rsidR="00102ACF" w:rsidRDefault="00102ACF" w:rsidP="00102ACF">
      <w:pPr>
        <w:spacing w:line="360" w:lineRule="auto"/>
        <w:ind w:firstLine="720"/>
        <w:jc w:val="both"/>
      </w:pPr>
      <w:r w:rsidRPr="00102ACF">
        <w:t xml:space="preserve">In conclusion, there are near countless system and estimator variables that can influence eyewitness memory and decision-making when presented with a police line-up of suspects.  Key factors that mediate the credibility of eyewitness testimony are described by the mnemonic acronym ADVOKATE, which stands for the eight reliability factors that must be considered to assess the credibility of testimony; the Amount of time witnessing an event, Distance to an event, Visibility conditions, impeded Observation line, whether the witness Knows the suspect, Any particular reasons an event is memorable, Time elapsed since event and Errors in descriptions of the perpetrator compared to the accused (Bromby &amp; Hall, 2002).  ADVOKATE is a useful and critical tool used in criminal investigations. Such as in the case of Cornelius Dupree, taking an eyewitness face value account as fact can have devastating consequences if inaccurate.  It is often a combination of the external influences of environmental and contextual factors of a scene paired with cognitive factors that leads to eyewitness misinterpretations of a crime scene, including stress, co-witness misinformation, intoxication, leading questions and own-age/race bias, among many other factors contributing to memory impairment (Barlett et al., 2022; Loftus &amp; Palmer, 1975; Wright &amp; Stroud, 2002; </w:t>
      </w:r>
      <w:proofErr w:type="spellStart"/>
      <w:r w:rsidRPr="00102ACF">
        <w:t>Yegiyan</w:t>
      </w:r>
      <w:proofErr w:type="spellEnd"/>
      <w:r w:rsidRPr="00102ACF">
        <w:t xml:space="preserve"> &amp; Lang, 2010).  By understanding these predispositions, the justice system can further develop methods of assessing eyewitness credibility to keep eyewitness testimony as a valuable form of evidence while also being critical and cautious about when a first-hand eyewitness account should be admissible in a court of law. </w:t>
      </w:r>
    </w:p>
    <w:p w14:paraId="611F6914" w14:textId="77777777" w:rsidR="002D11FE" w:rsidRDefault="002D11FE" w:rsidP="00102ACF">
      <w:pPr>
        <w:spacing w:line="360" w:lineRule="auto"/>
        <w:ind w:firstLine="720"/>
        <w:jc w:val="both"/>
      </w:pPr>
    </w:p>
    <w:p w14:paraId="13C6DD04" w14:textId="77777777" w:rsidR="002D11FE" w:rsidRPr="00102ACF" w:rsidRDefault="002D11FE" w:rsidP="00102ACF">
      <w:pPr>
        <w:spacing w:line="360" w:lineRule="auto"/>
        <w:ind w:firstLine="720"/>
        <w:jc w:val="both"/>
      </w:pPr>
    </w:p>
    <w:p w14:paraId="14E41D18" w14:textId="77777777" w:rsidR="00102ACF" w:rsidRPr="00102ACF" w:rsidRDefault="00102ACF" w:rsidP="00102ACF"/>
    <w:p w14:paraId="0E3CD38D" w14:textId="77777777" w:rsidR="00102ACF" w:rsidRPr="00102ACF" w:rsidRDefault="00102ACF" w:rsidP="00102ACF">
      <w:pPr>
        <w:jc w:val="center"/>
        <w:rPr>
          <w:b/>
          <w:bCs/>
        </w:rPr>
      </w:pPr>
      <w:r w:rsidRPr="00102ACF">
        <w:rPr>
          <w:b/>
          <w:bCs/>
        </w:rPr>
        <w:t>References</w:t>
      </w:r>
    </w:p>
    <w:p w14:paraId="4E8C73AE" w14:textId="77777777" w:rsidR="00102ACF" w:rsidRPr="00102ACF" w:rsidRDefault="00102ACF" w:rsidP="00102ACF">
      <w:pPr>
        <w:ind w:left="709" w:hanging="709"/>
      </w:pPr>
      <w:r w:rsidRPr="00102ACF">
        <w:t xml:space="preserve">Altman, C. M., McQuiston, D. E., &amp; Schreiber Compo, N. (2019). </w:t>
      </w:r>
      <w:proofErr w:type="gramStart"/>
      <w:r w:rsidRPr="00102ACF">
        <w:t>How</w:t>
      </w:r>
      <w:proofErr w:type="gramEnd"/>
      <w:r w:rsidRPr="00102ACF">
        <w:t xml:space="preserve"> elevated blood alcohol concentration level and identification format affect eyewitness memory: a field study. Applied Cognitive Psychology, 33(3), 426-438. </w:t>
      </w:r>
      <w:hyperlink r:id="rId7" w:history="1">
        <w:r w:rsidRPr="00102ACF">
          <w:rPr>
            <w:rStyle w:val="Hyperlink"/>
          </w:rPr>
          <w:t>https://doi.org/10.1002/acp.3535</w:t>
        </w:r>
      </w:hyperlink>
    </w:p>
    <w:p w14:paraId="7D3EC189" w14:textId="77777777" w:rsidR="00102ACF" w:rsidRPr="00102ACF" w:rsidRDefault="00102ACF" w:rsidP="00102ACF">
      <w:pPr>
        <w:ind w:left="709" w:hanging="709"/>
      </w:pPr>
      <w:r w:rsidRPr="00102ACF">
        <w:t xml:space="preserve">Bartlett, G., Albery, I. P., Frings, D., &amp; </w:t>
      </w:r>
      <w:proofErr w:type="spellStart"/>
      <w:r w:rsidRPr="00102ACF">
        <w:t>Gawrylowicz</w:t>
      </w:r>
      <w:proofErr w:type="spellEnd"/>
      <w:r w:rsidRPr="00102ACF">
        <w:t>, J. (2022). The effects of alcohol and co-witness information on memory reports: A field study. Psychopharmacology, 239(9), 2945-2953. https://doi.org/10.1007/s00213-022-06179-5</w:t>
      </w:r>
    </w:p>
    <w:p w14:paraId="6B93911D" w14:textId="77777777" w:rsidR="00102ACF" w:rsidRPr="00102ACF" w:rsidRDefault="00102ACF" w:rsidP="00102ACF">
      <w:pPr>
        <w:ind w:left="709" w:hanging="709"/>
      </w:pPr>
      <w:r w:rsidRPr="00102ACF">
        <w:t xml:space="preserve">Biggs, A. T., </w:t>
      </w:r>
      <w:proofErr w:type="spellStart"/>
      <w:r w:rsidRPr="00102ACF">
        <w:t>Brockmole</w:t>
      </w:r>
      <w:proofErr w:type="spellEnd"/>
      <w:r w:rsidRPr="00102ACF">
        <w:t>, J. R., &amp; Witt, J. K. (2013). Armed and attentive: Holding a weapon can bias attentional priorities in scene viewing. </w:t>
      </w:r>
      <w:r w:rsidRPr="00102ACF">
        <w:rPr>
          <w:i/>
          <w:iCs/>
        </w:rPr>
        <w:t>Attention, Perception, &amp; Psychophysics</w:t>
      </w:r>
      <w:r w:rsidRPr="00102ACF">
        <w:t>, </w:t>
      </w:r>
      <w:r w:rsidRPr="00102ACF">
        <w:rPr>
          <w:i/>
          <w:iCs/>
        </w:rPr>
        <w:t>75</w:t>
      </w:r>
      <w:r w:rsidRPr="00102ACF">
        <w:t>, 1715-1724. https://doi.org/10.3758/s13414-013-0538-6</w:t>
      </w:r>
    </w:p>
    <w:p w14:paraId="1732F88E" w14:textId="77777777" w:rsidR="00102ACF" w:rsidRPr="00102ACF" w:rsidRDefault="00102ACF" w:rsidP="00102ACF">
      <w:pPr>
        <w:ind w:left="709" w:hanging="709"/>
      </w:pPr>
      <w:r w:rsidRPr="00102ACF">
        <w:t>Brigham, J. C. (2008). The role of race and racial prejudice in recognizing other people. In </w:t>
      </w:r>
      <w:r w:rsidRPr="00102ACF">
        <w:rPr>
          <w:i/>
          <w:iCs/>
        </w:rPr>
        <w:t>Motivational aspects of prejudice and racism</w:t>
      </w:r>
      <w:r w:rsidRPr="00102ACF">
        <w:t> (pp. 68-110). New York, NY: Springer New York.</w:t>
      </w:r>
    </w:p>
    <w:p w14:paraId="19760C2C" w14:textId="77777777" w:rsidR="00102ACF" w:rsidRPr="00102ACF" w:rsidRDefault="00102ACF" w:rsidP="00102ACF">
      <w:pPr>
        <w:ind w:left="709" w:hanging="709"/>
      </w:pPr>
      <w:r w:rsidRPr="00102ACF">
        <w:t>Bromby, M. C., &amp; Hall, M. J. J. (2002). The development and rapid evolution of the knowledge model of ADVOKATE: An advisory system to assess the credibility of eyewitness testimony. </w:t>
      </w:r>
      <w:r w:rsidRPr="00102ACF">
        <w:rPr>
          <w:i/>
          <w:iCs/>
        </w:rPr>
        <w:t xml:space="preserve">LEGAL KNOWLEDGE AND INFORMATION SYSTEMS, TJM Bench-Capon, A. </w:t>
      </w:r>
      <w:proofErr w:type="spellStart"/>
      <w:r w:rsidRPr="00102ACF">
        <w:rPr>
          <w:i/>
          <w:iCs/>
        </w:rPr>
        <w:t>Daskalopulu</w:t>
      </w:r>
      <w:proofErr w:type="spellEnd"/>
      <w:r w:rsidRPr="00102ACF">
        <w:rPr>
          <w:i/>
          <w:iCs/>
        </w:rPr>
        <w:t xml:space="preserve"> and RGF Winkels, eds</w:t>
      </w:r>
      <w:r w:rsidRPr="00102ACF">
        <w:t>, 143-152.</w:t>
      </w:r>
    </w:p>
    <w:p w14:paraId="60BDAA61" w14:textId="77777777" w:rsidR="00102ACF" w:rsidRPr="00102ACF" w:rsidRDefault="00102ACF" w:rsidP="00102ACF">
      <w:pPr>
        <w:ind w:left="709" w:hanging="709"/>
      </w:pPr>
      <w:r w:rsidRPr="00102ACF">
        <w:t>Bruck, M., &amp; Ceci, S. J. (1999). The suggestibility of children's memory. </w:t>
      </w:r>
      <w:r w:rsidRPr="00102ACF">
        <w:rPr>
          <w:i/>
          <w:iCs/>
        </w:rPr>
        <w:t>Annual review of psychology</w:t>
      </w:r>
      <w:r w:rsidRPr="00102ACF">
        <w:t>, </w:t>
      </w:r>
      <w:r w:rsidRPr="00102ACF">
        <w:rPr>
          <w:i/>
          <w:iCs/>
        </w:rPr>
        <w:t>50</w:t>
      </w:r>
      <w:r w:rsidRPr="00102ACF">
        <w:t xml:space="preserve">(1), 419-439. </w:t>
      </w:r>
      <w:hyperlink r:id="rId8" w:history="1">
        <w:r w:rsidRPr="00102ACF">
          <w:rPr>
            <w:rStyle w:val="Hyperlink"/>
          </w:rPr>
          <w:t>https://doi.org/10.1146/annurev.psych.50.1.419</w:t>
        </w:r>
      </w:hyperlink>
    </w:p>
    <w:p w14:paraId="673E467E" w14:textId="77777777" w:rsidR="00102ACF" w:rsidRPr="00102ACF" w:rsidRDefault="00102ACF" w:rsidP="00102ACF">
      <w:pPr>
        <w:ind w:left="709" w:hanging="709"/>
      </w:pPr>
      <w:r w:rsidRPr="00102ACF">
        <w:t>Crossland, D., Kneller, W., &amp; Wilcock, R. (2016). Intoxicated witnesses: Testing the validity of the alcohol myopia theory. Applied Cognitive Psychology, 30(2), 270-281.  </w:t>
      </w:r>
      <w:hyperlink r:id="rId9" w:history="1">
        <w:r w:rsidRPr="00102ACF">
          <w:rPr>
            <w:rStyle w:val="Hyperlink"/>
          </w:rPr>
          <w:t>https://doi.org/10.1002/acp.3209</w:t>
        </w:r>
      </w:hyperlink>
    </w:p>
    <w:p w14:paraId="5B234842" w14:textId="77777777" w:rsidR="00102ACF" w:rsidRPr="00102ACF" w:rsidRDefault="00102ACF" w:rsidP="00102ACF">
      <w:pPr>
        <w:ind w:left="709" w:hanging="709"/>
      </w:pPr>
      <w:r w:rsidRPr="00102ACF">
        <w:t xml:space="preserve">Cutler, B. L., Penrod, S. D., &amp; Dexter, H. R. (1990). Juror sensitivity to eyewitness identification evidence. Law and Human </w:t>
      </w:r>
      <w:proofErr w:type="spellStart"/>
      <w:r w:rsidRPr="00102ACF">
        <w:t>Behavior</w:t>
      </w:r>
      <w:proofErr w:type="spellEnd"/>
      <w:r w:rsidRPr="00102ACF">
        <w:t>, 14(2), 185-191. https://doi.org/10.1007/BF01062972</w:t>
      </w:r>
    </w:p>
    <w:p w14:paraId="7397E8CF" w14:textId="77777777" w:rsidR="00102ACF" w:rsidRPr="00102ACF" w:rsidRDefault="00102ACF" w:rsidP="00102ACF">
      <w:pPr>
        <w:ind w:left="709" w:hanging="709"/>
      </w:pPr>
      <w:r w:rsidRPr="00102ACF">
        <w:t>Dalton, A. L., &amp; Daneman, M. (2006). Social suggestibility to central and peripheral misinformation. </w:t>
      </w:r>
      <w:r w:rsidRPr="00102ACF">
        <w:rPr>
          <w:i/>
          <w:iCs/>
        </w:rPr>
        <w:t>Memory</w:t>
      </w:r>
      <w:r w:rsidRPr="00102ACF">
        <w:t>, </w:t>
      </w:r>
      <w:r w:rsidRPr="00102ACF">
        <w:rPr>
          <w:i/>
          <w:iCs/>
        </w:rPr>
        <w:t>14</w:t>
      </w:r>
      <w:r w:rsidRPr="00102ACF">
        <w:t xml:space="preserve">(4), 486-501. </w:t>
      </w:r>
      <w:hyperlink r:id="rId10" w:history="1">
        <w:r w:rsidRPr="00102ACF">
          <w:rPr>
            <w:rStyle w:val="Hyperlink"/>
          </w:rPr>
          <w:t>https://doi.org/10.1080/09658210500495073</w:t>
        </w:r>
      </w:hyperlink>
    </w:p>
    <w:p w14:paraId="25CB4F6D" w14:textId="77777777" w:rsidR="00102ACF" w:rsidRPr="00102ACF" w:rsidRDefault="00102ACF" w:rsidP="00102ACF">
      <w:pPr>
        <w:ind w:left="709" w:hanging="709"/>
      </w:pPr>
      <w:proofErr w:type="spellStart"/>
      <w:r w:rsidRPr="00102ACF">
        <w:t>Deffenbacher</w:t>
      </w:r>
      <w:proofErr w:type="spellEnd"/>
      <w:r w:rsidRPr="00102ACF">
        <w:t>, K. A., Bornstein, B. H., Penrod, S. D., &amp; McGorty, E. K. (2004). A meta-analytic review of the effects of high stress on eyewitness memory. </w:t>
      </w:r>
      <w:r w:rsidRPr="00102ACF">
        <w:rPr>
          <w:i/>
          <w:iCs/>
        </w:rPr>
        <w:t xml:space="preserve">Law and human </w:t>
      </w:r>
      <w:proofErr w:type="spellStart"/>
      <w:r w:rsidRPr="00102ACF">
        <w:rPr>
          <w:i/>
          <w:iCs/>
        </w:rPr>
        <w:t>behavior</w:t>
      </w:r>
      <w:proofErr w:type="spellEnd"/>
      <w:r w:rsidRPr="00102ACF">
        <w:t>, </w:t>
      </w:r>
      <w:r w:rsidRPr="00102ACF">
        <w:rPr>
          <w:i/>
          <w:iCs/>
        </w:rPr>
        <w:t>28</w:t>
      </w:r>
      <w:r w:rsidRPr="00102ACF">
        <w:t>, 687-706. https://doi.org/10.1007/s10979-004-0565-x</w:t>
      </w:r>
    </w:p>
    <w:p w14:paraId="03B2D6C0" w14:textId="77777777" w:rsidR="00102ACF" w:rsidRPr="00102ACF" w:rsidRDefault="00102ACF" w:rsidP="00102ACF">
      <w:pPr>
        <w:ind w:left="709" w:hanging="709"/>
      </w:pPr>
      <w:r w:rsidRPr="00102ACF">
        <w:lastRenderedPageBreak/>
        <w:t xml:space="preserve">Easterbrook, J. A. (1959). The effect of emotion on cue utilization and the organization of </w:t>
      </w:r>
      <w:proofErr w:type="spellStart"/>
      <w:r w:rsidRPr="00102ACF">
        <w:t>behavior</w:t>
      </w:r>
      <w:proofErr w:type="spellEnd"/>
      <w:r w:rsidRPr="00102ACF">
        <w:t>. </w:t>
      </w:r>
      <w:r w:rsidRPr="00102ACF">
        <w:rPr>
          <w:i/>
          <w:iCs/>
        </w:rPr>
        <w:t>Psychological Review, 66</w:t>
      </w:r>
      <w:r w:rsidRPr="00102ACF">
        <w:t>(3), 183–201. </w:t>
      </w:r>
      <w:hyperlink r:id="rId11" w:tgtFrame="_blank" w:history="1">
        <w:r w:rsidRPr="00102ACF">
          <w:rPr>
            <w:rStyle w:val="Hyperlink"/>
          </w:rPr>
          <w:t>https://doi.org/10.1037/h0047707</w:t>
        </w:r>
      </w:hyperlink>
    </w:p>
    <w:p w14:paraId="7EE54888" w14:textId="77777777" w:rsidR="00102ACF" w:rsidRPr="00102ACF" w:rsidRDefault="00102ACF" w:rsidP="00102ACF">
      <w:pPr>
        <w:ind w:left="709" w:hanging="709"/>
      </w:pPr>
      <w:r w:rsidRPr="00102ACF">
        <w:t>Ecker, U. K., Lewandowsky, S., &amp; Tang, D. T. (2010). Explicit warnings reduce but do not eliminate the continued influence of misinformation. </w:t>
      </w:r>
      <w:r w:rsidRPr="00102ACF">
        <w:rPr>
          <w:i/>
          <w:iCs/>
        </w:rPr>
        <w:t>Memory &amp; Cognition</w:t>
      </w:r>
      <w:r w:rsidRPr="00102ACF">
        <w:t>, </w:t>
      </w:r>
      <w:r w:rsidRPr="00102ACF">
        <w:rPr>
          <w:i/>
          <w:iCs/>
        </w:rPr>
        <w:t>38</w:t>
      </w:r>
      <w:r w:rsidRPr="00102ACF">
        <w:t>, 1087-1100. https://doi.org/10.3758/MC.38.8.1087</w:t>
      </w:r>
    </w:p>
    <w:p w14:paraId="3D1C7FDE" w14:textId="77777777" w:rsidR="00102ACF" w:rsidRPr="00102ACF" w:rsidRDefault="00102ACF" w:rsidP="00102ACF">
      <w:pPr>
        <w:ind w:left="709" w:hanging="709"/>
      </w:pPr>
      <w:r w:rsidRPr="00102ACF">
        <w:t>Edlund, J. E., &amp; Skowronski, J. J. (2008). Eyewitness racial attitudes and perpetrator identification: the lineup method matters. </w:t>
      </w:r>
      <w:r w:rsidRPr="00102ACF">
        <w:rPr>
          <w:i/>
          <w:iCs/>
        </w:rPr>
        <w:t>North American Journal of Psychology</w:t>
      </w:r>
      <w:r w:rsidRPr="00102ACF">
        <w:t>, </w:t>
      </w:r>
      <w:r w:rsidRPr="00102ACF">
        <w:rPr>
          <w:i/>
          <w:iCs/>
        </w:rPr>
        <w:t>10</w:t>
      </w:r>
      <w:r w:rsidRPr="00102ACF">
        <w:t>(1), 15-36.</w:t>
      </w:r>
    </w:p>
    <w:p w14:paraId="0962483C" w14:textId="77777777" w:rsidR="00102ACF" w:rsidRPr="00102ACF" w:rsidRDefault="00102ACF" w:rsidP="00102ACF">
      <w:pPr>
        <w:ind w:left="709" w:hanging="709"/>
      </w:pPr>
      <w:r w:rsidRPr="00102ACF">
        <w:t xml:space="preserve">Eysenck, M.W. &amp; Keane, M.T. (2015) 8. Everyday Memory in </w:t>
      </w:r>
      <w:r w:rsidRPr="00102ACF">
        <w:rPr>
          <w:i/>
          <w:iCs/>
        </w:rPr>
        <w:t>Cognitive Psychology: A student’s handbook</w:t>
      </w:r>
      <w:r w:rsidRPr="00102ACF">
        <w:t xml:space="preserve">. (7th ed., pp. 303–344). London and New York: Psychology Press. </w:t>
      </w:r>
    </w:p>
    <w:p w14:paraId="1A79DE72" w14:textId="77777777" w:rsidR="00102ACF" w:rsidRPr="00102ACF" w:rsidRDefault="00102ACF" w:rsidP="00102ACF">
      <w:pPr>
        <w:ind w:left="709" w:hanging="709"/>
      </w:pPr>
      <w:r w:rsidRPr="00102ACF">
        <w:t>Geiselman, R. E. (1984). Enhancement of eyewitness memory: An empirical evaluation of the cognitive interview. </w:t>
      </w:r>
      <w:r w:rsidRPr="00102ACF">
        <w:rPr>
          <w:i/>
          <w:iCs/>
        </w:rPr>
        <w:t>Journal of Police Science &amp; Administration</w:t>
      </w:r>
      <w:r w:rsidRPr="00102ACF">
        <w:t xml:space="preserve">, </w:t>
      </w:r>
      <w:r w:rsidRPr="00102ACF">
        <w:rPr>
          <w:i/>
          <w:iCs/>
        </w:rPr>
        <w:t>12</w:t>
      </w:r>
      <w:r w:rsidRPr="00102ACF">
        <w:t>(1), 74–80.</w:t>
      </w:r>
    </w:p>
    <w:p w14:paraId="50577B2D" w14:textId="77777777" w:rsidR="00102ACF" w:rsidRPr="00102ACF" w:rsidRDefault="00102ACF" w:rsidP="00102ACF">
      <w:pPr>
        <w:ind w:left="709" w:hanging="709"/>
      </w:pPr>
      <w:r w:rsidRPr="00102ACF">
        <w:t>Goodman, G. S., Bottoms, B. L., Schwartz-Kenney, B. M., &amp; Rudy, L. (1991). Children’s testimony about a stressful event: Improving children’s reports. </w:t>
      </w:r>
      <w:r w:rsidRPr="00102ACF">
        <w:rPr>
          <w:i/>
          <w:iCs/>
        </w:rPr>
        <w:t>Journal of Narrative and Life History</w:t>
      </w:r>
      <w:r w:rsidRPr="00102ACF">
        <w:t>, </w:t>
      </w:r>
      <w:r w:rsidRPr="00102ACF">
        <w:rPr>
          <w:i/>
          <w:iCs/>
        </w:rPr>
        <w:t>1</w:t>
      </w:r>
      <w:r w:rsidRPr="00102ACF">
        <w:t>(1), 69-99.</w:t>
      </w:r>
    </w:p>
    <w:p w14:paraId="471D5D4A" w14:textId="77777777" w:rsidR="00102ACF" w:rsidRPr="00102ACF" w:rsidRDefault="00102ACF" w:rsidP="00102ACF">
      <w:pPr>
        <w:ind w:left="709" w:hanging="709"/>
      </w:pPr>
      <w:r w:rsidRPr="00102ACF">
        <w:t>Harrison, V., &amp; Hole, G. J. (2009). Evidence for a contact-based explanation of the own-age bias in face recognition. </w:t>
      </w:r>
      <w:r w:rsidRPr="00102ACF">
        <w:rPr>
          <w:i/>
          <w:iCs/>
        </w:rPr>
        <w:t>Psychonomic bulletin &amp; review</w:t>
      </w:r>
      <w:r w:rsidRPr="00102ACF">
        <w:t>, </w:t>
      </w:r>
      <w:r w:rsidRPr="00102ACF">
        <w:rPr>
          <w:i/>
          <w:iCs/>
        </w:rPr>
        <w:t>16</w:t>
      </w:r>
      <w:r w:rsidRPr="00102ACF">
        <w:t>, 264-269. https://doi.org/10.3758/PBR.16.2.264</w:t>
      </w:r>
    </w:p>
    <w:p w14:paraId="4C90C7F5" w14:textId="77777777" w:rsidR="00102ACF" w:rsidRPr="00102ACF" w:rsidRDefault="00102ACF" w:rsidP="00102ACF">
      <w:pPr>
        <w:ind w:left="709" w:hanging="709"/>
      </w:pPr>
      <w:r w:rsidRPr="00102ACF">
        <w:t xml:space="preserve">Hoston, W. T. (2016). Do </w:t>
      </w:r>
      <w:proofErr w:type="spellStart"/>
      <w:r w:rsidRPr="00102ACF">
        <w:t>N.ot</w:t>
      </w:r>
      <w:proofErr w:type="spellEnd"/>
      <w:r w:rsidRPr="00102ACF">
        <w:t xml:space="preserve"> </w:t>
      </w:r>
      <w:proofErr w:type="spellStart"/>
      <w:r w:rsidRPr="00102ACF">
        <w:t>A.ccuse</w:t>
      </w:r>
      <w:proofErr w:type="spellEnd"/>
      <w:r w:rsidRPr="00102ACF">
        <w:t xml:space="preserve"> Black Males: The Life of Cornelius Dupree Jr. </w:t>
      </w:r>
      <w:r w:rsidRPr="00102ACF">
        <w:rPr>
          <w:i/>
          <w:iCs/>
        </w:rPr>
        <w:t>Race and the Black Male Subculture: The Lives of Toby Waller</w:t>
      </w:r>
      <w:r w:rsidRPr="00102ACF">
        <w:t>, 129-142. https://doi.org/10.1057/978-1-137-58853-1_9</w:t>
      </w:r>
    </w:p>
    <w:p w14:paraId="6953E74E" w14:textId="77777777" w:rsidR="00102ACF" w:rsidRPr="00102ACF" w:rsidRDefault="00102ACF" w:rsidP="00102ACF">
      <w:pPr>
        <w:ind w:left="709" w:hanging="709"/>
      </w:pPr>
      <w:r w:rsidRPr="00102ACF">
        <w:t>Hoston, W. T., Thomas, A. A., Taylor, R. R., Clark, D. E. M., &amp; Eaden, A. (2017). Wrongfully Convicted, Rightfully Exonerated: The Lives of Cornelius Dupree Jr. and Anthony Massingill. </w:t>
      </w:r>
      <w:r w:rsidRPr="00102ACF">
        <w:rPr>
          <w:i/>
          <w:iCs/>
        </w:rPr>
        <w:t>The Journal of Pan African Studies, 10 (5)</w:t>
      </w:r>
      <w:r w:rsidRPr="00102ACF">
        <w:t>, 3-19.</w:t>
      </w:r>
    </w:p>
    <w:p w14:paraId="52DD8B5A" w14:textId="77777777" w:rsidR="00102ACF" w:rsidRPr="00102ACF" w:rsidRDefault="00102ACF" w:rsidP="00102ACF">
      <w:pPr>
        <w:ind w:left="709" w:hanging="709"/>
      </w:pPr>
      <w:r w:rsidRPr="00102ACF">
        <w:t>Jacoby, L. L., Bishara, A. J., Hessels, S., &amp; Toth, J. P. (2005). Ageing, subjective experience, and cognitive control: dramatic false remembering by older adults. </w:t>
      </w:r>
      <w:r w:rsidRPr="00102ACF">
        <w:rPr>
          <w:i/>
          <w:iCs/>
        </w:rPr>
        <w:t>Journal of Experimental Psychology: General</w:t>
      </w:r>
      <w:r w:rsidRPr="00102ACF">
        <w:t>, </w:t>
      </w:r>
      <w:r w:rsidRPr="00102ACF">
        <w:rPr>
          <w:i/>
          <w:iCs/>
        </w:rPr>
        <w:t>134</w:t>
      </w:r>
      <w:r w:rsidRPr="00102ACF">
        <w:t>(2), 131-148.</w:t>
      </w:r>
    </w:p>
    <w:p w14:paraId="1837EABE" w14:textId="77777777" w:rsidR="00102ACF" w:rsidRPr="00102ACF" w:rsidRDefault="00102ACF" w:rsidP="00102ACF">
      <w:pPr>
        <w:ind w:left="709" w:hanging="709"/>
      </w:pPr>
      <w:r w:rsidRPr="00102ACF">
        <w:t>Lindsay, D. S., Allen, B. P., Chan, J. C., &amp; Dahl, L. C. (2004). Eyewitness suggestibility and source similarity: Intrusions of details from one event into memory reports of another event. </w:t>
      </w:r>
      <w:r w:rsidRPr="00102ACF">
        <w:rPr>
          <w:i/>
          <w:iCs/>
        </w:rPr>
        <w:t>Journal of Memory and Language</w:t>
      </w:r>
      <w:r w:rsidRPr="00102ACF">
        <w:t>, </w:t>
      </w:r>
      <w:r w:rsidRPr="00102ACF">
        <w:rPr>
          <w:i/>
          <w:iCs/>
        </w:rPr>
        <w:t>50</w:t>
      </w:r>
      <w:r w:rsidRPr="00102ACF">
        <w:t xml:space="preserve">(1), 96-111. </w:t>
      </w:r>
      <w:hyperlink r:id="rId12" w:tgtFrame="_blank" w:tooltip="Persistent link using digital object identifier" w:history="1">
        <w:r w:rsidRPr="00102ACF">
          <w:rPr>
            <w:rStyle w:val="Hyperlink"/>
          </w:rPr>
          <w:t>https://doi.org/10.1016/j.jml.2003.08.007</w:t>
        </w:r>
      </w:hyperlink>
    </w:p>
    <w:p w14:paraId="343535D8" w14:textId="77777777" w:rsidR="00102ACF" w:rsidRPr="00102ACF" w:rsidRDefault="00102ACF" w:rsidP="00102ACF">
      <w:pPr>
        <w:ind w:left="709" w:hanging="709"/>
      </w:pPr>
      <w:r w:rsidRPr="00102ACF">
        <w:t>Lipton, J. P. (1977). On the psychology of eyewitness testimony. </w:t>
      </w:r>
      <w:r w:rsidRPr="00102ACF">
        <w:rPr>
          <w:i/>
          <w:iCs/>
        </w:rPr>
        <w:t>Journal of Applied Psychology, 62</w:t>
      </w:r>
      <w:r w:rsidRPr="00102ACF">
        <w:t>(1), 90–95. </w:t>
      </w:r>
      <w:hyperlink r:id="rId13" w:tgtFrame="_blank" w:history="1">
        <w:r w:rsidRPr="00102ACF">
          <w:rPr>
            <w:rStyle w:val="Hyperlink"/>
          </w:rPr>
          <w:t>https://doi.org/10.1037/0021-9010.62.1.90</w:t>
        </w:r>
      </w:hyperlink>
    </w:p>
    <w:p w14:paraId="785F697F" w14:textId="77777777" w:rsidR="00102ACF" w:rsidRPr="00102ACF" w:rsidRDefault="00102ACF" w:rsidP="00102ACF">
      <w:pPr>
        <w:ind w:left="709" w:hanging="709"/>
      </w:pPr>
      <w:r w:rsidRPr="00102ACF">
        <w:lastRenderedPageBreak/>
        <w:t>Loftus, E. F. (2005). Planting misinformation in the human mind: A 30-year investigation of the malleability of memory. </w:t>
      </w:r>
      <w:r w:rsidRPr="00102ACF">
        <w:rPr>
          <w:i/>
          <w:iCs/>
        </w:rPr>
        <w:t>Learning &amp; memory</w:t>
      </w:r>
      <w:r w:rsidRPr="00102ACF">
        <w:t>, </w:t>
      </w:r>
      <w:r w:rsidRPr="00102ACF">
        <w:rPr>
          <w:i/>
          <w:iCs/>
        </w:rPr>
        <w:t>12</w:t>
      </w:r>
      <w:r w:rsidRPr="00102ACF">
        <w:t>(4), 361-366.</w:t>
      </w:r>
    </w:p>
    <w:p w14:paraId="7F5F18A8" w14:textId="77777777" w:rsidR="00102ACF" w:rsidRPr="00102ACF" w:rsidRDefault="00102ACF" w:rsidP="00102ACF">
      <w:pPr>
        <w:ind w:left="709" w:hanging="709"/>
      </w:pPr>
      <w:r w:rsidRPr="00102ACF">
        <w:t>Loftus, E. F., &amp; Hoffman, H. G. (1989). Misinformation and memory: The creation of new memories. </w:t>
      </w:r>
      <w:r w:rsidRPr="00102ACF">
        <w:rPr>
          <w:i/>
          <w:iCs/>
        </w:rPr>
        <w:t>Journal of Experimental Psychology: General, 118</w:t>
      </w:r>
      <w:r w:rsidRPr="00102ACF">
        <w:t>(1), 100–104. </w:t>
      </w:r>
      <w:hyperlink r:id="rId14" w:tgtFrame="_blank" w:history="1">
        <w:r w:rsidRPr="00102ACF">
          <w:rPr>
            <w:rStyle w:val="Hyperlink"/>
          </w:rPr>
          <w:t>https://doi.org/10.1037/0096-3445.118.1.100</w:t>
        </w:r>
      </w:hyperlink>
    </w:p>
    <w:p w14:paraId="7E41D80B" w14:textId="77777777" w:rsidR="00102ACF" w:rsidRPr="00102ACF" w:rsidRDefault="00102ACF" w:rsidP="00102ACF">
      <w:pPr>
        <w:ind w:left="709" w:hanging="709"/>
      </w:pPr>
      <w:r w:rsidRPr="00102ACF">
        <w:t>Loftus, E. F., &amp; Palmer, J. C. (1974). Reconstruction of automobile destruction: An example of the interaction between language and memory. </w:t>
      </w:r>
      <w:r w:rsidRPr="00102ACF">
        <w:rPr>
          <w:i/>
          <w:iCs/>
        </w:rPr>
        <w:t>Journal of verbal learning and verbal behaviour</w:t>
      </w:r>
      <w:r w:rsidRPr="00102ACF">
        <w:t>, </w:t>
      </w:r>
      <w:r w:rsidRPr="00102ACF">
        <w:rPr>
          <w:i/>
          <w:iCs/>
        </w:rPr>
        <w:t>13</w:t>
      </w:r>
      <w:r w:rsidRPr="00102ACF">
        <w:t xml:space="preserve">(5), 585-589. </w:t>
      </w:r>
      <w:hyperlink r:id="rId15" w:tgtFrame="_blank" w:tooltip="Persistent link using digital object identifier" w:history="1">
        <w:r w:rsidRPr="00102ACF">
          <w:rPr>
            <w:rStyle w:val="Hyperlink"/>
          </w:rPr>
          <w:t>https://doi.org/10.1016/S0022-5371(74)80011-3</w:t>
        </w:r>
      </w:hyperlink>
    </w:p>
    <w:p w14:paraId="3F0A174E" w14:textId="77777777" w:rsidR="00102ACF" w:rsidRPr="00102ACF" w:rsidRDefault="00102ACF" w:rsidP="00102ACF">
      <w:pPr>
        <w:ind w:left="709" w:hanging="709"/>
      </w:pPr>
      <w:r w:rsidRPr="00102ACF">
        <w:t>Loftus, E. F., Loftus, G. R., &amp; Messo, J. (1987). Some facts about “weapon focus”. </w:t>
      </w:r>
      <w:r w:rsidRPr="00102ACF">
        <w:rPr>
          <w:i/>
          <w:iCs/>
        </w:rPr>
        <w:t xml:space="preserve">Law and human </w:t>
      </w:r>
      <w:proofErr w:type="spellStart"/>
      <w:r w:rsidRPr="00102ACF">
        <w:rPr>
          <w:i/>
          <w:iCs/>
        </w:rPr>
        <w:t>behavior</w:t>
      </w:r>
      <w:proofErr w:type="spellEnd"/>
      <w:r w:rsidRPr="00102ACF">
        <w:t>, </w:t>
      </w:r>
      <w:r w:rsidRPr="00102ACF">
        <w:rPr>
          <w:i/>
          <w:iCs/>
        </w:rPr>
        <w:t>11</w:t>
      </w:r>
      <w:r w:rsidRPr="00102ACF">
        <w:t>(1), 55-62.</w:t>
      </w:r>
    </w:p>
    <w:p w14:paraId="012CE82D" w14:textId="77777777" w:rsidR="00102ACF" w:rsidRPr="00102ACF" w:rsidRDefault="00102ACF" w:rsidP="00102ACF">
      <w:pPr>
        <w:ind w:left="709" w:hanging="709"/>
      </w:pPr>
      <w:r w:rsidRPr="00102ACF">
        <w:t xml:space="preserve">Marcon, J. L., Meissner, C. A., Frueh, M., Susa, K. J., &amp; </w:t>
      </w:r>
      <w:proofErr w:type="spellStart"/>
      <w:r w:rsidRPr="00102ACF">
        <w:t>MacLin</w:t>
      </w:r>
      <w:proofErr w:type="spellEnd"/>
      <w:r w:rsidRPr="00102ACF">
        <w:t>, O. H. (2010). Perceptual identification and the cross-race effect. </w:t>
      </w:r>
      <w:r w:rsidRPr="00102ACF">
        <w:rPr>
          <w:i/>
          <w:iCs/>
        </w:rPr>
        <w:t>Visual Cognition</w:t>
      </w:r>
      <w:r w:rsidRPr="00102ACF">
        <w:t>, </w:t>
      </w:r>
      <w:r w:rsidRPr="00102ACF">
        <w:rPr>
          <w:i/>
          <w:iCs/>
        </w:rPr>
        <w:t>18</w:t>
      </w:r>
      <w:r w:rsidRPr="00102ACF">
        <w:t>(5), 767-779.</w:t>
      </w:r>
    </w:p>
    <w:p w14:paraId="32D3BBD9" w14:textId="77777777" w:rsidR="00102ACF" w:rsidRPr="00102ACF" w:rsidRDefault="00102ACF" w:rsidP="00102ACF">
      <w:pPr>
        <w:ind w:left="709" w:hanging="709"/>
      </w:pPr>
      <w:r w:rsidRPr="00102ACF">
        <w:t xml:space="preserve">McCloskey, M., &amp; Zaragoza, M. (1985). Misleading </w:t>
      </w:r>
      <w:proofErr w:type="spellStart"/>
      <w:r w:rsidRPr="00102ACF">
        <w:t>postevent</w:t>
      </w:r>
      <w:proofErr w:type="spellEnd"/>
      <w:r w:rsidRPr="00102ACF">
        <w:t xml:space="preserve"> information and memory for events: Arguments and evidence against memory impairment hypotheses. </w:t>
      </w:r>
      <w:r w:rsidRPr="00102ACF">
        <w:rPr>
          <w:i/>
          <w:iCs/>
        </w:rPr>
        <w:t>Journal of Experimental Psychology: General, 114</w:t>
      </w:r>
      <w:r w:rsidRPr="00102ACF">
        <w:t>(1), 1–16. </w:t>
      </w:r>
      <w:hyperlink r:id="rId16" w:tgtFrame="_blank" w:history="1">
        <w:r w:rsidRPr="00102ACF">
          <w:rPr>
            <w:rStyle w:val="Hyperlink"/>
          </w:rPr>
          <w:t>https://doi.org/10.1037/0096-3445.114.1.1</w:t>
        </w:r>
      </w:hyperlink>
    </w:p>
    <w:p w14:paraId="7FDA41D4" w14:textId="77777777" w:rsidR="00102ACF" w:rsidRPr="00102ACF" w:rsidRDefault="00102ACF" w:rsidP="00102ACF">
      <w:pPr>
        <w:ind w:left="709" w:hanging="709"/>
      </w:pPr>
      <w:r w:rsidRPr="00102ACF">
        <w:t>Ornstein, P. A., Gordon, B. N., &amp; Larus, D. M. (1992). Children's memory for a personally experienced event: Implications for testimony. </w:t>
      </w:r>
      <w:r w:rsidRPr="00102ACF">
        <w:rPr>
          <w:i/>
          <w:iCs/>
        </w:rPr>
        <w:t>Applied Cognitive Psychology</w:t>
      </w:r>
      <w:r w:rsidRPr="00102ACF">
        <w:t>, </w:t>
      </w:r>
      <w:r w:rsidRPr="00102ACF">
        <w:rPr>
          <w:i/>
          <w:iCs/>
        </w:rPr>
        <w:t>6</w:t>
      </w:r>
      <w:r w:rsidRPr="00102ACF">
        <w:t xml:space="preserve">(1), 49-60. </w:t>
      </w:r>
      <w:hyperlink r:id="rId17" w:history="1">
        <w:r w:rsidRPr="00102ACF">
          <w:rPr>
            <w:rStyle w:val="Hyperlink"/>
          </w:rPr>
          <w:t>https://doi.org/10.1002/acp.2350060103</w:t>
        </w:r>
      </w:hyperlink>
    </w:p>
    <w:p w14:paraId="731C7117" w14:textId="77777777" w:rsidR="00102ACF" w:rsidRPr="00102ACF" w:rsidRDefault="00102ACF" w:rsidP="00102ACF">
      <w:pPr>
        <w:ind w:left="709" w:hanging="709"/>
      </w:pPr>
      <w:r w:rsidRPr="00102ACF">
        <w:t>Parker, A., Parkin, A., &amp; Dagnall, N. (2024). Saccade induced retrieval enhancement, handedness &amp; the retrieval of central &amp; peripheral details in eyewitness memory. </w:t>
      </w:r>
      <w:r w:rsidRPr="00102ACF">
        <w:rPr>
          <w:i/>
          <w:iCs/>
        </w:rPr>
        <w:t>Journal of Cognitive Enhancement</w:t>
      </w:r>
      <w:r w:rsidRPr="00102ACF">
        <w:t>, </w:t>
      </w:r>
      <w:r w:rsidRPr="00102ACF">
        <w:rPr>
          <w:i/>
          <w:iCs/>
        </w:rPr>
        <w:t>8</w:t>
      </w:r>
      <w:r w:rsidRPr="00102ACF">
        <w:t xml:space="preserve">(1), 36-53. </w:t>
      </w:r>
      <w:hyperlink r:id="rId18" w:history="1">
        <w:r w:rsidRPr="00102ACF">
          <w:rPr>
            <w:rStyle w:val="Hyperlink"/>
          </w:rPr>
          <w:t>https://doi.org/10.1007/s41465-023-00282-x</w:t>
        </w:r>
      </w:hyperlink>
    </w:p>
    <w:p w14:paraId="252B6662" w14:textId="77777777" w:rsidR="00102ACF" w:rsidRPr="00102ACF" w:rsidRDefault="00102ACF" w:rsidP="00102ACF">
      <w:pPr>
        <w:ind w:left="709" w:hanging="709"/>
      </w:pPr>
      <w:r w:rsidRPr="00102ACF">
        <w:t xml:space="preserve">Paterson, H. M., Kemp, R., &amp; McIntyre, S. (2012). Can a witness report hearsay evidence unintentionally? The effects of discussion on eyewitness memory. Psychology, Crime &amp; Law, 18(6), 505-527. </w:t>
      </w:r>
      <w:hyperlink r:id="rId19" w:history="1">
        <w:r w:rsidRPr="00102ACF">
          <w:rPr>
            <w:rStyle w:val="Hyperlink"/>
          </w:rPr>
          <w:t>https://doi.org/10.1080/1068316X.2010.510117</w:t>
        </w:r>
      </w:hyperlink>
    </w:p>
    <w:p w14:paraId="0D038E27" w14:textId="77777777" w:rsidR="00102ACF" w:rsidRPr="00102ACF" w:rsidRDefault="00102ACF" w:rsidP="00102ACF">
      <w:pPr>
        <w:ind w:left="709" w:hanging="709"/>
      </w:pPr>
      <w:r w:rsidRPr="00102ACF">
        <w:t>Pickel, K. L. (1998). Unusualness and Threat as Possible Causes of “Weapon Focus.” </w:t>
      </w:r>
      <w:r w:rsidRPr="00102ACF">
        <w:rPr>
          <w:i/>
          <w:iCs/>
        </w:rPr>
        <w:t>Memory (Hove)</w:t>
      </w:r>
      <w:r w:rsidRPr="00102ACF">
        <w:t>, </w:t>
      </w:r>
      <w:r w:rsidRPr="00102ACF">
        <w:rPr>
          <w:i/>
          <w:iCs/>
        </w:rPr>
        <w:t>6</w:t>
      </w:r>
      <w:r w:rsidRPr="00102ACF">
        <w:t>(3), 277–295. https://doi.org/10.1080/741942361</w:t>
      </w:r>
    </w:p>
    <w:p w14:paraId="5C712BC2" w14:textId="77777777" w:rsidR="00102ACF" w:rsidRPr="00102ACF" w:rsidRDefault="00102ACF" w:rsidP="00102ACF">
      <w:pPr>
        <w:ind w:left="709" w:hanging="709"/>
      </w:pPr>
      <w:r w:rsidRPr="00102ACF">
        <w:t>Semmler, C., Dunn, J., Mickes, L., &amp; Wixted, J. T. (2018). The role of estimator variables in eyewitness identification. </w:t>
      </w:r>
      <w:r w:rsidRPr="00102ACF">
        <w:rPr>
          <w:i/>
          <w:iCs/>
        </w:rPr>
        <w:t>Journal of Experimental Psychology: Applied, 24</w:t>
      </w:r>
      <w:r w:rsidRPr="00102ACF">
        <w:t>(3), 400–415. </w:t>
      </w:r>
      <w:hyperlink r:id="rId20" w:tgtFrame="_blank" w:history="1">
        <w:r w:rsidRPr="00102ACF">
          <w:rPr>
            <w:rStyle w:val="Hyperlink"/>
          </w:rPr>
          <w:t>https://doi.org/10.1037/xap0000157</w:t>
        </w:r>
      </w:hyperlink>
    </w:p>
    <w:p w14:paraId="7CA89727" w14:textId="77777777" w:rsidR="00102ACF" w:rsidRPr="00102ACF" w:rsidRDefault="00102ACF" w:rsidP="00102ACF">
      <w:pPr>
        <w:ind w:left="709" w:hanging="709"/>
      </w:pPr>
      <w:r w:rsidRPr="00102ACF">
        <w:t>Smith, E., &amp; Hattery, A. J. (2011). Race, wrongful conviction &amp; exoneration. </w:t>
      </w:r>
      <w:r w:rsidRPr="00102ACF">
        <w:rPr>
          <w:i/>
          <w:iCs/>
        </w:rPr>
        <w:t>Journal of African American Studies</w:t>
      </w:r>
      <w:r w:rsidRPr="00102ACF">
        <w:t>, </w:t>
      </w:r>
      <w:r w:rsidRPr="00102ACF">
        <w:rPr>
          <w:i/>
          <w:iCs/>
        </w:rPr>
        <w:t>15</w:t>
      </w:r>
      <w:r w:rsidRPr="00102ACF">
        <w:t>, 74-94. https://doi.org/10.1007/s12111-010-9130-5</w:t>
      </w:r>
    </w:p>
    <w:p w14:paraId="6ABB9FA9" w14:textId="77777777" w:rsidR="00102ACF" w:rsidRPr="00102ACF" w:rsidRDefault="00102ACF" w:rsidP="00102ACF">
      <w:pPr>
        <w:ind w:left="709" w:hanging="709"/>
      </w:pPr>
      <w:proofErr w:type="spellStart"/>
      <w:r w:rsidRPr="00102ACF">
        <w:lastRenderedPageBreak/>
        <w:t>Steblay</w:t>
      </w:r>
      <w:proofErr w:type="spellEnd"/>
      <w:r w:rsidRPr="00102ACF">
        <w:t>, N. M. (1992). A meta-analytic review of the weapon focus effect. </w:t>
      </w:r>
      <w:r w:rsidRPr="00102ACF">
        <w:rPr>
          <w:i/>
          <w:iCs/>
        </w:rPr>
        <w:t xml:space="preserve">Law and human </w:t>
      </w:r>
      <w:proofErr w:type="spellStart"/>
      <w:r w:rsidRPr="00102ACF">
        <w:rPr>
          <w:i/>
          <w:iCs/>
        </w:rPr>
        <w:t>behavior</w:t>
      </w:r>
      <w:proofErr w:type="spellEnd"/>
      <w:r w:rsidRPr="00102ACF">
        <w:t>, </w:t>
      </w:r>
      <w:r w:rsidRPr="00102ACF">
        <w:rPr>
          <w:i/>
          <w:iCs/>
        </w:rPr>
        <w:t>16</w:t>
      </w:r>
      <w:r w:rsidRPr="00102ACF">
        <w:t>(4), 413-424. https://doi.org/10.1007/BF02352267</w:t>
      </w:r>
    </w:p>
    <w:p w14:paraId="3AE91732" w14:textId="77777777" w:rsidR="00102ACF" w:rsidRPr="00102ACF" w:rsidRDefault="00102ACF" w:rsidP="00102ACF">
      <w:pPr>
        <w:ind w:left="709" w:hanging="709"/>
      </w:pPr>
      <w:r w:rsidRPr="00102ACF">
        <w:t>Tulving, E. (1984). Precis of elements of episodic memory. </w:t>
      </w:r>
      <w:r w:rsidRPr="00102ACF">
        <w:rPr>
          <w:i/>
          <w:iCs/>
        </w:rPr>
        <w:t>Behavioural and Brain Sciences</w:t>
      </w:r>
      <w:r w:rsidRPr="00102ACF">
        <w:t>, </w:t>
      </w:r>
      <w:r w:rsidRPr="00102ACF">
        <w:rPr>
          <w:i/>
          <w:iCs/>
        </w:rPr>
        <w:t>7</w:t>
      </w:r>
      <w:r w:rsidRPr="00102ACF">
        <w:t>(2), 223-238.</w:t>
      </w:r>
    </w:p>
    <w:p w14:paraId="1B2BBC39" w14:textId="77777777" w:rsidR="00102ACF" w:rsidRPr="00102ACF" w:rsidRDefault="00102ACF" w:rsidP="00102ACF">
      <w:pPr>
        <w:ind w:left="709" w:hanging="709"/>
      </w:pPr>
      <w:r w:rsidRPr="00102ACF">
        <w:t xml:space="preserve">Van </w:t>
      </w:r>
      <w:proofErr w:type="spellStart"/>
      <w:r w:rsidRPr="00102ACF">
        <w:t>Oorsouw</w:t>
      </w:r>
      <w:proofErr w:type="spellEnd"/>
      <w:r w:rsidRPr="00102ACF">
        <w:t>, K., Broers, N. J., &amp; Sauerland, M. (2019). Alcohol intoxication impairs eyewitness memory and increases suggestibility: two field studies. </w:t>
      </w:r>
      <w:r w:rsidRPr="00102ACF">
        <w:rPr>
          <w:i/>
          <w:iCs/>
        </w:rPr>
        <w:t>Applied cognitive psychology</w:t>
      </w:r>
      <w:r w:rsidRPr="00102ACF">
        <w:t>, </w:t>
      </w:r>
      <w:r w:rsidRPr="00102ACF">
        <w:rPr>
          <w:i/>
          <w:iCs/>
        </w:rPr>
        <w:t>33</w:t>
      </w:r>
      <w:r w:rsidRPr="00102ACF">
        <w:t>(3), 439-455. </w:t>
      </w:r>
      <w:hyperlink r:id="rId21" w:history="1">
        <w:r w:rsidRPr="00102ACF">
          <w:rPr>
            <w:rStyle w:val="Hyperlink"/>
          </w:rPr>
          <w:t>https://doi.org/10.1002/acp.3561</w:t>
        </w:r>
      </w:hyperlink>
    </w:p>
    <w:p w14:paraId="77E08F20" w14:textId="77777777" w:rsidR="00102ACF" w:rsidRPr="00102ACF" w:rsidRDefault="00102ACF" w:rsidP="00102ACF">
      <w:pPr>
        <w:ind w:left="709" w:hanging="709"/>
      </w:pPr>
      <w:r w:rsidRPr="00102ACF">
        <w:t>Wells, G. L. (1978). Applied eyewitness-testimony research: System variables and estimator variables. </w:t>
      </w:r>
      <w:r w:rsidRPr="00102ACF">
        <w:rPr>
          <w:i/>
          <w:iCs/>
        </w:rPr>
        <w:t>Journal of Personality and Social Psychology, 36</w:t>
      </w:r>
      <w:r w:rsidRPr="00102ACF">
        <w:t>(12), 1546–1557. </w:t>
      </w:r>
      <w:hyperlink r:id="rId22" w:tgtFrame="_blank" w:history="1">
        <w:r w:rsidRPr="00102ACF">
          <w:rPr>
            <w:rStyle w:val="Hyperlink"/>
          </w:rPr>
          <w:t>https://doi.org/10.1037/0022-3514.36.12.1546</w:t>
        </w:r>
      </w:hyperlink>
    </w:p>
    <w:p w14:paraId="7CDFB635" w14:textId="77777777" w:rsidR="00102ACF" w:rsidRPr="00102ACF" w:rsidRDefault="00102ACF" w:rsidP="00102ACF">
      <w:pPr>
        <w:ind w:left="709" w:hanging="709"/>
      </w:pPr>
      <w:r w:rsidRPr="00102ACF">
        <w:t>Wells, G. L., Memon, A., &amp; Penrod, S. D. (2006). Eyewitness evidence: Improving its probative value. </w:t>
      </w:r>
      <w:r w:rsidRPr="00102ACF">
        <w:rPr>
          <w:i/>
          <w:iCs/>
        </w:rPr>
        <w:t>Psychological science in the public interest</w:t>
      </w:r>
      <w:r w:rsidRPr="00102ACF">
        <w:t>, </w:t>
      </w:r>
      <w:r w:rsidRPr="00102ACF">
        <w:rPr>
          <w:i/>
          <w:iCs/>
        </w:rPr>
        <w:t>7</w:t>
      </w:r>
      <w:r w:rsidRPr="00102ACF">
        <w:t xml:space="preserve">(2), 45-75. </w:t>
      </w:r>
      <w:hyperlink r:id="rId23" w:history="1">
        <w:r w:rsidRPr="00102ACF">
          <w:rPr>
            <w:rStyle w:val="Hyperlink"/>
          </w:rPr>
          <w:t>https://doi.org/10.1111/j.1529-1006.2006.00027</w:t>
        </w:r>
      </w:hyperlink>
    </w:p>
    <w:p w14:paraId="2D5E0B90" w14:textId="77777777" w:rsidR="00102ACF" w:rsidRPr="00102ACF" w:rsidRDefault="00102ACF" w:rsidP="00102ACF">
      <w:pPr>
        <w:ind w:left="709" w:hanging="709"/>
      </w:pPr>
      <w:r w:rsidRPr="00102ACF">
        <w:t xml:space="preserve">Wiese, H., Komes, J., &amp; </w:t>
      </w:r>
      <w:proofErr w:type="spellStart"/>
      <w:r w:rsidRPr="00102ACF">
        <w:t>Schweinberger</w:t>
      </w:r>
      <w:proofErr w:type="spellEnd"/>
      <w:r w:rsidRPr="00102ACF">
        <w:t>, S. R. (2013). Ageing faces in ageing minds: A review on the own-age bias in face recognition. </w:t>
      </w:r>
      <w:r w:rsidRPr="00102ACF">
        <w:rPr>
          <w:i/>
          <w:iCs/>
        </w:rPr>
        <w:t>Visual Cognition</w:t>
      </w:r>
      <w:r w:rsidRPr="00102ACF">
        <w:t>, </w:t>
      </w:r>
      <w:r w:rsidRPr="00102ACF">
        <w:rPr>
          <w:i/>
          <w:iCs/>
        </w:rPr>
        <w:t>21</w:t>
      </w:r>
      <w:r w:rsidRPr="00102ACF">
        <w:t xml:space="preserve">(9-10), 1337-1363. </w:t>
      </w:r>
      <w:hyperlink r:id="rId24" w:history="1">
        <w:r w:rsidRPr="00102ACF">
          <w:rPr>
            <w:rStyle w:val="Hyperlink"/>
          </w:rPr>
          <w:t>https://doi.org/10.1080/13506285.2013.823139</w:t>
        </w:r>
      </w:hyperlink>
    </w:p>
    <w:p w14:paraId="0BEE53FB" w14:textId="77777777" w:rsidR="00102ACF" w:rsidRPr="00102ACF" w:rsidRDefault="00102ACF" w:rsidP="00102ACF">
      <w:pPr>
        <w:ind w:left="709" w:hanging="709"/>
      </w:pPr>
      <w:r w:rsidRPr="00102ACF">
        <w:t>Wright, D. B., &amp; Stroud, J. N. (2002). Age differences in lineup identification accuracy: People are better with their own age. </w:t>
      </w:r>
      <w:r w:rsidRPr="00102ACF">
        <w:rPr>
          <w:i/>
          <w:iCs/>
        </w:rPr>
        <w:t>Law and human behaviour</w:t>
      </w:r>
      <w:r w:rsidRPr="00102ACF">
        <w:t>, </w:t>
      </w:r>
      <w:r w:rsidRPr="00102ACF">
        <w:rPr>
          <w:i/>
          <w:iCs/>
        </w:rPr>
        <w:t>26</w:t>
      </w:r>
      <w:r w:rsidRPr="00102ACF">
        <w:t>, 641-654. https://doi.org/10.1023/A:1020981501383</w:t>
      </w:r>
    </w:p>
    <w:p w14:paraId="51186E4B" w14:textId="77777777" w:rsidR="00102ACF" w:rsidRPr="00102ACF" w:rsidRDefault="00102ACF" w:rsidP="00102ACF">
      <w:pPr>
        <w:ind w:left="709" w:hanging="709"/>
      </w:pPr>
      <w:proofErr w:type="spellStart"/>
      <w:r w:rsidRPr="00102ACF">
        <w:t>Wüllenweber</w:t>
      </w:r>
      <w:proofErr w:type="spellEnd"/>
      <w:r w:rsidRPr="00102ACF">
        <w:t>, S., &amp; Burrell, A. (2024). The crime and the place: Robbery in the night</w:t>
      </w:r>
      <w:r w:rsidRPr="00102ACF">
        <w:rPr>
          <w:rFonts w:ascii="Cambria Math" w:hAnsi="Cambria Math" w:cs="Cambria Math"/>
        </w:rPr>
        <w:t>‐</w:t>
      </w:r>
      <w:r w:rsidRPr="00102ACF">
        <w:t>time economy. </w:t>
      </w:r>
      <w:r w:rsidRPr="00102ACF">
        <w:rPr>
          <w:i/>
          <w:iCs/>
        </w:rPr>
        <w:t>Journal of Investigative Psychology and Offender Profiling</w:t>
      </w:r>
      <w:r w:rsidRPr="00102ACF">
        <w:t>, </w:t>
      </w:r>
      <w:r w:rsidRPr="00102ACF">
        <w:rPr>
          <w:i/>
          <w:iCs/>
        </w:rPr>
        <w:t>21</w:t>
      </w:r>
      <w:r w:rsidRPr="00102ACF">
        <w:t xml:space="preserve">(1), 3-19. </w:t>
      </w:r>
      <w:hyperlink r:id="rId25" w:history="1">
        <w:r w:rsidRPr="00102ACF">
          <w:rPr>
            <w:rStyle w:val="Hyperlink"/>
          </w:rPr>
          <w:t>https://doi.org/10.1002/jip.1616</w:t>
        </w:r>
      </w:hyperlink>
    </w:p>
    <w:p w14:paraId="314C103C" w14:textId="77777777" w:rsidR="00102ACF" w:rsidRPr="00102ACF" w:rsidRDefault="00102ACF" w:rsidP="00102ACF">
      <w:pPr>
        <w:ind w:left="709" w:hanging="709"/>
      </w:pPr>
      <w:r w:rsidRPr="00102ACF">
        <w:t xml:space="preserve">Wylie, L. E., </w:t>
      </w:r>
      <w:proofErr w:type="spellStart"/>
      <w:r w:rsidRPr="00102ACF">
        <w:t>Patihis</w:t>
      </w:r>
      <w:proofErr w:type="spellEnd"/>
      <w:r w:rsidRPr="00102ACF">
        <w:t>, L., McCuller, L. L., Davis, D., Brank, E. M., Loftus, E. F., &amp; Bornstein, B. H. (2014). Misinformation effect in older versus younger adults: A meta-analysis and review. </w:t>
      </w:r>
      <w:r w:rsidRPr="00102ACF">
        <w:rPr>
          <w:i/>
          <w:iCs/>
        </w:rPr>
        <w:t>The elderly eyewitness in court</w:t>
      </w:r>
      <w:r w:rsidRPr="00102ACF">
        <w:t>, 38-66.</w:t>
      </w:r>
    </w:p>
    <w:p w14:paraId="4E17913B" w14:textId="77777777" w:rsidR="00102ACF" w:rsidRPr="00102ACF" w:rsidRDefault="00102ACF" w:rsidP="00102ACF">
      <w:pPr>
        <w:ind w:left="709" w:hanging="709"/>
      </w:pPr>
      <w:proofErr w:type="spellStart"/>
      <w:r w:rsidRPr="00102ACF">
        <w:t>Yegiyan</w:t>
      </w:r>
      <w:proofErr w:type="spellEnd"/>
      <w:r w:rsidRPr="00102ACF">
        <w:t>, N. S., &amp; Lang, A. (2010). Processing central and peripheral detail: How content arousal and emotional tone influence encoding. </w:t>
      </w:r>
      <w:r w:rsidRPr="00102ACF">
        <w:rPr>
          <w:i/>
          <w:iCs/>
        </w:rPr>
        <w:t>Media Psychology</w:t>
      </w:r>
      <w:r w:rsidRPr="00102ACF">
        <w:t>, </w:t>
      </w:r>
      <w:r w:rsidRPr="00102ACF">
        <w:rPr>
          <w:i/>
          <w:iCs/>
        </w:rPr>
        <w:t>13</w:t>
      </w:r>
      <w:r w:rsidRPr="00102ACF">
        <w:t xml:space="preserve">(1), 77-99. </w:t>
      </w:r>
      <w:hyperlink r:id="rId26" w:history="1">
        <w:r w:rsidRPr="00102ACF">
          <w:rPr>
            <w:rStyle w:val="Hyperlink"/>
          </w:rPr>
          <w:t>https://doi.org/10.1080/15213260903563014</w:t>
        </w:r>
      </w:hyperlink>
    </w:p>
    <w:p w14:paraId="792B708D" w14:textId="77777777" w:rsidR="00102ACF" w:rsidRPr="00102ACF" w:rsidRDefault="00102ACF" w:rsidP="00102ACF">
      <w:pPr>
        <w:ind w:left="709" w:hanging="709"/>
      </w:pPr>
      <w:r w:rsidRPr="00102ACF">
        <w:t>Young, S. G., &amp; Hugenberg, K. (2012). Individuation motivation and face experience can operate jointly to produce the own-race bias. </w:t>
      </w:r>
      <w:r w:rsidRPr="00102ACF">
        <w:rPr>
          <w:i/>
          <w:iCs/>
        </w:rPr>
        <w:t>Social Psychological and Personality Science</w:t>
      </w:r>
      <w:r w:rsidRPr="00102ACF">
        <w:t>, </w:t>
      </w:r>
      <w:r w:rsidRPr="00102ACF">
        <w:rPr>
          <w:i/>
          <w:iCs/>
        </w:rPr>
        <w:t>3</w:t>
      </w:r>
      <w:r w:rsidRPr="00102ACF">
        <w:t xml:space="preserve">(1), 80-87. </w:t>
      </w:r>
      <w:hyperlink r:id="rId27" w:history="1">
        <w:r w:rsidRPr="00102ACF">
          <w:rPr>
            <w:rStyle w:val="Hyperlink"/>
          </w:rPr>
          <w:t>https://doi.org/10.1177/1948550611409759</w:t>
        </w:r>
      </w:hyperlink>
    </w:p>
    <w:p w14:paraId="1289D58D" w14:textId="77777777" w:rsidR="00102ACF" w:rsidRPr="00102ACF" w:rsidRDefault="00102ACF" w:rsidP="00102ACF">
      <w:pPr>
        <w:ind w:left="709" w:hanging="709"/>
      </w:pPr>
      <w:proofErr w:type="spellStart"/>
      <w:r w:rsidRPr="00102ACF">
        <w:t>Zalman</w:t>
      </w:r>
      <w:proofErr w:type="spellEnd"/>
      <w:r w:rsidRPr="00102ACF">
        <w:t>, M., Larson, M. J., &amp; Smith, B. (2012). Citizens’ attitudes toward wrongful convictions. </w:t>
      </w:r>
      <w:r w:rsidRPr="00102ACF">
        <w:rPr>
          <w:i/>
          <w:iCs/>
        </w:rPr>
        <w:t>Criminal Justice Review</w:t>
      </w:r>
      <w:r w:rsidRPr="00102ACF">
        <w:t>, </w:t>
      </w:r>
      <w:r w:rsidRPr="00102ACF">
        <w:rPr>
          <w:i/>
          <w:iCs/>
        </w:rPr>
        <w:t>37</w:t>
      </w:r>
      <w:r w:rsidRPr="00102ACF">
        <w:t xml:space="preserve">(1), 51-69. </w:t>
      </w:r>
      <w:hyperlink r:id="rId28" w:history="1">
        <w:r w:rsidRPr="00102ACF">
          <w:rPr>
            <w:rStyle w:val="Hyperlink"/>
          </w:rPr>
          <w:t>https://doi.org/10.1177/0734016811428374</w:t>
        </w:r>
      </w:hyperlink>
    </w:p>
    <w:p w14:paraId="4CD22D4E" w14:textId="77777777" w:rsidR="00102ACF" w:rsidRPr="00102ACF" w:rsidRDefault="00102ACF" w:rsidP="00102ACF"/>
    <w:p w14:paraId="3620F42F" w14:textId="77777777" w:rsidR="00102ACF" w:rsidRPr="00102ACF" w:rsidRDefault="00102ACF" w:rsidP="00102ACF"/>
    <w:p w14:paraId="294489AA" w14:textId="77777777" w:rsidR="00102ACF" w:rsidRPr="00102ACF" w:rsidRDefault="00102ACF" w:rsidP="00102ACF"/>
    <w:p w14:paraId="45620963" w14:textId="77777777" w:rsidR="00102ACF" w:rsidRPr="00102ACF" w:rsidRDefault="00102ACF" w:rsidP="00102ACF"/>
    <w:p w14:paraId="5D0EF181" w14:textId="77777777" w:rsidR="00102ACF" w:rsidRPr="00102ACF" w:rsidRDefault="00102ACF" w:rsidP="00102ACF"/>
    <w:p w14:paraId="2153DA33" w14:textId="77777777" w:rsidR="00102ACF" w:rsidRPr="00102ACF" w:rsidRDefault="00102ACF" w:rsidP="00102ACF"/>
    <w:p w14:paraId="28E6A56E" w14:textId="77777777" w:rsidR="00102ACF" w:rsidRPr="00102ACF" w:rsidRDefault="00102ACF" w:rsidP="00102ACF"/>
    <w:p w14:paraId="33652AB4" w14:textId="77777777" w:rsidR="00102ACF" w:rsidRPr="00102ACF" w:rsidRDefault="00102ACF" w:rsidP="002C6E9F">
      <w:pPr>
        <w:jc w:val="center"/>
      </w:pPr>
      <w:r w:rsidRPr="00102ACF">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7A356550" w14:textId="117DD48C" w:rsidR="00047342" w:rsidRPr="00102ACF" w:rsidRDefault="00047342" w:rsidP="00102ACF"/>
    <w:sectPr w:rsidR="00047342" w:rsidRPr="00102ACF">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EC930" w14:textId="77777777" w:rsidR="006678A6" w:rsidRDefault="006678A6" w:rsidP="00AC2B5C">
      <w:pPr>
        <w:spacing w:after="0" w:line="240" w:lineRule="auto"/>
      </w:pPr>
      <w:r>
        <w:separator/>
      </w:r>
    </w:p>
  </w:endnote>
  <w:endnote w:type="continuationSeparator" w:id="0">
    <w:p w14:paraId="269CDCBF" w14:textId="77777777" w:rsidR="006678A6" w:rsidRDefault="006678A6" w:rsidP="00AC2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C8738" w14:textId="77777777" w:rsidR="006678A6" w:rsidRDefault="006678A6" w:rsidP="00AC2B5C">
      <w:pPr>
        <w:spacing w:after="0" w:line="240" w:lineRule="auto"/>
      </w:pPr>
      <w:r>
        <w:separator/>
      </w:r>
    </w:p>
  </w:footnote>
  <w:footnote w:type="continuationSeparator" w:id="0">
    <w:p w14:paraId="22277144" w14:textId="77777777" w:rsidR="006678A6" w:rsidRDefault="006678A6" w:rsidP="00AC2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446556"/>
      <w:docPartObj>
        <w:docPartGallery w:val="Page Numbers (Top of Page)"/>
        <w:docPartUnique/>
      </w:docPartObj>
    </w:sdtPr>
    <w:sdtContent>
      <w:p w14:paraId="0DA1E773" w14:textId="35A84888" w:rsidR="00AC2B5C" w:rsidRDefault="00AC2B5C">
        <w:pPr>
          <w:pStyle w:val="Header"/>
          <w:jc w:val="right"/>
        </w:pPr>
        <w:r>
          <w:fldChar w:fldCharType="begin"/>
        </w:r>
        <w:r>
          <w:instrText>PAGE   \* MERGEFORMAT</w:instrText>
        </w:r>
        <w:r>
          <w:fldChar w:fldCharType="separate"/>
        </w:r>
        <w:r>
          <w:t>2</w:t>
        </w:r>
        <w:r>
          <w:fldChar w:fldCharType="end"/>
        </w:r>
      </w:p>
    </w:sdtContent>
  </w:sdt>
  <w:p w14:paraId="423813A9" w14:textId="77777777" w:rsidR="00AC2B5C" w:rsidRDefault="00AC2B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6159F"/>
    <w:multiLevelType w:val="hybridMultilevel"/>
    <w:tmpl w:val="6ACEC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9995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50F"/>
    <w:rsid w:val="00002C1C"/>
    <w:rsid w:val="00007963"/>
    <w:rsid w:val="00017C94"/>
    <w:rsid w:val="00022390"/>
    <w:rsid w:val="000230C5"/>
    <w:rsid w:val="00026251"/>
    <w:rsid w:val="000354E4"/>
    <w:rsid w:val="000365F6"/>
    <w:rsid w:val="000402C3"/>
    <w:rsid w:val="00041448"/>
    <w:rsid w:val="000414CB"/>
    <w:rsid w:val="000430A4"/>
    <w:rsid w:val="000430F2"/>
    <w:rsid w:val="00047342"/>
    <w:rsid w:val="00050B6C"/>
    <w:rsid w:val="000566D1"/>
    <w:rsid w:val="0005740F"/>
    <w:rsid w:val="000576B2"/>
    <w:rsid w:val="000610A2"/>
    <w:rsid w:val="00062DA3"/>
    <w:rsid w:val="000630DF"/>
    <w:rsid w:val="0006456A"/>
    <w:rsid w:val="00082F83"/>
    <w:rsid w:val="00084431"/>
    <w:rsid w:val="00084819"/>
    <w:rsid w:val="0009037E"/>
    <w:rsid w:val="00095120"/>
    <w:rsid w:val="000B0CBA"/>
    <w:rsid w:val="000B2B64"/>
    <w:rsid w:val="000B5FF5"/>
    <w:rsid w:val="000C034B"/>
    <w:rsid w:val="000C0D68"/>
    <w:rsid w:val="000C274B"/>
    <w:rsid w:val="000C511F"/>
    <w:rsid w:val="000D06AD"/>
    <w:rsid w:val="000D1834"/>
    <w:rsid w:val="000D2808"/>
    <w:rsid w:val="000D4F6C"/>
    <w:rsid w:val="000E25AE"/>
    <w:rsid w:val="000E3DC8"/>
    <w:rsid w:val="000F450E"/>
    <w:rsid w:val="000F4A80"/>
    <w:rsid w:val="000F4D92"/>
    <w:rsid w:val="000F566D"/>
    <w:rsid w:val="000F74A6"/>
    <w:rsid w:val="0010021D"/>
    <w:rsid w:val="00101559"/>
    <w:rsid w:val="00102ACF"/>
    <w:rsid w:val="00102DD8"/>
    <w:rsid w:val="00106ADC"/>
    <w:rsid w:val="00107F3B"/>
    <w:rsid w:val="00114965"/>
    <w:rsid w:val="00115232"/>
    <w:rsid w:val="00115CFE"/>
    <w:rsid w:val="00124156"/>
    <w:rsid w:val="00127694"/>
    <w:rsid w:val="00130B2B"/>
    <w:rsid w:val="00134FC4"/>
    <w:rsid w:val="00140A33"/>
    <w:rsid w:val="00140B3A"/>
    <w:rsid w:val="00141843"/>
    <w:rsid w:val="00141EAF"/>
    <w:rsid w:val="001455D8"/>
    <w:rsid w:val="0015193F"/>
    <w:rsid w:val="00152782"/>
    <w:rsid w:val="001528DC"/>
    <w:rsid w:val="00163ECA"/>
    <w:rsid w:val="00164622"/>
    <w:rsid w:val="00165412"/>
    <w:rsid w:val="001662C6"/>
    <w:rsid w:val="00186016"/>
    <w:rsid w:val="00187E14"/>
    <w:rsid w:val="00191002"/>
    <w:rsid w:val="001911EC"/>
    <w:rsid w:val="001A1E19"/>
    <w:rsid w:val="001A206A"/>
    <w:rsid w:val="001A3B83"/>
    <w:rsid w:val="001A4AEE"/>
    <w:rsid w:val="001A4BFC"/>
    <w:rsid w:val="001A51FB"/>
    <w:rsid w:val="001B39F5"/>
    <w:rsid w:val="001B3A57"/>
    <w:rsid w:val="001B470F"/>
    <w:rsid w:val="001C4286"/>
    <w:rsid w:val="001C6A03"/>
    <w:rsid w:val="001D43AB"/>
    <w:rsid w:val="001D5927"/>
    <w:rsid w:val="001E0BF0"/>
    <w:rsid w:val="001E1959"/>
    <w:rsid w:val="001E638D"/>
    <w:rsid w:val="001F2A52"/>
    <w:rsid w:val="001F548A"/>
    <w:rsid w:val="001F55D6"/>
    <w:rsid w:val="001F7D3F"/>
    <w:rsid w:val="002047F4"/>
    <w:rsid w:val="002049B4"/>
    <w:rsid w:val="00211C45"/>
    <w:rsid w:val="0021629E"/>
    <w:rsid w:val="00216AF6"/>
    <w:rsid w:val="00226DB8"/>
    <w:rsid w:val="00235E01"/>
    <w:rsid w:val="00242072"/>
    <w:rsid w:val="00245B35"/>
    <w:rsid w:val="00252D41"/>
    <w:rsid w:val="00260B5D"/>
    <w:rsid w:val="002673A4"/>
    <w:rsid w:val="00273188"/>
    <w:rsid w:val="00274DBF"/>
    <w:rsid w:val="00282AFC"/>
    <w:rsid w:val="00284A87"/>
    <w:rsid w:val="0028675B"/>
    <w:rsid w:val="00290DFB"/>
    <w:rsid w:val="002923C1"/>
    <w:rsid w:val="00293D26"/>
    <w:rsid w:val="00296095"/>
    <w:rsid w:val="002961D2"/>
    <w:rsid w:val="002A1AD6"/>
    <w:rsid w:val="002B58C7"/>
    <w:rsid w:val="002B59F1"/>
    <w:rsid w:val="002B5B32"/>
    <w:rsid w:val="002B609F"/>
    <w:rsid w:val="002B651D"/>
    <w:rsid w:val="002B76CD"/>
    <w:rsid w:val="002C1BAE"/>
    <w:rsid w:val="002C3A30"/>
    <w:rsid w:val="002C6E9F"/>
    <w:rsid w:val="002D010A"/>
    <w:rsid w:val="002D11FE"/>
    <w:rsid w:val="002D2C5F"/>
    <w:rsid w:val="002D42E5"/>
    <w:rsid w:val="002D5C47"/>
    <w:rsid w:val="002D670D"/>
    <w:rsid w:val="002D67E3"/>
    <w:rsid w:val="002D6986"/>
    <w:rsid w:val="002D7A92"/>
    <w:rsid w:val="002E0CB3"/>
    <w:rsid w:val="002E0D0E"/>
    <w:rsid w:val="002F0513"/>
    <w:rsid w:val="002F2A14"/>
    <w:rsid w:val="00302D11"/>
    <w:rsid w:val="00310FC4"/>
    <w:rsid w:val="00311950"/>
    <w:rsid w:val="003161DC"/>
    <w:rsid w:val="00322DCC"/>
    <w:rsid w:val="00326267"/>
    <w:rsid w:val="00326D5A"/>
    <w:rsid w:val="003319F0"/>
    <w:rsid w:val="003330FE"/>
    <w:rsid w:val="00350D57"/>
    <w:rsid w:val="003537D6"/>
    <w:rsid w:val="00353E07"/>
    <w:rsid w:val="00357323"/>
    <w:rsid w:val="00357DD8"/>
    <w:rsid w:val="00361D9C"/>
    <w:rsid w:val="003626AA"/>
    <w:rsid w:val="003653DA"/>
    <w:rsid w:val="00370D07"/>
    <w:rsid w:val="0037196B"/>
    <w:rsid w:val="00373541"/>
    <w:rsid w:val="00374CE9"/>
    <w:rsid w:val="00374F36"/>
    <w:rsid w:val="0038043C"/>
    <w:rsid w:val="003806FF"/>
    <w:rsid w:val="003905E0"/>
    <w:rsid w:val="00390C23"/>
    <w:rsid w:val="00391226"/>
    <w:rsid w:val="00393F7A"/>
    <w:rsid w:val="003A0E51"/>
    <w:rsid w:val="003A3B34"/>
    <w:rsid w:val="003B4FD9"/>
    <w:rsid w:val="003B598D"/>
    <w:rsid w:val="003B71D4"/>
    <w:rsid w:val="003C30F4"/>
    <w:rsid w:val="003C57ED"/>
    <w:rsid w:val="003C627A"/>
    <w:rsid w:val="003D0F29"/>
    <w:rsid w:val="003D30AF"/>
    <w:rsid w:val="003E39EA"/>
    <w:rsid w:val="003E5876"/>
    <w:rsid w:val="003F1431"/>
    <w:rsid w:val="00400597"/>
    <w:rsid w:val="00402E30"/>
    <w:rsid w:val="004033A8"/>
    <w:rsid w:val="004135B5"/>
    <w:rsid w:val="0042358B"/>
    <w:rsid w:val="004259B1"/>
    <w:rsid w:val="004343F1"/>
    <w:rsid w:val="00436810"/>
    <w:rsid w:val="004417FC"/>
    <w:rsid w:val="00443E98"/>
    <w:rsid w:val="0045138F"/>
    <w:rsid w:val="0045374F"/>
    <w:rsid w:val="004560DD"/>
    <w:rsid w:val="004562AE"/>
    <w:rsid w:val="00457B7A"/>
    <w:rsid w:val="004607A3"/>
    <w:rsid w:val="004634E5"/>
    <w:rsid w:val="0046525D"/>
    <w:rsid w:val="00465932"/>
    <w:rsid w:val="00466076"/>
    <w:rsid w:val="004709A4"/>
    <w:rsid w:val="00476664"/>
    <w:rsid w:val="00480A38"/>
    <w:rsid w:val="00484AC5"/>
    <w:rsid w:val="004907B9"/>
    <w:rsid w:val="004A3BEF"/>
    <w:rsid w:val="004A4E57"/>
    <w:rsid w:val="004B6308"/>
    <w:rsid w:val="004B7157"/>
    <w:rsid w:val="004B7E5C"/>
    <w:rsid w:val="004C0A30"/>
    <w:rsid w:val="004C1F0F"/>
    <w:rsid w:val="004C2AD3"/>
    <w:rsid w:val="004C2B41"/>
    <w:rsid w:val="004D333D"/>
    <w:rsid w:val="004D4356"/>
    <w:rsid w:val="004D523C"/>
    <w:rsid w:val="004E147C"/>
    <w:rsid w:val="004E2E13"/>
    <w:rsid w:val="004E5F90"/>
    <w:rsid w:val="004F1269"/>
    <w:rsid w:val="004F2F5D"/>
    <w:rsid w:val="00500AC9"/>
    <w:rsid w:val="00500BDF"/>
    <w:rsid w:val="005019BB"/>
    <w:rsid w:val="005033F4"/>
    <w:rsid w:val="005051AA"/>
    <w:rsid w:val="00505AD3"/>
    <w:rsid w:val="00513F8C"/>
    <w:rsid w:val="00527BDA"/>
    <w:rsid w:val="0053710E"/>
    <w:rsid w:val="0054187C"/>
    <w:rsid w:val="0054430E"/>
    <w:rsid w:val="005449A5"/>
    <w:rsid w:val="00547AAB"/>
    <w:rsid w:val="005533C3"/>
    <w:rsid w:val="00553CA0"/>
    <w:rsid w:val="0055458D"/>
    <w:rsid w:val="005562AB"/>
    <w:rsid w:val="00556A00"/>
    <w:rsid w:val="0055704B"/>
    <w:rsid w:val="005607E7"/>
    <w:rsid w:val="00565114"/>
    <w:rsid w:val="00567D47"/>
    <w:rsid w:val="00567FBA"/>
    <w:rsid w:val="00582184"/>
    <w:rsid w:val="0058298B"/>
    <w:rsid w:val="0058383C"/>
    <w:rsid w:val="005867BE"/>
    <w:rsid w:val="0059488B"/>
    <w:rsid w:val="005A0F8D"/>
    <w:rsid w:val="005A1482"/>
    <w:rsid w:val="005A752D"/>
    <w:rsid w:val="005C0692"/>
    <w:rsid w:val="005C1FF1"/>
    <w:rsid w:val="005C23DD"/>
    <w:rsid w:val="005C28DD"/>
    <w:rsid w:val="005D1808"/>
    <w:rsid w:val="005E0207"/>
    <w:rsid w:val="005E6E13"/>
    <w:rsid w:val="005F0A00"/>
    <w:rsid w:val="005F6F5D"/>
    <w:rsid w:val="0060047F"/>
    <w:rsid w:val="006044DA"/>
    <w:rsid w:val="006056D9"/>
    <w:rsid w:val="0061772C"/>
    <w:rsid w:val="00621E4E"/>
    <w:rsid w:val="00623382"/>
    <w:rsid w:val="00624664"/>
    <w:rsid w:val="00630B94"/>
    <w:rsid w:val="006432E8"/>
    <w:rsid w:val="00645B03"/>
    <w:rsid w:val="00646170"/>
    <w:rsid w:val="00647B45"/>
    <w:rsid w:val="00647FC7"/>
    <w:rsid w:val="0065470E"/>
    <w:rsid w:val="006610FC"/>
    <w:rsid w:val="00662635"/>
    <w:rsid w:val="00662D7F"/>
    <w:rsid w:val="00663AF5"/>
    <w:rsid w:val="00663FC3"/>
    <w:rsid w:val="0066789F"/>
    <w:rsid w:val="006678A6"/>
    <w:rsid w:val="00671D12"/>
    <w:rsid w:val="006728B3"/>
    <w:rsid w:val="006736CE"/>
    <w:rsid w:val="006757C6"/>
    <w:rsid w:val="006800A0"/>
    <w:rsid w:val="006867FA"/>
    <w:rsid w:val="0069063B"/>
    <w:rsid w:val="006933E5"/>
    <w:rsid w:val="006A0952"/>
    <w:rsid w:val="006A1724"/>
    <w:rsid w:val="006B0F8C"/>
    <w:rsid w:val="006B74A7"/>
    <w:rsid w:val="006C1606"/>
    <w:rsid w:val="006C1FA8"/>
    <w:rsid w:val="006D193D"/>
    <w:rsid w:val="006D1CA1"/>
    <w:rsid w:val="006D2BFE"/>
    <w:rsid w:val="006D7B2E"/>
    <w:rsid w:val="006D7DA8"/>
    <w:rsid w:val="006E74B7"/>
    <w:rsid w:val="006E75F9"/>
    <w:rsid w:val="006F3826"/>
    <w:rsid w:val="006F7E5C"/>
    <w:rsid w:val="00702668"/>
    <w:rsid w:val="00707A41"/>
    <w:rsid w:val="00713005"/>
    <w:rsid w:val="0071523F"/>
    <w:rsid w:val="00715A92"/>
    <w:rsid w:val="00716D39"/>
    <w:rsid w:val="00720EA1"/>
    <w:rsid w:val="00723EE9"/>
    <w:rsid w:val="007243FE"/>
    <w:rsid w:val="00725444"/>
    <w:rsid w:val="007347AD"/>
    <w:rsid w:val="00741DA9"/>
    <w:rsid w:val="007426BB"/>
    <w:rsid w:val="00744602"/>
    <w:rsid w:val="00744C22"/>
    <w:rsid w:val="007458D6"/>
    <w:rsid w:val="00750875"/>
    <w:rsid w:val="00750AD9"/>
    <w:rsid w:val="00751D4B"/>
    <w:rsid w:val="007525CB"/>
    <w:rsid w:val="007542C8"/>
    <w:rsid w:val="00757E4A"/>
    <w:rsid w:val="00767B48"/>
    <w:rsid w:val="00770232"/>
    <w:rsid w:val="00770BD7"/>
    <w:rsid w:val="007715F9"/>
    <w:rsid w:val="00780850"/>
    <w:rsid w:val="00782C41"/>
    <w:rsid w:val="00784981"/>
    <w:rsid w:val="007866BB"/>
    <w:rsid w:val="007877F0"/>
    <w:rsid w:val="00792A29"/>
    <w:rsid w:val="00795C64"/>
    <w:rsid w:val="007967D6"/>
    <w:rsid w:val="007A10E0"/>
    <w:rsid w:val="007A5FA1"/>
    <w:rsid w:val="007A6290"/>
    <w:rsid w:val="007B3682"/>
    <w:rsid w:val="007C2B36"/>
    <w:rsid w:val="007C30F6"/>
    <w:rsid w:val="007C3DE9"/>
    <w:rsid w:val="007D4FBD"/>
    <w:rsid w:val="007D71B6"/>
    <w:rsid w:val="007E32FE"/>
    <w:rsid w:val="007F1038"/>
    <w:rsid w:val="007F629D"/>
    <w:rsid w:val="00806D83"/>
    <w:rsid w:val="00806FDE"/>
    <w:rsid w:val="00807A07"/>
    <w:rsid w:val="00807FBF"/>
    <w:rsid w:val="00810DD3"/>
    <w:rsid w:val="008159BF"/>
    <w:rsid w:val="00825EED"/>
    <w:rsid w:val="0083224B"/>
    <w:rsid w:val="00834C82"/>
    <w:rsid w:val="0083693F"/>
    <w:rsid w:val="00845B76"/>
    <w:rsid w:val="00854E76"/>
    <w:rsid w:val="008576CB"/>
    <w:rsid w:val="00880697"/>
    <w:rsid w:val="008817F4"/>
    <w:rsid w:val="00883193"/>
    <w:rsid w:val="008831D0"/>
    <w:rsid w:val="00890BFA"/>
    <w:rsid w:val="008912A4"/>
    <w:rsid w:val="008913C4"/>
    <w:rsid w:val="00894175"/>
    <w:rsid w:val="008A3B5C"/>
    <w:rsid w:val="008A49C7"/>
    <w:rsid w:val="008A63A4"/>
    <w:rsid w:val="008A732D"/>
    <w:rsid w:val="008B0AF3"/>
    <w:rsid w:val="008B69AF"/>
    <w:rsid w:val="008D48D1"/>
    <w:rsid w:val="008D516B"/>
    <w:rsid w:val="008E5083"/>
    <w:rsid w:val="008E530A"/>
    <w:rsid w:val="008F0451"/>
    <w:rsid w:val="0090056D"/>
    <w:rsid w:val="00901E7A"/>
    <w:rsid w:val="00903E20"/>
    <w:rsid w:val="00904D07"/>
    <w:rsid w:val="00904DE0"/>
    <w:rsid w:val="0090533A"/>
    <w:rsid w:val="00913410"/>
    <w:rsid w:val="009142B5"/>
    <w:rsid w:val="00916C6E"/>
    <w:rsid w:val="00916D63"/>
    <w:rsid w:val="009176C0"/>
    <w:rsid w:val="00923A1C"/>
    <w:rsid w:val="00924784"/>
    <w:rsid w:val="00925A7A"/>
    <w:rsid w:val="009305D3"/>
    <w:rsid w:val="0093443B"/>
    <w:rsid w:val="00937B36"/>
    <w:rsid w:val="00940B39"/>
    <w:rsid w:val="009445C2"/>
    <w:rsid w:val="00944790"/>
    <w:rsid w:val="009517D7"/>
    <w:rsid w:val="0095278B"/>
    <w:rsid w:val="00955B45"/>
    <w:rsid w:val="00956574"/>
    <w:rsid w:val="009608C3"/>
    <w:rsid w:val="00962F80"/>
    <w:rsid w:val="009635CC"/>
    <w:rsid w:val="00965ED0"/>
    <w:rsid w:val="009708E5"/>
    <w:rsid w:val="00974C29"/>
    <w:rsid w:val="00975FB3"/>
    <w:rsid w:val="009830F0"/>
    <w:rsid w:val="00983E67"/>
    <w:rsid w:val="0099021F"/>
    <w:rsid w:val="009928A4"/>
    <w:rsid w:val="00994214"/>
    <w:rsid w:val="009957A7"/>
    <w:rsid w:val="009A7163"/>
    <w:rsid w:val="009B270A"/>
    <w:rsid w:val="009B3377"/>
    <w:rsid w:val="009B35D4"/>
    <w:rsid w:val="009B4833"/>
    <w:rsid w:val="009B715F"/>
    <w:rsid w:val="009C1C8B"/>
    <w:rsid w:val="009C4100"/>
    <w:rsid w:val="009D699A"/>
    <w:rsid w:val="009E6A35"/>
    <w:rsid w:val="009E700C"/>
    <w:rsid w:val="009F2924"/>
    <w:rsid w:val="009F334D"/>
    <w:rsid w:val="009F3AC6"/>
    <w:rsid w:val="00A0468E"/>
    <w:rsid w:val="00A06312"/>
    <w:rsid w:val="00A138DE"/>
    <w:rsid w:val="00A142B1"/>
    <w:rsid w:val="00A15F2E"/>
    <w:rsid w:val="00A220FB"/>
    <w:rsid w:val="00A308DF"/>
    <w:rsid w:val="00A41FFB"/>
    <w:rsid w:val="00A42935"/>
    <w:rsid w:val="00A45E02"/>
    <w:rsid w:val="00A45E95"/>
    <w:rsid w:val="00A46803"/>
    <w:rsid w:val="00A525A6"/>
    <w:rsid w:val="00A544D7"/>
    <w:rsid w:val="00A55532"/>
    <w:rsid w:val="00A6054A"/>
    <w:rsid w:val="00A62217"/>
    <w:rsid w:val="00A655A8"/>
    <w:rsid w:val="00A65970"/>
    <w:rsid w:val="00A71301"/>
    <w:rsid w:val="00A71AE8"/>
    <w:rsid w:val="00A72AB3"/>
    <w:rsid w:val="00A75451"/>
    <w:rsid w:val="00A80038"/>
    <w:rsid w:val="00A81E39"/>
    <w:rsid w:val="00A85492"/>
    <w:rsid w:val="00A927C9"/>
    <w:rsid w:val="00A93F7F"/>
    <w:rsid w:val="00A95F0C"/>
    <w:rsid w:val="00A96658"/>
    <w:rsid w:val="00AA5D70"/>
    <w:rsid w:val="00AA5E93"/>
    <w:rsid w:val="00AA5EDE"/>
    <w:rsid w:val="00AB0DB1"/>
    <w:rsid w:val="00AB3643"/>
    <w:rsid w:val="00AB676B"/>
    <w:rsid w:val="00AC0757"/>
    <w:rsid w:val="00AC0793"/>
    <w:rsid w:val="00AC225D"/>
    <w:rsid w:val="00AC2B5C"/>
    <w:rsid w:val="00AD2B1D"/>
    <w:rsid w:val="00AE5093"/>
    <w:rsid w:val="00AE76F1"/>
    <w:rsid w:val="00AF491A"/>
    <w:rsid w:val="00AF508B"/>
    <w:rsid w:val="00AF62CB"/>
    <w:rsid w:val="00B03B63"/>
    <w:rsid w:val="00B03C74"/>
    <w:rsid w:val="00B220BF"/>
    <w:rsid w:val="00B24577"/>
    <w:rsid w:val="00B24BE6"/>
    <w:rsid w:val="00B30DFA"/>
    <w:rsid w:val="00B311CD"/>
    <w:rsid w:val="00B32EAC"/>
    <w:rsid w:val="00B36DE5"/>
    <w:rsid w:val="00B37E44"/>
    <w:rsid w:val="00B40BAD"/>
    <w:rsid w:val="00B421C6"/>
    <w:rsid w:val="00B451C7"/>
    <w:rsid w:val="00B540AF"/>
    <w:rsid w:val="00B82676"/>
    <w:rsid w:val="00B83483"/>
    <w:rsid w:val="00B86AF0"/>
    <w:rsid w:val="00B9025A"/>
    <w:rsid w:val="00B93ADB"/>
    <w:rsid w:val="00B943BA"/>
    <w:rsid w:val="00BA22FD"/>
    <w:rsid w:val="00BB195A"/>
    <w:rsid w:val="00BB2A2B"/>
    <w:rsid w:val="00BB2B4D"/>
    <w:rsid w:val="00BB325E"/>
    <w:rsid w:val="00BB41A0"/>
    <w:rsid w:val="00BC1E8C"/>
    <w:rsid w:val="00BC50BF"/>
    <w:rsid w:val="00BD0CC3"/>
    <w:rsid w:val="00BE10CB"/>
    <w:rsid w:val="00BF229D"/>
    <w:rsid w:val="00BF74DB"/>
    <w:rsid w:val="00C001A9"/>
    <w:rsid w:val="00C010D1"/>
    <w:rsid w:val="00C010E2"/>
    <w:rsid w:val="00C0424C"/>
    <w:rsid w:val="00C0501F"/>
    <w:rsid w:val="00C07C1F"/>
    <w:rsid w:val="00C1058F"/>
    <w:rsid w:val="00C1099B"/>
    <w:rsid w:val="00C13D61"/>
    <w:rsid w:val="00C16336"/>
    <w:rsid w:val="00C21063"/>
    <w:rsid w:val="00C240FD"/>
    <w:rsid w:val="00C31770"/>
    <w:rsid w:val="00C3333F"/>
    <w:rsid w:val="00C338A3"/>
    <w:rsid w:val="00C3449E"/>
    <w:rsid w:val="00C352C3"/>
    <w:rsid w:val="00C3666E"/>
    <w:rsid w:val="00C40B40"/>
    <w:rsid w:val="00C40CD3"/>
    <w:rsid w:val="00C43133"/>
    <w:rsid w:val="00C43595"/>
    <w:rsid w:val="00C47405"/>
    <w:rsid w:val="00C507B7"/>
    <w:rsid w:val="00C5523A"/>
    <w:rsid w:val="00C55B64"/>
    <w:rsid w:val="00C55C3D"/>
    <w:rsid w:val="00C6032E"/>
    <w:rsid w:val="00C619BD"/>
    <w:rsid w:val="00C71375"/>
    <w:rsid w:val="00C71DBB"/>
    <w:rsid w:val="00C77C2D"/>
    <w:rsid w:val="00C8038A"/>
    <w:rsid w:val="00C80641"/>
    <w:rsid w:val="00C82A13"/>
    <w:rsid w:val="00C82CD2"/>
    <w:rsid w:val="00C845B1"/>
    <w:rsid w:val="00C870ED"/>
    <w:rsid w:val="00C94F5A"/>
    <w:rsid w:val="00C953BE"/>
    <w:rsid w:val="00CA08BE"/>
    <w:rsid w:val="00CA1710"/>
    <w:rsid w:val="00CB27E3"/>
    <w:rsid w:val="00CB3B26"/>
    <w:rsid w:val="00CB623A"/>
    <w:rsid w:val="00CC18E1"/>
    <w:rsid w:val="00CC2D15"/>
    <w:rsid w:val="00CC5BE0"/>
    <w:rsid w:val="00CD17D2"/>
    <w:rsid w:val="00CD2D7C"/>
    <w:rsid w:val="00CD69B5"/>
    <w:rsid w:val="00CE1654"/>
    <w:rsid w:val="00CE4F79"/>
    <w:rsid w:val="00CE6B66"/>
    <w:rsid w:val="00CF2DB4"/>
    <w:rsid w:val="00D007B1"/>
    <w:rsid w:val="00D01905"/>
    <w:rsid w:val="00D052A4"/>
    <w:rsid w:val="00D05C1F"/>
    <w:rsid w:val="00D134CF"/>
    <w:rsid w:val="00D1369C"/>
    <w:rsid w:val="00D14F59"/>
    <w:rsid w:val="00D2448D"/>
    <w:rsid w:val="00D33200"/>
    <w:rsid w:val="00D34376"/>
    <w:rsid w:val="00D428C6"/>
    <w:rsid w:val="00D43E95"/>
    <w:rsid w:val="00D44868"/>
    <w:rsid w:val="00D44C9F"/>
    <w:rsid w:val="00D454EF"/>
    <w:rsid w:val="00D522AD"/>
    <w:rsid w:val="00D57FE2"/>
    <w:rsid w:val="00D6243A"/>
    <w:rsid w:val="00D64935"/>
    <w:rsid w:val="00D661E1"/>
    <w:rsid w:val="00D66430"/>
    <w:rsid w:val="00D66C7A"/>
    <w:rsid w:val="00D6720A"/>
    <w:rsid w:val="00D6756F"/>
    <w:rsid w:val="00D71D03"/>
    <w:rsid w:val="00D743DB"/>
    <w:rsid w:val="00D7543E"/>
    <w:rsid w:val="00D75806"/>
    <w:rsid w:val="00D7650F"/>
    <w:rsid w:val="00D77807"/>
    <w:rsid w:val="00D809D4"/>
    <w:rsid w:val="00D838F6"/>
    <w:rsid w:val="00D8705B"/>
    <w:rsid w:val="00D9109E"/>
    <w:rsid w:val="00D91495"/>
    <w:rsid w:val="00D953EC"/>
    <w:rsid w:val="00D95FFF"/>
    <w:rsid w:val="00DA14AD"/>
    <w:rsid w:val="00DA2B6D"/>
    <w:rsid w:val="00DA487A"/>
    <w:rsid w:val="00DB425D"/>
    <w:rsid w:val="00DB4748"/>
    <w:rsid w:val="00DC3E30"/>
    <w:rsid w:val="00DD0F98"/>
    <w:rsid w:val="00DD23E9"/>
    <w:rsid w:val="00DD30FC"/>
    <w:rsid w:val="00DD3B7D"/>
    <w:rsid w:val="00DE19D4"/>
    <w:rsid w:val="00DE350B"/>
    <w:rsid w:val="00DF2E1A"/>
    <w:rsid w:val="00DF4581"/>
    <w:rsid w:val="00DF65F0"/>
    <w:rsid w:val="00E0181F"/>
    <w:rsid w:val="00E10FE8"/>
    <w:rsid w:val="00E13647"/>
    <w:rsid w:val="00E137BB"/>
    <w:rsid w:val="00E17203"/>
    <w:rsid w:val="00E27C4D"/>
    <w:rsid w:val="00E322BC"/>
    <w:rsid w:val="00E33849"/>
    <w:rsid w:val="00E34251"/>
    <w:rsid w:val="00E43CB1"/>
    <w:rsid w:val="00E4646D"/>
    <w:rsid w:val="00E54E1C"/>
    <w:rsid w:val="00E55D00"/>
    <w:rsid w:val="00E600CE"/>
    <w:rsid w:val="00E60276"/>
    <w:rsid w:val="00E60611"/>
    <w:rsid w:val="00E6203D"/>
    <w:rsid w:val="00E62BC9"/>
    <w:rsid w:val="00E6422E"/>
    <w:rsid w:val="00E7094D"/>
    <w:rsid w:val="00E75D62"/>
    <w:rsid w:val="00E81517"/>
    <w:rsid w:val="00E87B1A"/>
    <w:rsid w:val="00E9193E"/>
    <w:rsid w:val="00E96E08"/>
    <w:rsid w:val="00E974B8"/>
    <w:rsid w:val="00E97794"/>
    <w:rsid w:val="00EA0644"/>
    <w:rsid w:val="00EA483F"/>
    <w:rsid w:val="00EA4D87"/>
    <w:rsid w:val="00EA68FE"/>
    <w:rsid w:val="00EA74B8"/>
    <w:rsid w:val="00EB071F"/>
    <w:rsid w:val="00EB2583"/>
    <w:rsid w:val="00EB6B32"/>
    <w:rsid w:val="00EB6C17"/>
    <w:rsid w:val="00EC0C06"/>
    <w:rsid w:val="00EC7006"/>
    <w:rsid w:val="00ED03E4"/>
    <w:rsid w:val="00ED43F1"/>
    <w:rsid w:val="00ED4D28"/>
    <w:rsid w:val="00EE0F0F"/>
    <w:rsid w:val="00EE0FE5"/>
    <w:rsid w:val="00EE12E9"/>
    <w:rsid w:val="00EE476C"/>
    <w:rsid w:val="00EF173A"/>
    <w:rsid w:val="00EF2B6A"/>
    <w:rsid w:val="00EF3C0E"/>
    <w:rsid w:val="00EF3C77"/>
    <w:rsid w:val="00EF5994"/>
    <w:rsid w:val="00F134B1"/>
    <w:rsid w:val="00F24E83"/>
    <w:rsid w:val="00F26C4C"/>
    <w:rsid w:val="00F277F7"/>
    <w:rsid w:val="00F335AB"/>
    <w:rsid w:val="00F34829"/>
    <w:rsid w:val="00F402F2"/>
    <w:rsid w:val="00F41300"/>
    <w:rsid w:val="00F435CF"/>
    <w:rsid w:val="00F45630"/>
    <w:rsid w:val="00F457AB"/>
    <w:rsid w:val="00F5162C"/>
    <w:rsid w:val="00F528FA"/>
    <w:rsid w:val="00F52A57"/>
    <w:rsid w:val="00F6261F"/>
    <w:rsid w:val="00F64B45"/>
    <w:rsid w:val="00F67A20"/>
    <w:rsid w:val="00F7459F"/>
    <w:rsid w:val="00F822E6"/>
    <w:rsid w:val="00F848CA"/>
    <w:rsid w:val="00F85D08"/>
    <w:rsid w:val="00F870D3"/>
    <w:rsid w:val="00F90285"/>
    <w:rsid w:val="00F909F7"/>
    <w:rsid w:val="00F967CF"/>
    <w:rsid w:val="00F96E70"/>
    <w:rsid w:val="00F96FDD"/>
    <w:rsid w:val="00F97D85"/>
    <w:rsid w:val="00FB2953"/>
    <w:rsid w:val="00FC3818"/>
    <w:rsid w:val="00FD3688"/>
    <w:rsid w:val="00FD60A1"/>
    <w:rsid w:val="00FD711E"/>
    <w:rsid w:val="00FE0E74"/>
    <w:rsid w:val="00FE20CF"/>
    <w:rsid w:val="00FF0D42"/>
    <w:rsid w:val="00FF5ABD"/>
    <w:rsid w:val="00FF7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6AA27"/>
  <w15:chartTrackingRefBased/>
  <w15:docId w15:val="{5B49A144-E2DD-4913-BBE7-9B5C0BE3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5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65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5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5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5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5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5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5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5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5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65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5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5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5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5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5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5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50F"/>
    <w:rPr>
      <w:rFonts w:eastAsiaTheme="majorEastAsia" w:cstheme="majorBidi"/>
      <w:color w:val="272727" w:themeColor="text1" w:themeTint="D8"/>
    </w:rPr>
  </w:style>
  <w:style w:type="paragraph" w:styleId="Title">
    <w:name w:val="Title"/>
    <w:basedOn w:val="Normal"/>
    <w:next w:val="Normal"/>
    <w:link w:val="TitleChar"/>
    <w:uiPriority w:val="10"/>
    <w:qFormat/>
    <w:rsid w:val="00D765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5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5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5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50F"/>
    <w:pPr>
      <w:spacing w:before="160"/>
      <w:jc w:val="center"/>
    </w:pPr>
    <w:rPr>
      <w:i/>
      <w:iCs/>
      <w:color w:val="404040" w:themeColor="text1" w:themeTint="BF"/>
    </w:rPr>
  </w:style>
  <w:style w:type="character" w:customStyle="1" w:styleId="QuoteChar">
    <w:name w:val="Quote Char"/>
    <w:basedOn w:val="DefaultParagraphFont"/>
    <w:link w:val="Quote"/>
    <w:uiPriority w:val="29"/>
    <w:rsid w:val="00D7650F"/>
    <w:rPr>
      <w:i/>
      <w:iCs/>
      <w:color w:val="404040" w:themeColor="text1" w:themeTint="BF"/>
    </w:rPr>
  </w:style>
  <w:style w:type="paragraph" w:styleId="ListParagraph">
    <w:name w:val="List Paragraph"/>
    <w:basedOn w:val="Normal"/>
    <w:uiPriority w:val="34"/>
    <w:qFormat/>
    <w:rsid w:val="00D7650F"/>
    <w:pPr>
      <w:ind w:left="720"/>
      <w:contextualSpacing/>
    </w:pPr>
  </w:style>
  <w:style w:type="character" w:styleId="IntenseEmphasis">
    <w:name w:val="Intense Emphasis"/>
    <w:basedOn w:val="DefaultParagraphFont"/>
    <w:uiPriority w:val="21"/>
    <w:qFormat/>
    <w:rsid w:val="00D7650F"/>
    <w:rPr>
      <w:i/>
      <w:iCs/>
      <w:color w:val="0F4761" w:themeColor="accent1" w:themeShade="BF"/>
    </w:rPr>
  </w:style>
  <w:style w:type="paragraph" w:styleId="IntenseQuote">
    <w:name w:val="Intense Quote"/>
    <w:basedOn w:val="Normal"/>
    <w:next w:val="Normal"/>
    <w:link w:val="IntenseQuoteChar"/>
    <w:uiPriority w:val="30"/>
    <w:qFormat/>
    <w:rsid w:val="00D765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50F"/>
    <w:rPr>
      <w:i/>
      <w:iCs/>
      <w:color w:val="0F4761" w:themeColor="accent1" w:themeShade="BF"/>
    </w:rPr>
  </w:style>
  <w:style w:type="character" w:styleId="IntenseReference">
    <w:name w:val="Intense Reference"/>
    <w:basedOn w:val="DefaultParagraphFont"/>
    <w:uiPriority w:val="32"/>
    <w:qFormat/>
    <w:rsid w:val="00D7650F"/>
    <w:rPr>
      <w:b/>
      <w:bCs/>
      <w:smallCaps/>
      <w:color w:val="0F4761" w:themeColor="accent1" w:themeShade="BF"/>
      <w:spacing w:val="5"/>
    </w:rPr>
  </w:style>
  <w:style w:type="character" w:styleId="Hyperlink">
    <w:name w:val="Hyperlink"/>
    <w:basedOn w:val="DefaultParagraphFont"/>
    <w:uiPriority w:val="99"/>
    <w:unhideWhenUsed/>
    <w:rsid w:val="004C1F0F"/>
    <w:rPr>
      <w:color w:val="467886" w:themeColor="hyperlink"/>
      <w:u w:val="single"/>
    </w:rPr>
  </w:style>
  <w:style w:type="character" w:styleId="UnresolvedMention">
    <w:name w:val="Unresolved Mention"/>
    <w:basedOn w:val="DefaultParagraphFont"/>
    <w:uiPriority w:val="99"/>
    <w:semiHidden/>
    <w:unhideWhenUsed/>
    <w:rsid w:val="004C1F0F"/>
    <w:rPr>
      <w:color w:val="605E5C"/>
      <w:shd w:val="clear" w:color="auto" w:fill="E1DFDD"/>
    </w:rPr>
  </w:style>
  <w:style w:type="character" w:styleId="FollowedHyperlink">
    <w:name w:val="FollowedHyperlink"/>
    <w:basedOn w:val="DefaultParagraphFont"/>
    <w:uiPriority w:val="99"/>
    <w:semiHidden/>
    <w:unhideWhenUsed/>
    <w:rsid w:val="001D5927"/>
    <w:rPr>
      <w:color w:val="96607D" w:themeColor="followedHyperlink"/>
      <w:u w:val="single"/>
    </w:rPr>
  </w:style>
  <w:style w:type="paragraph" w:styleId="Header">
    <w:name w:val="header"/>
    <w:basedOn w:val="Normal"/>
    <w:link w:val="HeaderChar"/>
    <w:uiPriority w:val="99"/>
    <w:unhideWhenUsed/>
    <w:rsid w:val="00AC2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B5C"/>
  </w:style>
  <w:style w:type="paragraph" w:styleId="Footer">
    <w:name w:val="footer"/>
    <w:basedOn w:val="Normal"/>
    <w:link w:val="FooterChar"/>
    <w:uiPriority w:val="99"/>
    <w:unhideWhenUsed/>
    <w:rsid w:val="00AC2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00154">
      <w:bodyDiv w:val="1"/>
      <w:marLeft w:val="0"/>
      <w:marRight w:val="0"/>
      <w:marTop w:val="0"/>
      <w:marBottom w:val="0"/>
      <w:divBdr>
        <w:top w:val="none" w:sz="0" w:space="0" w:color="auto"/>
        <w:left w:val="none" w:sz="0" w:space="0" w:color="auto"/>
        <w:bottom w:val="none" w:sz="0" w:space="0" w:color="auto"/>
        <w:right w:val="none" w:sz="0" w:space="0" w:color="auto"/>
      </w:divBdr>
    </w:div>
    <w:div w:id="75714396">
      <w:bodyDiv w:val="1"/>
      <w:marLeft w:val="0"/>
      <w:marRight w:val="0"/>
      <w:marTop w:val="0"/>
      <w:marBottom w:val="0"/>
      <w:divBdr>
        <w:top w:val="none" w:sz="0" w:space="0" w:color="auto"/>
        <w:left w:val="none" w:sz="0" w:space="0" w:color="auto"/>
        <w:bottom w:val="none" w:sz="0" w:space="0" w:color="auto"/>
        <w:right w:val="none" w:sz="0" w:space="0" w:color="auto"/>
      </w:divBdr>
    </w:div>
    <w:div w:id="314799585">
      <w:bodyDiv w:val="1"/>
      <w:marLeft w:val="0"/>
      <w:marRight w:val="0"/>
      <w:marTop w:val="0"/>
      <w:marBottom w:val="0"/>
      <w:divBdr>
        <w:top w:val="none" w:sz="0" w:space="0" w:color="auto"/>
        <w:left w:val="none" w:sz="0" w:space="0" w:color="auto"/>
        <w:bottom w:val="none" w:sz="0" w:space="0" w:color="auto"/>
        <w:right w:val="none" w:sz="0" w:space="0" w:color="auto"/>
      </w:divBdr>
    </w:div>
    <w:div w:id="1199583325">
      <w:bodyDiv w:val="1"/>
      <w:marLeft w:val="0"/>
      <w:marRight w:val="0"/>
      <w:marTop w:val="0"/>
      <w:marBottom w:val="0"/>
      <w:divBdr>
        <w:top w:val="none" w:sz="0" w:space="0" w:color="auto"/>
        <w:left w:val="none" w:sz="0" w:space="0" w:color="auto"/>
        <w:bottom w:val="none" w:sz="0" w:space="0" w:color="auto"/>
        <w:right w:val="none" w:sz="0" w:space="0" w:color="auto"/>
      </w:divBdr>
    </w:div>
    <w:div w:id="1765228254">
      <w:bodyDiv w:val="1"/>
      <w:marLeft w:val="0"/>
      <w:marRight w:val="0"/>
      <w:marTop w:val="0"/>
      <w:marBottom w:val="0"/>
      <w:divBdr>
        <w:top w:val="none" w:sz="0" w:space="0" w:color="auto"/>
        <w:left w:val="none" w:sz="0" w:space="0" w:color="auto"/>
        <w:bottom w:val="none" w:sz="0" w:space="0" w:color="auto"/>
        <w:right w:val="none" w:sz="0" w:space="0" w:color="auto"/>
      </w:divBdr>
    </w:div>
    <w:div w:id="180893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0.1.419" TargetMode="External"/><Relationship Id="rId13" Type="http://schemas.openxmlformats.org/officeDocument/2006/relationships/hyperlink" Target="https://psycnet.apa.org/doi/10.1037/0021-9010.62.1.90" TargetMode="External"/><Relationship Id="rId18" Type="http://schemas.openxmlformats.org/officeDocument/2006/relationships/hyperlink" Target="https://doi.org/10.1007/s41465-023-00282-x" TargetMode="External"/><Relationship Id="rId26" Type="http://schemas.openxmlformats.org/officeDocument/2006/relationships/hyperlink" Target="https://doi.org/10.1080/15213260903563014" TargetMode="External"/><Relationship Id="rId3" Type="http://schemas.openxmlformats.org/officeDocument/2006/relationships/settings" Target="settings.xml"/><Relationship Id="rId21" Type="http://schemas.openxmlformats.org/officeDocument/2006/relationships/hyperlink" Target="https://doi.org/10.1002/acp.3561" TargetMode="External"/><Relationship Id="rId7" Type="http://schemas.openxmlformats.org/officeDocument/2006/relationships/hyperlink" Target="https://doi.org/10.1002/acp.3535" TargetMode="External"/><Relationship Id="rId12" Type="http://schemas.openxmlformats.org/officeDocument/2006/relationships/hyperlink" Target="https://doi.org/10.1016/j.jml.2003.08.007" TargetMode="External"/><Relationship Id="rId17" Type="http://schemas.openxmlformats.org/officeDocument/2006/relationships/hyperlink" Target="https://doi.org/10.1002/acp.2350060103" TargetMode="External"/><Relationship Id="rId25" Type="http://schemas.openxmlformats.org/officeDocument/2006/relationships/hyperlink" Target="https://doi.org/10.1002/jip.1616" TargetMode="External"/><Relationship Id="rId2" Type="http://schemas.openxmlformats.org/officeDocument/2006/relationships/styles" Target="styles.xml"/><Relationship Id="rId16" Type="http://schemas.openxmlformats.org/officeDocument/2006/relationships/hyperlink" Target="https://psycnet.apa.org/doi/10.1037/0096-3445.114.1.1" TargetMode="External"/><Relationship Id="rId20" Type="http://schemas.openxmlformats.org/officeDocument/2006/relationships/hyperlink" Target="https://psycnet.apa.org/doi/10.1037/xap0000157"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doi/10.1037/h0047707" TargetMode="External"/><Relationship Id="rId24" Type="http://schemas.openxmlformats.org/officeDocument/2006/relationships/hyperlink" Target="https://doi.org/10.1080/13506285.2013.823139" TargetMode="External"/><Relationship Id="rId5" Type="http://schemas.openxmlformats.org/officeDocument/2006/relationships/footnotes" Target="footnotes.xml"/><Relationship Id="rId15" Type="http://schemas.openxmlformats.org/officeDocument/2006/relationships/hyperlink" Target="https://doi.org/10.1016/S0022-5371(74)80011-3" TargetMode="External"/><Relationship Id="rId23" Type="http://schemas.openxmlformats.org/officeDocument/2006/relationships/hyperlink" Target="https://doi.org/10.1111/j.1529-1006.2006.00027.x" TargetMode="External"/><Relationship Id="rId28" Type="http://schemas.openxmlformats.org/officeDocument/2006/relationships/hyperlink" Target="https://doi.org/10.1177/0734016811428374" TargetMode="External"/><Relationship Id="rId10" Type="http://schemas.openxmlformats.org/officeDocument/2006/relationships/hyperlink" Target="https://doi.org/10.1080/09658210500495073" TargetMode="External"/><Relationship Id="rId19" Type="http://schemas.openxmlformats.org/officeDocument/2006/relationships/hyperlink" Target="https://doi.org/10.1080/1068316X.2010.51011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2/acp.3209" TargetMode="External"/><Relationship Id="rId14" Type="http://schemas.openxmlformats.org/officeDocument/2006/relationships/hyperlink" Target="https://psycnet.apa.org/doi/10.1037/0096-3445.118.1.100" TargetMode="External"/><Relationship Id="rId22" Type="http://schemas.openxmlformats.org/officeDocument/2006/relationships/hyperlink" Target="https://psycnet.apa.org/doi/10.1037/0022-3514.36.12.1546" TargetMode="External"/><Relationship Id="rId27" Type="http://schemas.openxmlformats.org/officeDocument/2006/relationships/hyperlink" Target="https://doi.org/10.1177/194855061140975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7184</TotalTime>
  <Pages>12</Pages>
  <Words>4231</Words>
  <Characters>24714</Characters>
  <Application>Microsoft Office Word</Application>
  <DocSecurity>0</DocSecurity>
  <Lines>386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694</cp:revision>
  <dcterms:created xsi:type="dcterms:W3CDTF">2025-03-04T01:18:00Z</dcterms:created>
  <dcterms:modified xsi:type="dcterms:W3CDTF">2025-03-14T13:26:00Z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f74eac3c-c439-4b11-ab04-5919277a874c</vt:lpwstr>
  </property>
</Properties>
</file>