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C3B9C" w14:textId="77777777" w:rsidR="007B4E09" w:rsidRPr="007B4E09" w:rsidRDefault="007B4E09" w:rsidP="00BB0564">
      <w:pPr>
        <w:spacing w:after="160" w:line="259" w:lineRule="auto"/>
        <w:rPr>
          <w:rFonts w:ascii="Times New Roman" w:eastAsiaTheme="minorHAnsi" w:hAnsi="Times New Roman" w:cs="Times New Roman"/>
          <w:sz w:val="24"/>
          <w:szCs w:val="24"/>
          <w:lang w:val="en-US" w:eastAsia="en-US"/>
        </w:rPr>
      </w:pPr>
    </w:p>
    <w:p w14:paraId="5AB7ACA8" w14:textId="77777777" w:rsidR="007B4E09" w:rsidRPr="007B4E09" w:rsidRDefault="007B4E09" w:rsidP="007B4E09">
      <w:pPr>
        <w:spacing w:after="160" w:line="259" w:lineRule="auto"/>
        <w:jc w:val="center"/>
        <w:rPr>
          <w:rFonts w:ascii="Times New Roman" w:eastAsiaTheme="minorHAnsi" w:hAnsi="Times New Roman" w:cs="Times New Roman"/>
          <w:b/>
          <w:sz w:val="24"/>
          <w:szCs w:val="24"/>
          <w:lang w:val="en-US" w:eastAsia="en-US"/>
        </w:rPr>
      </w:pPr>
    </w:p>
    <w:p w14:paraId="536792D4" w14:textId="77777777" w:rsidR="007B4E09" w:rsidRPr="00BB0564" w:rsidRDefault="007B4E09" w:rsidP="007B4E09">
      <w:pPr>
        <w:spacing w:after="160" w:line="259" w:lineRule="auto"/>
        <w:jc w:val="center"/>
        <w:rPr>
          <w:rFonts w:ascii="Times New Roman" w:eastAsiaTheme="minorHAnsi" w:hAnsi="Times New Roman" w:cs="Times New Roman"/>
          <w:b/>
          <w:sz w:val="40"/>
          <w:szCs w:val="40"/>
          <w:lang w:val="en-US" w:eastAsia="en-US"/>
        </w:rPr>
      </w:pPr>
      <w:r w:rsidRPr="00BB0564">
        <w:rPr>
          <w:rFonts w:ascii="Times New Roman" w:eastAsiaTheme="minorHAnsi" w:hAnsi="Times New Roman" w:cs="Times New Roman"/>
          <w:b/>
          <w:sz w:val="40"/>
          <w:szCs w:val="40"/>
          <w:lang w:val="en-US" w:eastAsia="en-US"/>
        </w:rPr>
        <w:t>Strategic Expansion of Tesco into the European Union: A Comparative Analysis of Germany and Spain</w:t>
      </w:r>
    </w:p>
    <w:p w14:paraId="4778BB23" w14:textId="77777777" w:rsidR="007B4E09" w:rsidRPr="00BB0564" w:rsidRDefault="007B4E09" w:rsidP="007B4E09">
      <w:pPr>
        <w:spacing w:after="160" w:line="259" w:lineRule="auto"/>
        <w:jc w:val="center"/>
        <w:rPr>
          <w:rFonts w:ascii="Times New Roman" w:eastAsiaTheme="minorHAnsi" w:hAnsi="Times New Roman" w:cs="Times New Roman"/>
          <w:sz w:val="40"/>
          <w:szCs w:val="40"/>
          <w:lang w:val="en-US" w:eastAsia="en-US"/>
        </w:rPr>
      </w:pPr>
    </w:p>
    <w:p w14:paraId="7DB00BAC" w14:textId="77777777" w:rsidR="007B4E09" w:rsidRPr="00BB0564" w:rsidRDefault="007B4E09" w:rsidP="007B4E09">
      <w:pPr>
        <w:spacing w:after="160" w:line="259" w:lineRule="auto"/>
        <w:jc w:val="center"/>
        <w:rPr>
          <w:rFonts w:ascii="Times New Roman" w:eastAsiaTheme="minorHAnsi" w:hAnsi="Times New Roman" w:cs="Times New Roman"/>
          <w:sz w:val="40"/>
          <w:szCs w:val="40"/>
          <w:lang w:val="en-US" w:eastAsia="en-US"/>
        </w:rPr>
      </w:pPr>
    </w:p>
    <w:p w14:paraId="65BCBD25" w14:textId="77777777" w:rsidR="007B4E09" w:rsidRPr="00BB0564" w:rsidRDefault="007B4E09" w:rsidP="007B4E09">
      <w:pPr>
        <w:spacing w:after="160" w:line="259" w:lineRule="auto"/>
        <w:jc w:val="center"/>
        <w:rPr>
          <w:rFonts w:ascii="Times New Roman" w:eastAsiaTheme="minorHAnsi" w:hAnsi="Times New Roman" w:cs="Times New Roman"/>
          <w:sz w:val="40"/>
          <w:szCs w:val="40"/>
          <w:lang w:val="en-US" w:eastAsia="en-US"/>
        </w:rPr>
      </w:pPr>
    </w:p>
    <w:p w14:paraId="14B1116E" w14:textId="77777777" w:rsidR="007B4E09" w:rsidRPr="00BB0564" w:rsidRDefault="007B4E09" w:rsidP="007B4E09">
      <w:pPr>
        <w:spacing w:after="160" w:line="259" w:lineRule="auto"/>
        <w:jc w:val="center"/>
        <w:rPr>
          <w:rFonts w:ascii="Times New Roman" w:eastAsiaTheme="minorHAnsi" w:hAnsi="Times New Roman" w:cs="Times New Roman"/>
          <w:sz w:val="40"/>
          <w:szCs w:val="40"/>
          <w:lang w:val="en-US" w:eastAsia="en-US"/>
        </w:rPr>
      </w:pPr>
    </w:p>
    <w:p w14:paraId="697A07BB" w14:textId="69ADAE88" w:rsidR="007B4E09" w:rsidRPr="00BB0564" w:rsidRDefault="007B4E09" w:rsidP="007B4E09">
      <w:pPr>
        <w:spacing w:after="160" w:line="259" w:lineRule="auto"/>
        <w:jc w:val="center"/>
        <w:rPr>
          <w:rFonts w:ascii="Times New Roman" w:eastAsiaTheme="minorHAnsi" w:hAnsi="Times New Roman" w:cs="Times New Roman"/>
          <w:sz w:val="40"/>
          <w:szCs w:val="40"/>
          <w:lang w:val="en-US" w:eastAsia="en-US"/>
        </w:rPr>
      </w:pPr>
      <w:r w:rsidRPr="00BB0564">
        <w:rPr>
          <w:rFonts w:ascii="Times New Roman" w:eastAsiaTheme="minorHAnsi" w:hAnsi="Times New Roman" w:cs="Times New Roman"/>
          <w:sz w:val="40"/>
          <w:szCs w:val="40"/>
          <w:lang w:val="en-US" w:eastAsia="en-US"/>
        </w:rPr>
        <w:t>LCBB6001</w:t>
      </w:r>
    </w:p>
    <w:p w14:paraId="6AB5846F" w14:textId="354D7135" w:rsidR="007B4E09" w:rsidRPr="00BB0564" w:rsidRDefault="00C02428" w:rsidP="007B4E09">
      <w:pPr>
        <w:spacing w:after="160" w:line="259" w:lineRule="auto"/>
        <w:jc w:val="center"/>
        <w:rPr>
          <w:rFonts w:ascii="Times New Roman" w:eastAsiaTheme="minorHAnsi" w:hAnsi="Times New Roman" w:cs="Times New Roman"/>
          <w:sz w:val="40"/>
          <w:szCs w:val="40"/>
          <w:lang w:val="en-US" w:eastAsia="en-US"/>
        </w:rPr>
      </w:pPr>
      <w:r w:rsidRPr="00BB0564">
        <w:rPr>
          <w:rFonts w:ascii="Times New Roman" w:eastAsiaTheme="minorHAnsi" w:hAnsi="Times New Roman" w:cs="Times New Roman"/>
          <w:sz w:val="40"/>
          <w:szCs w:val="40"/>
          <w:lang w:val="en-US" w:eastAsia="en-US"/>
        </w:rPr>
        <w:t>International Business Communications</w:t>
      </w:r>
    </w:p>
    <w:p w14:paraId="5954AC6C" w14:textId="77777777" w:rsidR="00C02428" w:rsidRPr="00BB0564" w:rsidRDefault="00C02428" w:rsidP="007B4E09">
      <w:pPr>
        <w:spacing w:after="160" w:line="259" w:lineRule="auto"/>
        <w:jc w:val="center"/>
        <w:rPr>
          <w:rFonts w:ascii="Times New Roman" w:eastAsiaTheme="minorHAnsi" w:hAnsi="Times New Roman" w:cs="Times New Roman"/>
          <w:sz w:val="40"/>
          <w:szCs w:val="40"/>
          <w:lang w:val="en-US" w:eastAsia="en-US"/>
        </w:rPr>
      </w:pPr>
    </w:p>
    <w:p w14:paraId="3DD9420A" w14:textId="150EE05A" w:rsidR="00C02428" w:rsidRPr="00BB0564" w:rsidRDefault="00C02428" w:rsidP="00BB0564">
      <w:pPr>
        <w:spacing w:after="160" w:line="480" w:lineRule="auto"/>
        <w:jc w:val="center"/>
        <w:rPr>
          <w:rFonts w:ascii="Times New Roman" w:eastAsiaTheme="minorHAnsi" w:hAnsi="Times New Roman" w:cs="Times New Roman"/>
          <w:i/>
          <w:iCs/>
          <w:sz w:val="40"/>
          <w:szCs w:val="40"/>
          <w:lang w:eastAsia="en-US"/>
        </w:rPr>
      </w:pPr>
      <w:r w:rsidRPr="00BB0564">
        <w:rPr>
          <w:rFonts w:ascii="Times New Roman" w:eastAsiaTheme="minorHAnsi" w:hAnsi="Times New Roman" w:cs="Times New Roman"/>
          <w:i/>
          <w:iCs/>
          <w:sz w:val="40"/>
          <w:szCs w:val="40"/>
          <w:lang w:val="en-US" w:eastAsia="en-US"/>
        </w:rPr>
        <w:t>By</w:t>
      </w:r>
    </w:p>
    <w:p w14:paraId="5FEF2ECF" w14:textId="188447F3" w:rsidR="00C02428" w:rsidRPr="00BB0564" w:rsidRDefault="00E156A5" w:rsidP="007B4E09">
      <w:pPr>
        <w:spacing w:after="160" w:line="259" w:lineRule="auto"/>
        <w:jc w:val="center"/>
        <w:rPr>
          <w:rFonts w:ascii="Times New Roman" w:eastAsiaTheme="minorHAnsi" w:hAnsi="Times New Roman" w:cs="Times New Roman"/>
          <w:i/>
          <w:iCs/>
          <w:sz w:val="40"/>
          <w:szCs w:val="40"/>
          <w:lang w:val="en-US" w:eastAsia="en-US"/>
        </w:rPr>
      </w:pPr>
      <w:proofErr w:type="spellStart"/>
      <w:r>
        <w:rPr>
          <w:rFonts w:ascii="Times New Roman" w:eastAsiaTheme="minorHAnsi" w:hAnsi="Times New Roman" w:cs="Times New Roman"/>
          <w:i/>
          <w:iCs/>
          <w:sz w:val="40"/>
          <w:szCs w:val="40"/>
          <w:lang w:val="en-US" w:eastAsia="en-US"/>
        </w:rPr>
        <w:t>Veselina</w:t>
      </w:r>
      <w:proofErr w:type="spellEnd"/>
      <w:r>
        <w:rPr>
          <w:rFonts w:ascii="Times New Roman" w:eastAsiaTheme="minorHAnsi" w:hAnsi="Times New Roman" w:cs="Times New Roman"/>
          <w:i/>
          <w:iCs/>
          <w:sz w:val="40"/>
          <w:szCs w:val="40"/>
          <w:lang w:val="en-US" w:eastAsia="en-US"/>
        </w:rPr>
        <w:t xml:space="preserve"> Uchkunova</w:t>
      </w:r>
    </w:p>
    <w:p w14:paraId="1F3DF06F" w14:textId="0581678F" w:rsidR="0083553B" w:rsidRPr="00BB0564" w:rsidRDefault="0083553B" w:rsidP="00237883">
      <w:pPr>
        <w:spacing w:after="160" w:line="480" w:lineRule="auto"/>
        <w:jc w:val="center"/>
        <w:rPr>
          <w:rFonts w:ascii="Times New Roman" w:eastAsiaTheme="minorHAnsi" w:hAnsi="Times New Roman" w:cs="Times New Roman"/>
          <w:i/>
          <w:iCs/>
          <w:sz w:val="40"/>
          <w:szCs w:val="40"/>
          <w:lang w:eastAsia="en-US"/>
        </w:rPr>
      </w:pPr>
      <w:r w:rsidRPr="00BB0564">
        <w:rPr>
          <w:rFonts w:ascii="Times New Roman" w:eastAsiaTheme="minorHAnsi" w:hAnsi="Times New Roman" w:cs="Times New Roman"/>
          <w:i/>
          <w:iCs/>
          <w:sz w:val="40"/>
          <w:szCs w:val="40"/>
          <w:lang w:eastAsia="en-US"/>
        </w:rPr>
        <w:t>202827</w:t>
      </w:r>
      <w:r w:rsidR="00CC7EA1">
        <w:rPr>
          <w:rFonts w:ascii="Times New Roman" w:eastAsiaTheme="minorHAnsi" w:hAnsi="Times New Roman" w:cs="Times New Roman"/>
          <w:i/>
          <w:iCs/>
          <w:sz w:val="40"/>
          <w:szCs w:val="40"/>
          <w:lang w:eastAsia="en-US"/>
        </w:rPr>
        <w:t>2</w:t>
      </w:r>
    </w:p>
    <w:p w14:paraId="504C6EA8" w14:textId="77777777" w:rsidR="0083553B" w:rsidRDefault="0083553B" w:rsidP="007B4E09">
      <w:pPr>
        <w:spacing w:after="160" w:line="259" w:lineRule="auto"/>
        <w:jc w:val="center"/>
        <w:rPr>
          <w:rFonts w:ascii="Times New Roman" w:eastAsiaTheme="minorHAnsi" w:hAnsi="Times New Roman" w:cs="Times New Roman"/>
          <w:sz w:val="24"/>
          <w:szCs w:val="24"/>
          <w:lang w:val="en-US" w:eastAsia="en-US"/>
        </w:rPr>
      </w:pPr>
    </w:p>
    <w:p w14:paraId="1D8E1CDF" w14:textId="77777777" w:rsidR="00C02428" w:rsidRPr="007B4E09" w:rsidRDefault="00C02428" w:rsidP="007B4E09">
      <w:pPr>
        <w:spacing w:after="160" w:line="259" w:lineRule="auto"/>
        <w:jc w:val="center"/>
        <w:rPr>
          <w:rFonts w:ascii="Times New Roman" w:eastAsiaTheme="minorHAnsi" w:hAnsi="Times New Roman" w:cs="Times New Roman"/>
          <w:sz w:val="24"/>
          <w:szCs w:val="24"/>
          <w:lang w:val="en-US" w:eastAsia="en-US"/>
        </w:rPr>
      </w:pPr>
    </w:p>
    <w:p w14:paraId="098773C5" w14:textId="77777777" w:rsidR="007B4E09" w:rsidRPr="007B4E09" w:rsidRDefault="007B4E09" w:rsidP="007B4E09">
      <w:pPr>
        <w:spacing w:after="160" w:line="259" w:lineRule="auto"/>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br w:type="page"/>
      </w:r>
    </w:p>
    <w:p w14:paraId="2C70F015" w14:textId="77777777" w:rsidR="007B4E09" w:rsidRPr="007B4E09" w:rsidRDefault="007B4E09" w:rsidP="007B4E09">
      <w:pPr>
        <w:spacing w:after="160" w:line="259" w:lineRule="auto"/>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lastRenderedPageBreak/>
        <w:t xml:space="preserve">Introduction </w:t>
      </w:r>
    </w:p>
    <w:p w14:paraId="03B73338"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Communication techniques have a significant impact on international trade. British corporate communication is a global model for its delicacy and formality. This essay will investigate British commercial communication to illuminate likely interactions, adaptations, and impacts on Tesco's EU expansion. UK business correspondence is formal, polite, and indirect. Formal titles are used to suggest that meetings and professional contacts should be respectful, and written correspondence is preferable for official topics (Welch et al., 2022, p. 18). In contrast, British-rooted intelligence and intricacy complement this formality. This communication method has pros and cons for international business. British communication is formal and direct, which may convey trustworthiness and professionalism. However, its complexity and indirectness may cause misconceptions in civilizations that value it.</w:t>
      </w:r>
    </w:p>
    <w:p w14:paraId="263499CD"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British communication covers language, manners, meeting conduct, decision-making, and bargaining. UK companies like well-structured meetings with defined objectives. The deliberate and hierarchical decision-making process emphasizes the careful examination of all relevant problems and in-depth background research above impulsive conclusions. This method may differ from other European nations' more flexible and spontaneous commercial practices, but it ensures thoroughly thought-out conclusions. As it explores EU expansion potential, Tesco, a leading British multinational retailer of groceries and other products, must comprehend these differences. Tesco, a UK-based company with a rich cultural background, must master these cultural differences to enter new European markets. This essay hypothesizes which EU member state would best suit Tesco's corporate expansion.</w:t>
      </w:r>
    </w:p>
    <w:p w14:paraId="4AFD18A0"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lastRenderedPageBreak/>
        <w:t xml:space="preserve">Spain and Germany, two potential EU markets, will be thoroughly researched to inform this recommendation. These countries were picked for their economic climates, market dynamics, and cultural landscapes. The paper will discuss labor forces, linguistic obstacles, socio-cultural features, and hazards in these marketplaces. </w:t>
      </w:r>
      <w:proofErr w:type="spellStart"/>
      <w:r w:rsidRPr="007B4E09">
        <w:rPr>
          <w:rFonts w:ascii="Times New Roman" w:eastAsiaTheme="minorHAnsi" w:hAnsi="Times New Roman" w:cs="Times New Roman"/>
          <w:sz w:val="24"/>
          <w:szCs w:val="24"/>
          <w:lang w:val="en-US" w:eastAsia="en-US"/>
        </w:rPr>
        <w:t>Hofstede's</w:t>
      </w:r>
      <w:proofErr w:type="spellEnd"/>
      <w:r w:rsidRPr="007B4E09">
        <w:rPr>
          <w:rFonts w:ascii="Times New Roman" w:eastAsiaTheme="minorHAnsi" w:hAnsi="Times New Roman" w:cs="Times New Roman"/>
          <w:sz w:val="24"/>
          <w:szCs w:val="24"/>
          <w:lang w:val="en-US" w:eastAsia="en-US"/>
        </w:rPr>
        <w:t xml:space="preserve"> cultural aspects and Samovar's communication models are used to explain how Tesco may adapt its commercial communication tactics to the native customs of the aforementioned countries. This essay also addresses the communication challenges Tesco, a British firm, may have in certain nations. Language obstacles, cultural differences, professional etiquette, and consumer expectations are all problems. This analysis will examine how these difficulties may affect customer relations, business operations, and the market entry plan.</w:t>
      </w:r>
    </w:p>
    <w:p w14:paraId="6AA69314"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Introduction to Tesco</w:t>
      </w:r>
    </w:p>
    <w:p w14:paraId="1365681F"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Tesco is a British retailer and a well-known supermarket company in the UK and around the world. Jack Cohen began Tesco in 1919 as a food vendor from a London stand (Smith, 2023, para. 161). The company's humble beginnings established the groundwork for its eventual rise into a large retail giant. Tesco's expansion from a modest market kiosk to a well-known global corporation has proved its ability to innovate, focus on consumer demands, and be flexible. Throughout its history, Tesco has pursued a global expansion strategy, landing in many nations across Europe, Asia, and other continents. According to Smith (2023), the previously mentioned growth has transcended regional boundaries and now encompasses a diverse variety of goods and services. Tesco's current product line spans everything from technology and financial services to food and apparel. The organization's </w:t>
      </w:r>
      <w:r w:rsidRPr="007B4E09">
        <w:rPr>
          <w:rFonts w:ascii="Times New Roman" w:eastAsiaTheme="minorHAnsi" w:hAnsi="Times New Roman" w:cs="Times New Roman"/>
          <w:sz w:val="24"/>
          <w:szCs w:val="24"/>
          <w:lang w:val="en-US" w:eastAsia="en-US"/>
        </w:rPr>
        <w:lastRenderedPageBreak/>
        <w:t>global network of sites includes massive hypermarkets and small-town convenience stores, each of which serves a particular set of consumer requirements and preferences.</w:t>
      </w:r>
    </w:p>
    <w:p w14:paraId="3458186C"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Tesco's business strategy is to provide value to customers. The company's motto, "Every Little Helps," represents its customer-centric approach to high-quality items at low costs. Tesco has pioneered technological innovations to improve shopping. Contactless payments, internet retailing, and self-service checkouts are examples of its innovative retail strategy (</w:t>
      </w:r>
      <w:proofErr w:type="spellStart"/>
      <w:r w:rsidRPr="007B4E09">
        <w:rPr>
          <w:rFonts w:ascii="Times New Roman" w:eastAsiaTheme="minorHAnsi" w:hAnsi="Times New Roman" w:cs="Times New Roman"/>
          <w:sz w:val="24"/>
          <w:szCs w:val="24"/>
          <w:lang w:val="en-US" w:eastAsia="en-US"/>
        </w:rPr>
        <w:t>Rosnizam</w:t>
      </w:r>
      <w:proofErr w:type="spellEnd"/>
      <w:r w:rsidRPr="007B4E09">
        <w:rPr>
          <w:rFonts w:ascii="Times New Roman" w:eastAsiaTheme="minorHAnsi" w:hAnsi="Times New Roman" w:cs="Times New Roman"/>
          <w:sz w:val="24"/>
          <w:szCs w:val="24"/>
          <w:lang w:val="en-US" w:eastAsia="en-US"/>
        </w:rPr>
        <w:t xml:space="preserve"> et al., 2020, p. 23). Tesco's customer-centric marketing and reward programs have also helped build a loyal consumer base. Tesco's global strategy is strategic acquisitions and organic growth. The company prioritizes home markets and regional needs in its cautious but ambitious worldwide expansion strategy. Tesco's international success is due to its localization capabilities. Localization has included modifying store formats to local purchasing habits, changing product lines to local preferences, and branding to engage with local consumers (</w:t>
      </w:r>
      <w:proofErr w:type="spellStart"/>
      <w:r w:rsidRPr="007B4E09">
        <w:rPr>
          <w:rFonts w:ascii="Times New Roman" w:eastAsiaTheme="minorHAnsi" w:hAnsi="Times New Roman" w:cs="Times New Roman"/>
          <w:sz w:val="24"/>
          <w:szCs w:val="24"/>
          <w:lang w:val="en-US" w:eastAsia="en-US"/>
        </w:rPr>
        <w:t>Rosnizam</w:t>
      </w:r>
      <w:proofErr w:type="spellEnd"/>
      <w:r w:rsidRPr="007B4E09">
        <w:rPr>
          <w:rFonts w:ascii="Times New Roman" w:eastAsiaTheme="minorHAnsi" w:hAnsi="Times New Roman" w:cs="Times New Roman"/>
          <w:sz w:val="24"/>
          <w:szCs w:val="24"/>
          <w:lang w:val="en-US" w:eastAsia="en-US"/>
        </w:rPr>
        <w:t xml:space="preserve"> et al., 2020, p. 23). However, Tesco has faced several challenges in global waterways. The company struggles to understand market dynamics and consumer behavior. Tesco faced challenges entering the US market under the "Fresh &amp; Easy" brand. Insufficient market complexity and conflicting corporate goals forced Tesco to leave the US, despite significant financial investment. This experience highlighted the importance of market understanding and flexible company strategies when entering global markets.</w:t>
      </w:r>
    </w:p>
    <w:p w14:paraId="32ADB2B0"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The South Korean and Thai markets have delivered higher profits for Tesco. Tesco succeeded in perfecting the mix between its worldwide brand and local market expertise. The way the company tailored its products and store layouts to local tastes helped it succeed (</w:t>
      </w:r>
      <w:proofErr w:type="spellStart"/>
      <w:r w:rsidRPr="007B4E09">
        <w:rPr>
          <w:rFonts w:ascii="Times New Roman" w:eastAsiaTheme="minorHAnsi" w:hAnsi="Times New Roman" w:cs="Times New Roman"/>
          <w:sz w:val="24"/>
          <w:szCs w:val="24"/>
          <w:lang w:val="en-US" w:eastAsia="en-US"/>
        </w:rPr>
        <w:t>Rosnizam</w:t>
      </w:r>
      <w:proofErr w:type="spellEnd"/>
      <w:r w:rsidRPr="007B4E09">
        <w:rPr>
          <w:rFonts w:ascii="Times New Roman" w:eastAsiaTheme="minorHAnsi" w:hAnsi="Times New Roman" w:cs="Times New Roman"/>
          <w:sz w:val="24"/>
          <w:szCs w:val="24"/>
          <w:lang w:val="en-US" w:eastAsia="en-US"/>
        </w:rPr>
        <w:t xml:space="preserve"> et al., 2020, p. 26). Tesco must examine its past accomplishments and a failing to </w:t>
      </w:r>
      <w:r w:rsidRPr="007B4E09">
        <w:rPr>
          <w:rFonts w:ascii="Times New Roman" w:eastAsiaTheme="minorHAnsi" w:hAnsi="Times New Roman" w:cs="Times New Roman"/>
          <w:sz w:val="24"/>
          <w:szCs w:val="24"/>
          <w:lang w:val="en-US" w:eastAsia="en-US"/>
        </w:rPr>
        <w:lastRenderedPageBreak/>
        <w:t>learn from them as it expands internationally, notably into the EU. Understanding local market dynamics, cultural differences, and customer wants will be key to the company's global strategy. To survive in the competitive and diverse European retail business, Tesco must innovate and adapt while keeping its basic values of customer-centricity and worth.</w:t>
      </w:r>
    </w:p>
    <w:p w14:paraId="4CACE068"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Evaluation of Germany and Spain</w:t>
      </w:r>
    </w:p>
    <w:p w14:paraId="1F29C0C9"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Germany</w:t>
      </w:r>
    </w:p>
    <w:p w14:paraId="1FD5B20B"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Germany's economic situation, cultural idiosyncrasies, and opportunities and risks must be examined before Tesco expands there. Germany, the largest economy in Europe and the fourth largest in the world by nominal GDP, has a strong economy (</w:t>
      </w:r>
      <w:proofErr w:type="spellStart"/>
      <w:r w:rsidRPr="007B4E09">
        <w:rPr>
          <w:rFonts w:ascii="Times New Roman" w:eastAsiaTheme="minorHAnsi" w:hAnsi="Times New Roman" w:cs="Times New Roman"/>
          <w:sz w:val="24"/>
          <w:szCs w:val="24"/>
          <w:lang w:val="en-US" w:eastAsia="en-US"/>
        </w:rPr>
        <w:t>Brauers</w:t>
      </w:r>
      <w:proofErr w:type="spellEnd"/>
      <w:r w:rsidRPr="007B4E09">
        <w:rPr>
          <w:rFonts w:ascii="Times New Roman" w:eastAsiaTheme="minorHAnsi" w:hAnsi="Times New Roman" w:cs="Times New Roman"/>
          <w:sz w:val="24"/>
          <w:szCs w:val="24"/>
          <w:lang w:val="en-US" w:eastAsia="en-US"/>
        </w:rPr>
        <w:t xml:space="preserve">, </w:t>
      </w:r>
      <w:proofErr w:type="spellStart"/>
      <w:r w:rsidRPr="007B4E09">
        <w:rPr>
          <w:rFonts w:ascii="Times New Roman" w:eastAsiaTheme="minorHAnsi" w:hAnsi="Times New Roman" w:cs="Times New Roman"/>
          <w:sz w:val="24"/>
          <w:szCs w:val="24"/>
          <w:lang w:val="en-US" w:eastAsia="en-US"/>
        </w:rPr>
        <w:t>Oei</w:t>
      </w:r>
      <w:proofErr w:type="spellEnd"/>
      <w:r w:rsidRPr="007B4E09">
        <w:rPr>
          <w:rFonts w:ascii="Times New Roman" w:eastAsiaTheme="minorHAnsi" w:hAnsi="Times New Roman" w:cs="Times New Roman"/>
          <w:sz w:val="24"/>
          <w:szCs w:val="24"/>
          <w:lang w:val="en-US" w:eastAsia="en-US"/>
        </w:rPr>
        <w:t>, &amp; Walk, 2020, p. 241). High industrialization, led by the automotive, engineering, and electronics industries, strengthens the economy. Retailers like Tesco can reach over 80 million customers in the market. Commercial operations benefit from Germany's stable government and robust rule of law. Its central European location provides it with an attractive gateway to other European markets. However, the German market is very competitive, with well-established retail giants and a demanding client base that values sustainability and quality.</w:t>
      </w:r>
    </w:p>
    <w:p w14:paraId="641C0D5C"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proofErr w:type="spellStart"/>
      <w:r w:rsidRPr="007B4E09">
        <w:rPr>
          <w:rFonts w:ascii="Times New Roman" w:eastAsiaTheme="minorHAnsi" w:hAnsi="Times New Roman" w:cs="Times New Roman"/>
          <w:sz w:val="24"/>
          <w:szCs w:val="24"/>
          <w:lang w:val="en-US" w:eastAsia="en-US"/>
        </w:rPr>
        <w:t>Hofstede's</w:t>
      </w:r>
      <w:proofErr w:type="spellEnd"/>
      <w:r w:rsidRPr="007B4E09">
        <w:rPr>
          <w:rFonts w:ascii="Times New Roman" w:eastAsiaTheme="minorHAnsi" w:hAnsi="Times New Roman" w:cs="Times New Roman"/>
          <w:sz w:val="24"/>
          <w:szCs w:val="24"/>
          <w:lang w:val="en-US" w:eastAsia="en-US"/>
        </w:rPr>
        <w:t xml:space="preserve"> cultural aspects help explain cultural differences in German industry. Germany has a high level of uncertainty avoidance (Gupta &amp; Gupta, 2019, pp. 2685). This means being precise, organized, and transparent in business interactions. Perfectionists and Germans value punctuality and correctness. Honesty and directness are valued in conversation. Tesco, a British company used to indirect communication, may benefit from and struggle with this. Individualism is another feature of Germany. Society values individual autonomy and self-sufficiency. Businesses can decentralize decision-making and expect self-</w:t>
      </w:r>
      <w:r w:rsidRPr="007B4E09">
        <w:rPr>
          <w:rFonts w:ascii="Times New Roman" w:eastAsiaTheme="minorHAnsi" w:hAnsi="Times New Roman" w:cs="Times New Roman"/>
          <w:sz w:val="24"/>
          <w:szCs w:val="24"/>
          <w:lang w:val="en-US" w:eastAsia="en-US"/>
        </w:rPr>
        <w:lastRenderedPageBreak/>
        <w:t>motivated staff. Germany's low power distance index implies a preference for egalitarian organizational hierarchies. German workers expect independence and participation in decision-making, which may affect labor practices and management.</w:t>
      </w:r>
    </w:p>
    <w:p w14:paraId="2339798F"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Germany's moderate masculinity index emphasizes performance and quality of life equally in the workplace. German labor laws support work-life balance and employee rights, demonstrating this equilibrium. Tesco benefits from the above factors and a skilled and diverse workforce, especially when managing a multicultural team and creating a cohesive work environment (Gupta, M. &amp; Gupta, S., 2019, pp. 2685). However, entering the German market is difficult. Entering the market requires accommodating local preferences and interests, meeting strict legal requirements, and competing with existing grocery chains and discount merchants. Tesco would also need to master the German distribution networks and supply chain, which are crucial to retail success. </w:t>
      </w:r>
    </w:p>
    <w:p w14:paraId="6EF93571"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In summary, Germany provides Tesco with excellent conditions and tremendous challenges. Although the market's size and economic stability are tempting, the competitive landscape and cultural differences must be navigated carefully. Tesco's German growth would require careful planning. This strategy should emphasize understanding local consumer behaviors, adapting to direct contact, and following a disciplined and quality-oriented corporate environment. Tesco's market entry success depends on its ability to align its global brand image with the German market's unique traits and expectations.</w:t>
      </w:r>
    </w:p>
    <w:p w14:paraId="69842FBA"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Spain</w:t>
      </w:r>
    </w:p>
    <w:p w14:paraId="0F27E032"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Moving on to Spain, a country with a unique economic landscape, cultural traits, and commercial climate, Tesco faces a variety of opportunities and challenges for its expansion </w:t>
      </w:r>
      <w:r w:rsidRPr="007B4E09">
        <w:rPr>
          <w:rFonts w:ascii="Times New Roman" w:eastAsiaTheme="minorHAnsi" w:hAnsi="Times New Roman" w:cs="Times New Roman"/>
          <w:sz w:val="24"/>
          <w:szCs w:val="24"/>
          <w:lang w:val="en-US" w:eastAsia="en-US"/>
        </w:rPr>
        <w:lastRenderedPageBreak/>
        <w:t>(</w:t>
      </w:r>
      <w:proofErr w:type="spellStart"/>
      <w:r w:rsidRPr="007B4E09">
        <w:rPr>
          <w:rFonts w:ascii="Times New Roman" w:eastAsiaTheme="minorHAnsi" w:hAnsi="Times New Roman" w:cs="Times New Roman"/>
          <w:sz w:val="24"/>
          <w:szCs w:val="24"/>
          <w:lang w:val="en-US" w:eastAsia="en-US"/>
        </w:rPr>
        <w:t>Estévez-Moreno</w:t>
      </w:r>
      <w:proofErr w:type="spellEnd"/>
      <w:r w:rsidRPr="007B4E09">
        <w:rPr>
          <w:rFonts w:ascii="Times New Roman" w:eastAsiaTheme="minorHAnsi" w:hAnsi="Times New Roman" w:cs="Times New Roman"/>
          <w:sz w:val="24"/>
          <w:szCs w:val="24"/>
          <w:lang w:val="en-US" w:eastAsia="en-US"/>
        </w:rPr>
        <w:t xml:space="preserve"> et al., 2019). Spain, the Eurozone's fourth-largest economy, has a vibrant and diverse market. Adaptable, the Spanish economy recovered from the late 2000s financial crisis. Manufacturing, services, and tourism make up the economy. Regional differences in Spanish consumer tastes and habits are evident. Tesco is affected by regional differences in consumer purchasing, lifestyle, and cuisine. Parliamentary democracy in Spain is stable. However, the Catalan independence movement has caused strains. Political dynamics can affect company operations, especially regulations and market sentiment. Spain's EU membership offers foreign companies a stable regulatory framework and access to a larger European market, notwithstanding these challenges.</w:t>
      </w:r>
    </w:p>
    <w:p w14:paraId="07D087AE"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Tesco must understand Spanish culture to enter the market. Samovar's communication models offer useful insights within this paradigm. Spanish business culture values personal contacts and in-person communication. Businesses often start with time-consuming rapport and trust-building (Chang, 2023, p. 8). This differs from transactional practices in other cultures and requires a strategy adjustment for companies like Tesco, which are used to doing business directly and efficiently. Spanish communication is more indirect and emotive than British communication. Communication is heavily influenced by emotions and nonverbal clues. Tesco must modify, especially in customer service and negotiations, where understanding and accommodating these differences may be vital to success.</w:t>
      </w:r>
    </w:p>
    <w:p w14:paraId="65F1C373"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Spanish labor market characteristics are also unique. The country's significant youth unemployment affects consumer spending and company labor (</w:t>
      </w:r>
      <w:proofErr w:type="spellStart"/>
      <w:r w:rsidRPr="007B4E09">
        <w:rPr>
          <w:rFonts w:ascii="Times New Roman" w:eastAsiaTheme="minorHAnsi" w:hAnsi="Times New Roman" w:cs="Times New Roman"/>
          <w:sz w:val="24"/>
          <w:szCs w:val="24"/>
          <w:lang w:val="en-US" w:eastAsia="en-US"/>
        </w:rPr>
        <w:t>Gabrielli</w:t>
      </w:r>
      <w:proofErr w:type="spellEnd"/>
      <w:r w:rsidRPr="007B4E09">
        <w:rPr>
          <w:rFonts w:ascii="Times New Roman" w:eastAsiaTheme="minorHAnsi" w:hAnsi="Times New Roman" w:cs="Times New Roman"/>
          <w:sz w:val="24"/>
          <w:szCs w:val="24"/>
          <w:lang w:val="en-US" w:eastAsia="en-US"/>
        </w:rPr>
        <w:t xml:space="preserve"> &amp; </w:t>
      </w:r>
      <w:proofErr w:type="spellStart"/>
      <w:r w:rsidRPr="007B4E09">
        <w:rPr>
          <w:rFonts w:ascii="Times New Roman" w:eastAsiaTheme="minorHAnsi" w:hAnsi="Times New Roman" w:cs="Times New Roman"/>
          <w:sz w:val="24"/>
          <w:szCs w:val="24"/>
          <w:lang w:val="en-US" w:eastAsia="en-US"/>
        </w:rPr>
        <w:t>Impicciatore</w:t>
      </w:r>
      <w:proofErr w:type="spellEnd"/>
      <w:r w:rsidRPr="007B4E09">
        <w:rPr>
          <w:rFonts w:ascii="Times New Roman" w:eastAsiaTheme="minorHAnsi" w:hAnsi="Times New Roman" w:cs="Times New Roman"/>
          <w:sz w:val="24"/>
          <w:szCs w:val="24"/>
          <w:lang w:val="en-US" w:eastAsia="en-US"/>
        </w:rPr>
        <w:t xml:space="preserve">, 2022, p. 2306). A talented, diversified, and huge workforce is also possible. Equal pay, benefits, and working conditions are prioritized under Spain's labor laws. Tesco must manage these </w:t>
      </w:r>
      <w:r w:rsidRPr="007B4E09">
        <w:rPr>
          <w:rFonts w:ascii="Times New Roman" w:eastAsiaTheme="minorHAnsi" w:hAnsi="Times New Roman" w:cs="Times New Roman"/>
          <w:sz w:val="24"/>
          <w:szCs w:val="24"/>
          <w:lang w:val="en-US" w:eastAsia="en-US"/>
        </w:rPr>
        <w:lastRenderedPageBreak/>
        <w:t>laws to tap into diverse talent. Spanish complicates matters. Although Spanish is the official language, Catalan, Basque, and Galician are spoken across the country. Tesco must implement multilingual marketing, customer service, and HR initiatives (</w:t>
      </w:r>
      <w:proofErr w:type="spellStart"/>
      <w:r w:rsidRPr="007B4E09">
        <w:rPr>
          <w:rFonts w:ascii="Times New Roman" w:eastAsiaTheme="minorHAnsi" w:hAnsi="Times New Roman" w:cs="Times New Roman"/>
          <w:sz w:val="24"/>
          <w:szCs w:val="24"/>
          <w:lang w:val="en-US" w:eastAsia="en-US"/>
        </w:rPr>
        <w:t>Gabrielli</w:t>
      </w:r>
      <w:proofErr w:type="spellEnd"/>
      <w:r w:rsidRPr="007B4E09">
        <w:rPr>
          <w:rFonts w:ascii="Times New Roman" w:eastAsiaTheme="minorHAnsi" w:hAnsi="Times New Roman" w:cs="Times New Roman"/>
          <w:sz w:val="24"/>
          <w:szCs w:val="24"/>
          <w:lang w:val="en-US" w:eastAsia="en-US"/>
        </w:rPr>
        <w:t xml:space="preserve"> &amp; </w:t>
      </w:r>
      <w:proofErr w:type="spellStart"/>
      <w:r w:rsidRPr="007B4E09">
        <w:rPr>
          <w:rFonts w:ascii="Times New Roman" w:eastAsiaTheme="minorHAnsi" w:hAnsi="Times New Roman" w:cs="Times New Roman"/>
          <w:sz w:val="24"/>
          <w:szCs w:val="24"/>
          <w:lang w:val="en-US" w:eastAsia="en-US"/>
        </w:rPr>
        <w:t>Impicciatore</w:t>
      </w:r>
      <w:proofErr w:type="spellEnd"/>
      <w:r w:rsidRPr="007B4E09">
        <w:rPr>
          <w:rFonts w:ascii="Times New Roman" w:eastAsiaTheme="minorHAnsi" w:hAnsi="Times New Roman" w:cs="Times New Roman"/>
          <w:sz w:val="24"/>
          <w:szCs w:val="24"/>
          <w:lang w:val="en-US" w:eastAsia="en-US"/>
        </w:rPr>
        <w:t>, 2022, p. 2306). Spain's regulatory framework is steady, but bureaucratic hurdles and local compliance can challenge newcomers. Tesco would need to invest in product safety, labor law, and labeling regulations to comprehend and comply.</w:t>
      </w:r>
    </w:p>
    <w:p w14:paraId="06E3F72F"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Due to its dynamic market, varied client base, and economic comeback, Spain offers Tesco promising opportunities. However, Tesco's Spanish development would depend on its ability to understand and integrate into Spanish culture, adapt to indirect communication, and manage the labor and regulatory markets. Tesco would require a sophisticated and locally designed strategy that takes into consideration local interests and preferences and leverages Spain's complex labor and consumer markets to develop.</w:t>
      </w:r>
    </w:p>
    <w:p w14:paraId="728E88D5"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p>
    <w:p w14:paraId="61244D83"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Communication Challenges</w:t>
      </w:r>
    </w:p>
    <w:p w14:paraId="48BE7747"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Because of Tesco's potential entry into Germany or Spain, communication hurdles must be carefully considered, especially compared to UK commercial communication norms. Language, cultural, and business hurdles could hinder Tesco's operations and regional market engagement. German communication is better and easier than in the UK, so Tesco may have to adjust. British professional communication is often nuanced and indirect (</w:t>
      </w:r>
      <w:proofErr w:type="spellStart"/>
      <w:r w:rsidRPr="007B4E09">
        <w:rPr>
          <w:rFonts w:ascii="Times New Roman" w:eastAsiaTheme="minorHAnsi" w:hAnsi="Times New Roman" w:cs="Times New Roman"/>
          <w:sz w:val="24"/>
          <w:szCs w:val="24"/>
          <w:lang w:val="en-US" w:eastAsia="en-US"/>
        </w:rPr>
        <w:t>Moise</w:t>
      </w:r>
      <w:proofErr w:type="spellEnd"/>
      <w:r w:rsidRPr="007B4E09">
        <w:rPr>
          <w:rFonts w:ascii="Times New Roman" w:eastAsiaTheme="minorHAnsi" w:hAnsi="Times New Roman" w:cs="Times New Roman"/>
          <w:sz w:val="24"/>
          <w:szCs w:val="24"/>
          <w:lang w:val="en-US" w:eastAsia="en-US"/>
        </w:rPr>
        <w:t xml:space="preserve">, 2023, p. 178). However, German corporate culture values clear, succinct, and direct communication. British subtlety and civility may be misinterpreted in Germany as evasion or a lack of </w:t>
      </w:r>
      <w:r w:rsidRPr="007B4E09">
        <w:rPr>
          <w:rFonts w:ascii="Times New Roman" w:eastAsiaTheme="minorHAnsi" w:hAnsi="Times New Roman" w:cs="Times New Roman"/>
          <w:sz w:val="24"/>
          <w:szCs w:val="24"/>
          <w:lang w:val="en-US" w:eastAsia="en-US"/>
        </w:rPr>
        <w:lastRenderedPageBreak/>
        <w:t xml:space="preserve">transparency. While English is extensively used in German business, German is preferred for transactions. Good communication and partnership require a certain skill. </w:t>
      </w:r>
    </w:p>
    <w:p w14:paraId="4DF2ACB8"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Problems in Spain are relative. Spanish company culture emphasizes trust, personal relationships built over time, and face-to-face engagement. This strategy contrasts with task-oriented and time-efficient British methods (</w:t>
      </w:r>
      <w:proofErr w:type="spellStart"/>
      <w:r w:rsidRPr="007B4E09">
        <w:rPr>
          <w:rFonts w:ascii="Times New Roman" w:eastAsiaTheme="minorHAnsi" w:hAnsi="Times New Roman" w:cs="Times New Roman"/>
          <w:sz w:val="24"/>
          <w:szCs w:val="24"/>
          <w:lang w:val="en-US" w:eastAsia="en-US"/>
        </w:rPr>
        <w:t>Moise</w:t>
      </w:r>
      <w:proofErr w:type="spellEnd"/>
      <w:r w:rsidRPr="007B4E09">
        <w:rPr>
          <w:rFonts w:ascii="Times New Roman" w:eastAsiaTheme="minorHAnsi" w:hAnsi="Times New Roman" w:cs="Times New Roman"/>
          <w:sz w:val="24"/>
          <w:szCs w:val="24"/>
          <w:lang w:val="en-US" w:eastAsia="en-US"/>
        </w:rPr>
        <w:t xml:space="preserve">, 2023, p. 179). Tesco's UK personnel may face issues because Spaniards communicate indirectly, making nonverbal cues and context as crucial as spoken words. Understanding and interpreting these nuances is crucial to negotiation and operating success. Spain's various languages make Tesco's communication approach harder. According to </w:t>
      </w:r>
      <w:proofErr w:type="spellStart"/>
      <w:r w:rsidRPr="007B4E09">
        <w:rPr>
          <w:rFonts w:ascii="Times New Roman" w:eastAsiaTheme="minorHAnsi" w:hAnsi="Times New Roman" w:cs="Times New Roman"/>
          <w:sz w:val="24"/>
          <w:szCs w:val="24"/>
          <w:lang w:val="en-US" w:eastAsia="en-US"/>
        </w:rPr>
        <w:t>Moise</w:t>
      </w:r>
      <w:proofErr w:type="spellEnd"/>
      <w:r w:rsidRPr="007B4E09">
        <w:rPr>
          <w:rFonts w:ascii="Times New Roman" w:eastAsiaTheme="minorHAnsi" w:hAnsi="Times New Roman" w:cs="Times New Roman"/>
          <w:sz w:val="24"/>
          <w:szCs w:val="24"/>
          <w:lang w:val="en-US" w:eastAsia="en-US"/>
        </w:rPr>
        <w:t xml:space="preserve"> (2023), effective communication between Spanish areas requires linguistic and cultural nuances. German and Spanish firms bargain differently than UK corporations. Negotiations in Germany are usually direct and focused on efficiency and conditions. Germans like in-depth discussions and suggestions due to their meticulousness. Spanish conversations are more flexible, emphasizing rapport- and dialogue-building to establish an agreement. Tesco must master negotiation to excel in business and relationships. Tesco must adopt local business strategies to serve both markets (Gibson-Moore &amp; Spiro, 2021). You'll need language skills and knowledge of local work-life balance, decision-making, and business practices to adjust. German enterprises' hierarchical structure may concentrate decision-making power at the top, unlike Spain's collaborative approach.</w:t>
      </w:r>
    </w:p>
    <w:p w14:paraId="71D8E515"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Recommendations</w:t>
      </w:r>
    </w:p>
    <w:p w14:paraId="28D95975"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Tesco must announce a growth strategy and critical steps to overcome communication and operational hurdles for market entry after researching the German and Spanish markets. Tesco is recommended to be established in Germany after comparing the commercial, </w:t>
      </w:r>
      <w:r w:rsidRPr="007B4E09">
        <w:rPr>
          <w:rFonts w:ascii="Times New Roman" w:eastAsiaTheme="minorHAnsi" w:hAnsi="Times New Roman" w:cs="Times New Roman"/>
          <w:sz w:val="24"/>
          <w:szCs w:val="24"/>
          <w:lang w:val="en-US" w:eastAsia="en-US"/>
        </w:rPr>
        <w:lastRenderedPageBreak/>
        <w:t>cultural, and economic environments of the two countries. This is supported by Germany's strong economy, large market, and wealthy consumers. Tesco's strategy aligns with the environmental and quality requirements of German consumers. Tesco has consistently flourished in even the most competitive overseas retail areas, such as Germany.</w:t>
      </w:r>
    </w:p>
    <w:p w14:paraId="35499686"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Tesco's growth goal includes communication improvements. Tesco may spend money on rigorous cultural training for its employees to assist them interact with Germans and Britons who have distinct communication patterns. German business etiquette, bargaining, and working norms should be taught in these schools. Being direct and explicit can reduce the impact of cultural differences on communication. </w:t>
      </w:r>
    </w:p>
    <w:p w14:paraId="63207549"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Local recruitment is essential. Local workers can provide vital insights into the German market, consumer preferences, and organizational culture. Cultural differences can be bridged to improve stakeholder communication (such as between suppliers and customers). In a diverse market like Germany, Tesco should hire locals to understand regional differences.</w:t>
      </w:r>
    </w:p>
    <w:p w14:paraId="6F404CDB"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Tesco may improve its German marketing approach. To satisfy German consumers, value, sustainability, and quality must be prioritized. Tesco should consider digital marketing to reach more people and capitalize on Germany's strong internet usage.</w:t>
      </w:r>
    </w:p>
    <w:p w14:paraId="10D15783" w14:textId="5C7A1B42"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Before entering the German market, research the distribution and supply chains. Tesco should consider working with local suppliers to ensure their products match Germany's high-quality standards. These alliances optimize the supply chain and help understand consumer preferences.</w:t>
      </w:r>
    </w:p>
    <w:p w14:paraId="4A16E9EC"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lastRenderedPageBreak/>
        <w:t>Tesco should also consider German regulations. Local food safety, employment, and environmental rules must be followed. Tesco reduces legal risks and shows its corporate responsibility by complying, which may boost its German brand reputation.</w:t>
      </w:r>
    </w:p>
    <w:p w14:paraId="6C18D873" w14:textId="77777777" w:rsidR="007B4E09" w:rsidRPr="007B4E09" w:rsidRDefault="007B4E09" w:rsidP="007B4E09">
      <w:pPr>
        <w:spacing w:line="480" w:lineRule="auto"/>
        <w:ind w:firstLine="720"/>
        <w:jc w:val="both"/>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t>Conclusion</w:t>
      </w:r>
    </w:p>
    <w:p w14:paraId="1034AC31" w14:textId="77777777" w:rsidR="007B4E09" w:rsidRPr="007B4E09" w:rsidRDefault="007B4E09" w:rsidP="007B4E09">
      <w:pPr>
        <w:spacing w:line="480" w:lineRule="auto"/>
        <w:ind w:firstLine="720"/>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t xml:space="preserve">Finally, this essay analyzed the chances of Tesco expanding into Europe, focusing on Germany and Spain. Germany is Tesco's ideal location after considerable consideration. The size and diversity of the German consumer base, Tesco's values matching market demands, and the German economy's stability contributed to this decision. German shop openings will benefit Tesco greatly. Germany, Europe's largest economy, offers Tesco great development and diversification opportunities. Tesco's business model, which emphasizes consumer value and service, fits the affluent German clientele. The expansion would strengthen Tesco's global position and teach it how to succeed in a tough and saturated market. New stores like Tesco in Germany may increase competition and lower prices for customers. Tesco supports the environment and its communities. Employment and economic activity from Tesco's investment in Germany will also benefit the local economy. Tesco's growth plan focuses on diversity and inclusion. This requires cultural awareness and tailoring company ideas and products to different markets. Inclusivity also requires equal employment opportunities and a diverse workplace. This approach boosts Tesco's public image and gives it access to a wide range of knowledge and ideas, which are crucial for innovation and long-term success. Tesco may expand into other European countries if its German venture succeeds. Thinking about and learning from Germany helps strengthen multinational project methods. Tesco must adapt and innovate tactics to fulfill customers' needs in Germany and across its global </w:t>
      </w:r>
      <w:r w:rsidRPr="007B4E09">
        <w:rPr>
          <w:rFonts w:ascii="Times New Roman" w:eastAsiaTheme="minorHAnsi" w:hAnsi="Times New Roman" w:cs="Times New Roman"/>
          <w:sz w:val="24"/>
          <w:szCs w:val="24"/>
          <w:lang w:val="en-US" w:eastAsia="en-US"/>
        </w:rPr>
        <w:lastRenderedPageBreak/>
        <w:t>markets. Finally, Tesco entered the German market to support its expansion goals and uphold its promises to customers. Deutschland's welcoming culture, receptive local market, and robust economy make Tesco's expansion likely to succeed and last. This will allow the company to grow and dominate globally.</w:t>
      </w:r>
    </w:p>
    <w:p w14:paraId="4FBE8361" w14:textId="77777777" w:rsidR="007B4E09" w:rsidRPr="007B4E09" w:rsidRDefault="007B4E09" w:rsidP="007B4E09">
      <w:pPr>
        <w:spacing w:after="160" w:line="259" w:lineRule="auto"/>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sz w:val="24"/>
          <w:szCs w:val="24"/>
          <w:lang w:val="en-US" w:eastAsia="en-US"/>
        </w:rPr>
        <w:br w:type="page"/>
      </w:r>
    </w:p>
    <w:p w14:paraId="5AC30730" w14:textId="77777777" w:rsidR="007B4E09" w:rsidRPr="007B4E09" w:rsidRDefault="007B4E09" w:rsidP="007B4E09">
      <w:pPr>
        <w:spacing w:line="480" w:lineRule="auto"/>
        <w:ind w:firstLine="720"/>
        <w:jc w:val="center"/>
        <w:rPr>
          <w:rFonts w:ascii="Times New Roman" w:eastAsiaTheme="minorHAnsi" w:hAnsi="Times New Roman" w:cs="Times New Roman"/>
          <w:b/>
          <w:sz w:val="24"/>
          <w:szCs w:val="24"/>
          <w:lang w:val="en-US" w:eastAsia="en-US"/>
        </w:rPr>
      </w:pPr>
      <w:r w:rsidRPr="007B4E09">
        <w:rPr>
          <w:rFonts w:ascii="Times New Roman" w:eastAsiaTheme="minorHAnsi" w:hAnsi="Times New Roman" w:cs="Times New Roman"/>
          <w:b/>
          <w:sz w:val="24"/>
          <w:szCs w:val="24"/>
          <w:lang w:val="en-US" w:eastAsia="en-US"/>
        </w:rPr>
        <w:lastRenderedPageBreak/>
        <w:t>References</w:t>
      </w:r>
    </w:p>
    <w:p w14:paraId="06F7AC4F"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proofErr w:type="spellStart"/>
      <w:r w:rsidRPr="007B4E09">
        <w:rPr>
          <w:rFonts w:ascii="Times New Roman" w:eastAsiaTheme="minorHAnsi" w:hAnsi="Times New Roman" w:cs="Times New Roman"/>
          <w:color w:val="222222"/>
          <w:sz w:val="24"/>
          <w:szCs w:val="24"/>
          <w:shd w:val="clear" w:color="auto" w:fill="FFFFFF"/>
          <w:lang w:val="en-US" w:eastAsia="en-US"/>
        </w:rPr>
        <w:t>Brauers</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H., </w:t>
      </w:r>
      <w:proofErr w:type="spellStart"/>
      <w:r w:rsidRPr="007B4E09">
        <w:rPr>
          <w:rFonts w:ascii="Times New Roman" w:eastAsiaTheme="minorHAnsi" w:hAnsi="Times New Roman" w:cs="Times New Roman"/>
          <w:color w:val="222222"/>
          <w:sz w:val="24"/>
          <w:szCs w:val="24"/>
          <w:shd w:val="clear" w:color="auto" w:fill="FFFFFF"/>
          <w:lang w:val="en-US" w:eastAsia="en-US"/>
        </w:rPr>
        <w:t>Oei</w:t>
      </w:r>
      <w:proofErr w:type="spellEnd"/>
      <w:r w:rsidRPr="007B4E09">
        <w:rPr>
          <w:rFonts w:ascii="Times New Roman" w:eastAsiaTheme="minorHAnsi" w:hAnsi="Times New Roman" w:cs="Times New Roman"/>
          <w:color w:val="222222"/>
          <w:sz w:val="24"/>
          <w:szCs w:val="24"/>
          <w:shd w:val="clear" w:color="auto" w:fill="FFFFFF"/>
          <w:lang w:val="en-US" w:eastAsia="en-US"/>
        </w:rPr>
        <w:t>, P.Y. and Walk, P., 2020. Comparing coal phase-out pathways: The United Kingdom’s and Germany’s diverging transitions. </w:t>
      </w:r>
      <w:r w:rsidRPr="007B4E09">
        <w:rPr>
          <w:rFonts w:ascii="Times New Roman" w:eastAsiaTheme="minorHAnsi" w:hAnsi="Times New Roman" w:cs="Times New Roman"/>
          <w:i/>
          <w:iCs/>
          <w:color w:val="222222"/>
          <w:sz w:val="24"/>
          <w:szCs w:val="24"/>
          <w:shd w:val="clear" w:color="auto" w:fill="FFFFFF"/>
          <w:lang w:val="en-US" w:eastAsia="en-US"/>
        </w:rPr>
        <w:t>Environmental innovation and societal transitions</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37</w:t>
      </w:r>
      <w:r w:rsidRPr="007B4E09">
        <w:rPr>
          <w:rFonts w:ascii="Times New Roman" w:eastAsiaTheme="minorHAnsi" w:hAnsi="Times New Roman" w:cs="Times New Roman"/>
          <w:color w:val="222222"/>
          <w:sz w:val="24"/>
          <w:szCs w:val="24"/>
          <w:shd w:val="clear" w:color="auto" w:fill="FFFFFF"/>
          <w:lang w:val="en-US" w:eastAsia="en-US"/>
        </w:rPr>
        <w:t xml:space="preserve">, pp.238-253. </w:t>
      </w:r>
      <w:hyperlink r:id="rId4" w:history="1">
        <w:r w:rsidRPr="007B4E09">
          <w:rPr>
            <w:rFonts w:ascii="Times New Roman" w:eastAsiaTheme="minorHAnsi" w:hAnsi="Times New Roman" w:cs="Times New Roman"/>
            <w:color w:val="0563C1" w:themeColor="hyperlink"/>
            <w:sz w:val="24"/>
            <w:szCs w:val="24"/>
            <w:u w:val="single"/>
            <w:shd w:val="clear" w:color="auto" w:fill="FFFFFF"/>
            <w:lang w:val="en-US" w:eastAsia="en-US"/>
          </w:rPr>
          <w:t>https://www.sciencedirect.com/science/article/pii/S2210422420301143</w:t>
        </w:r>
      </w:hyperlink>
    </w:p>
    <w:p w14:paraId="669A0D71"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r w:rsidRPr="007B4E09">
        <w:rPr>
          <w:rFonts w:ascii="Times New Roman" w:eastAsiaTheme="minorHAnsi" w:hAnsi="Times New Roman" w:cs="Times New Roman"/>
          <w:color w:val="222222"/>
          <w:sz w:val="24"/>
          <w:szCs w:val="24"/>
          <w:shd w:val="clear" w:color="auto" w:fill="FFFFFF"/>
          <w:lang w:val="en-US" w:eastAsia="en-US"/>
        </w:rPr>
        <w:t>Chang, Y., (2023). A Cultural Communication Perspective on Hispanic Students’ College Experiences. </w:t>
      </w:r>
      <w:r w:rsidRPr="007B4E09">
        <w:rPr>
          <w:rFonts w:ascii="Times New Roman" w:eastAsiaTheme="minorHAnsi" w:hAnsi="Times New Roman" w:cs="Times New Roman"/>
          <w:i/>
          <w:iCs/>
          <w:color w:val="222222"/>
          <w:sz w:val="24"/>
          <w:szCs w:val="24"/>
          <w:shd w:val="clear" w:color="auto" w:fill="FFFFFF"/>
          <w:lang w:val="en-US" w:eastAsia="en-US"/>
        </w:rPr>
        <w:t>Journal of Latinos and Education</w:t>
      </w:r>
      <w:r w:rsidRPr="007B4E09">
        <w:rPr>
          <w:rFonts w:ascii="Times New Roman" w:eastAsiaTheme="minorHAnsi" w:hAnsi="Times New Roman" w:cs="Times New Roman"/>
          <w:color w:val="222222"/>
          <w:sz w:val="24"/>
          <w:szCs w:val="24"/>
          <w:shd w:val="clear" w:color="auto" w:fill="FFFFFF"/>
          <w:lang w:val="en-US" w:eastAsia="en-US"/>
        </w:rPr>
        <w:t>, pp.1-14.</w:t>
      </w:r>
    </w:p>
    <w:p w14:paraId="3F02917A"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proofErr w:type="spellStart"/>
      <w:r w:rsidRPr="007B4E09">
        <w:rPr>
          <w:rFonts w:ascii="Times New Roman" w:eastAsiaTheme="minorHAnsi" w:hAnsi="Times New Roman" w:cs="Times New Roman"/>
          <w:color w:val="222222"/>
          <w:sz w:val="24"/>
          <w:szCs w:val="24"/>
          <w:shd w:val="clear" w:color="auto" w:fill="FFFFFF"/>
          <w:lang w:val="en-US" w:eastAsia="en-US"/>
        </w:rPr>
        <w:t>Estévez-Moreno</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L.X., María, G.A., Sepúlveda, W.S., </w:t>
      </w:r>
      <w:proofErr w:type="spellStart"/>
      <w:r w:rsidRPr="007B4E09">
        <w:rPr>
          <w:rFonts w:ascii="Times New Roman" w:eastAsiaTheme="minorHAnsi" w:hAnsi="Times New Roman" w:cs="Times New Roman"/>
          <w:color w:val="222222"/>
          <w:sz w:val="24"/>
          <w:szCs w:val="24"/>
          <w:shd w:val="clear" w:color="auto" w:fill="FFFFFF"/>
          <w:lang w:val="en-US" w:eastAsia="en-US"/>
        </w:rPr>
        <w:t>Villarroel</w:t>
      </w:r>
      <w:proofErr w:type="spellEnd"/>
      <w:r w:rsidRPr="007B4E09">
        <w:rPr>
          <w:rFonts w:ascii="Times New Roman" w:eastAsiaTheme="minorHAnsi" w:hAnsi="Times New Roman" w:cs="Times New Roman"/>
          <w:color w:val="222222"/>
          <w:sz w:val="24"/>
          <w:szCs w:val="24"/>
          <w:shd w:val="clear" w:color="auto" w:fill="FFFFFF"/>
          <w:lang w:val="en-US" w:eastAsia="en-US"/>
        </w:rPr>
        <w:t>, M. and Miranda-de la Lama, G.C., 2021. Attitudes of meat consumers in Mexico and Spain about farm animal welfare: A cross-cultural study. </w:t>
      </w:r>
      <w:r w:rsidRPr="007B4E09">
        <w:rPr>
          <w:rFonts w:ascii="Times New Roman" w:eastAsiaTheme="minorHAnsi" w:hAnsi="Times New Roman" w:cs="Times New Roman"/>
          <w:i/>
          <w:iCs/>
          <w:color w:val="222222"/>
          <w:sz w:val="24"/>
          <w:szCs w:val="24"/>
          <w:shd w:val="clear" w:color="auto" w:fill="FFFFFF"/>
          <w:lang w:val="en-US" w:eastAsia="en-US"/>
        </w:rPr>
        <w:t>Meat Science</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173</w:t>
      </w:r>
      <w:r w:rsidRPr="007B4E09">
        <w:rPr>
          <w:rFonts w:ascii="Times New Roman" w:eastAsiaTheme="minorHAnsi" w:hAnsi="Times New Roman" w:cs="Times New Roman"/>
          <w:color w:val="222222"/>
          <w:sz w:val="24"/>
          <w:szCs w:val="24"/>
          <w:shd w:val="clear" w:color="auto" w:fill="FFFFFF"/>
          <w:lang w:val="en-US" w:eastAsia="en-US"/>
        </w:rPr>
        <w:t>, p.108377.</w:t>
      </w:r>
    </w:p>
    <w:p w14:paraId="6093BE99"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proofErr w:type="spellStart"/>
      <w:r w:rsidRPr="007B4E09">
        <w:rPr>
          <w:rFonts w:ascii="Times New Roman" w:eastAsiaTheme="minorHAnsi" w:hAnsi="Times New Roman" w:cs="Times New Roman"/>
          <w:color w:val="222222"/>
          <w:sz w:val="24"/>
          <w:szCs w:val="24"/>
          <w:shd w:val="clear" w:color="auto" w:fill="FFFFFF"/>
          <w:lang w:val="en-US" w:eastAsia="en-US"/>
        </w:rPr>
        <w:t>Gabrielli</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G. and </w:t>
      </w:r>
      <w:proofErr w:type="spellStart"/>
      <w:r w:rsidRPr="007B4E09">
        <w:rPr>
          <w:rFonts w:ascii="Times New Roman" w:eastAsiaTheme="minorHAnsi" w:hAnsi="Times New Roman" w:cs="Times New Roman"/>
          <w:color w:val="222222"/>
          <w:sz w:val="24"/>
          <w:szCs w:val="24"/>
          <w:shd w:val="clear" w:color="auto" w:fill="FFFFFF"/>
          <w:lang w:val="en-US" w:eastAsia="en-US"/>
        </w:rPr>
        <w:t>Impicciatore</w:t>
      </w:r>
      <w:proofErr w:type="spellEnd"/>
      <w:r w:rsidRPr="007B4E09">
        <w:rPr>
          <w:rFonts w:ascii="Times New Roman" w:eastAsiaTheme="minorHAnsi" w:hAnsi="Times New Roman" w:cs="Times New Roman"/>
          <w:color w:val="222222"/>
          <w:sz w:val="24"/>
          <w:szCs w:val="24"/>
          <w:shd w:val="clear" w:color="auto" w:fill="FFFFFF"/>
          <w:lang w:val="en-US" w:eastAsia="en-US"/>
        </w:rPr>
        <w:t>, R., 2022. Breaking down the barriers: educational paths, labour market outcomes and wellbeing of children of immigrants. </w:t>
      </w:r>
      <w:r w:rsidRPr="007B4E09">
        <w:rPr>
          <w:rFonts w:ascii="Times New Roman" w:eastAsiaTheme="minorHAnsi" w:hAnsi="Times New Roman" w:cs="Times New Roman"/>
          <w:i/>
          <w:iCs/>
          <w:color w:val="222222"/>
          <w:sz w:val="24"/>
          <w:szCs w:val="24"/>
          <w:shd w:val="clear" w:color="auto" w:fill="FFFFFF"/>
          <w:lang w:val="en-US" w:eastAsia="en-US"/>
        </w:rPr>
        <w:t>Journal of Ethnic and Migration Studies</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48</w:t>
      </w:r>
      <w:r w:rsidRPr="007B4E09">
        <w:rPr>
          <w:rFonts w:ascii="Times New Roman" w:eastAsiaTheme="minorHAnsi" w:hAnsi="Times New Roman" w:cs="Times New Roman"/>
          <w:color w:val="222222"/>
          <w:sz w:val="24"/>
          <w:szCs w:val="24"/>
          <w:shd w:val="clear" w:color="auto" w:fill="FFFFFF"/>
          <w:lang w:val="en-US" w:eastAsia="en-US"/>
        </w:rPr>
        <w:t>(10), pp.2305-2323.</w:t>
      </w:r>
    </w:p>
    <w:p w14:paraId="1F03E626"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sz w:val="24"/>
          <w:szCs w:val="24"/>
          <w:lang w:val="en-US" w:eastAsia="en-US"/>
        </w:rPr>
      </w:pPr>
      <w:r w:rsidRPr="007B4E09">
        <w:rPr>
          <w:rFonts w:ascii="Times New Roman" w:eastAsiaTheme="minorHAnsi" w:hAnsi="Times New Roman" w:cs="Times New Roman"/>
          <w:color w:val="222222"/>
          <w:sz w:val="24"/>
          <w:szCs w:val="24"/>
          <w:shd w:val="clear" w:color="auto" w:fill="FFFFFF"/>
          <w:lang w:val="en-US" w:eastAsia="en-US"/>
        </w:rPr>
        <w:t>Gibson‐Moore, H. and Spiro, A., 2021. Evolution not revolution–what might the future hold for front‐of‐pack nutrition labelling in the UK?: a British nutrition foundation roundtable.</w:t>
      </w:r>
    </w:p>
    <w:p w14:paraId="73A10F3A"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r w:rsidRPr="007B4E09">
        <w:rPr>
          <w:rFonts w:ascii="Times New Roman" w:eastAsiaTheme="minorHAnsi" w:hAnsi="Times New Roman" w:cs="Times New Roman"/>
          <w:color w:val="222222"/>
          <w:sz w:val="24"/>
          <w:szCs w:val="24"/>
          <w:shd w:val="clear" w:color="auto" w:fill="FFFFFF"/>
          <w:lang w:val="en-US" w:eastAsia="en-US"/>
        </w:rPr>
        <w:t>Gupta, M. and Gupta, S., 2019. Influence of national cultures on operations management and supply chain management practices—a research agenda. </w:t>
      </w:r>
      <w:r w:rsidRPr="007B4E09">
        <w:rPr>
          <w:rFonts w:ascii="Times New Roman" w:eastAsiaTheme="minorHAnsi" w:hAnsi="Times New Roman" w:cs="Times New Roman"/>
          <w:i/>
          <w:iCs/>
          <w:color w:val="222222"/>
          <w:sz w:val="24"/>
          <w:szCs w:val="24"/>
          <w:shd w:val="clear" w:color="auto" w:fill="FFFFFF"/>
          <w:lang w:val="en-US" w:eastAsia="en-US"/>
        </w:rPr>
        <w:t>Production and Operations Management</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28</w:t>
      </w:r>
      <w:r w:rsidRPr="007B4E09">
        <w:rPr>
          <w:rFonts w:ascii="Times New Roman" w:eastAsiaTheme="minorHAnsi" w:hAnsi="Times New Roman" w:cs="Times New Roman"/>
          <w:color w:val="222222"/>
          <w:sz w:val="24"/>
          <w:szCs w:val="24"/>
          <w:shd w:val="clear" w:color="auto" w:fill="FFFFFF"/>
          <w:lang w:val="en-US" w:eastAsia="en-US"/>
        </w:rPr>
        <w:t>(11), pp.2681-2698.</w:t>
      </w:r>
    </w:p>
    <w:p w14:paraId="04D21298"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proofErr w:type="spellStart"/>
      <w:r w:rsidRPr="007B4E09">
        <w:rPr>
          <w:rFonts w:ascii="Times New Roman" w:eastAsiaTheme="minorHAnsi" w:hAnsi="Times New Roman" w:cs="Times New Roman"/>
          <w:color w:val="222222"/>
          <w:sz w:val="24"/>
          <w:szCs w:val="24"/>
          <w:shd w:val="clear" w:color="auto" w:fill="FFFFFF"/>
          <w:lang w:val="en-US" w:eastAsia="en-US"/>
        </w:rPr>
        <w:t>Moise</w:t>
      </w:r>
      <w:proofErr w:type="spellEnd"/>
      <w:r w:rsidRPr="007B4E09">
        <w:rPr>
          <w:rFonts w:ascii="Times New Roman" w:eastAsiaTheme="minorHAnsi" w:hAnsi="Times New Roman" w:cs="Times New Roman"/>
          <w:color w:val="222222"/>
          <w:sz w:val="24"/>
          <w:szCs w:val="24"/>
          <w:shd w:val="clear" w:color="auto" w:fill="FFFFFF"/>
          <w:lang w:val="en-US" w:eastAsia="en-US"/>
        </w:rPr>
        <w:t>, R., 2023. Diaspora diplomacy and modes of engagement: the case of Romanian Diaspora in the UK. </w:t>
      </w:r>
      <w:r w:rsidRPr="007B4E09">
        <w:rPr>
          <w:rFonts w:ascii="Times New Roman" w:eastAsiaTheme="minorHAnsi" w:hAnsi="Times New Roman" w:cs="Times New Roman"/>
          <w:i/>
          <w:iCs/>
          <w:color w:val="222222"/>
          <w:sz w:val="24"/>
          <w:szCs w:val="24"/>
          <w:shd w:val="clear" w:color="auto" w:fill="FFFFFF"/>
          <w:lang w:val="en-US" w:eastAsia="en-US"/>
        </w:rPr>
        <w:t>Journal of Communication Management</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27</w:t>
      </w:r>
      <w:r w:rsidRPr="007B4E09">
        <w:rPr>
          <w:rFonts w:ascii="Times New Roman" w:eastAsiaTheme="minorHAnsi" w:hAnsi="Times New Roman" w:cs="Times New Roman"/>
          <w:color w:val="222222"/>
          <w:sz w:val="24"/>
          <w:szCs w:val="24"/>
          <w:shd w:val="clear" w:color="auto" w:fill="FFFFFF"/>
          <w:lang w:val="en-US" w:eastAsia="en-US"/>
        </w:rPr>
        <w:t>(2), pp.173-190.</w:t>
      </w:r>
    </w:p>
    <w:p w14:paraId="0A2001B3"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proofErr w:type="spellStart"/>
      <w:r w:rsidRPr="007B4E09">
        <w:rPr>
          <w:rFonts w:ascii="Times New Roman" w:eastAsiaTheme="minorHAnsi" w:hAnsi="Times New Roman" w:cs="Times New Roman"/>
          <w:color w:val="222222"/>
          <w:sz w:val="24"/>
          <w:szCs w:val="24"/>
          <w:shd w:val="clear" w:color="auto" w:fill="FFFFFF"/>
          <w:lang w:val="en-US" w:eastAsia="en-US"/>
        </w:rPr>
        <w:lastRenderedPageBreak/>
        <w:t>Rosnizam</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M.R.A.B., </w:t>
      </w:r>
      <w:proofErr w:type="spellStart"/>
      <w:r w:rsidRPr="007B4E09">
        <w:rPr>
          <w:rFonts w:ascii="Times New Roman" w:eastAsiaTheme="minorHAnsi" w:hAnsi="Times New Roman" w:cs="Times New Roman"/>
          <w:color w:val="222222"/>
          <w:sz w:val="24"/>
          <w:szCs w:val="24"/>
          <w:shd w:val="clear" w:color="auto" w:fill="FFFFFF"/>
          <w:lang w:val="en-US" w:eastAsia="en-US"/>
        </w:rPr>
        <w:t>Kee</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D.M.H., </w:t>
      </w:r>
      <w:proofErr w:type="spellStart"/>
      <w:r w:rsidRPr="007B4E09">
        <w:rPr>
          <w:rFonts w:ascii="Times New Roman" w:eastAsiaTheme="minorHAnsi" w:hAnsi="Times New Roman" w:cs="Times New Roman"/>
          <w:color w:val="222222"/>
          <w:sz w:val="24"/>
          <w:szCs w:val="24"/>
          <w:shd w:val="clear" w:color="auto" w:fill="FFFFFF"/>
          <w:lang w:val="en-US" w:eastAsia="en-US"/>
        </w:rPr>
        <w:t>Akhir</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M.E.H.B.M., </w:t>
      </w:r>
      <w:proofErr w:type="spellStart"/>
      <w:r w:rsidRPr="007B4E09">
        <w:rPr>
          <w:rFonts w:ascii="Times New Roman" w:eastAsiaTheme="minorHAnsi" w:hAnsi="Times New Roman" w:cs="Times New Roman"/>
          <w:color w:val="222222"/>
          <w:sz w:val="24"/>
          <w:szCs w:val="24"/>
          <w:shd w:val="clear" w:color="auto" w:fill="FFFFFF"/>
          <w:lang w:val="en-US" w:eastAsia="en-US"/>
        </w:rPr>
        <w:t>Shahqira</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M., </w:t>
      </w:r>
      <w:proofErr w:type="spellStart"/>
      <w:r w:rsidRPr="007B4E09">
        <w:rPr>
          <w:rFonts w:ascii="Times New Roman" w:eastAsiaTheme="minorHAnsi" w:hAnsi="Times New Roman" w:cs="Times New Roman"/>
          <w:color w:val="222222"/>
          <w:sz w:val="24"/>
          <w:szCs w:val="24"/>
          <w:shd w:val="clear" w:color="auto" w:fill="FFFFFF"/>
          <w:lang w:val="en-US" w:eastAsia="en-US"/>
        </w:rPr>
        <w:t>Yusoff</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M.A.H.B.M., </w:t>
      </w:r>
      <w:proofErr w:type="spellStart"/>
      <w:r w:rsidRPr="007B4E09">
        <w:rPr>
          <w:rFonts w:ascii="Times New Roman" w:eastAsiaTheme="minorHAnsi" w:hAnsi="Times New Roman" w:cs="Times New Roman"/>
          <w:color w:val="222222"/>
          <w:sz w:val="24"/>
          <w:szCs w:val="24"/>
          <w:shd w:val="clear" w:color="auto" w:fill="FFFFFF"/>
          <w:lang w:val="en-US" w:eastAsia="en-US"/>
        </w:rPr>
        <w:t>Budiman</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R.S. and </w:t>
      </w:r>
      <w:proofErr w:type="spellStart"/>
      <w:r w:rsidRPr="007B4E09">
        <w:rPr>
          <w:rFonts w:ascii="Times New Roman" w:eastAsiaTheme="minorHAnsi" w:hAnsi="Times New Roman" w:cs="Times New Roman"/>
          <w:color w:val="222222"/>
          <w:sz w:val="24"/>
          <w:szCs w:val="24"/>
          <w:shd w:val="clear" w:color="auto" w:fill="FFFFFF"/>
          <w:lang w:val="en-US" w:eastAsia="en-US"/>
        </w:rPr>
        <w:t>Alajmi</w:t>
      </w:r>
      <w:proofErr w:type="spellEnd"/>
      <w:r w:rsidRPr="007B4E09">
        <w:rPr>
          <w:rFonts w:ascii="Times New Roman" w:eastAsiaTheme="minorHAnsi" w:hAnsi="Times New Roman" w:cs="Times New Roman"/>
          <w:color w:val="222222"/>
          <w:sz w:val="24"/>
          <w:szCs w:val="24"/>
          <w:shd w:val="clear" w:color="auto" w:fill="FFFFFF"/>
          <w:lang w:val="en-US" w:eastAsia="en-US"/>
        </w:rPr>
        <w:t>, A.M., 2020. Market opportunities and challenges: A case study of Tesco. </w:t>
      </w:r>
      <w:r w:rsidRPr="007B4E09">
        <w:rPr>
          <w:rFonts w:ascii="Times New Roman" w:eastAsiaTheme="minorHAnsi" w:hAnsi="Times New Roman" w:cs="Times New Roman"/>
          <w:i/>
          <w:iCs/>
          <w:color w:val="222222"/>
          <w:sz w:val="24"/>
          <w:szCs w:val="24"/>
          <w:shd w:val="clear" w:color="auto" w:fill="FFFFFF"/>
          <w:lang w:val="en-US" w:eastAsia="en-US"/>
        </w:rPr>
        <w:t>Journal of the community development in Asia</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3</w:t>
      </w:r>
      <w:r w:rsidRPr="007B4E09">
        <w:rPr>
          <w:rFonts w:ascii="Times New Roman" w:eastAsiaTheme="minorHAnsi" w:hAnsi="Times New Roman" w:cs="Times New Roman"/>
          <w:color w:val="222222"/>
          <w:sz w:val="24"/>
          <w:szCs w:val="24"/>
          <w:shd w:val="clear" w:color="auto" w:fill="FFFFFF"/>
          <w:lang w:val="en-US" w:eastAsia="en-US"/>
        </w:rPr>
        <w:t>(2), pp.18-27.</w:t>
      </w:r>
    </w:p>
    <w:p w14:paraId="08EDF783"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r w:rsidRPr="007B4E09">
        <w:rPr>
          <w:rFonts w:ascii="Times New Roman" w:eastAsiaTheme="minorHAnsi" w:hAnsi="Times New Roman" w:cs="Times New Roman"/>
          <w:color w:val="222222"/>
          <w:sz w:val="24"/>
          <w:szCs w:val="24"/>
          <w:shd w:val="clear" w:color="auto" w:fill="FFFFFF"/>
          <w:lang w:val="en-US" w:eastAsia="en-US"/>
        </w:rPr>
        <w:t>Smith, D., (2023). Logistics in Tesco: past, present and future. In </w:t>
      </w:r>
      <w:r w:rsidRPr="007B4E09">
        <w:rPr>
          <w:rFonts w:ascii="Times New Roman" w:eastAsiaTheme="minorHAnsi" w:hAnsi="Times New Roman" w:cs="Times New Roman"/>
          <w:i/>
          <w:iCs/>
          <w:color w:val="222222"/>
          <w:sz w:val="24"/>
          <w:szCs w:val="24"/>
          <w:shd w:val="clear" w:color="auto" w:fill="FFFFFF"/>
          <w:lang w:val="en-US" w:eastAsia="en-US"/>
        </w:rPr>
        <w:t>Logistics And Retail Management insights Into Current Practice And Trends From Leading Experts</w:t>
      </w:r>
      <w:r w:rsidRPr="007B4E09">
        <w:rPr>
          <w:rFonts w:ascii="Times New Roman" w:eastAsiaTheme="minorHAnsi" w:hAnsi="Times New Roman" w:cs="Times New Roman"/>
          <w:color w:val="222222"/>
          <w:sz w:val="24"/>
          <w:szCs w:val="24"/>
          <w:shd w:val="clear" w:color="auto" w:fill="FFFFFF"/>
          <w:lang w:val="en-US" w:eastAsia="en-US"/>
        </w:rPr>
        <w:t xml:space="preserve"> (pp. 154-183). CRC Press. </w:t>
      </w:r>
      <w:hyperlink r:id="rId5" w:anchor="page=118" w:history="1">
        <w:r w:rsidRPr="007B4E09">
          <w:rPr>
            <w:rFonts w:ascii="Times New Roman" w:eastAsiaTheme="minorHAnsi" w:hAnsi="Times New Roman" w:cs="Times New Roman"/>
            <w:color w:val="0563C1" w:themeColor="hyperlink"/>
            <w:sz w:val="24"/>
            <w:szCs w:val="24"/>
            <w:u w:val="single"/>
            <w:shd w:val="clear" w:color="auto" w:fill="FFFFFF"/>
            <w:lang w:val="en-US" w:eastAsia="en-US"/>
          </w:rPr>
          <w:t>https://d1wqtxts1xzle7.cloudfront.net/32403448/1322538297-libre.pdf?1391610509=&amp;response-content-disposition=inline%3B+filename%3DLogistics_in_Tesco_past_present_and_futu.pdf&amp;Expires=1703236183&amp;Signature=Q917DDDzQoL6jW7XU0sl4~t9TlGVnohGB9yeSuaYK~Dk4QAU70aBoA-BI7j~A8s9b2NOQGtgWywfLSa6Q8IT4I6zwhdrgl0GDexo2K-GjJRxNqM6~87vIJ7dmqkwQ2sdxfyElq5ccKNi-iwzwvd4HZxwh-nkG6k-SvWQPS0PdT~bHqFmWFuWjmIUbBO9T7VJKolSjvzpg18f086FAAdeyJ~3aKHyF~NkrIoXHaCfEMRXsMvGzutUs~cQIwlpMp5MHUECaB6ADqjgE~9uubIk9OGWCUhFgoSo8h3kAGq5NrTsLJuLC6xQ1AkubPIzj9Rf9MpNx9u0GLjkPCyq62Ostg__&amp;Key-Pair-Id=APKAJLOHF5GGSLRBV4ZA#page=118</w:t>
        </w:r>
      </w:hyperlink>
    </w:p>
    <w:p w14:paraId="2C3D1B02" w14:textId="77777777" w:rsidR="007B4E09" w:rsidRPr="007B4E09" w:rsidRDefault="007B4E09" w:rsidP="007B4E09">
      <w:pPr>
        <w:spacing w:line="480" w:lineRule="auto"/>
        <w:ind w:left="785" w:hangingChars="327" w:hanging="785"/>
        <w:jc w:val="both"/>
        <w:rPr>
          <w:rFonts w:ascii="Times New Roman" w:eastAsiaTheme="minorHAnsi" w:hAnsi="Times New Roman" w:cs="Times New Roman"/>
          <w:color w:val="222222"/>
          <w:sz w:val="24"/>
          <w:szCs w:val="24"/>
          <w:shd w:val="clear" w:color="auto" w:fill="FFFFFF"/>
          <w:lang w:val="en-US" w:eastAsia="en-US"/>
        </w:rPr>
      </w:pPr>
      <w:r w:rsidRPr="007B4E09">
        <w:rPr>
          <w:rFonts w:ascii="Times New Roman" w:eastAsiaTheme="minorHAnsi" w:hAnsi="Times New Roman" w:cs="Times New Roman"/>
          <w:color w:val="222222"/>
          <w:sz w:val="24"/>
          <w:szCs w:val="24"/>
          <w:shd w:val="clear" w:color="auto" w:fill="FFFFFF"/>
          <w:lang w:val="en-US" w:eastAsia="en-US"/>
        </w:rPr>
        <w:t xml:space="preserve">Welch, C., </w:t>
      </w:r>
      <w:proofErr w:type="spellStart"/>
      <w:r w:rsidRPr="007B4E09">
        <w:rPr>
          <w:rFonts w:ascii="Times New Roman" w:eastAsiaTheme="minorHAnsi" w:hAnsi="Times New Roman" w:cs="Times New Roman"/>
          <w:color w:val="222222"/>
          <w:sz w:val="24"/>
          <w:szCs w:val="24"/>
          <w:shd w:val="clear" w:color="auto" w:fill="FFFFFF"/>
          <w:lang w:val="en-US" w:eastAsia="en-US"/>
        </w:rPr>
        <w:t>Paavilainen-Mäntymäki</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E., </w:t>
      </w:r>
      <w:proofErr w:type="spellStart"/>
      <w:r w:rsidRPr="007B4E09">
        <w:rPr>
          <w:rFonts w:ascii="Times New Roman" w:eastAsiaTheme="minorHAnsi" w:hAnsi="Times New Roman" w:cs="Times New Roman"/>
          <w:color w:val="222222"/>
          <w:sz w:val="24"/>
          <w:szCs w:val="24"/>
          <w:shd w:val="clear" w:color="auto" w:fill="FFFFFF"/>
          <w:lang w:val="en-US" w:eastAsia="en-US"/>
        </w:rPr>
        <w:t>Piekkari</w:t>
      </w:r>
      <w:proofErr w:type="spellEnd"/>
      <w:r w:rsidRPr="007B4E09">
        <w:rPr>
          <w:rFonts w:ascii="Times New Roman" w:eastAsiaTheme="minorHAnsi" w:hAnsi="Times New Roman" w:cs="Times New Roman"/>
          <w:color w:val="222222"/>
          <w:sz w:val="24"/>
          <w:szCs w:val="24"/>
          <w:shd w:val="clear" w:color="auto" w:fill="FFFFFF"/>
          <w:lang w:val="en-US" w:eastAsia="en-US"/>
        </w:rPr>
        <w:t xml:space="preserve">, R. and </w:t>
      </w:r>
      <w:proofErr w:type="spellStart"/>
      <w:r w:rsidRPr="007B4E09">
        <w:rPr>
          <w:rFonts w:ascii="Times New Roman" w:eastAsiaTheme="minorHAnsi" w:hAnsi="Times New Roman" w:cs="Times New Roman"/>
          <w:color w:val="222222"/>
          <w:sz w:val="24"/>
          <w:szCs w:val="24"/>
          <w:shd w:val="clear" w:color="auto" w:fill="FFFFFF"/>
          <w:lang w:val="en-US" w:eastAsia="en-US"/>
        </w:rPr>
        <w:t>Plakoyiannaki</w:t>
      </w:r>
      <w:proofErr w:type="spellEnd"/>
      <w:r w:rsidRPr="007B4E09">
        <w:rPr>
          <w:rFonts w:ascii="Times New Roman" w:eastAsiaTheme="minorHAnsi" w:hAnsi="Times New Roman" w:cs="Times New Roman"/>
          <w:color w:val="222222"/>
          <w:sz w:val="24"/>
          <w:szCs w:val="24"/>
          <w:shd w:val="clear" w:color="auto" w:fill="FFFFFF"/>
          <w:lang w:val="en-US" w:eastAsia="en-US"/>
        </w:rPr>
        <w:t>, E., (2022). Reconciling theory and context: How the case study can set a new agenda for international business research. </w:t>
      </w:r>
      <w:r w:rsidRPr="007B4E09">
        <w:rPr>
          <w:rFonts w:ascii="Times New Roman" w:eastAsiaTheme="minorHAnsi" w:hAnsi="Times New Roman" w:cs="Times New Roman"/>
          <w:i/>
          <w:iCs/>
          <w:color w:val="222222"/>
          <w:sz w:val="24"/>
          <w:szCs w:val="24"/>
          <w:shd w:val="clear" w:color="auto" w:fill="FFFFFF"/>
          <w:lang w:val="en-US" w:eastAsia="en-US"/>
        </w:rPr>
        <w:t>Journal of International Business Studies</w:t>
      </w:r>
      <w:r w:rsidRPr="007B4E09">
        <w:rPr>
          <w:rFonts w:ascii="Times New Roman" w:eastAsiaTheme="minorHAnsi" w:hAnsi="Times New Roman" w:cs="Times New Roman"/>
          <w:color w:val="222222"/>
          <w:sz w:val="24"/>
          <w:szCs w:val="24"/>
          <w:shd w:val="clear" w:color="auto" w:fill="FFFFFF"/>
          <w:lang w:val="en-US" w:eastAsia="en-US"/>
        </w:rPr>
        <w:t>, </w:t>
      </w:r>
      <w:r w:rsidRPr="007B4E09">
        <w:rPr>
          <w:rFonts w:ascii="Times New Roman" w:eastAsiaTheme="minorHAnsi" w:hAnsi="Times New Roman" w:cs="Times New Roman"/>
          <w:i/>
          <w:iCs/>
          <w:color w:val="222222"/>
          <w:sz w:val="24"/>
          <w:szCs w:val="24"/>
          <w:shd w:val="clear" w:color="auto" w:fill="FFFFFF"/>
          <w:lang w:val="en-US" w:eastAsia="en-US"/>
        </w:rPr>
        <w:t>53</w:t>
      </w:r>
      <w:r w:rsidRPr="007B4E09">
        <w:rPr>
          <w:rFonts w:ascii="Times New Roman" w:eastAsiaTheme="minorHAnsi" w:hAnsi="Times New Roman" w:cs="Times New Roman"/>
          <w:color w:val="222222"/>
          <w:sz w:val="24"/>
          <w:szCs w:val="24"/>
          <w:shd w:val="clear" w:color="auto" w:fill="FFFFFF"/>
          <w:lang w:val="en-US" w:eastAsia="en-US"/>
        </w:rPr>
        <w:t xml:space="preserve">(1), pp.4-26. </w:t>
      </w:r>
      <w:hyperlink r:id="rId6" w:history="1">
        <w:r w:rsidRPr="007B4E09">
          <w:rPr>
            <w:rFonts w:ascii="Times New Roman" w:eastAsiaTheme="minorHAnsi" w:hAnsi="Times New Roman" w:cs="Times New Roman"/>
            <w:color w:val="0563C1" w:themeColor="hyperlink"/>
            <w:sz w:val="24"/>
            <w:szCs w:val="24"/>
            <w:u w:val="single"/>
            <w:shd w:val="clear" w:color="auto" w:fill="FFFFFF"/>
            <w:lang w:val="en-US" w:eastAsia="en-US"/>
          </w:rPr>
          <w:t>https://www.sciencedirect.com/science/article/pii/S0148296320303258</w:t>
        </w:r>
      </w:hyperlink>
    </w:p>
    <w:p w14:paraId="75EE3BE6" w14:textId="77777777" w:rsidR="007B4E09" w:rsidRDefault="007B4E09"/>
    <w:sectPr w:rsidR="007B4E09" w:rsidSect="00AB2A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09"/>
    <w:rsid w:val="007B4E09"/>
    <w:rsid w:val="0083553B"/>
    <w:rsid w:val="00AB2A62"/>
    <w:rsid w:val="00BB0564"/>
    <w:rsid w:val="00C02428"/>
    <w:rsid w:val="00CC7EA1"/>
    <w:rsid w:val="00E15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C02697"/>
  <w15:chartTrackingRefBased/>
  <w15:docId w15:val="{274296E5-8604-F541-9AC9-33548C030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4E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0148296320303258" TargetMode="External"/><Relationship Id="rId5" Type="http://schemas.openxmlformats.org/officeDocument/2006/relationships/hyperlink" Target="https://d1wqtxts1xzle7.cloudfront.net/32403448/1322538297-libre.pdf?1391610509=&amp;response-content-disposition=inline%3B+filename%3DLogistics_in_Tesco_past_present_and_futu.pdf&amp;Expires=1703236183&amp;Signature=Q917DDDzQoL6jW7XU0sl4~t9TlGVnohGB9yeSuaYK~Dk4QAU70aBoA-BI7j~A8s9b2NOQGtgWywfLSa6Q8IT4I6zwhdrgl0GDexo2K-GjJRxNqM6~87vIJ7dmqkwQ2sdxfyElq5ccKNi-iwzwvd4HZxwh-nkG6k-SvWQPS0PdT~bHqFmWFuWjmIUbBO9T7VJKolSjvzpg18f086FAAdeyJ~3aKHyF~NkrIoXHaCfEMRXsMvGzutUs~cQIwlpMp5MHUECaB6ADqjgE~9uubIk9OGWCUhFgoSo8h3kAGq5NrTsLJuLC6xQ1AkubPIzj9Rf9MpNx9u0GLjkPCyq62Ostg__&amp;Key-Pair-Id=APKAJLOHF5GGSLRBV4ZA" TargetMode="External"/><Relationship Id="rId4" Type="http://schemas.openxmlformats.org/officeDocument/2006/relationships/hyperlink" Target="https://www.sciencedirect.com/science/article/pii/S2210422420301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3288</Words>
  <Characters>18747</Characters>
  <Application>Microsoft Office Word</Application>
  <DocSecurity>0</DocSecurity>
  <Lines>156</Lines>
  <Paragraphs>43</Paragraphs>
  <ScaleCrop>false</ScaleCrop>
  <Company/>
  <LinksUpToDate>false</LinksUpToDate>
  <CharactersWithSpaces>21992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6</cp:revision>
  <dcterms:created xsi:type="dcterms:W3CDTF">2023-12-23T10:39:00Z</dcterms:created>
  <dcterms:modified xsi:type="dcterms:W3CDTF">2023-12-23T10:46:00Z</dcterms:modified>
</cp:coreProperties>
</file>