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B0C26" w14:textId="06FEA403" w:rsidR="00FF5014" w:rsidRPr="00FF5014" w:rsidRDefault="00FF5014" w:rsidP="00A9362B">
      <w:pPr>
        <w:spacing w:line="360" w:lineRule="auto"/>
        <w:jc w:val="center"/>
        <w:rPr>
          <w:rFonts w:ascii="Arial" w:hAnsi="Arial" w:cs="Arial"/>
          <w:b/>
          <w:bCs/>
        </w:rPr>
      </w:pPr>
      <w:r w:rsidRPr="00FF5014">
        <w:rPr>
          <w:rFonts w:ascii="Arial" w:hAnsi="Arial" w:cs="Arial"/>
          <w:b/>
          <w:bCs/>
        </w:rPr>
        <w:t>Module: Psychology in Health and Social Care</w:t>
      </w:r>
    </w:p>
    <w:p w14:paraId="4E641BB5" w14:textId="7396DCBC" w:rsidR="00A9362B" w:rsidRDefault="00FF5014" w:rsidP="0036444B">
      <w:pPr>
        <w:spacing w:line="360" w:lineRule="auto"/>
        <w:jc w:val="center"/>
        <w:rPr>
          <w:rFonts w:ascii="Arial" w:hAnsi="Arial" w:cs="Arial"/>
          <w:b/>
          <w:bCs/>
        </w:rPr>
      </w:pPr>
      <w:r w:rsidRPr="00FF5014">
        <w:rPr>
          <w:rFonts w:ascii="Arial" w:hAnsi="Arial" w:cs="Arial"/>
          <w:b/>
          <w:bCs/>
        </w:rPr>
        <w:t>Module code: LCHS4010</w:t>
      </w:r>
    </w:p>
    <w:p w14:paraId="5C30D02C" w14:textId="6649E1AE" w:rsidR="0036444B" w:rsidRPr="00FF5014" w:rsidRDefault="0036444B" w:rsidP="0036444B">
      <w:pPr>
        <w:spacing w:line="360" w:lineRule="auto"/>
        <w:jc w:val="center"/>
        <w:rPr>
          <w:rFonts w:ascii="Arial" w:hAnsi="Arial" w:cs="Arial"/>
          <w:b/>
          <w:bCs/>
        </w:rPr>
      </w:pPr>
      <w:r>
        <w:rPr>
          <w:rFonts w:ascii="Arial" w:hAnsi="Arial" w:cs="Arial"/>
          <w:b/>
          <w:bCs/>
        </w:rPr>
        <w:t>Assignment: Assignment 2</w:t>
      </w:r>
    </w:p>
    <w:p w14:paraId="080C2305" w14:textId="5D13E64A" w:rsidR="00FF5014" w:rsidRPr="00FF5014" w:rsidRDefault="00FF5014" w:rsidP="00A9362B">
      <w:pPr>
        <w:spacing w:line="360" w:lineRule="auto"/>
        <w:jc w:val="center"/>
        <w:rPr>
          <w:rFonts w:ascii="Arial" w:hAnsi="Arial" w:cs="Arial"/>
          <w:b/>
          <w:bCs/>
        </w:rPr>
      </w:pPr>
      <w:r w:rsidRPr="00FF5014">
        <w:rPr>
          <w:rFonts w:ascii="Arial" w:hAnsi="Arial" w:cs="Arial"/>
          <w:b/>
          <w:bCs/>
        </w:rPr>
        <w:t xml:space="preserve">Student name: </w:t>
      </w:r>
      <w:proofErr w:type="spellStart"/>
      <w:r w:rsidR="0036444B">
        <w:rPr>
          <w:rFonts w:ascii="Arial" w:hAnsi="Arial" w:cs="Arial"/>
          <w:b/>
          <w:bCs/>
        </w:rPr>
        <w:t>Kundimba</w:t>
      </w:r>
      <w:proofErr w:type="spellEnd"/>
      <w:r w:rsidR="0036444B">
        <w:rPr>
          <w:rFonts w:ascii="Arial" w:hAnsi="Arial" w:cs="Arial"/>
          <w:b/>
          <w:bCs/>
        </w:rPr>
        <w:t xml:space="preserve"> Nadine </w:t>
      </w:r>
      <w:proofErr w:type="spellStart"/>
      <w:r w:rsidR="0036444B">
        <w:rPr>
          <w:rFonts w:ascii="Arial" w:hAnsi="Arial" w:cs="Arial"/>
          <w:b/>
          <w:bCs/>
        </w:rPr>
        <w:t>Massaka</w:t>
      </w:r>
      <w:proofErr w:type="spellEnd"/>
    </w:p>
    <w:p w14:paraId="646CF78C" w14:textId="0EC7861E" w:rsidR="00FF5014" w:rsidRDefault="00FF5014" w:rsidP="00A9362B">
      <w:pPr>
        <w:spacing w:line="360" w:lineRule="auto"/>
        <w:jc w:val="center"/>
        <w:rPr>
          <w:rFonts w:ascii="Arial" w:hAnsi="Arial" w:cs="Arial"/>
          <w:b/>
          <w:bCs/>
        </w:rPr>
      </w:pPr>
      <w:r w:rsidRPr="00FF5014">
        <w:rPr>
          <w:rFonts w:ascii="Arial" w:hAnsi="Arial" w:cs="Arial"/>
          <w:b/>
          <w:bCs/>
        </w:rPr>
        <w:t>Student number: 2420920</w:t>
      </w:r>
    </w:p>
    <w:p w14:paraId="61EDB999" w14:textId="30A5FB0C" w:rsidR="0036444B" w:rsidRDefault="0036444B" w:rsidP="00A9362B">
      <w:pPr>
        <w:spacing w:line="360" w:lineRule="auto"/>
        <w:jc w:val="center"/>
        <w:rPr>
          <w:rFonts w:ascii="Arial" w:hAnsi="Arial" w:cs="Arial"/>
          <w:b/>
          <w:bCs/>
        </w:rPr>
      </w:pPr>
      <w:r>
        <w:rPr>
          <w:rFonts w:ascii="Arial" w:hAnsi="Arial" w:cs="Arial"/>
          <w:b/>
          <w:bCs/>
        </w:rPr>
        <w:t>Lecture’s Name: Mark Kane</w:t>
      </w:r>
    </w:p>
    <w:p w14:paraId="1E21B1E6" w14:textId="77777777" w:rsidR="0036444B" w:rsidRPr="00FF5014" w:rsidRDefault="0036444B" w:rsidP="00A9362B">
      <w:pPr>
        <w:spacing w:line="360" w:lineRule="auto"/>
        <w:jc w:val="center"/>
        <w:rPr>
          <w:rFonts w:ascii="Arial" w:hAnsi="Arial" w:cs="Arial"/>
          <w:b/>
          <w:bCs/>
        </w:rPr>
      </w:pPr>
    </w:p>
    <w:p w14:paraId="6F6C383A" w14:textId="2D4BD019" w:rsidR="00790D9F" w:rsidRPr="00790D9F" w:rsidRDefault="00790D9F" w:rsidP="00DE3DB1">
      <w:pPr>
        <w:spacing w:line="360" w:lineRule="auto"/>
        <w:jc w:val="both"/>
        <w:rPr>
          <w:rFonts w:ascii="Arial" w:hAnsi="Arial" w:cs="Arial"/>
          <w:b/>
          <w:bCs/>
          <w:u w:val="single"/>
        </w:rPr>
      </w:pPr>
      <w:r w:rsidRPr="00790D9F">
        <w:rPr>
          <w:rFonts w:ascii="Arial" w:hAnsi="Arial" w:cs="Arial"/>
          <w:b/>
          <w:bCs/>
          <w:u w:val="single"/>
        </w:rPr>
        <w:t>1. Introduction</w:t>
      </w:r>
    </w:p>
    <w:p w14:paraId="25B5EDC7" w14:textId="48E6B373" w:rsidR="00790D9F" w:rsidRPr="00790D9F" w:rsidRDefault="00790D9F" w:rsidP="00DE3DB1">
      <w:pPr>
        <w:spacing w:line="360" w:lineRule="auto"/>
        <w:jc w:val="both"/>
        <w:rPr>
          <w:rFonts w:ascii="Arial" w:hAnsi="Arial" w:cs="Arial"/>
        </w:rPr>
      </w:pPr>
      <w:r w:rsidRPr="00790D9F">
        <w:rPr>
          <w:rFonts w:ascii="Arial" w:hAnsi="Arial" w:cs="Arial"/>
        </w:rPr>
        <w:t>As people get older, emotional wellbeing becomes a big part of their overall health. Many older adults, especially those aged 65 and above who live in dementia care homes, often deal with memory loss, confusion, anxiety, or low mood. These problems can affect how they feel about themselves and how they relate to others. Because of this, care staff have an important role in giving both emotional and psychological support</w:t>
      </w:r>
      <w:r w:rsidR="00F32BFC">
        <w:rPr>
          <w:rFonts w:ascii="Arial" w:hAnsi="Arial" w:cs="Arial"/>
        </w:rPr>
        <w:t xml:space="preserve"> </w:t>
      </w:r>
      <w:r w:rsidR="00F32BFC" w:rsidRPr="00F32BFC">
        <w:rPr>
          <w:rFonts w:ascii="Arial" w:hAnsi="Arial" w:cs="Arial"/>
        </w:rPr>
        <w:t>(Aggarwal et al., 2022)</w:t>
      </w:r>
      <w:r w:rsidRPr="00790D9F">
        <w:rPr>
          <w:rFonts w:ascii="Arial" w:hAnsi="Arial" w:cs="Arial"/>
        </w:rPr>
        <w:t>.</w:t>
      </w:r>
    </w:p>
    <w:p w14:paraId="4F6FA390" w14:textId="25D916FA" w:rsidR="00790D9F" w:rsidRPr="00790D9F" w:rsidRDefault="00790D9F" w:rsidP="00DE3DB1">
      <w:pPr>
        <w:spacing w:line="360" w:lineRule="auto"/>
        <w:jc w:val="both"/>
        <w:rPr>
          <w:rFonts w:ascii="Arial" w:hAnsi="Arial" w:cs="Arial"/>
        </w:rPr>
      </w:pPr>
      <w:r w:rsidRPr="00790D9F">
        <w:rPr>
          <w:rFonts w:ascii="Arial" w:hAnsi="Arial" w:cs="Arial"/>
        </w:rPr>
        <w:t>Psychological theories help carers understand how people grow and respond to life changes. This report looks at two key theories</w:t>
      </w:r>
      <w:r w:rsidR="008E17FD">
        <w:rPr>
          <w:rFonts w:ascii="Arial" w:hAnsi="Arial" w:cs="Arial"/>
        </w:rPr>
        <w:t>:</w:t>
      </w:r>
      <w:r w:rsidRPr="00790D9F">
        <w:rPr>
          <w:rFonts w:ascii="Arial" w:hAnsi="Arial" w:cs="Arial"/>
        </w:rPr>
        <w:t xml:space="preserve"> Erik Erikson’s Psychosocial Theory and John Bowlby’s Attachment Theory. Both focus on how emotions and relationships develop through life. The discussion will show how these ideas can be used to help older adults living with dementia, how they shape good care practice, and what challenges staff might face when applying them</w:t>
      </w:r>
      <w:r w:rsidR="00F32BFC">
        <w:rPr>
          <w:rFonts w:ascii="Arial" w:hAnsi="Arial" w:cs="Arial"/>
        </w:rPr>
        <w:t xml:space="preserve"> </w:t>
      </w:r>
      <w:r w:rsidR="00F32BFC" w:rsidRPr="00F32BFC">
        <w:rPr>
          <w:rFonts w:ascii="Arial" w:hAnsi="Arial" w:cs="Arial"/>
        </w:rPr>
        <w:t>(Pittman et al., 2011)</w:t>
      </w:r>
      <w:r w:rsidRPr="00790D9F">
        <w:rPr>
          <w:rFonts w:ascii="Arial" w:hAnsi="Arial" w:cs="Arial"/>
        </w:rPr>
        <w:t>.</w:t>
      </w:r>
    </w:p>
    <w:p w14:paraId="08E2B4F7" w14:textId="771EBC0F" w:rsidR="00790D9F" w:rsidRPr="00790D9F" w:rsidRDefault="00790D9F" w:rsidP="00DE3DB1">
      <w:pPr>
        <w:spacing w:line="360" w:lineRule="auto"/>
        <w:jc w:val="both"/>
        <w:rPr>
          <w:rFonts w:ascii="Arial" w:hAnsi="Arial" w:cs="Arial"/>
        </w:rPr>
      </w:pPr>
      <w:r w:rsidRPr="00790D9F">
        <w:rPr>
          <w:rFonts w:ascii="Arial" w:hAnsi="Arial" w:cs="Arial"/>
        </w:rPr>
        <w:t>Many older people in care homes face emotional struggles linked to loneliness, loss, and fear of dependency. Some may be hesitant to accept support, while others rely heavily on familiar faces for comfort. Understanding the emotional stages that people go through allows carers to respond with greater sensitivity. This approach supports mental wellbeing and helps establish trust and positive daily routines within the care setting</w:t>
      </w:r>
      <w:r w:rsidR="00522234">
        <w:rPr>
          <w:rFonts w:ascii="Arial" w:hAnsi="Arial" w:cs="Arial"/>
        </w:rPr>
        <w:t xml:space="preserve"> </w:t>
      </w:r>
      <w:r w:rsidR="00522234" w:rsidRPr="00522234">
        <w:rPr>
          <w:rFonts w:ascii="Arial" w:hAnsi="Arial" w:cs="Arial"/>
        </w:rPr>
        <w:t>(Reynolds et al., 2022)</w:t>
      </w:r>
      <w:r w:rsidRPr="00790D9F">
        <w:rPr>
          <w:rFonts w:ascii="Arial" w:hAnsi="Arial" w:cs="Arial"/>
        </w:rPr>
        <w:t>.</w:t>
      </w:r>
    </w:p>
    <w:p w14:paraId="02D84A6E" w14:textId="77777777" w:rsidR="00790D9F" w:rsidRPr="00790D9F" w:rsidRDefault="00790D9F" w:rsidP="00DE3DB1">
      <w:pPr>
        <w:spacing w:line="360" w:lineRule="auto"/>
        <w:jc w:val="both"/>
        <w:rPr>
          <w:rFonts w:ascii="Arial" w:hAnsi="Arial" w:cs="Arial"/>
          <w:b/>
          <w:bCs/>
          <w:u w:val="single"/>
        </w:rPr>
      </w:pPr>
      <w:r w:rsidRPr="00790D9F">
        <w:rPr>
          <w:rFonts w:ascii="Arial" w:hAnsi="Arial" w:cs="Arial"/>
          <w:b/>
          <w:bCs/>
          <w:u w:val="single"/>
        </w:rPr>
        <w:t>2. Overview of the Theories</w:t>
      </w:r>
    </w:p>
    <w:p w14:paraId="3EAC0825" w14:textId="77777777" w:rsidR="00790D9F" w:rsidRPr="00790D9F" w:rsidRDefault="00790D9F" w:rsidP="00DE3DB1">
      <w:pPr>
        <w:spacing w:line="360" w:lineRule="auto"/>
        <w:jc w:val="both"/>
        <w:rPr>
          <w:rFonts w:ascii="Arial" w:hAnsi="Arial" w:cs="Arial"/>
          <w:b/>
          <w:bCs/>
        </w:rPr>
      </w:pPr>
      <w:r w:rsidRPr="00790D9F">
        <w:rPr>
          <w:rFonts w:ascii="Arial" w:hAnsi="Arial" w:cs="Arial"/>
          <w:b/>
          <w:bCs/>
        </w:rPr>
        <w:t>2.1 Erikson’s Psychosocial Theory</w:t>
      </w:r>
    </w:p>
    <w:p w14:paraId="68C15765" w14:textId="77777777" w:rsidR="00790D9F" w:rsidRPr="00790D9F" w:rsidRDefault="00790D9F" w:rsidP="00DE3DB1">
      <w:pPr>
        <w:spacing w:line="360" w:lineRule="auto"/>
        <w:jc w:val="both"/>
        <w:rPr>
          <w:rFonts w:ascii="Arial" w:hAnsi="Arial" w:cs="Arial"/>
        </w:rPr>
      </w:pPr>
      <w:r w:rsidRPr="00790D9F">
        <w:rPr>
          <w:rFonts w:ascii="Arial" w:hAnsi="Arial" w:cs="Arial"/>
        </w:rPr>
        <w:t>Erikson believed that people pass through eight stages of life, each one linked to a key emotional challenge. The last stage, known as Integrity versus Despair, happens in later adulthood.</w:t>
      </w:r>
    </w:p>
    <w:p w14:paraId="5C42BA5F" w14:textId="51A0517A" w:rsidR="00790D9F" w:rsidRPr="00790D9F" w:rsidRDefault="00790D9F" w:rsidP="00DE3DB1">
      <w:pPr>
        <w:spacing w:line="360" w:lineRule="auto"/>
        <w:jc w:val="both"/>
        <w:rPr>
          <w:rFonts w:ascii="Arial" w:hAnsi="Arial" w:cs="Arial"/>
        </w:rPr>
      </w:pPr>
      <w:r w:rsidRPr="00790D9F">
        <w:rPr>
          <w:rFonts w:ascii="Arial" w:hAnsi="Arial" w:cs="Arial"/>
        </w:rPr>
        <w:t xml:space="preserve">During this stage, people think about their past and what they have achieved. If they feel content and proud, they find peace and acceptance. But if they have regrets or feel they </w:t>
      </w:r>
      <w:r w:rsidRPr="00790D9F">
        <w:rPr>
          <w:rFonts w:ascii="Arial" w:hAnsi="Arial" w:cs="Arial"/>
        </w:rPr>
        <w:lastRenderedPageBreak/>
        <w:t>missed out, they may fall into despair. This can cause sadness or a feeling of failure</w:t>
      </w:r>
      <w:r w:rsidR="005A4802">
        <w:rPr>
          <w:rFonts w:ascii="Arial" w:hAnsi="Arial" w:cs="Arial"/>
        </w:rPr>
        <w:t xml:space="preserve"> </w:t>
      </w:r>
      <w:r w:rsidR="005A4802" w:rsidRPr="005A4802">
        <w:rPr>
          <w:rFonts w:ascii="Arial" w:hAnsi="Arial" w:cs="Arial"/>
        </w:rPr>
        <w:t>(Chen et al., 2021)</w:t>
      </w:r>
      <w:r w:rsidRPr="00790D9F">
        <w:rPr>
          <w:rFonts w:ascii="Arial" w:hAnsi="Arial" w:cs="Arial"/>
        </w:rPr>
        <w:t>.</w:t>
      </w:r>
    </w:p>
    <w:p w14:paraId="06F4B1F2" w14:textId="1E2696D5" w:rsidR="00790D9F" w:rsidRPr="00790D9F" w:rsidRDefault="00790D9F" w:rsidP="00DE3DB1">
      <w:pPr>
        <w:spacing w:line="360" w:lineRule="auto"/>
        <w:jc w:val="both"/>
        <w:rPr>
          <w:rFonts w:ascii="Arial" w:hAnsi="Arial" w:cs="Arial"/>
        </w:rPr>
      </w:pPr>
      <w:r w:rsidRPr="00790D9F">
        <w:rPr>
          <w:rFonts w:ascii="Arial" w:hAnsi="Arial" w:cs="Arial"/>
        </w:rPr>
        <w:t>For those living with dementia, this stage is often more complicated. Forgetting past experiences or losing independence can lead to frustration and distress. According to Erikson, carers can help older adults by reminding them that their life still has value and meaning. Gentle support from staff and family helps them keep their dignity and a sense of self</w:t>
      </w:r>
      <w:r w:rsidR="008E4683">
        <w:rPr>
          <w:rFonts w:ascii="Arial" w:hAnsi="Arial" w:cs="Arial"/>
        </w:rPr>
        <w:t xml:space="preserve"> </w:t>
      </w:r>
      <w:r w:rsidR="008E4683" w:rsidRPr="008E4683">
        <w:rPr>
          <w:rFonts w:ascii="Arial" w:hAnsi="Arial" w:cs="Arial"/>
        </w:rPr>
        <w:t>(Perry et al., 2015</w:t>
      </w:r>
      <w:r w:rsidR="008E4683">
        <w:rPr>
          <w:rFonts w:ascii="Arial" w:hAnsi="Arial" w:cs="Arial"/>
        </w:rPr>
        <w:t>)</w:t>
      </w:r>
      <w:r w:rsidRPr="00790D9F">
        <w:rPr>
          <w:rFonts w:ascii="Arial" w:hAnsi="Arial" w:cs="Arial"/>
        </w:rPr>
        <w:t>.</w:t>
      </w:r>
    </w:p>
    <w:p w14:paraId="745B45D0" w14:textId="75449026" w:rsidR="00790D9F" w:rsidRPr="00790D9F" w:rsidRDefault="00790D9F" w:rsidP="00DE3DB1">
      <w:pPr>
        <w:spacing w:line="360" w:lineRule="auto"/>
        <w:jc w:val="both"/>
        <w:rPr>
          <w:rFonts w:ascii="Arial" w:hAnsi="Arial" w:cs="Arial"/>
        </w:rPr>
      </w:pPr>
      <w:r w:rsidRPr="00790D9F">
        <w:rPr>
          <w:rFonts w:ascii="Arial" w:hAnsi="Arial" w:cs="Arial"/>
        </w:rPr>
        <w:t>Erikson’s theory also encourages carers to see each resident as a complete person rather than focusing only on their illness. Small gestures such as paying attention, speaking respectfully, and asking about meaningful life experiences can strengthen a person’s sense of who they are. Even if memories are unclear, emotional recognition often remains, which allows carers to offer reassurance and comfort in a very personal way.</w:t>
      </w:r>
    </w:p>
    <w:p w14:paraId="3CD0EF63" w14:textId="77777777" w:rsidR="00790D9F" w:rsidRPr="00790D9F" w:rsidRDefault="00790D9F" w:rsidP="00DE3DB1">
      <w:pPr>
        <w:spacing w:line="360" w:lineRule="auto"/>
        <w:jc w:val="both"/>
        <w:rPr>
          <w:rFonts w:ascii="Arial" w:hAnsi="Arial" w:cs="Arial"/>
          <w:b/>
          <w:bCs/>
        </w:rPr>
      </w:pPr>
      <w:r w:rsidRPr="00790D9F">
        <w:rPr>
          <w:rFonts w:ascii="Arial" w:hAnsi="Arial" w:cs="Arial"/>
          <w:b/>
          <w:bCs/>
        </w:rPr>
        <w:t>2.2 Bowlby’s Attachment Theory</w:t>
      </w:r>
    </w:p>
    <w:p w14:paraId="367C855A" w14:textId="77777777" w:rsidR="00790D9F" w:rsidRPr="00790D9F" w:rsidRDefault="00790D9F" w:rsidP="00DE3DB1">
      <w:pPr>
        <w:spacing w:line="360" w:lineRule="auto"/>
        <w:jc w:val="both"/>
        <w:rPr>
          <w:rFonts w:ascii="Arial" w:hAnsi="Arial" w:cs="Arial"/>
        </w:rPr>
      </w:pPr>
      <w:r w:rsidRPr="00790D9F">
        <w:rPr>
          <w:rFonts w:ascii="Arial" w:hAnsi="Arial" w:cs="Arial"/>
        </w:rPr>
        <w:t>Bowlby’s theory explains how emotional bonds shape people throughout life. He believed that secure attachments formed early help a person feel safe and confident, while weaker attachments can create insecurity or fear.</w:t>
      </w:r>
    </w:p>
    <w:p w14:paraId="6214A61C" w14:textId="544A107D" w:rsidR="00790D9F" w:rsidRPr="00790D9F" w:rsidRDefault="00790D9F" w:rsidP="00DE3DB1">
      <w:pPr>
        <w:spacing w:line="360" w:lineRule="auto"/>
        <w:jc w:val="both"/>
        <w:rPr>
          <w:rFonts w:ascii="Arial" w:hAnsi="Arial" w:cs="Arial"/>
        </w:rPr>
      </w:pPr>
      <w:r w:rsidRPr="00790D9F">
        <w:rPr>
          <w:rFonts w:ascii="Arial" w:hAnsi="Arial" w:cs="Arial"/>
        </w:rPr>
        <w:t>Attachments continue to matter as people age. In care homes, many residents experience loneliness or feel disconnected when family visits are infrequent. Changes in familiar surroundings or routines may create stress or confusion, especially for those with dementia.</w:t>
      </w:r>
    </w:p>
    <w:p w14:paraId="4D3566E6" w14:textId="77777777" w:rsidR="00790D9F" w:rsidRPr="00790D9F" w:rsidRDefault="00790D9F" w:rsidP="00DE3DB1">
      <w:pPr>
        <w:spacing w:line="360" w:lineRule="auto"/>
        <w:jc w:val="both"/>
        <w:rPr>
          <w:rFonts w:ascii="Arial" w:hAnsi="Arial" w:cs="Arial"/>
        </w:rPr>
      </w:pPr>
      <w:r w:rsidRPr="00790D9F">
        <w:rPr>
          <w:rFonts w:ascii="Arial" w:hAnsi="Arial" w:cs="Arial"/>
        </w:rPr>
        <w:t>Bowlby identified four types of attachment — secure, avoidant, ambivalent, and disorganised. Older adults with secure attachments usually adapt more easily to care home life. Those with insecure attachments may find it harder to trust others. When carers understand these differences, they can respond with empathy and patience, helping residents feel safe and understood.</w:t>
      </w:r>
    </w:p>
    <w:p w14:paraId="14B96085" w14:textId="3DEE1400" w:rsidR="00790D9F" w:rsidRPr="00790D9F" w:rsidRDefault="00790D9F" w:rsidP="00DE3DB1">
      <w:pPr>
        <w:spacing w:line="360" w:lineRule="auto"/>
        <w:jc w:val="both"/>
        <w:rPr>
          <w:rFonts w:ascii="Arial" w:hAnsi="Arial" w:cs="Arial"/>
        </w:rPr>
      </w:pPr>
      <w:r w:rsidRPr="00790D9F">
        <w:rPr>
          <w:rFonts w:ascii="Arial" w:hAnsi="Arial" w:cs="Arial"/>
        </w:rPr>
        <w:t>Supporting emotional bonds can involve keeping familiar items nearby, like photographs or personal objects, to provide comfort. When carers encourage these small connections, residents often feel calmer and more confident, helping them engage more positively with daily activities</w:t>
      </w:r>
      <w:r w:rsidR="00C541ED">
        <w:rPr>
          <w:rFonts w:ascii="Arial" w:hAnsi="Arial" w:cs="Arial"/>
        </w:rPr>
        <w:t xml:space="preserve"> </w:t>
      </w:r>
      <w:r w:rsidR="00C541ED" w:rsidRPr="00C541ED">
        <w:rPr>
          <w:rFonts w:ascii="Arial" w:hAnsi="Arial" w:cs="Arial"/>
        </w:rPr>
        <w:t>(Dagan et al., 2021)</w:t>
      </w:r>
      <w:r w:rsidRPr="00790D9F">
        <w:rPr>
          <w:rFonts w:ascii="Arial" w:hAnsi="Arial" w:cs="Arial"/>
        </w:rPr>
        <w:t>.</w:t>
      </w:r>
    </w:p>
    <w:p w14:paraId="1249388A" w14:textId="77777777" w:rsidR="00790D9F" w:rsidRPr="00790D9F" w:rsidRDefault="00790D9F" w:rsidP="00DE3DB1">
      <w:pPr>
        <w:spacing w:line="360" w:lineRule="auto"/>
        <w:jc w:val="both"/>
        <w:rPr>
          <w:rFonts w:ascii="Arial" w:hAnsi="Arial" w:cs="Arial"/>
          <w:b/>
          <w:bCs/>
          <w:u w:val="single"/>
        </w:rPr>
      </w:pPr>
      <w:r w:rsidRPr="00790D9F">
        <w:rPr>
          <w:rFonts w:ascii="Arial" w:hAnsi="Arial" w:cs="Arial"/>
          <w:b/>
          <w:bCs/>
          <w:u w:val="single"/>
        </w:rPr>
        <w:t>3. Application in Health and Social Care</w:t>
      </w:r>
    </w:p>
    <w:p w14:paraId="1E0AB39E" w14:textId="77777777" w:rsidR="00790D9F" w:rsidRPr="00790D9F" w:rsidRDefault="00790D9F" w:rsidP="00DE3DB1">
      <w:pPr>
        <w:spacing w:line="360" w:lineRule="auto"/>
        <w:jc w:val="both"/>
        <w:rPr>
          <w:rFonts w:ascii="Arial" w:hAnsi="Arial" w:cs="Arial"/>
          <w:b/>
          <w:bCs/>
        </w:rPr>
      </w:pPr>
      <w:r w:rsidRPr="00790D9F">
        <w:rPr>
          <w:rFonts w:ascii="Arial" w:hAnsi="Arial" w:cs="Arial"/>
          <w:b/>
          <w:bCs/>
        </w:rPr>
        <w:t>3.1 Using Erikson’s Theory</w:t>
      </w:r>
    </w:p>
    <w:p w14:paraId="1B9971B1" w14:textId="77777777" w:rsidR="00790D9F" w:rsidRPr="00790D9F" w:rsidRDefault="00790D9F" w:rsidP="00DE3DB1">
      <w:pPr>
        <w:spacing w:line="360" w:lineRule="auto"/>
        <w:jc w:val="both"/>
        <w:rPr>
          <w:rFonts w:ascii="Arial" w:hAnsi="Arial" w:cs="Arial"/>
        </w:rPr>
      </w:pPr>
      <w:r w:rsidRPr="00790D9F">
        <w:rPr>
          <w:rFonts w:ascii="Arial" w:hAnsi="Arial" w:cs="Arial"/>
        </w:rPr>
        <w:lastRenderedPageBreak/>
        <w:t>Erikson’s ideas can guide carers to support older people emotionally. One useful approach is life review, where residents share memories, photos, or personal stories. Talking about meaningful experiences can bring back a sense of purpose and belonging.</w:t>
      </w:r>
    </w:p>
    <w:p w14:paraId="68AB5D1A" w14:textId="77777777" w:rsidR="00790D9F" w:rsidRPr="00790D9F" w:rsidRDefault="00790D9F" w:rsidP="00DE3DB1">
      <w:pPr>
        <w:spacing w:line="360" w:lineRule="auto"/>
        <w:jc w:val="both"/>
        <w:rPr>
          <w:rFonts w:ascii="Arial" w:hAnsi="Arial" w:cs="Arial"/>
        </w:rPr>
      </w:pPr>
      <w:r w:rsidRPr="00790D9F">
        <w:rPr>
          <w:rFonts w:ascii="Arial" w:hAnsi="Arial" w:cs="Arial"/>
        </w:rPr>
        <w:t>For instance, a carer might look at old pictures with a resident and talk about family events or hobbies. Even short chats can lift mood and strengthen trust between carer and resident.</w:t>
      </w:r>
    </w:p>
    <w:p w14:paraId="111FAB6E" w14:textId="77777777" w:rsidR="00790D9F" w:rsidRPr="00790D9F" w:rsidRDefault="00790D9F" w:rsidP="00DE3DB1">
      <w:pPr>
        <w:spacing w:line="360" w:lineRule="auto"/>
        <w:jc w:val="both"/>
        <w:rPr>
          <w:rFonts w:ascii="Arial" w:hAnsi="Arial" w:cs="Arial"/>
        </w:rPr>
      </w:pPr>
      <w:r w:rsidRPr="00790D9F">
        <w:rPr>
          <w:rFonts w:ascii="Arial" w:hAnsi="Arial" w:cs="Arial"/>
        </w:rPr>
        <w:t>Person-centred care also connects with Erikson’s theory. Allowing residents to make small daily choices, such as when to rest or what to eat, helps them keep their independence. When carers notice signs of despair, like sadness or withdrawal, they can respond with reassurance, patience, and kindness to improve emotional wellbeing.</w:t>
      </w:r>
    </w:p>
    <w:p w14:paraId="07004D8B" w14:textId="6F905B49" w:rsidR="00790D9F" w:rsidRPr="00790D9F" w:rsidRDefault="00790D9F" w:rsidP="00DE3DB1">
      <w:pPr>
        <w:spacing w:line="360" w:lineRule="auto"/>
        <w:jc w:val="both"/>
        <w:rPr>
          <w:rFonts w:ascii="Arial" w:hAnsi="Arial" w:cs="Arial"/>
        </w:rPr>
      </w:pPr>
      <w:r w:rsidRPr="00790D9F">
        <w:rPr>
          <w:rFonts w:ascii="Arial" w:hAnsi="Arial" w:cs="Arial"/>
        </w:rPr>
        <w:t>Care homes can build on this approach by creating group activities that encourage sharing of memories or favourite songs from earlier years. These activities allow residents to connect with one another and feel less isolated. Keeping a record of each resident’s preferences and background can also help staff personalise care, making each individual feel valued and recognised.</w:t>
      </w:r>
    </w:p>
    <w:p w14:paraId="193DDC20" w14:textId="77777777" w:rsidR="00790D9F" w:rsidRPr="00790D9F" w:rsidRDefault="00790D9F" w:rsidP="00DE3DB1">
      <w:pPr>
        <w:spacing w:line="360" w:lineRule="auto"/>
        <w:jc w:val="both"/>
        <w:rPr>
          <w:rFonts w:ascii="Arial" w:hAnsi="Arial" w:cs="Arial"/>
          <w:b/>
          <w:bCs/>
        </w:rPr>
      </w:pPr>
      <w:r w:rsidRPr="00790D9F">
        <w:rPr>
          <w:rFonts w:ascii="Arial" w:hAnsi="Arial" w:cs="Arial"/>
          <w:b/>
          <w:bCs/>
        </w:rPr>
        <w:t>3.2 Using Bowlby’s Theory</w:t>
      </w:r>
    </w:p>
    <w:p w14:paraId="7532815A" w14:textId="77777777" w:rsidR="00790D9F" w:rsidRPr="00790D9F" w:rsidRDefault="00790D9F" w:rsidP="00DE3DB1">
      <w:pPr>
        <w:spacing w:line="360" w:lineRule="auto"/>
        <w:jc w:val="both"/>
        <w:rPr>
          <w:rFonts w:ascii="Arial" w:hAnsi="Arial" w:cs="Arial"/>
        </w:rPr>
      </w:pPr>
      <w:r w:rsidRPr="00790D9F">
        <w:rPr>
          <w:rFonts w:ascii="Arial" w:hAnsi="Arial" w:cs="Arial"/>
        </w:rPr>
        <w:t>Bowlby’s ideas are helpful in dementia care because they focus on emotional safety and trust. Having regular carers helps residents feel secure, especially when they recognise familiar faces. Consistency in care creates comfort and stability.</w:t>
      </w:r>
    </w:p>
    <w:p w14:paraId="2D994FB5" w14:textId="77777777" w:rsidR="00790D9F" w:rsidRPr="00790D9F" w:rsidRDefault="00790D9F" w:rsidP="00DE3DB1">
      <w:pPr>
        <w:spacing w:line="360" w:lineRule="auto"/>
        <w:jc w:val="both"/>
        <w:rPr>
          <w:rFonts w:ascii="Arial" w:hAnsi="Arial" w:cs="Arial"/>
        </w:rPr>
      </w:pPr>
      <w:r w:rsidRPr="00790D9F">
        <w:rPr>
          <w:rFonts w:ascii="Arial" w:hAnsi="Arial" w:cs="Arial"/>
        </w:rPr>
        <w:t>For example, if a resident sees the same carer most days, they may feel more relaxed and cooperative. This relationship reflects Bowlby’s idea of a “secure base” — feeling safe enough to connect with others.</w:t>
      </w:r>
    </w:p>
    <w:p w14:paraId="6D93AFE3" w14:textId="77777777" w:rsidR="00790D9F" w:rsidRPr="00790D9F" w:rsidRDefault="00790D9F" w:rsidP="00DE3DB1">
      <w:pPr>
        <w:spacing w:line="360" w:lineRule="auto"/>
        <w:jc w:val="both"/>
        <w:rPr>
          <w:rFonts w:ascii="Arial" w:hAnsi="Arial" w:cs="Arial"/>
        </w:rPr>
      </w:pPr>
      <w:r w:rsidRPr="00790D9F">
        <w:rPr>
          <w:rFonts w:ascii="Arial" w:hAnsi="Arial" w:cs="Arial"/>
        </w:rPr>
        <w:t>The theory also helps carers understand behaviours such as anger, crying, or withdrawal. These may not mean resistance but rather fear or confusion. When carers stay calm, use gentle voices, and offer reassurance, residents often settle more easily.</w:t>
      </w:r>
    </w:p>
    <w:p w14:paraId="55CF8F33" w14:textId="77777777" w:rsidR="00790D9F" w:rsidRPr="00790D9F" w:rsidRDefault="00790D9F" w:rsidP="00DE3DB1">
      <w:pPr>
        <w:spacing w:line="360" w:lineRule="auto"/>
        <w:jc w:val="both"/>
        <w:rPr>
          <w:rFonts w:ascii="Arial" w:hAnsi="Arial" w:cs="Arial"/>
        </w:rPr>
      </w:pPr>
      <w:r w:rsidRPr="00790D9F">
        <w:rPr>
          <w:rFonts w:ascii="Arial" w:hAnsi="Arial" w:cs="Arial"/>
        </w:rPr>
        <w:t>Family contact also supports emotional wellbeing. Visits, calls, or memory boxes with photos can help residents stay connected with loved ones. Carers can support these activities to reduce isolation and promote comfort.</w:t>
      </w:r>
    </w:p>
    <w:p w14:paraId="4B51E33B" w14:textId="77777777" w:rsidR="00790D9F" w:rsidRPr="00790D9F" w:rsidRDefault="00790D9F" w:rsidP="00DE3DB1">
      <w:pPr>
        <w:spacing w:line="360" w:lineRule="auto"/>
        <w:jc w:val="both"/>
        <w:rPr>
          <w:rFonts w:ascii="Arial" w:hAnsi="Arial" w:cs="Arial"/>
          <w:b/>
          <w:bCs/>
          <w:u w:val="single"/>
        </w:rPr>
      </w:pPr>
      <w:r w:rsidRPr="00790D9F">
        <w:rPr>
          <w:rFonts w:ascii="Arial" w:hAnsi="Arial" w:cs="Arial"/>
          <w:b/>
          <w:bCs/>
          <w:u w:val="single"/>
        </w:rPr>
        <w:t>4. Challenges and Ways to Manage Them</w:t>
      </w:r>
    </w:p>
    <w:p w14:paraId="1F8736D0" w14:textId="77777777" w:rsidR="00790D9F" w:rsidRPr="00790D9F" w:rsidRDefault="00790D9F" w:rsidP="00DE3DB1">
      <w:pPr>
        <w:spacing w:line="360" w:lineRule="auto"/>
        <w:jc w:val="both"/>
        <w:rPr>
          <w:rFonts w:ascii="Arial" w:hAnsi="Arial" w:cs="Arial"/>
        </w:rPr>
      </w:pPr>
      <w:r w:rsidRPr="00790D9F">
        <w:rPr>
          <w:rFonts w:ascii="Arial" w:hAnsi="Arial" w:cs="Arial"/>
        </w:rPr>
        <w:t>Even though these theories are helpful, there are practical difficulties when putting them into daily care.</w:t>
      </w:r>
    </w:p>
    <w:p w14:paraId="214E7E04" w14:textId="77777777" w:rsidR="00790D9F" w:rsidRPr="00790D9F" w:rsidRDefault="00790D9F" w:rsidP="00DE3DB1">
      <w:pPr>
        <w:spacing w:line="360" w:lineRule="auto"/>
        <w:jc w:val="both"/>
        <w:rPr>
          <w:rFonts w:ascii="Arial" w:hAnsi="Arial" w:cs="Arial"/>
          <w:b/>
          <w:bCs/>
        </w:rPr>
      </w:pPr>
      <w:r w:rsidRPr="00790D9F">
        <w:rPr>
          <w:rFonts w:ascii="Arial" w:hAnsi="Arial" w:cs="Arial"/>
          <w:b/>
          <w:bCs/>
        </w:rPr>
        <w:t>4.1 Staffing and Time</w:t>
      </w:r>
    </w:p>
    <w:p w14:paraId="5B45189F" w14:textId="5260EB70" w:rsidR="00790D9F" w:rsidRPr="00790D9F" w:rsidRDefault="00790D9F" w:rsidP="00DE3DB1">
      <w:pPr>
        <w:spacing w:line="360" w:lineRule="auto"/>
        <w:jc w:val="both"/>
        <w:rPr>
          <w:rFonts w:ascii="Arial" w:hAnsi="Arial" w:cs="Arial"/>
        </w:rPr>
      </w:pPr>
      <w:r w:rsidRPr="00790D9F">
        <w:rPr>
          <w:rFonts w:ascii="Arial" w:hAnsi="Arial" w:cs="Arial"/>
        </w:rPr>
        <w:lastRenderedPageBreak/>
        <w:t>Many care homes have limited staff, which means less time for personal conversations or activities.  Even brief interactions, such as a short chat during meals or helping with a hobby, can provide reassurance and make residents feel noticed.</w:t>
      </w:r>
    </w:p>
    <w:p w14:paraId="04CE7C4F" w14:textId="77777777" w:rsidR="00790D9F" w:rsidRPr="00790D9F" w:rsidRDefault="00790D9F" w:rsidP="00DE3DB1">
      <w:pPr>
        <w:spacing w:line="360" w:lineRule="auto"/>
        <w:jc w:val="both"/>
        <w:rPr>
          <w:rFonts w:ascii="Arial" w:hAnsi="Arial" w:cs="Arial"/>
          <w:b/>
          <w:bCs/>
        </w:rPr>
      </w:pPr>
      <w:r w:rsidRPr="00790D9F">
        <w:rPr>
          <w:rFonts w:ascii="Arial" w:hAnsi="Arial" w:cs="Arial"/>
          <w:b/>
          <w:bCs/>
        </w:rPr>
        <w:t>4.2 Lack of Training</w:t>
      </w:r>
    </w:p>
    <w:p w14:paraId="00838F70" w14:textId="77777777" w:rsidR="00790D9F" w:rsidRPr="00790D9F" w:rsidRDefault="00790D9F" w:rsidP="00DE3DB1">
      <w:pPr>
        <w:spacing w:line="360" w:lineRule="auto"/>
        <w:jc w:val="both"/>
        <w:rPr>
          <w:rFonts w:ascii="Arial" w:hAnsi="Arial" w:cs="Arial"/>
        </w:rPr>
      </w:pPr>
      <w:r w:rsidRPr="00790D9F">
        <w:rPr>
          <w:rFonts w:ascii="Arial" w:hAnsi="Arial" w:cs="Arial"/>
        </w:rPr>
        <w:t>Some carers may not know much about psychological theories. This can make care feel more task-focused. Simple and regular training sessions can help staff understand how to recognise distress or emotional needs and respond more effectively.</w:t>
      </w:r>
    </w:p>
    <w:p w14:paraId="522259A8" w14:textId="77777777" w:rsidR="00790D9F" w:rsidRPr="00790D9F" w:rsidRDefault="00790D9F" w:rsidP="00DE3DB1">
      <w:pPr>
        <w:spacing w:line="360" w:lineRule="auto"/>
        <w:jc w:val="both"/>
        <w:rPr>
          <w:rFonts w:ascii="Arial" w:hAnsi="Arial" w:cs="Arial"/>
          <w:b/>
          <w:bCs/>
        </w:rPr>
      </w:pPr>
      <w:r w:rsidRPr="00790D9F">
        <w:rPr>
          <w:rFonts w:ascii="Arial" w:hAnsi="Arial" w:cs="Arial"/>
          <w:b/>
          <w:bCs/>
        </w:rPr>
        <w:t>4.3 Communication Difficulties</w:t>
      </w:r>
    </w:p>
    <w:p w14:paraId="0AD6750D" w14:textId="6CE4C5C5" w:rsidR="00790D9F" w:rsidRPr="00790D9F" w:rsidRDefault="00790D9F" w:rsidP="00DE3DB1">
      <w:pPr>
        <w:spacing w:line="360" w:lineRule="auto"/>
        <w:jc w:val="both"/>
        <w:rPr>
          <w:rFonts w:ascii="Arial" w:hAnsi="Arial" w:cs="Arial"/>
        </w:rPr>
      </w:pPr>
      <w:r w:rsidRPr="00790D9F">
        <w:rPr>
          <w:rFonts w:ascii="Arial" w:hAnsi="Arial" w:cs="Arial"/>
        </w:rPr>
        <w:t>Dementia can make speaking and understanding difficult. Carers can use smiles, touch, and eye contact to communicate empathy. This type of connection supports Bowlby’s idea that emotions can be shared even without words</w:t>
      </w:r>
      <w:r w:rsidR="00FF5014">
        <w:rPr>
          <w:rFonts w:ascii="Arial" w:hAnsi="Arial" w:cs="Arial"/>
        </w:rPr>
        <w:t xml:space="preserve"> </w:t>
      </w:r>
      <w:r w:rsidR="00FF5014" w:rsidRPr="00FF5014">
        <w:rPr>
          <w:rFonts w:ascii="Arial" w:hAnsi="Arial" w:cs="Arial"/>
        </w:rPr>
        <w:t>(Banovic et al., 2018)</w:t>
      </w:r>
      <w:r w:rsidRPr="00790D9F">
        <w:rPr>
          <w:rFonts w:ascii="Arial" w:hAnsi="Arial" w:cs="Arial"/>
        </w:rPr>
        <w:t>.</w:t>
      </w:r>
    </w:p>
    <w:p w14:paraId="60552BB1" w14:textId="77777777" w:rsidR="00790D9F" w:rsidRPr="00790D9F" w:rsidRDefault="00790D9F" w:rsidP="00DE3DB1">
      <w:pPr>
        <w:spacing w:line="360" w:lineRule="auto"/>
        <w:jc w:val="both"/>
        <w:rPr>
          <w:rFonts w:ascii="Arial" w:hAnsi="Arial" w:cs="Arial"/>
          <w:b/>
          <w:bCs/>
        </w:rPr>
      </w:pPr>
      <w:r w:rsidRPr="00790D9F">
        <w:rPr>
          <w:rFonts w:ascii="Arial" w:hAnsi="Arial" w:cs="Arial"/>
          <w:b/>
          <w:bCs/>
        </w:rPr>
        <w:t>4.4 Emotional Pressure</w:t>
      </w:r>
    </w:p>
    <w:p w14:paraId="3E7A1971" w14:textId="4A73C340" w:rsidR="00790D9F" w:rsidRPr="00790D9F" w:rsidRDefault="00790D9F" w:rsidP="00DE3DB1">
      <w:pPr>
        <w:spacing w:line="360" w:lineRule="auto"/>
        <w:jc w:val="both"/>
        <w:rPr>
          <w:rFonts w:ascii="Arial" w:hAnsi="Arial" w:cs="Arial"/>
        </w:rPr>
      </w:pPr>
      <w:r w:rsidRPr="00790D9F">
        <w:rPr>
          <w:rFonts w:ascii="Arial" w:hAnsi="Arial" w:cs="Arial"/>
        </w:rPr>
        <w:t>Caring for and supporting people with dementia can be emotionally demanding. Caretakers may sometimes feel tired or overwhelmed. Providing consistent mentoring, and encouraging regular self-review empowers individuals to manage and deal with pressure and remain engaged in their roles.</w:t>
      </w:r>
      <w:r w:rsidR="00DE3DB1" w:rsidRPr="00DE3DB1">
        <w:rPr>
          <w:rFonts w:ascii="Arial" w:hAnsi="Arial" w:cs="Arial"/>
        </w:rPr>
        <w:t xml:space="preserve"> </w:t>
      </w:r>
    </w:p>
    <w:p w14:paraId="6D2ECC5B" w14:textId="267A696C" w:rsidR="00790D9F" w:rsidRPr="00790D9F" w:rsidRDefault="00790D9F" w:rsidP="00DE3DB1">
      <w:pPr>
        <w:spacing w:line="360" w:lineRule="auto"/>
        <w:jc w:val="both"/>
        <w:rPr>
          <w:rFonts w:ascii="Arial" w:hAnsi="Arial" w:cs="Arial"/>
        </w:rPr>
      </w:pPr>
      <w:r w:rsidRPr="00790D9F">
        <w:rPr>
          <w:rFonts w:ascii="Arial" w:hAnsi="Arial" w:cs="Arial"/>
        </w:rPr>
        <w:t>Creating spaces where staff can discuss difficulties or share successes encourages resilience. Recognising effort and allowing reflection helps carers maintain energy and remain effective in emotionally challenging situations</w:t>
      </w:r>
      <w:r w:rsidR="00C541ED">
        <w:rPr>
          <w:rFonts w:ascii="Arial" w:hAnsi="Arial" w:cs="Arial"/>
        </w:rPr>
        <w:t xml:space="preserve"> </w:t>
      </w:r>
      <w:r w:rsidR="00C541ED" w:rsidRPr="00C541ED">
        <w:rPr>
          <w:rFonts w:ascii="Arial" w:hAnsi="Arial" w:cs="Arial"/>
        </w:rPr>
        <w:t>(Lin et al., 2023)</w:t>
      </w:r>
      <w:r w:rsidRPr="00790D9F">
        <w:rPr>
          <w:rFonts w:ascii="Arial" w:hAnsi="Arial" w:cs="Arial"/>
        </w:rPr>
        <w:t>.</w:t>
      </w:r>
    </w:p>
    <w:p w14:paraId="3762A3C3" w14:textId="77777777" w:rsidR="00790D9F" w:rsidRPr="00790D9F" w:rsidRDefault="00790D9F" w:rsidP="00DE3DB1">
      <w:pPr>
        <w:spacing w:line="360" w:lineRule="auto"/>
        <w:jc w:val="both"/>
        <w:rPr>
          <w:rFonts w:ascii="Arial" w:hAnsi="Arial" w:cs="Arial"/>
          <w:b/>
          <w:bCs/>
        </w:rPr>
      </w:pPr>
      <w:r w:rsidRPr="00790D9F">
        <w:rPr>
          <w:rFonts w:ascii="Arial" w:hAnsi="Arial" w:cs="Arial"/>
          <w:b/>
          <w:bCs/>
        </w:rPr>
        <w:t>4.5 Ethical Responsibilities</w:t>
      </w:r>
    </w:p>
    <w:p w14:paraId="5E314E79" w14:textId="758BD830" w:rsidR="00790D9F" w:rsidRPr="00790D9F" w:rsidRDefault="00790D9F" w:rsidP="00DE3DB1">
      <w:pPr>
        <w:spacing w:line="360" w:lineRule="auto"/>
        <w:jc w:val="both"/>
        <w:rPr>
          <w:rFonts w:ascii="Arial" w:hAnsi="Arial" w:cs="Arial"/>
        </w:rPr>
      </w:pPr>
      <w:r w:rsidRPr="00790D9F">
        <w:rPr>
          <w:rFonts w:ascii="Arial" w:hAnsi="Arial" w:cs="Arial"/>
        </w:rPr>
        <w:t>Respect and trust are key in both theories. Carers must always protect residents’ dignity, privacy, and choices. Even when someone cannot make all decisions, it is important to include them as much as possible. Regular discussions among staff can help ensure that care remains respectful and balanced</w:t>
      </w:r>
      <w:r w:rsidR="00C541ED">
        <w:rPr>
          <w:rFonts w:ascii="Arial" w:hAnsi="Arial" w:cs="Arial"/>
        </w:rPr>
        <w:t xml:space="preserve"> </w:t>
      </w:r>
      <w:r w:rsidR="00C541ED" w:rsidRPr="00C541ED">
        <w:rPr>
          <w:rFonts w:ascii="Arial" w:hAnsi="Arial" w:cs="Arial"/>
        </w:rPr>
        <w:t>(Jemal et al., 2023)</w:t>
      </w:r>
      <w:r w:rsidRPr="00790D9F">
        <w:rPr>
          <w:rFonts w:ascii="Arial" w:hAnsi="Arial" w:cs="Arial"/>
        </w:rPr>
        <w:t>.</w:t>
      </w:r>
    </w:p>
    <w:p w14:paraId="1E59557F" w14:textId="77777777" w:rsidR="00790D9F" w:rsidRPr="00790D9F" w:rsidRDefault="00790D9F" w:rsidP="00DE3DB1">
      <w:pPr>
        <w:spacing w:line="360" w:lineRule="auto"/>
        <w:jc w:val="both"/>
        <w:rPr>
          <w:rFonts w:ascii="Arial" w:hAnsi="Arial" w:cs="Arial"/>
          <w:b/>
          <w:bCs/>
          <w:u w:val="single"/>
        </w:rPr>
      </w:pPr>
      <w:r w:rsidRPr="00790D9F">
        <w:rPr>
          <w:rFonts w:ascii="Arial" w:hAnsi="Arial" w:cs="Arial"/>
          <w:b/>
          <w:bCs/>
          <w:u w:val="single"/>
        </w:rPr>
        <w:t>5. Conclusion</w:t>
      </w:r>
    </w:p>
    <w:p w14:paraId="6431A8F9" w14:textId="77777777" w:rsidR="00790D9F" w:rsidRPr="00790D9F" w:rsidRDefault="00790D9F" w:rsidP="00DE3DB1">
      <w:pPr>
        <w:spacing w:line="360" w:lineRule="auto"/>
        <w:jc w:val="both"/>
        <w:rPr>
          <w:rFonts w:ascii="Arial" w:hAnsi="Arial" w:cs="Arial"/>
        </w:rPr>
      </w:pPr>
      <w:r w:rsidRPr="00790D9F">
        <w:rPr>
          <w:rFonts w:ascii="Arial" w:hAnsi="Arial" w:cs="Arial"/>
        </w:rPr>
        <w:t>Erikson’s and Bowlby’s theories both give valuable insight into how to support older adults with dementia. Erikson’s work helps carers focus on dignity, purpose, and reflection, while Bowlby’s theory highlights the need for emotional security and trust.</w:t>
      </w:r>
    </w:p>
    <w:p w14:paraId="602C4F5E" w14:textId="77777777" w:rsidR="00790D9F" w:rsidRPr="00790D9F" w:rsidRDefault="00790D9F" w:rsidP="00DE3DB1">
      <w:pPr>
        <w:spacing w:line="360" w:lineRule="auto"/>
        <w:jc w:val="both"/>
        <w:rPr>
          <w:rFonts w:ascii="Arial" w:hAnsi="Arial" w:cs="Arial"/>
        </w:rPr>
      </w:pPr>
      <w:r w:rsidRPr="00790D9F">
        <w:rPr>
          <w:rFonts w:ascii="Arial" w:hAnsi="Arial" w:cs="Arial"/>
        </w:rPr>
        <w:t>Although challenges such as limited time and communication barriers exist, understanding these theories helps carers offer more thoughtful and compassionate support. By applying these ideas every day, professionals can help improve emotional wellbeing and bring more comfort and quality of life to older adults in care homes.</w:t>
      </w:r>
    </w:p>
    <w:p w14:paraId="1EEDAD1B" w14:textId="4C0A1A76" w:rsidR="00790D9F" w:rsidRDefault="00790D9F" w:rsidP="00DE3DB1">
      <w:pPr>
        <w:spacing w:line="360" w:lineRule="auto"/>
        <w:jc w:val="both"/>
        <w:rPr>
          <w:rFonts w:ascii="Arial" w:hAnsi="Arial" w:cs="Arial"/>
        </w:rPr>
      </w:pPr>
      <w:r w:rsidRPr="00790D9F">
        <w:rPr>
          <w:rFonts w:ascii="Arial" w:hAnsi="Arial" w:cs="Arial"/>
        </w:rPr>
        <w:lastRenderedPageBreak/>
        <w:t>In the long term, combining knowledge of emotional development with practical care creates a culture of respect and empathy. When carers respond with understanding and patience, residents experience greater comfort, confidence, and connection, supporting their overall wellbeing and enhancing the quality of care provided</w:t>
      </w:r>
      <w:r w:rsidR="00522234">
        <w:rPr>
          <w:rFonts w:ascii="Arial" w:hAnsi="Arial" w:cs="Arial"/>
        </w:rPr>
        <w:t>.</w:t>
      </w:r>
    </w:p>
    <w:p w14:paraId="0DFFB2E0" w14:textId="451F976D" w:rsidR="00522234" w:rsidRDefault="00522234" w:rsidP="00DE3DB1">
      <w:pPr>
        <w:spacing w:line="360" w:lineRule="auto"/>
        <w:jc w:val="both"/>
        <w:rPr>
          <w:rFonts w:ascii="Arial" w:hAnsi="Arial" w:cs="Arial"/>
          <w:b/>
          <w:bCs/>
          <w:u w:val="single"/>
        </w:rPr>
      </w:pPr>
      <w:r w:rsidRPr="00522234">
        <w:rPr>
          <w:rFonts w:ascii="Arial" w:hAnsi="Arial" w:cs="Arial"/>
          <w:b/>
          <w:bCs/>
          <w:u w:val="single"/>
        </w:rPr>
        <w:t>References</w:t>
      </w:r>
    </w:p>
    <w:p w14:paraId="5A01A065" w14:textId="03FDC9EC" w:rsidR="00FF5014" w:rsidRDefault="00FF5014" w:rsidP="00DE3DB1">
      <w:pPr>
        <w:spacing w:line="360" w:lineRule="auto"/>
        <w:jc w:val="both"/>
        <w:rPr>
          <w:rFonts w:ascii="Arial" w:hAnsi="Arial" w:cs="Arial"/>
        </w:rPr>
      </w:pPr>
      <w:r w:rsidRPr="00C541ED">
        <w:rPr>
          <w:rFonts w:ascii="Arial" w:hAnsi="Arial" w:cs="Arial"/>
        </w:rPr>
        <w:t xml:space="preserve"> </w:t>
      </w:r>
      <w:r w:rsidRPr="00F32BFC">
        <w:rPr>
          <w:rFonts w:ascii="Arial" w:hAnsi="Arial" w:cs="Arial"/>
        </w:rPr>
        <w:t xml:space="preserve">Aggarwal, H., Chaware, S. &amp; Aggarwal, H. (2022) ‘A critical study on the impact of dementia on older people undergoing treatment in care homes’, </w:t>
      </w:r>
      <w:proofErr w:type="spellStart"/>
      <w:r w:rsidRPr="00F32BFC">
        <w:rPr>
          <w:rFonts w:ascii="Arial" w:hAnsi="Arial" w:cs="Arial"/>
          <w:i/>
          <w:iCs/>
        </w:rPr>
        <w:t>Cureus</w:t>
      </w:r>
      <w:proofErr w:type="spellEnd"/>
      <w:r w:rsidRPr="00F32BFC">
        <w:rPr>
          <w:rFonts w:ascii="Arial" w:hAnsi="Arial" w:cs="Arial"/>
        </w:rPr>
        <w:t xml:space="preserve">, 14(10), p. e30056. Available at: </w:t>
      </w:r>
      <w:hyperlink r:id="rId4" w:history="1">
        <w:r w:rsidRPr="006E67FD">
          <w:rPr>
            <w:rStyle w:val="Hyperlink"/>
            <w:rFonts w:ascii="Arial" w:hAnsi="Arial" w:cs="Arial"/>
          </w:rPr>
          <w:t>https://doi.org/10.7759/cureus.30056</w:t>
        </w:r>
      </w:hyperlink>
      <w:r w:rsidRPr="00F32BFC">
        <w:rPr>
          <w:rFonts w:ascii="Arial" w:hAnsi="Arial" w:cs="Arial"/>
        </w:rPr>
        <w:t xml:space="preserve"> </w:t>
      </w:r>
      <w:r>
        <w:rPr>
          <w:rFonts w:ascii="Arial" w:hAnsi="Arial" w:cs="Arial"/>
        </w:rPr>
        <w:t xml:space="preserve">(Accessed: </w:t>
      </w:r>
      <w:r w:rsidR="00255FBB">
        <w:rPr>
          <w:rFonts w:ascii="Arial" w:hAnsi="Arial" w:cs="Arial"/>
        </w:rPr>
        <w:t>19 December 2025</w:t>
      </w:r>
      <w:r>
        <w:rPr>
          <w:rFonts w:ascii="Arial" w:hAnsi="Arial" w:cs="Arial"/>
        </w:rPr>
        <w:t>).</w:t>
      </w:r>
    </w:p>
    <w:p w14:paraId="6ADF7E4E" w14:textId="77777777" w:rsidR="00FF5014" w:rsidRDefault="00FF5014" w:rsidP="00DE3DB1">
      <w:pPr>
        <w:spacing w:line="360" w:lineRule="auto"/>
        <w:jc w:val="both"/>
        <w:rPr>
          <w:rFonts w:ascii="Arial" w:hAnsi="Arial" w:cs="Arial"/>
        </w:rPr>
      </w:pPr>
    </w:p>
    <w:p w14:paraId="0B73376F" w14:textId="476990F1" w:rsidR="00FF5014" w:rsidRDefault="00FF5014" w:rsidP="00DE3DB1">
      <w:pPr>
        <w:spacing w:line="360" w:lineRule="auto"/>
        <w:jc w:val="both"/>
        <w:rPr>
          <w:rFonts w:ascii="Arial" w:hAnsi="Arial" w:cs="Arial"/>
        </w:rPr>
      </w:pPr>
      <w:r w:rsidRPr="00FF5014">
        <w:rPr>
          <w:rFonts w:ascii="Arial" w:hAnsi="Arial" w:cs="Arial"/>
        </w:rPr>
        <w:t xml:space="preserve">Banovic, S., Zunic, L.J. &amp; Sinanovic, O. (2018) ‘Communication difficulties as a result of dementia’, </w:t>
      </w:r>
      <w:r w:rsidRPr="00FF5014">
        <w:rPr>
          <w:rFonts w:ascii="Arial" w:hAnsi="Arial" w:cs="Arial"/>
          <w:i/>
          <w:iCs/>
        </w:rPr>
        <w:t>Materia Socio-Medica</w:t>
      </w:r>
      <w:r w:rsidRPr="00FF5014">
        <w:rPr>
          <w:rFonts w:ascii="Arial" w:hAnsi="Arial" w:cs="Arial"/>
        </w:rPr>
        <w:t xml:space="preserve">, 30(3), pp. 221–224. Available at: </w:t>
      </w:r>
      <w:hyperlink r:id="rId5" w:history="1">
        <w:r w:rsidRPr="006E67FD">
          <w:rPr>
            <w:rStyle w:val="Hyperlink"/>
            <w:rFonts w:ascii="Arial" w:hAnsi="Arial" w:cs="Arial"/>
          </w:rPr>
          <w:t>https://doi.org/10.5455/msm.2018.30.221-224</w:t>
        </w:r>
      </w:hyperlink>
      <w:r w:rsidRPr="00FF5014">
        <w:rPr>
          <w:rFonts w:ascii="Arial" w:hAnsi="Arial" w:cs="Arial"/>
        </w:rPr>
        <w:t xml:space="preserve"> </w:t>
      </w:r>
      <w:r>
        <w:rPr>
          <w:rFonts w:ascii="Arial" w:hAnsi="Arial" w:cs="Arial"/>
        </w:rPr>
        <w:t xml:space="preserve">(Accessed: </w:t>
      </w:r>
      <w:r w:rsidR="00255FBB">
        <w:rPr>
          <w:rFonts w:ascii="Arial" w:hAnsi="Arial" w:cs="Arial"/>
        </w:rPr>
        <w:t>19 December</w:t>
      </w:r>
      <w:r>
        <w:rPr>
          <w:rFonts w:ascii="Arial" w:hAnsi="Arial" w:cs="Arial"/>
        </w:rPr>
        <w:t xml:space="preserve"> 2025).</w:t>
      </w:r>
    </w:p>
    <w:p w14:paraId="067A77C0" w14:textId="77777777" w:rsidR="00FF5014" w:rsidRDefault="00FF5014" w:rsidP="00DE3DB1">
      <w:pPr>
        <w:spacing w:line="360" w:lineRule="auto"/>
        <w:jc w:val="both"/>
        <w:rPr>
          <w:rFonts w:ascii="Arial" w:hAnsi="Arial" w:cs="Arial"/>
        </w:rPr>
      </w:pPr>
    </w:p>
    <w:p w14:paraId="5E2250A6" w14:textId="4AE6AB48" w:rsidR="00FF5014" w:rsidRDefault="00FF5014" w:rsidP="00DE3DB1">
      <w:pPr>
        <w:spacing w:line="360" w:lineRule="auto"/>
        <w:jc w:val="both"/>
        <w:rPr>
          <w:rFonts w:ascii="Arial" w:hAnsi="Arial" w:cs="Arial"/>
        </w:rPr>
      </w:pPr>
      <w:r w:rsidRPr="005A4802">
        <w:rPr>
          <w:rFonts w:ascii="Arial" w:hAnsi="Arial" w:cs="Arial"/>
        </w:rPr>
        <w:t xml:space="preserve">Chen, P.Y., Ho, W.C., Lo, C. &amp; Yeh, T.P. (2021) ‘Predicting ego integrity using prior ego development stages for older adults in the community’, </w:t>
      </w:r>
      <w:r w:rsidRPr="005A4802">
        <w:rPr>
          <w:rFonts w:ascii="Arial" w:hAnsi="Arial" w:cs="Arial"/>
          <w:i/>
          <w:iCs/>
        </w:rPr>
        <w:t>International Journal of Environmental Research and Public Health</w:t>
      </w:r>
      <w:r w:rsidRPr="005A4802">
        <w:rPr>
          <w:rFonts w:ascii="Arial" w:hAnsi="Arial" w:cs="Arial"/>
        </w:rPr>
        <w:t xml:space="preserve">, 18(18), p. 9490. Available at: </w:t>
      </w:r>
      <w:hyperlink r:id="rId6" w:tgtFrame="_new" w:history="1">
        <w:r w:rsidRPr="005A4802">
          <w:rPr>
            <w:rStyle w:val="Hyperlink"/>
            <w:rFonts w:ascii="Arial" w:hAnsi="Arial" w:cs="Arial"/>
          </w:rPr>
          <w:t>https://doi.org/10.3390/ijerph18189490</w:t>
        </w:r>
      </w:hyperlink>
      <w:r w:rsidRPr="005A4802">
        <w:rPr>
          <w:rFonts w:ascii="Arial" w:hAnsi="Arial" w:cs="Arial"/>
        </w:rPr>
        <w:t xml:space="preserve"> (Accessed: 1</w:t>
      </w:r>
      <w:r w:rsidR="00255FBB">
        <w:rPr>
          <w:rFonts w:ascii="Arial" w:hAnsi="Arial" w:cs="Arial"/>
        </w:rPr>
        <w:t xml:space="preserve">9 December </w:t>
      </w:r>
      <w:r w:rsidRPr="005A4802">
        <w:rPr>
          <w:rFonts w:ascii="Arial" w:hAnsi="Arial" w:cs="Arial"/>
        </w:rPr>
        <w:t>2025).</w:t>
      </w:r>
    </w:p>
    <w:p w14:paraId="68221DA1" w14:textId="77777777" w:rsidR="00FF5014" w:rsidRDefault="00FF5014" w:rsidP="00DE3DB1">
      <w:pPr>
        <w:spacing w:line="360" w:lineRule="auto"/>
        <w:jc w:val="both"/>
        <w:rPr>
          <w:rFonts w:ascii="Arial" w:hAnsi="Arial" w:cs="Arial"/>
        </w:rPr>
      </w:pPr>
    </w:p>
    <w:p w14:paraId="657CDA67" w14:textId="1EF303F2" w:rsidR="00FF5014" w:rsidRDefault="00FF5014" w:rsidP="00DE3DB1">
      <w:pPr>
        <w:spacing w:line="360" w:lineRule="auto"/>
        <w:jc w:val="both"/>
        <w:rPr>
          <w:rFonts w:ascii="Arial" w:hAnsi="Arial" w:cs="Arial"/>
        </w:rPr>
      </w:pPr>
      <w:r w:rsidRPr="00C541ED">
        <w:rPr>
          <w:rFonts w:ascii="Arial" w:hAnsi="Arial" w:cs="Arial"/>
        </w:rPr>
        <w:t xml:space="preserve">Dagan, O., Groh, A.M., Madigan, S. &amp; Bernard, K. (2021) ‘A lifespan development theory of insecure attachment and internalizing symptoms: integrating meta-analytic evidence via a testable evolutionary mis/match hypothesis’, </w:t>
      </w:r>
      <w:r w:rsidRPr="00C541ED">
        <w:rPr>
          <w:rFonts w:ascii="Arial" w:hAnsi="Arial" w:cs="Arial"/>
          <w:i/>
          <w:iCs/>
        </w:rPr>
        <w:t>Brain Sciences</w:t>
      </w:r>
      <w:r w:rsidRPr="00C541ED">
        <w:rPr>
          <w:rFonts w:ascii="Arial" w:hAnsi="Arial" w:cs="Arial"/>
        </w:rPr>
        <w:t xml:space="preserve">, 11(9), p. 1226. Available at: </w:t>
      </w:r>
      <w:hyperlink r:id="rId7" w:tgtFrame="_new" w:history="1">
        <w:r w:rsidRPr="00C541ED">
          <w:rPr>
            <w:rStyle w:val="Hyperlink"/>
            <w:rFonts w:ascii="Arial" w:hAnsi="Arial" w:cs="Arial"/>
          </w:rPr>
          <w:t>https://doi.org/10.3390/brainsci11091226</w:t>
        </w:r>
      </w:hyperlink>
      <w:r w:rsidRPr="00C541ED">
        <w:rPr>
          <w:rFonts w:ascii="Arial" w:hAnsi="Arial" w:cs="Arial"/>
        </w:rPr>
        <w:t xml:space="preserve"> (Accessed: 1</w:t>
      </w:r>
      <w:r w:rsidR="00255FBB">
        <w:rPr>
          <w:rFonts w:ascii="Arial" w:hAnsi="Arial" w:cs="Arial"/>
        </w:rPr>
        <w:t>9 December</w:t>
      </w:r>
      <w:r w:rsidRPr="00C541ED">
        <w:rPr>
          <w:rFonts w:ascii="Arial" w:hAnsi="Arial" w:cs="Arial"/>
        </w:rPr>
        <w:t xml:space="preserve"> 2025).</w:t>
      </w:r>
    </w:p>
    <w:p w14:paraId="0F989CD9" w14:textId="77777777" w:rsidR="00FF5014" w:rsidRDefault="00FF5014" w:rsidP="00DE3DB1">
      <w:pPr>
        <w:spacing w:line="360" w:lineRule="auto"/>
        <w:jc w:val="both"/>
        <w:rPr>
          <w:rFonts w:ascii="Arial" w:hAnsi="Arial" w:cs="Arial"/>
        </w:rPr>
      </w:pPr>
    </w:p>
    <w:p w14:paraId="01D3830E" w14:textId="54BAAF78" w:rsidR="00FF5014" w:rsidRDefault="00FF5014" w:rsidP="00DE3DB1">
      <w:pPr>
        <w:spacing w:line="360" w:lineRule="auto"/>
        <w:jc w:val="both"/>
        <w:rPr>
          <w:rFonts w:ascii="Arial" w:hAnsi="Arial" w:cs="Arial"/>
        </w:rPr>
      </w:pPr>
      <w:r w:rsidRPr="00C541ED">
        <w:rPr>
          <w:rFonts w:ascii="Arial" w:hAnsi="Arial" w:cs="Arial"/>
        </w:rPr>
        <w:t xml:space="preserve">Jemal, K., Hailu, D., Mekonnen, M., Tesfa, B., Bekele, K. &amp; </w:t>
      </w:r>
      <w:proofErr w:type="spellStart"/>
      <w:r w:rsidRPr="00C541ED">
        <w:rPr>
          <w:rFonts w:ascii="Arial" w:hAnsi="Arial" w:cs="Arial"/>
        </w:rPr>
        <w:t>Kinati</w:t>
      </w:r>
      <w:proofErr w:type="spellEnd"/>
      <w:r w:rsidRPr="00C541ED">
        <w:rPr>
          <w:rFonts w:ascii="Arial" w:hAnsi="Arial" w:cs="Arial"/>
        </w:rPr>
        <w:t xml:space="preserve">, T. (2023) ‘The importance of compassion and respectful care for the health workforce: a mixed-methods study’, </w:t>
      </w:r>
      <w:proofErr w:type="spellStart"/>
      <w:r w:rsidRPr="00C541ED">
        <w:rPr>
          <w:rFonts w:ascii="Arial" w:hAnsi="Arial" w:cs="Arial"/>
          <w:i/>
          <w:iCs/>
        </w:rPr>
        <w:t>Zeitschrift</w:t>
      </w:r>
      <w:proofErr w:type="spellEnd"/>
      <w:r w:rsidRPr="00C541ED">
        <w:rPr>
          <w:rFonts w:ascii="Arial" w:hAnsi="Arial" w:cs="Arial"/>
          <w:i/>
          <w:iCs/>
        </w:rPr>
        <w:t xml:space="preserve"> für </w:t>
      </w:r>
      <w:proofErr w:type="spellStart"/>
      <w:r w:rsidRPr="00C541ED">
        <w:rPr>
          <w:rFonts w:ascii="Arial" w:hAnsi="Arial" w:cs="Arial"/>
          <w:i/>
          <w:iCs/>
        </w:rPr>
        <w:t>Gesundheitswissenschaften</w:t>
      </w:r>
      <w:proofErr w:type="spellEnd"/>
      <w:r w:rsidRPr="00C541ED">
        <w:rPr>
          <w:rFonts w:ascii="Arial" w:hAnsi="Arial" w:cs="Arial"/>
        </w:rPr>
        <w:t xml:space="preserve">, 31(2), pp. 167–178. Available at: </w:t>
      </w:r>
      <w:hyperlink r:id="rId8" w:history="1">
        <w:r w:rsidRPr="006E67FD">
          <w:rPr>
            <w:rStyle w:val="Hyperlink"/>
            <w:rFonts w:ascii="Arial" w:hAnsi="Arial" w:cs="Arial"/>
          </w:rPr>
          <w:t>https://doi.org/10.1007/s10389-021-01495-0</w:t>
        </w:r>
      </w:hyperlink>
      <w:r>
        <w:rPr>
          <w:rFonts w:ascii="Arial" w:hAnsi="Arial" w:cs="Arial"/>
        </w:rPr>
        <w:t xml:space="preserve"> (Accessed: 11 </w:t>
      </w:r>
      <w:r w:rsidR="00255FBB">
        <w:rPr>
          <w:rFonts w:ascii="Arial" w:hAnsi="Arial" w:cs="Arial"/>
        </w:rPr>
        <w:t>December</w:t>
      </w:r>
      <w:r>
        <w:rPr>
          <w:rFonts w:ascii="Arial" w:hAnsi="Arial" w:cs="Arial"/>
        </w:rPr>
        <w:t xml:space="preserve"> 2025).</w:t>
      </w:r>
    </w:p>
    <w:p w14:paraId="7E280421" w14:textId="77777777" w:rsidR="00FF5014" w:rsidRDefault="00FF5014" w:rsidP="00DE3DB1">
      <w:pPr>
        <w:spacing w:line="360" w:lineRule="auto"/>
        <w:jc w:val="both"/>
        <w:rPr>
          <w:rFonts w:ascii="Arial" w:hAnsi="Arial" w:cs="Arial"/>
        </w:rPr>
      </w:pPr>
    </w:p>
    <w:p w14:paraId="2A575733" w14:textId="5C705197" w:rsidR="00FF5014" w:rsidRDefault="00FF5014" w:rsidP="00DE3DB1">
      <w:pPr>
        <w:spacing w:line="360" w:lineRule="auto"/>
        <w:jc w:val="both"/>
        <w:rPr>
          <w:rFonts w:ascii="Arial" w:hAnsi="Arial" w:cs="Arial"/>
        </w:rPr>
      </w:pPr>
      <w:r w:rsidRPr="00C541ED">
        <w:rPr>
          <w:rFonts w:ascii="Arial" w:hAnsi="Arial" w:cs="Arial"/>
        </w:rPr>
        <w:t xml:space="preserve">Lin, X., Moxley, J.H. &amp; Czaja, S.J. (2023) ‘Caring for dementia caregivers: psychosocial factors related to engagement in self-care activities’, </w:t>
      </w:r>
      <w:proofErr w:type="spellStart"/>
      <w:r w:rsidRPr="00C541ED">
        <w:rPr>
          <w:rFonts w:ascii="Arial" w:hAnsi="Arial" w:cs="Arial"/>
          <w:i/>
          <w:iCs/>
        </w:rPr>
        <w:t>Behavioral</w:t>
      </w:r>
      <w:proofErr w:type="spellEnd"/>
      <w:r w:rsidRPr="00C541ED">
        <w:rPr>
          <w:rFonts w:ascii="Arial" w:hAnsi="Arial" w:cs="Arial"/>
          <w:i/>
          <w:iCs/>
        </w:rPr>
        <w:t xml:space="preserve"> Sciences</w:t>
      </w:r>
      <w:r w:rsidRPr="00C541ED">
        <w:rPr>
          <w:rFonts w:ascii="Arial" w:hAnsi="Arial" w:cs="Arial"/>
        </w:rPr>
        <w:t xml:space="preserve">, 13(10), p. 851. Available at: </w:t>
      </w:r>
      <w:hyperlink r:id="rId9" w:history="1">
        <w:r w:rsidRPr="006E67FD">
          <w:rPr>
            <w:rStyle w:val="Hyperlink"/>
            <w:rFonts w:ascii="Arial" w:hAnsi="Arial" w:cs="Arial"/>
          </w:rPr>
          <w:t>https://doi.org/10.3390/bs13100851</w:t>
        </w:r>
      </w:hyperlink>
      <w:r>
        <w:rPr>
          <w:rFonts w:ascii="Arial" w:hAnsi="Arial" w:cs="Arial"/>
        </w:rPr>
        <w:t xml:space="preserve"> (Accessed: 11 </w:t>
      </w:r>
      <w:r w:rsidR="00255FBB">
        <w:rPr>
          <w:rFonts w:ascii="Arial" w:hAnsi="Arial" w:cs="Arial"/>
        </w:rPr>
        <w:t>December</w:t>
      </w:r>
      <w:r>
        <w:rPr>
          <w:rFonts w:ascii="Arial" w:hAnsi="Arial" w:cs="Arial"/>
        </w:rPr>
        <w:t xml:space="preserve"> 2025).</w:t>
      </w:r>
    </w:p>
    <w:p w14:paraId="2BA85CCC" w14:textId="77777777" w:rsidR="00FF5014" w:rsidRDefault="00FF5014" w:rsidP="00DE3DB1">
      <w:pPr>
        <w:spacing w:line="360" w:lineRule="auto"/>
        <w:jc w:val="both"/>
        <w:rPr>
          <w:rFonts w:ascii="Arial" w:hAnsi="Arial" w:cs="Arial"/>
        </w:rPr>
      </w:pPr>
    </w:p>
    <w:p w14:paraId="73B91253" w14:textId="6141E65A" w:rsidR="00FF5014" w:rsidRPr="008E4683" w:rsidRDefault="00FF5014" w:rsidP="00DE3DB1">
      <w:pPr>
        <w:spacing w:line="360" w:lineRule="auto"/>
        <w:jc w:val="both"/>
        <w:rPr>
          <w:rFonts w:ascii="Arial" w:hAnsi="Arial" w:cs="Arial"/>
        </w:rPr>
      </w:pPr>
      <w:r w:rsidRPr="008E4683">
        <w:rPr>
          <w:rFonts w:ascii="Arial" w:hAnsi="Arial" w:cs="Arial"/>
        </w:rPr>
        <w:t xml:space="preserve">Perry, T.E., Ruggiano, N., </w:t>
      </w:r>
      <w:proofErr w:type="spellStart"/>
      <w:r w:rsidRPr="008E4683">
        <w:rPr>
          <w:rFonts w:ascii="Arial" w:hAnsi="Arial" w:cs="Arial"/>
        </w:rPr>
        <w:t>Shtompel</w:t>
      </w:r>
      <w:proofErr w:type="spellEnd"/>
      <w:r w:rsidRPr="008E4683">
        <w:rPr>
          <w:rFonts w:ascii="Arial" w:hAnsi="Arial" w:cs="Arial"/>
        </w:rPr>
        <w:t xml:space="preserve">, N. &amp; Hassevoort, L. (2015) ‘Applying Erikson's wisdom to self-management practices of older adults: findings from two field studies’, </w:t>
      </w:r>
      <w:r w:rsidRPr="008E4683">
        <w:rPr>
          <w:rFonts w:ascii="Arial" w:hAnsi="Arial" w:cs="Arial"/>
          <w:i/>
          <w:iCs/>
        </w:rPr>
        <w:t>Research on Aging</w:t>
      </w:r>
      <w:r w:rsidRPr="008E4683">
        <w:rPr>
          <w:rFonts w:ascii="Arial" w:hAnsi="Arial" w:cs="Arial"/>
        </w:rPr>
        <w:t xml:space="preserve">, 37(3), pp. 253–274. Available at: </w:t>
      </w:r>
      <w:hyperlink r:id="rId10" w:tgtFrame="_new" w:history="1">
        <w:r w:rsidRPr="008E4683">
          <w:rPr>
            <w:rStyle w:val="Hyperlink"/>
            <w:rFonts w:ascii="Arial" w:hAnsi="Arial" w:cs="Arial"/>
            <w:u w:val="none"/>
          </w:rPr>
          <w:t>https://www.ncbi.nlm.nih.gov/pmc/articles/PMC4318792/</w:t>
        </w:r>
      </w:hyperlink>
      <w:r w:rsidRPr="008E4683">
        <w:rPr>
          <w:rFonts w:ascii="Arial" w:hAnsi="Arial" w:cs="Arial"/>
        </w:rPr>
        <w:t xml:space="preserve"> (Accessed: 1</w:t>
      </w:r>
      <w:r w:rsidR="00255FBB">
        <w:rPr>
          <w:rFonts w:ascii="Arial" w:hAnsi="Arial" w:cs="Arial"/>
        </w:rPr>
        <w:t xml:space="preserve">9 December </w:t>
      </w:r>
      <w:r w:rsidRPr="008E4683">
        <w:rPr>
          <w:rFonts w:ascii="Arial" w:hAnsi="Arial" w:cs="Arial"/>
        </w:rPr>
        <w:t>2025).</w:t>
      </w:r>
    </w:p>
    <w:p w14:paraId="1DD3B20E" w14:textId="77777777" w:rsidR="00FF5014" w:rsidRDefault="00FF5014" w:rsidP="00DE3DB1">
      <w:pPr>
        <w:spacing w:line="360" w:lineRule="auto"/>
        <w:jc w:val="both"/>
        <w:rPr>
          <w:rFonts w:ascii="Arial" w:hAnsi="Arial" w:cs="Arial"/>
        </w:rPr>
      </w:pPr>
    </w:p>
    <w:p w14:paraId="1E00DFFB" w14:textId="09529979" w:rsidR="00FF5014" w:rsidRPr="00F32BFC" w:rsidRDefault="00FF5014" w:rsidP="00DE3DB1">
      <w:pPr>
        <w:spacing w:line="360" w:lineRule="auto"/>
        <w:jc w:val="both"/>
        <w:rPr>
          <w:rFonts w:ascii="Arial" w:hAnsi="Arial" w:cs="Arial"/>
        </w:rPr>
      </w:pPr>
      <w:r w:rsidRPr="00F32BFC">
        <w:rPr>
          <w:rFonts w:ascii="Arial" w:hAnsi="Arial" w:cs="Arial"/>
        </w:rPr>
        <w:t xml:space="preserve">Pittman, J., Keiley, M.K., </w:t>
      </w:r>
      <w:proofErr w:type="spellStart"/>
      <w:r w:rsidRPr="00F32BFC">
        <w:rPr>
          <w:rFonts w:ascii="Arial" w:hAnsi="Arial" w:cs="Arial"/>
        </w:rPr>
        <w:t>Kerpelman</w:t>
      </w:r>
      <w:proofErr w:type="spellEnd"/>
      <w:r w:rsidRPr="00F32BFC">
        <w:rPr>
          <w:rFonts w:ascii="Arial" w:hAnsi="Arial" w:cs="Arial"/>
        </w:rPr>
        <w:t xml:space="preserve">, J. &amp; Vaughn, B.E. (2011) ‘Attachment, identity, and intimacy: parallels between Bowlby’s and Erikson’s paradigms’, </w:t>
      </w:r>
      <w:r w:rsidRPr="00F32BFC">
        <w:rPr>
          <w:rFonts w:ascii="Arial" w:hAnsi="Arial" w:cs="Arial"/>
          <w:i/>
          <w:iCs/>
        </w:rPr>
        <w:t>Journal of Family Theory &amp; Review</w:t>
      </w:r>
      <w:r w:rsidRPr="00F32BFC">
        <w:rPr>
          <w:rFonts w:ascii="Arial" w:hAnsi="Arial" w:cs="Arial"/>
        </w:rPr>
        <w:t xml:space="preserve">, 3(1), pp. 32–46. Available at: </w:t>
      </w:r>
      <w:hyperlink r:id="rId11" w:history="1">
        <w:r w:rsidRPr="006E67FD">
          <w:rPr>
            <w:rStyle w:val="Hyperlink"/>
            <w:rFonts w:ascii="Arial" w:hAnsi="Arial" w:cs="Arial"/>
          </w:rPr>
          <w:t>https://doi.org/10.1111/j.1756-2589.2010.00079.x</w:t>
        </w:r>
      </w:hyperlink>
      <w:r w:rsidRPr="00F32BFC">
        <w:rPr>
          <w:rFonts w:ascii="Arial" w:hAnsi="Arial" w:cs="Arial"/>
        </w:rPr>
        <w:t xml:space="preserve"> </w:t>
      </w:r>
      <w:r>
        <w:rPr>
          <w:rFonts w:ascii="Arial" w:hAnsi="Arial" w:cs="Arial"/>
        </w:rPr>
        <w:t>(Accessed: 1</w:t>
      </w:r>
      <w:r w:rsidR="00255FBB">
        <w:rPr>
          <w:rFonts w:ascii="Arial" w:hAnsi="Arial" w:cs="Arial"/>
        </w:rPr>
        <w:t>9 December</w:t>
      </w:r>
      <w:r>
        <w:rPr>
          <w:rFonts w:ascii="Arial" w:hAnsi="Arial" w:cs="Arial"/>
        </w:rPr>
        <w:t xml:space="preserve"> 2025).</w:t>
      </w:r>
    </w:p>
    <w:p w14:paraId="25E3FE8E" w14:textId="77777777" w:rsidR="00FF5014" w:rsidRDefault="00FF5014" w:rsidP="00DE3DB1">
      <w:pPr>
        <w:spacing w:line="360" w:lineRule="auto"/>
        <w:jc w:val="both"/>
        <w:rPr>
          <w:rFonts w:ascii="Arial" w:hAnsi="Arial" w:cs="Arial"/>
        </w:rPr>
      </w:pPr>
    </w:p>
    <w:p w14:paraId="229D7455" w14:textId="6B5EAB16" w:rsidR="00FF5014" w:rsidRDefault="00FF5014" w:rsidP="00DE3DB1">
      <w:pPr>
        <w:spacing w:line="360" w:lineRule="auto"/>
        <w:jc w:val="both"/>
        <w:rPr>
          <w:rFonts w:ascii="Arial" w:hAnsi="Arial" w:cs="Arial"/>
        </w:rPr>
      </w:pPr>
      <w:r w:rsidRPr="00522234">
        <w:rPr>
          <w:rFonts w:ascii="Arial" w:hAnsi="Arial" w:cs="Arial"/>
        </w:rPr>
        <w:t xml:space="preserve">Reynolds, C.F. 3rd, </w:t>
      </w:r>
      <w:proofErr w:type="spellStart"/>
      <w:r w:rsidRPr="00522234">
        <w:rPr>
          <w:rFonts w:ascii="Arial" w:hAnsi="Arial" w:cs="Arial"/>
        </w:rPr>
        <w:t>Jeste</w:t>
      </w:r>
      <w:proofErr w:type="spellEnd"/>
      <w:r w:rsidRPr="00522234">
        <w:rPr>
          <w:rFonts w:ascii="Arial" w:hAnsi="Arial" w:cs="Arial"/>
        </w:rPr>
        <w:t xml:space="preserve">, D.V., Sachdev, P.S. &amp; Blazer, D.G. (2022) ‘Mental health care for older adults: recent advances and new directions in clinical practice and research’, </w:t>
      </w:r>
      <w:r w:rsidRPr="00522234">
        <w:rPr>
          <w:rFonts w:ascii="Arial" w:hAnsi="Arial" w:cs="Arial"/>
          <w:i/>
          <w:iCs/>
        </w:rPr>
        <w:t>World Psychiatry</w:t>
      </w:r>
      <w:r w:rsidRPr="00522234">
        <w:rPr>
          <w:rFonts w:ascii="Arial" w:hAnsi="Arial" w:cs="Arial"/>
        </w:rPr>
        <w:t xml:space="preserve">, 21(3), pp. 336–363. Available at: </w:t>
      </w:r>
      <w:hyperlink r:id="rId12" w:tgtFrame="_new" w:history="1">
        <w:r w:rsidRPr="00522234">
          <w:rPr>
            <w:rStyle w:val="Hyperlink"/>
            <w:rFonts w:ascii="Arial" w:hAnsi="Arial" w:cs="Arial"/>
          </w:rPr>
          <w:t>https://doi.org/10.1002/wps.20996</w:t>
        </w:r>
      </w:hyperlink>
      <w:r w:rsidRPr="00522234">
        <w:rPr>
          <w:rFonts w:ascii="Arial" w:hAnsi="Arial" w:cs="Arial"/>
        </w:rPr>
        <w:t xml:space="preserve"> (Accessed: 1</w:t>
      </w:r>
      <w:r w:rsidR="00255FBB">
        <w:rPr>
          <w:rFonts w:ascii="Arial" w:hAnsi="Arial" w:cs="Arial"/>
        </w:rPr>
        <w:t>9</w:t>
      </w:r>
      <w:r w:rsidRPr="00522234">
        <w:rPr>
          <w:rFonts w:ascii="Arial" w:hAnsi="Arial" w:cs="Arial"/>
        </w:rPr>
        <w:t xml:space="preserve"> </w:t>
      </w:r>
      <w:r w:rsidR="00610A8E">
        <w:rPr>
          <w:rFonts w:ascii="Arial" w:hAnsi="Arial" w:cs="Arial"/>
        </w:rPr>
        <w:t>December</w:t>
      </w:r>
      <w:r w:rsidRPr="00522234">
        <w:rPr>
          <w:rFonts w:ascii="Arial" w:hAnsi="Arial" w:cs="Arial"/>
        </w:rPr>
        <w:t xml:space="preserve"> 2025).</w:t>
      </w:r>
    </w:p>
    <w:p w14:paraId="3AE65E60" w14:textId="77777777" w:rsidR="00FF5014" w:rsidRDefault="00FF5014" w:rsidP="00DE3DB1">
      <w:pPr>
        <w:spacing w:line="360" w:lineRule="auto"/>
        <w:jc w:val="both"/>
        <w:rPr>
          <w:rFonts w:ascii="Arial" w:hAnsi="Arial" w:cs="Arial"/>
        </w:rPr>
      </w:pPr>
    </w:p>
    <w:p w14:paraId="14C9E436" w14:textId="1C708A74" w:rsidR="00C541ED" w:rsidRPr="00DE3DB1" w:rsidRDefault="00C541ED" w:rsidP="00DE3DB1">
      <w:pPr>
        <w:spacing w:line="360" w:lineRule="auto"/>
        <w:jc w:val="both"/>
        <w:rPr>
          <w:rFonts w:ascii="Arial" w:hAnsi="Arial" w:cs="Arial"/>
        </w:rPr>
      </w:pPr>
    </w:p>
    <w:sectPr w:rsidR="00C541ED" w:rsidRPr="00DE3D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BC7"/>
    <w:rsid w:val="00061983"/>
    <w:rsid w:val="000D0BC7"/>
    <w:rsid w:val="00255FBB"/>
    <w:rsid w:val="002B03ED"/>
    <w:rsid w:val="0036444B"/>
    <w:rsid w:val="00443ED5"/>
    <w:rsid w:val="00475DBC"/>
    <w:rsid w:val="00522234"/>
    <w:rsid w:val="005A4802"/>
    <w:rsid w:val="00610A8E"/>
    <w:rsid w:val="006F6AC3"/>
    <w:rsid w:val="00790D9F"/>
    <w:rsid w:val="008611A1"/>
    <w:rsid w:val="008A3780"/>
    <w:rsid w:val="008E17FD"/>
    <w:rsid w:val="008E4683"/>
    <w:rsid w:val="00A9362B"/>
    <w:rsid w:val="00B75C50"/>
    <w:rsid w:val="00C37F37"/>
    <w:rsid w:val="00C541ED"/>
    <w:rsid w:val="00CD416A"/>
    <w:rsid w:val="00DB41D2"/>
    <w:rsid w:val="00DE3DB1"/>
    <w:rsid w:val="00E0582F"/>
    <w:rsid w:val="00E70C0E"/>
    <w:rsid w:val="00F04466"/>
    <w:rsid w:val="00F32BFC"/>
    <w:rsid w:val="00FC0856"/>
    <w:rsid w:val="00FF50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BD0994"/>
  <w15:chartTrackingRefBased/>
  <w15:docId w15:val="{8EF682EA-B015-4ED1-86F2-85A206595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0B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D0B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0B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0B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0B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0B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0B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0B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0B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0B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D0B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0B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0B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0B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0B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0B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0B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0BC7"/>
    <w:rPr>
      <w:rFonts w:eastAsiaTheme="majorEastAsia" w:cstheme="majorBidi"/>
      <w:color w:val="272727" w:themeColor="text1" w:themeTint="D8"/>
    </w:rPr>
  </w:style>
  <w:style w:type="paragraph" w:styleId="Title">
    <w:name w:val="Title"/>
    <w:basedOn w:val="Normal"/>
    <w:next w:val="Normal"/>
    <w:link w:val="TitleChar"/>
    <w:uiPriority w:val="10"/>
    <w:qFormat/>
    <w:rsid w:val="000D0B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0B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0B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0B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0BC7"/>
    <w:pPr>
      <w:spacing w:before="160"/>
      <w:jc w:val="center"/>
    </w:pPr>
    <w:rPr>
      <w:i/>
      <w:iCs/>
      <w:color w:val="404040" w:themeColor="text1" w:themeTint="BF"/>
    </w:rPr>
  </w:style>
  <w:style w:type="character" w:customStyle="1" w:styleId="QuoteChar">
    <w:name w:val="Quote Char"/>
    <w:basedOn w:val="DefaultParagraphFont"/>
    <w:link w:val="Quote"/>
    <w:uiPriority w:val="29"/>
    <w:rsid w:val="000D0BC7"/>
    <w:rPr>
      <w:i/>
      <w:iCs/>
      <w:color w:val="404040" w:themeColor="text1" w:themeTint="BF"/>
    </w:rPr>
  </w:style>
  <w:style w:type="paragraph" w:styleId="ListParagraph">
    <w:name w:val="List Paragraph"/>
    <w:basedOn w:val="Normal"/>
    <w:uiPriority w:val="34"/>
    <w:qFormat/>
    <w:rsid w:val="000D0BC7"/>
    <w:pPr>
      <w:ind w:left="720"/>
      <w:contextualSpacing/>
    </w:pPr>
  </w:style>
  <w:style w:type="character" w:styleId="IntenseEmphasis">
    <w:name w:val="Intense Emphasis"/>
    <w:basedOn w:val="DefaultParagraphFont"/>
    <w:uiPriority w:val="21"/>
    <w:qFormat/>
    <w:rsid w:val="000D0BC7"/>
    <w:rPr>
      <w:i/>
      <w:iCs/>
      <w:color w:val="0F4761" w:themeColor="accent1" w:themeShade="BF"/>
    </w:rPr>
  </w:style>
  <w:style w:type="paragraph" w:styleId="IntenseQuote">
    <w:name w:val="Intense Quote"/>
    <w:basedOn w:val="Normal"/>
    <w:next w:val="Normal"/>
    <w:link w:val="IntenseQuoteChar"/>
    <w:uiPriority w:val="30"/>
    <w:qFormat/>
    <w:rsid w:val="000D0B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0BC7"/>
    <w:rPr>
      <w:i/>
      <w:iCs/>
      <w:color w:val="0F4761" w:themeColor="accent1" w:themeShade="BF"/>
    </w:rPr>
  </w:style>
  <w:style w:type="character" w:styleId="IntenseReference">
    <w:name w:val="Intense Reference"/>
    <w:basedOn w:val="DefaultParagraphFont"/>
    <w:uiPriority w:val="32"/>
    <w:qFormat/>
    <w:rsid w:val="000D0BC7"/>
    <w:rPr>
      <w:b/>
      <w:bCs/>
      <w:smallCaps/>
      <w:color w:val="0F4761" w:themeColor="accent1" w:themeShade="BF"/>
      <w:spacing w:val="5"/>
    </w:rPr>
  </w:style>
  <w:style w:type="character" w:styleId="Hyperlink">
    <w:name w:val="Hyperlink"/>
    <w:basedOn w:val="DefaultParagraphFont"/>
    <w:uiPriority w:val="99"/>
    <w:unhideWhenUsed/>
    <w:rsid w:val="00522234"/>
    <w:rPr>
      <w:color w:val="467886" w:themeColor="hyperlink"/>
      <w:u w:val="single"/>
    </w:rPr>
  </w:style>
  <w:style w:type="character" w:styleId="UnresolvedMention">
    <w:name w:val="Unresolved Mention"/>
    <w:basedOn w:val="DefaultParagraphFont"/>
    <w:uiPriority w:val="99"/>
    <w:semiHidden/>
    <w:unhideWhenUsed/>
    <w:rsid w:val="00522234"/>
    <w:rPr>
      <w:color w:val="605E5C"/>
      <w:shd w:val="clear" w:color="auto" w:fill="E1DFDD"/>
    </w:rPr>
  </w:style>
  <w:style w:type="character" w:styleId="FollowedHyperlink">
    <w:name w:val="FollowedHyperlink"/>
    <w:basedOn w:val="DefaultParagraphFont"/>
    <w:uiPriority w:val="99"/>
    <w:semiHidden/>
    <w:unhideWhenUsed/>
    <w:rsid w:val="0052223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0389-021-01495-0"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3390/brainsci11091226" TargetMode="External"/><Relationship Id="rId12" Type="http://schemas.openxmlformats.org/officeDocument/2006/relationships/hyperlink" Target="https://doi.org/10.1002/wps.20996"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3390/ijerph18189490" TargetMode="External"/><Relationship Id="rId11" Type="http://schemas.openxmlformats.org/officeDocument/2006/relationships/hyperlink" Target="https://doi.org/10.1111/j.1756-2589.2010.00079.x" TargetMode="External"/><Relationship Id="rId5" Type="http://schemas.openxmlformats.org/officeDocument/2006/relationships/hyperlink" Target="https://doi.org/10.5455/msm.2018.30.221-224" TargetMode="External"/><Relationship Id="rId10" Type="http://schemas.openxmlformats.org/officeDocument/2006/relationships/hyperlink" Target="https://www.ncbi.nlm.nih.gov/pmc/articles/PMC4318792/" TargetMode="External"/><Relationship Id="rId4" Type="http://schemas.openxmlformats.org/officeDocument/2006/relationships/hyperlink" Target="https://doi.org/10.7759/cureus.30056" TargetMode="External"/><Relationship Id="rId9" Type="http://schemas.openxmlformats.org/officeDocument/2006/relationships/hyperlink" Target="https://doi.org/10.3390/bs1310085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1830</Words>
  <Characters>10434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Lenge, Roger</dc:creator>
  <cp:keywords/>
  <dc:description/>
  <cp:lastModifiedBy>Lenge, Roger</cp:lastModifiedBy>
  <cp:revision>2</cp:revision>
  <dcterms:created xsi:type="dcterms:W3CDTF">2025-12-19T13:46:00Z</dcterms:created>
  <dcterms:modified xsi:type="dcterms:W3CDTF">2025-12-19T13:46:00Z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05abf55e-20b9-4915-9b48-1093a2cc0dbe</vt:lpwstr>
  </property>
</Properties>
</file>