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2538"/>
        <w:tblW w:w="9182" w:type="dxa"/>
        <w:tblLook w:val="04A0" w:firstRow="1" w:lastRow="0" w:firstColumn="1" w:lastColumn="0" w:noHBand="0" w:noVBand="1"/>
      </w:tblPr>
      <w:tblGrid>
        <w:gridCol w:w="2276"/>
        <w:gridCol w:w="2422"/>
        <w:gridCol w:w="2269"/>
        <w:gridCol w:w="2215"/>
      </w:tblGrid>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Student Name:</w:t>
            </w:r>
          </w:p>
        </w:tc>
        <w:tc>
          <w:tcPr>
            <w:tcW w:w="2295" w:type="dxa"/>
          </w:tcPr>
          <w:p w:rsidR="009B22DF" w:rsidRPr="00FF27F6" w:rsidRDefault="009B22DF" w:rsidP="009B22DF">
            <w:pPr>
              <w:rPr>
                <w:rFonts w:cs="Arial"/>
                <w:sz w:val="32"/>
                <w:szCs w:val="32"/>
              </w:rPr>
            </w:pPr>
            <w:r w:rsidRPr="00FF27F6">
              <w:rPr>
                <w:rFonts w:cs="Arial"/>
                <w:sz w:val="32"/>
                <w:szCs w:val="32"/>
              </w:rPr>
              <w:t>Zeel Talaviya</w:t>
            </w:r>
          </w:p>
        </w:tc>
        <w:tc>
          <w:tcPr>
            <w:tcW w:w="2295" w:type="dxa"/>
          </w:tcPr>
          <w:p w:rsidR="009B22DF" w:rsidRPr="00FF27F6" w:rsidRDefault="009B22DF" w:rsidP="00875002">
            <w:pPr>
              <w:rPr>
                <w:rFonts w:cs="Arial"/>
                <w:b/>
                <w:bCs/>
                <w:sz w:val="32"/>
                <w:szCs w:val="32"/>
              </w:rPr>
            </w:pPr>
            <w:r w:rsidRPr="00FF27F6">
              <w:rPr>
                <w:rFonts w:cs="Arial"/>
                <w:b/>
                <w:bCs/>
                <w:sz w:val="32"/>
                <w:szCs w:val="32"/>
              </w:rPr>
              <w:t>Student ID:</w:t>
            </w:r>
          </w:p>
        </w:tc>
        <w:tc>
          <w:tcPr>
            <w:tcW w:w="2295" w:type="dxa"/>
          </w:tcPr>
          <w:p w:rsidR="009B22DF" w:rsidRPr="00FF27F6" w:rsidRDefault="00CA6258" w:rsidP="00875002">
            <w:pPr>
              <w:rPr>
                <w:rFonts w:cs="Arial"/>
                <w:sz w:val="32"/>
                <w:szCs w:val="32"/>
              </w:rPr>
            </w:pPr>
            <w:r>
              <w:rPr>
                <w:rFonts w:cs="Arial"/>
                <w:sz w:val="32"/>
                <w:szCs w:val="32"/>
              </w:rPr>
              <w:t>2432306</w:t>
            </w:r>
          </w:p>
        </w:tc>
      </w:tr>
      <w:tr w:rsidR="009B22DF" w:rsidRPr="00FF27F6" w:rsidTr="00FF27F6">
        <w:trPr>
          <w:trHeight w:val="928"/>
        </w:trPr>
        <w:tc>
          <w:tcPr>
            <w:tcW w:w="2295" w:type="dxa"/>
          </w:tcPr>
          <w:p w:rsidR="009B22DF" w:rsidRPr="00FF27F6" w:rsidRDefault="009B22DF" w:rsidP="00875002">
            <w:pPr>
              <w:rPr>
                <w:rFonts w:cs="Arial"/>
                <w:b/>
                <w:bCs/>
                <w:sz w:val="32"/>
                <w:szCs w:val="32"/>
              </w:rPr>
            </w:pPr>
            <w:r w:rsidRPr="00FF27F6">
              <w:rPr>
                <w:rFonts w:cs="Arial"/>
                <w:b/>
                <w:bCs/>
                <w:sz w:val="32"/>
                <w:szCs w:val="32"/>
              </w:rPr>
              <w:t>Programme:</w:t>
            </w:r>
          </w:p>
        </w:tc>
        <w:tc>
          <w:tcPr>
            <w:tcW w:w="6887" w:type="dxa"/>
            <w:gridSpan w:val="3"/>
          </w:tcPr>
          <w:p w:rsidR="009B22DF" w:rsidRPr="00FF27F6" w:rsidRDefault="009B22DF" w:rsidP="00875002">
            <w:pPr>
              <w:rPr>
                <w:rFonts w:cs="Arial"/>
                <w:sz w:val="32"/>
                <w:szCs w:val="32"/>
              </w:rPr>
            </w:pPr>
            <w:r w:rsidRPr="00FF27F6">
              <w:rPr>
                <w:rFonts w:cs="Arial"/>
                <w:sz w:val="32"/>
                <w:szCs w:val="32"/>
              </w:rPr>
              <w:t>Master of Business Administration</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Module:</w:t>
            </w:r>
          </w:p>
        </w:tc>
        <w:tc>
          <w:tcPr>
            <w:tcW w:w="6887" w:type="dxa"/>
            <w:gridSpan w:val="3"/>
          </w:tcPr>
          <w:p w:rsidR="009B22DF" w:rsidRPr="00FF27F6" w:rsidRDefault="009B22DF" w:rsidP="00875002">
            <w:pPr>
              <w:rPr>
                <w:rFonts w:cs="Arial"/>
                <w:sz w:val="32"/>
                <w:szCs w:val="32"/>
              </w:rPr>
            </w:pPr>
            <w:r w:rsidRPr="00FF27F6">
              <w:rPr>
                <w:rFonts w:cs="Arial"/>
                <w:sz w:val="32"/>
                <w:szCs w:val="32"/>
              </w:rPr>
              <w:t>Human Capital Management</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Module Code:</w:t>
            </w:r>
          </w:p>
        </w:tc>
        <w:tc>
          <w:tcPr>
            <w:tcW w:w="6887" w:type="dxa"/>
            <w:gridSpan w:val="3"/>
          </w:tcPr>
          <w:p w:rsidR="009B22DF" w:rsidRPr="00FF27F6" w:rsidRDefault="009B22DF" w:rsidP="00875002">
            <w:pPr>
              <w:rPr>
                <w:rFonts w:cs="Arial"/>
                <w:sz w:val="32"/>
                <w:szCs w:val="32"/>
              </w:rPr>
            </w:pPr>
            <w:r w:rsidRPr="00FF27F6">
              <w:rPr>
                <w:rFonts w:cs="Arial"/>
                <w:sz w:val="32"/>
                <w:szCs w:val="32"/>
              </w:rPr>
              <w:t>LCMB7023</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Assignment Title:</w:t>
            </w:r>
          </w:p>
        </w:tc>
        <w:tc>
          <w:tcPr>
            <w:tcW w:w="6887" w:type="dxa"/>
            <w:gridSpan w:val="3"/>
          </w:tcPr>
          <w:p w:rsidR="009B22DF" w:rsidRPr="00FF27F6" w:rsidRDefault="009B22DF" w:rsidP="00875002">
            <w:pPr>
              <w:rPr>
                <w:rFonts w:cs="Arial"/>
                <w:sz w:val="32"/>
                <w:szCs w:val="32"/>
              </w:rPr>
            </w:pPr>
            <w:r w:rsidRPr="00FF27F6">
              <w:rPr>
                <w:rFonts w:cs="Arial"/>
                <w:sz w:val="32"/>
                <w:szCs w:val="32"/>
              </w:rPr>
              <w:t>Assessment component 1: Individual report – HR strategy</w:t>
            </w:r>
          </w:p>
        </w:tc>
      </w:tr>
      <w:tr w:rsidR="009B22DF" w:rsidRPr="00FF27F6" w:rsidTr="00FF27F6">
        <w:trPr>
          <w:trHeight w:val="928"/>
        </w:trPr>
        <w:tc>
          <w:tcPr>
            <w:tcW w:w="2295" w:type="dxa"/>
          </w:tcPr>
          <w:p w:rsidR="009B22DF" w:rsidRPr="00FF27F6" w:rsidRDefault="009B22DF" w:rsidP="00875002">
            <w:pPr>
              <w:rPr>
                <w:rFonts w:cs="Arial"/>
                <w:b/>
                <w:bCs/>
                <w:sz w:val="32"/>
                <w:szCs w:val="32"/>
              </w:rPr>
            </w:pPr>
            <w:r w:rsidRPr="00FF27F6">
              <w:rPr>
                <w:rFonts w:cs="Arial"/>
                <w:b/>
                <w:bCs/>
                <w:sz w:val="32"/>
                <w:szCs w:val="32"/>
              </w:rPr>
              <w:t>Lecturer Name:</w:t>
            </w:r>
          </w:p>
        </w:tc>
        <w:tc>
          <w:tcPr>
            <w:tcW w:w="6887" w:type="dxa"/>
            <w:gridSpan w:val="3"/>
          </w:tcPr>
          <w:p w:rsidR="009B22DF" w:rsidRPr="00FF27F6" w:rsidRDefault="009B22DF" w:rsidP="00875002">
            <w:pPr>
              <w:rPr>
                <w:rFonts w:cs="Arial"/>
                <w:sz w:val="32"/>
                <w:szCs w:val="32"/>
              </w:rPr>
            </w:pPr>
            <w:r w:rsidRPr="00FF27F6">
              <w:rPr>
                <w:rFonts w:cs="Arial"/>
                <w:sz w:val="32"/>
                <w:szCs w:val="32"/>
              </w:rPr>
              <w:t>Gladius Kulothungan Ejike Udeogu</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Word Count:</w:t>
            </w:r>
          </w:p>
        </w:tc>
        <w:tc>
          <w:tcPr>
            <w:tcW w:w="2295" w:type="dxa"/>
          </w:tcPr>
          <w:p w:rsidR="009B22DF" w:rsidRPr="00FF27F6" w:rsidRDefault="009B22DF" w:rsidP="00875002">
            <w:pPr>
              <w:rPr>
                <w:rFonts w:cs="Arial"/>
                <w:sz w:val="32"/>
                <w:szCs w:val="32"/>
              </w:rPr>
            </w:pPr>
            <w:r w:rsidRPr="00FF27F6">
              <w:rPr>
                <w:rFonts w:cs="Arial"/>
                <w:sz w:val="32"/>
                <w:szCs w:val="32"/>
              </w:rPr>
              <w:t>2</w:t>
            </w:r>
            <w:r w:rsidR="00FF27F6">
              <w:rPr>
                <w:rFonts w:cs="Arial"/>
                <w:sz w:val="32"/>
                <w:szCs w:val="32"/>
              </w:rPr>
              <w:t>586(Excluding Refernces, Tables, Appendix)</w:t>
            </w:r>
          </w:p>
        </w:tc>
        <w:tc>
          <w:tcPr>
            <w:tcW w:w="2295" w:type="dxa"/>
          </w:tcPr>
          <w:p w:rsidR="009B22DF" w:rsidRPr="00FF27F6" w:rsidRDefault="009B22DF" w:rsidP="00875002">
            <w:pPr>
              <w:rPr>
                <w:rFonts w:cs="Arial"/>
                <w:b/>
                <w:bCs/>
                <w:sz w:val="32"/>
                <w:szCs w:val="32"/>
              </w:rPr>
            </w:pPr>
            <w:r w:rsidRPr="00FF27F6">
              <w:rPr>
                <w:rFonts w:cs="Arial"/>
                <w:b/>
                <w:bCs/>
                <w:sz w:val="32"/>
                <w:szCs w:val="32"/>
              </w:rPr>
              <w:t>Submission Date:</w:t>
            </w:r>
          </w:p>
        </w:tc>
        <w:tc>
          <w:tcPr>
            <w:tcW w:w="2295" w:type="dxa"/>
          </w:tcPr>
          <w:p w:rsidR="009B22DF" w:rsidRPr="00FF27F6" w:rsidRDefault="00FF27F6" w:rsidP="00875002">
            <w:pPr>
              <w:rPr>
                <w:rFonts w:cs="Arial"/>
                <w:sz w:val="32"/>
                <w:szCs w:val="32"/>
              </w:rPr>
            </w:pPr>
            <w:r>
              <w:rPr>
                <w:rFonts w:cs="Arial"/>
                <w:sz w:val="32"/>
                <w:szCs w:val="32"/>
              </w:rPr>
              <w:t>20</w:t>
            </w:r>
            <w:r w:rsidRPr="00FF27F6">
              <w:rPr>
                <w:rFonts w:cs="Arial"/>
                <w:sz w:val="32"/>
                <w:szCs w:val="32"/>
                <w:vertAlign w:val="superscript"/>
              </w:rPr>
              <w:t>th</w:t>
            </w:r>
            <w:r>
              <w:rPr>
                <w:rFonts w:cs="Arial"/>
                <w:sz w:val="32"/>
                <w:szCs w:val="32"/>
              </w:rPr>
              <w:t xml:space="preserve"> March, 2026</w:t>
            </w:r>
          </w:p>
        </w:tc>
      </w:tr>
    </w:tbl>
    <w:p w:rsidR="006B01C2" w:rsidRDefault="009B22DF" w:rsidP="009B22DF">
      <w:pPr>
        <w:jc w:val="center"/>
        <w:rPr>
          <w:rFonts w:cs="Arial"/>
          <w:szCs w:val="24"/>
        </w:rPr>
      </w:pPr>
      <w:r>
        <w:drawing>
          <wp:inline distT="0" distB="0" distL="0" distR="0" wp14:anchorId="70B2194C" wp14:editId="7B817822">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p w:rsidR="009B22DF" w:rsidRDefault="009B22DF">
      <w:pPr>
        <w:rPr>
          <w:rFonts w:cs="Arial"/>
          <w:szCs w:val="24"/>
        </w:rPr>
      </w:pPr>
      <w:r>
        <w:rPr>
          <w:rFonts w:cs="Arial"/>
          <w:szCs w:val="24"/>
        </w:rPr>
        <w:br w:type="page"/>
      </w:r>
    </w:p>
    <w:p w:rsidR="001252CD" w:rsidRDefault="001252CD">
      <w:pPr>
        <w:rPr>
          <w:rFonts w:eastAsiaTheme="majorEastAsia" w:cstheme="majorBidi"/>
          <w:b/>
          <w:bCs/>
          <w:sz w:val="32"/>
          <w:szCs w:val="40"/>
        </w:rPr>
      </w:pPr>
    </w:p>
    <w:sdt>
      <w:sdtPr>
        <w:rPr>
          <w:rFonts w:ascii="Arial" w:eastAsiaTheme="minorHAnsi" w:hAnsi="Arial" w:cstheme="minorBidi"/>
          <w:noProof/>
          <w:color w:val="000000" w:themeColor="text1"/>
          <w:kern w:val="2"/>
          <w:sz w:val="24"/>
          <w:szCs w:val="22"/>
          <w:lang w:val="en-IN"/>
          <w14:ligatures w14:val="standardContextual"/>
        </w:rPr>
        <w:id w:val="1947653556"/>
        <w:docPartObj>
          <w:docPartGallery w:val="Table of Contents"/>
          <w:docPartUnique/>
        </w:docPartObj>
      </w:sdtPr>
      <w:sdtEndPr>
        <w:rPr>
          <w:b/>
          <w:bCs/>
        </w:rPr>
      </w:sdtEndPr>
      <w:sdtContent>
        <w:p w:rsidR="001252CD" w:rsidRPr="001252CD" w:rsidRDefault="001252CD">
          <w:pPr>
            <w:pStyle w:val="TOCHeading"/>
            <w:rPr>
              <w:rFonts w:ascii="Arial" w:hAnsi="Arial" w:cs="Arial"/>
              <w:color w:val="000000" w:themeColor="text1"/>
            </w:rPr>
          </w:pPr>
          <w:r w:rsidRPr="001252CD">
            <w:rPr>
              <w:rFonts w:ascii="Arial" w:hAnsi="Arial" w:cs="Arial"/>
              <w:color w:val="000000" w:themeColor="text1"/>
            </w:rPr>
            <w:t>Table of Contents</w:t>
          </w:r>
        </w:p>
        <w:p w:rsidR="00FF27F6" w:rsidRDefault="001252CD">
          <w:pPr>
            <w:pStyle w:val="TOC1"/>
            <w:tabs>
              <w:tab w:val="right" w:leader="dot" w:pos="9016"/>
            </w:tabs>
            <w:rPr>
              <w:rFonts w:asciiTheme="minorHAnsi" w:eastAsiaTheme="minorEastAsia" w:hAnsiTheme="minorHAnsi"/>
              <w:color w:val="auto"/>
              <w:szCs w:val="24"/>
              <w:lang w:eastAsia="en-IN"/>
            </w:rPr>
          </w:pPr>
          <w:r>
            <w:fldChar w:fldCharType="begin"/>
          </w:r>
          <w:r>
            <w:instrText xml:space="preserve"> TOC \o "1-3" \h \z \u </w:instrText>
          </w:r>
          <w:r>
            <w:fldChar w:fldCharType="separate"/>
          </w:r>
          <w:hyperlink w:anchor="_Toc222913857" w:history="1">
            <w:r w:rsidR="00FF27F6" w:rsidRPr="006076F3">
              <w:rPr>
                <w:rStyle w:val="Hyperlink"/>
              </w:rPr>
              <w:t>1.0 Introduction</w:t>
            </w:r>
            <w:r w:rsidR="00FF27F6">
              <w:rPr>
                <w:webHidden/>
              </w:rPr>
              <w:tab/>
            </w:r>
            <w:r w:rsidR="00FF27F6">
              <w:rPr>
                <w:webHidden/>
              </w:rPr>
              <w:fldChar w:fldCharType="begin"/>
            </w:r>
            <w:r w:rsidR="00FF27F6">
              <w:rPr>
                <w:webHidden/>
              </w:rPr>
              <w:instrText xml:space="preserve"> PAGEREF _Toc222913857 \h </w:instrText>
            </w:r>
            <w:r w:rsidR="00FF27F6">
              <w:rPr>
                <w:webHidden/>
              </w:rPr>
            </w:r>
            <w:r w:rsidR="00FF27F6">
              <w:rPr>
                <w:webHidden/>
              </w:rPr>
              <w:fldChar w:fldCharType="separate"/>
            </w:r>
            <w:r w:rsidR="00A40E56">
              <w:rPr>
                <w:webHidden/>
              </w:rPr>
              <w:t>1</w:t>
            </w:r>
            <w:r w:rsidR="00FF27F6">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58" w:history="1">
            <w:r w:rsidRPr="006076F3">
              <w:rPr>
                <w:rStyle w:val="Hyperlink"/>
              </w:rPr>
              <w:t>2.0 Critical Analysis of Culture and Work Practices</w:t>
            </w:r>
            <w:r>
              <w:rPr>
                <w:webHidden/>
              </w:rPr>
              <w:tab/>
            </w:r>
            <w:r>
              <w:rPr>
                <w:webHidden/>
              </w:rPr>
              <w:fldChar w:fldCharType="begin"/>
            </w:r>
            <w:r>
              <w:rPr>
                <w:webHidden/>
              </w:rPr>
              <w:instrText xml:space="preserve"> PAGEREF _Toc222913858 \h </w:instrText>
            </w:r>
            <w:r>
              <w:rPr>
                <w:webHidden/>
              </w:rPr>
            </w:r>
            <w:r>
              <w:rPr>
                <w:webHidden/>
              </w:rPr>
              <w:fldChar w:fldCharType="separate"/>
            </w:r>
            <w:r w:rsidR="00A40E56">
              <w:rPr>
                <w:webHidden/>
              </w:rPr>
              <w:t>2</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59" w:history="1">
            <w:r w:rsidRPr="006076F3">
              <w:rPr>
                <w:rStyle w:val="Hyperlink"/>
              </w:rPr>
              <w:t>2.1 Culture as a Strategic Asset</w:t>
            </w:r>
            <w:r>
              <w:rPr>
                <w:webHidden/>
              </w:rPr>
              <w:tab/>
            </w:r>
            <w:r>
              <w:rPr>
                <w:webHidden/>
              </w:rPr>
              <w:fldChar w:fldCharType="begin"/>
            </w:r>
            <w:r>
              <w:rPr>
                <w:webHidden/>
              </w:rPr>
              <w:instrText xml:space="preserve"> PAGEREF _Toc222913859 \h </w:instrText>
            </w:r>
            <w:r>
              <w:rPr>
                <w:webHidden/>
              </w:rPr>
            </w:r>
            <w:r>
              <w:rPr>
                <w:webHidden/>
              </w:rPr>
              <w:fldChar w:fldCharType="separate"/>
            </w:r>
            <w:r w:rsidR="00A40E56">
              <w:rPr>
                <w:webHidden/>
              </w:rPr>
              <w:t>2</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0" w:history="1">
            <w:r w:rsidRPr="006076F3">
              <w:rPr>
                <w:rStyle w:val="Hyperlink"/>
              </w:rPr>
              <w:t>2.2 Structural Constraints of Growing Tech Firms</w:t>
            </w:r>
            <w:r>
              <w:rPr>
                <w:webHidden/>
              </w:rPr>
              <w:tab/>
            </w:r>
            <w:r>
              <w:rPr>
                <w:webHidden/>
              </w:rPr>
              <w:fldChar w:fldCharType="begin"/>
            </w:r>
            <w:r>
              <w:rPr>
                <w:webHidden/>
              </w:rPr>
              <w:instrText xml:space="preserve"> PAGEREF _Toc222913860 \h </w:instrText>
            </w:r>
            <w:r>
              <w:rPr>
                <w:webHidden/>
              </w:rPr>
            </w:r>
            <w:r>
              <w:rPr>
                <w:webHidden/>
              </w:rPr>
              <w:fldChar w:fldCharType="separate"/>
            </w:r>
            <w:r w:rsidR="00A40E56">
              <w:rPr>
                <w:webHidden/>
              </w:rPr>
              <w:t>2</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1" w:history="1">
            <w:r w:rsidRPr="006076F3">
              <w:rPr>
                <w:rStyle w:val="Hyperlink"/>
              </w:rPr>
              <w:t>2.3 Psychological Safety, Engagement and Innovation</w:t>
            </w:r>
            <w:r>
              <w:rPr>
                <w:webHidden/>
              </w:rPr>
              <w:tab/>
            </w:r>
            <w:r>
              <w:rPr>
                <w:webHidden/>
              </w:rPr>
              <w:fldChar w:fldCharType="begin"/>
            </w:r>
            <w:r>
              <w:rPr>
                <w:webHidden/>
              </w:rPr>
              <w:instrText xml:space="preserve"> PAGEREF _Toc222913861 \h </w:instrText>
            </w:r>
            <w:r>
              <w:rPr>
                <w:webHidden/>
              </w:rPr>
            </w:r>
            <w:r>
              <w:rPr>
                <w:webHidden/>
              </w:rPr>
              <w:fldChar w:fldCharType="separate"/>
            </w:r>
            <w:r w:rsidR="00A40E56">
              <w:rPr>
                <w:webHidden/>
              </w:rPr>
              <w:t>2</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62" w:history="1">
            <w:r w:rsidRPr="006076F3">
              <w:rPr>
                <w:rStyle w:val="Hyperlink"/>
              </w:rPr>
              <w:t>3.0 Embedding a Culture of Innovation</w:t>
            </w:r>
            <w:r>
              <w:rPr>
                <w:webHidden/>
              </w:rPr>
              <w:tab/>
            </w:r>
            <w:r>
              <w:rPr>
                <w:webHidden/>
              </w:rPr>
              <w:fldChar w:fldCharType="begin"/>
            </w:r>
            <w:r>
              <w:rPr>
                <w:webHidden/>
              </w:rPr>
              <w:instrText xml:space="preserve"> PAGEREF _Toc222913862 \h </w:instrText>
            </w:r>
            <w:r>
              <w:rPr>
                <w:webHidden/>
              </w:rPr>
            </w:r>
            <w:r>
              <w:rPr>
                <w:webHidden/>
              </w:rPr>
              <w:fldChar w:fldCharType="separate"/>
            </w:r>
            <w:r w:rsidR="00A40E56">
              <w:rPr>
                <w:webHidden/>
              </w:rPr>
              <w:t>3</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3" w:history="1">
            <w:r w:rsidRPr="006076F3">
              <w:rPr>
                <w:rStyle w:val="Hyperlink"/>
              </w:rPr>
              <w:t>3.2 Institutionalising Innovation Mechanisms</w:t>
            </w:r>
            <w:r>
              <w:rPr>
                <w:webHidden/>
              </w:rPr>
              <w:tab/>
            </w:r>
            <w:r>
              <w:rPr>
                <w:webHidden/>
              </w:rPr>
              <w:fldChar w:fldCharType="begin"/>
            </w:r>
            <w:r>
              <w:rPr>
                <w:webHidden/>
              </w:rPr>
              <w:instrText xml:space="preserve"> PAGEREF _Toc222913863 \h </w:instrText>
            </w:r>
            <w:r>
              <w:rPr>
                <w:webHidden/>
              </w:rPr>
            </w:r>
            <w:r>
              <w:rPr>
                <w:webHidden/>
              </w:rPr>
              <w:fldChar w:fldCharType="separate"/>
            </w:r>
            <w:r w:rsidR="00A40E56">
              <w:rPr>
                <w:webHidden/>
              </w:rPr>
              <w:t>4</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4" w:history="1">
            <w:r w:rsidRPr="006076F3">
              <w:rPr>
                <w:rStyle w:val="Hyperlink"/>
              </w:rPr>
              <w:t>4.1 Hybrid Work through the JD-R Lens</w:t>
            </w:r>
            <w:r>
              <w:rPr>
                <w:webHidden/>
              </w:rPr>
              <w:tab/>
            </w:r>
            <w:r>
              <w:rPr>
                <w:webHidden/>
              </w:rPr>
              <w:fldChar w:fldCharType="begin"/>
            </w:r>
            <w:r>
              <w:rPr>
                <w:webHidden/>
              </w:rPr>
              <w:instrText xml:space="preserve"> PAGEREF _Toc222913864 \h </w:instrText>
            </w:r>
            <w:r>
              <w:rPr>
                <w:webHidden/>
              </w:rPr>
            </w:r>
            <w:r>
              <w:rPr>
                <w:webHidden/>
              </w:rPr>
              <w:fldChar w:fldCharType="separate"/>
            </w:r>
            <w:r w:rsidR="00A40E56">
              <w:rPr>
                <w:webHidden/>
              </w:rPr>
              <w:t>4</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5" w:history="1">
            <w:r w:rsidRPr="006076F3">
              <w:rPr>
                <w:rStyle w:val="Hyperlink"/>
              </w:rPr>
              <w:t>4.2 Structured Hybrid Innovation Model</w:t>
            </w:r>
            <w:r>
              <w:rPr>
                <w:webHidden/>
              </w:rPr>
              <w:tab/>
            </w:r>
            <w:r>
              <w:rPr>
                <w:webHidden/>
              </w:rPr>
              <w:fldChar w:fldCharType="begin"/>
            </w:r>
            <w:r>
              <w:rPr>
                <w:webHidden/>
              </w:rPr>
              <w:instrText xml:space="preserve"> PAGEREF _Toc222913865 \h </w:instrText>
            </w:r>
            <w:r>
              <w:rPr>
                <w:webHidden/>
              </w:rPr>
            </w:r>
            <w:r>
              <w:rPr>
                <w:webHidden/>
              </w:rPr>
              <w:fldChar w:fldCharType="separate"/>
            </w:r>
            <w:r w:rsidR="00A40E56">
              <w:rPr>
                <w:webHidden/>
              </w:rPr>
              <w:t>5</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6" w:history="1">
            <w:r w:rsidRPr="006076F3">
              <w:rPr>
                <w:rStyle w:val="Hyperlink"/>
              </w:rPr>
              <w:t>4.3 Preserving Culture in Distributed Environments</w:t>
            </w:r>
            <w:r>
              <w:rPr>
                <w:webHidden/>
              </w:rPr>
              <w:tab/>
            </w:r>
            <w:r>
              <w:rPr>
                <w:webHidden/>
              </w:rPr>
              <w:fldChar w:fldCharType="begin"/>
            </w:r>
            <w:r>
              <w:rPr>
                <w:webHidden/>
              </w:rPr>
              <w:instrText xml:space="preserve"> PAGEREF _Toc222913866 \h </w:instrText>
            </w:r>
            <w:r>
              <w:rPr>
                <w:webHidden/>
              </w:rPr>
            </w:r>
            <w:r>
              <w:rPr>
                <w:webHidden/>
              </w:rPr>
              <w:fldChar w:fldCharType="separate"/>
            </w:r>
            <w:r w:rsidR="00A40E56">
              <w:rPr>
                <w:webHidden/>
              </w:rPr>
              <w:t>5</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67" w:history="1">
            <w:r w:rsidRPr="006076F3">
              <w:rPr>
                <w:rStyle w:val="Hyperlink"/>
              </w:rPr>
              <w:t>5.0 Strategic Integration and Performance Impact</w:t>
            </w:r>
            <w:r>
              <w:rPr>
                <w:webHidden/>
              </w:rPr>
              <w:tab/>
            </w:r>
            <w:r>
              <w:rPr>
                <w:webHidden/>
              </w:rPr>
              <w:fldChar w:fldCharType="begin"/>
            </w:r>
            <w:r>
              <w:rPr>
                <w:webHidden/>
              </w:rPr>
              <w:instrText xml:space="preserve"> PAGEREF _Toc222913867 \h </w:instrText>
            </w:r>
            <w:r>
              <w:rPr>
                <w:webHidden/>
              </w:rPr>
            </w:r>
            <w:r>
              <w:rPr>
                <w:webHidden/>
              </w:rPr>
              <w:fldChar w:fldCharType="separate"/>
            </w:r>
            <w:r w:rsidR="00A40E56">
              <w:rPr>
                <w:webHidden/>
              </w:rPr>
              <w:t>6</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68" w:history="1">
            <w:r w:rsidRPr="006076F3">
              <w:rPr>
                <w:rStyle w:val="Hyperlink"/>
              </w:rPr>
              <w:t>6.0 Reflective Analysis</w:t>
            </w:r>
            <w:r>
              <w:rPr>
                <w:webHidden/>
              </w:rPr>
              <w:tab/>
            </w:r>
            <w:r>
              <w:rPr>
                <w:webHidden/>
              </w:rPr>
              <w:fldChar w:fldCharType="begin"/>
            </w:r>
            <w:r>
              <w:rPr>
                <w:webHidden/>
              </w:rPr>
              <w:instrText xml:space="preserve"> PAGEREF _Toc222913868 \h </w:instrText>
            </w:r>
            <w:r>
              <w:rPr>
                <w:webHidden/>
              </w:rPr>
            </w:r>
            <w:r>
              <w:rPr>
                <w:webHidden/>
              </w:rPr>
              <w:fldChar w:fldCharType="separate"/>
            </w:r>
            <w:r w:rsidR="00A40E56">
              <w:rPr>
                <w:webHidden/>
              </w:rPr>
              <w:t>7</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9" w:history="1">
            <w:r w:rsidRPr="006076F3">
              <w:rPr>
                <w:rStyle w:val="Hyperlink"/>
              </w:rPr>
              <w:t>6.1 Reflective Learning Journey Using Gibbs cycle</w:t>
            </w:r>
            <w:r>
              <w:rPr>
                <w:webHidden/>
              </w:rPr>
              <w:tab/>
            </w:r>
            <w:r>
              <w:rPr>
                <w:webHidden/>
              </w:rPr>
              <w:fldChar w:fldCharType="begin"/>
            </w:r>
            <w:r>
              <w:rPr>
                <w:webHidden/>
              </w:rPr>
              <w:instrText xml:space="preserve"> PAGEREF _Toc222913869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0" w:history="1">
            <w:r w:rsidRPr="006076F3">
              <w:rPr>
                <w:rStyle w:val="Hyperlink"/>
              </w:rPr>
              <w:t>Description</w:t>
            </w:r>
            <w:r>
              <w:rPr>
                <w:webHidden/>
              </w:rPr>
              <w:tab/>
            </w:r>
            <w:r>
              <w:rPr>
                <w:webHidden/>
              </w:rPr>
              <w:fldChar w:fldCharType="begin"/>
            </w:r>
            <w:r>
              <w:rPr>
                <w:webHidden/>
              </w:rPr>
              <w:instrText xml:space="preserve"> PAGEREF _Toc222913870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1" w:history="1">
            <w:r w:rsidRPr="006076F3">
              <w:rPr>
                <w:rStyle w:val="Hyperlink"/>
              </w:rPr>
              <w:t>Feelings</w:t>
            </w:r>
            <w:r>
              <w:rPr>
                <w:webHidden/>
              </w:rPr>
              <w:tab/>
            </w:r>
            <w:r>
              <w:rPr>
                <w:webHidden/>
              </w:rPr>
              <w:fldChar w:fldCharType="begin"/>
            </w:r>
            <w:r>
              <w:rPr>
                <w:webHidden/>
              </w:rPr>
              <w:instrText xml:space="preserve"> PAGEREF _Toc222913871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2" w:history="1">
            <w:r w:rsidRPr="006076F3">
              <w:rPr>
                <w:rStyle w:val="Hyperlink"/>
              </w:rPr>
              <w:t>Evaluation</w:t>
            </w:r>
            <w:r>
              <w:rPr>
                <w:webHidden/>
              </w:rPr>
              <w:tab/>
            </w:r>
            <w:r>
              <w:rPr>
                <w:webHidden/>
              </w:rPr>
              <w:fldChar w:fldCharType="begin"/>
            </w:r>
            <w:r>
              <w:rPr>
                <w:webHidden/>
              </w:rPr>
              <w:instrText xml:space="preserve"> PAGEREF _Toc222913872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3" w:history="1">
            <w:r w:rsidRPr="006076F3">
              <w:rPr>
                <w:rStyle w:val="Hyperlink"/>
              </w:rPr>
              <w:t>Analysis</w:t>
            </w:r>
            <w:r>
              <w:rPr>
                <w:webHidden/>
              </w:rPr>
              <w:tab/>
            </w:r>
            <w:r>
              <w:rPr>
                <w:webHidden/>
              </w:rPr>
              <w:fldChar w:fldCharType="begin"/>
            </w:r>
            <w:r>
              <w:rPr>
                <w:webHidden/>
              </w:rPr>
              <w:instrText xml:space="preserve"> PAGEREF _Toc222913873 \h </w:instrText>
            </w:r>
            <w:r>
              <w:rPr>
                <w:webHidden/>
              </w:rPr>
            </w:r>
            <w:r>
              <w:rPr>
                <w:webHidden/>
              </w:rPr>
              <w:fldChar w:fldCharType="separate"/>
            </w:r>
            <w:r w:rsidR="00A40E56">
              <w:rPr>
                <w:webHidden/>
              </w:rPr>
              <w:t>8</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4" w:history="1">
            <w:r w:rsidRPr="006076F3">
              <w:rPr>
                <w:rStyle w:val="Hyperlink"/>
              </w:rPr>
              <w:t>Conclusion</w:t>
            </w:r>
            <w:r>
              <w:rPr>
                <w:webHidden/>
              </w:rPr>
              <w:tab/>
            </w:r>
            <w:r>
              <w:rPr>
                <w:webHidden/>
              </w:rPr>
              <w:fldChar w:fldCharType="begin"/>
            </w:r>
            <w:r>
              <w:rPr>
                <w:webHidden/>
              </w:rPr>
              <w:instrText xml:space="preserve"> PAGEREF _Toc222913874 \h </w:instrText>
            </w:r>
            <w:r>
              <w:rPr>
                <w:webHidden/>
              </w:rPr>
            </w:r>
            <w:r>
              <w:rPr>
                <w:webHidden/>
              </w:rPr>
              <w:fldChar w:fldCharType="separate"/>
            </w:r>
            <w:r w:rsidR="00A40E56">
              <w:rPr>
                <w:webHidden/>
              </w:rPr>
              <w:t>8</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75" w:history="1">
            <w:r w:rsidRPr="006076F3">
              <w:rPr>
                <w:rStyle w:val="Hyperlink"/>
              </w:rPr>
              <w:t>6.2. Being Relevant in the Age of Artificial Intelligence</w:t>
            </w:r>
            <w:r>
              <w:rPr>
                <w:webHidden/>
              </w:rPr>
              <w:tab/>
            </w:r>
            <w:r>
              <w:rPr>
                <w:webHidden/>
              </w:rPr>
              <w:fldChar w:fldCharType="begin"/>
            </w:r>
            <w:r>
              <w:rPr>
                <w:webHidden/>
              </w:rPr>
              <w:instrText xml:space="preserve"> PAGEREF _Toc222913875 \h </w:instrText>
            </w:r>
            <w:r>
              <w:rPr>
                <w:webHidden/>
              </w:rPr>
            </w:r>
            <w:r>
              <w:rPr>
                <w:webHidden/>
              </w:rPr>
              <w:fldChar w:fldCharType="separate"/>
            </w:r>
            <w:r w:rsidR="00A40E56">
              <w:rPr>
                <w:webHidden/>
              </w:rPr>
              <w:t>9</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76" w:history="1">
            <w:r w:rsidRPr="006076F3">
              <w:rPr>
                <w:rStyle w:val="Hyperlink"/>
              </w:rPr>
              <w:t>7.0 Conclusion</w:t>
            </w:r>
            <w:r>
              <w:rPr>
                <w:webHidden/>
              </w:rPr>
              <w:tab/>
            </w:r>
            <w:r>
              <w:rPr>
                <w:webHidden/>
              </w:rPr>
              <w:fldChar w:fldCharType="begin"/>
            </w:r>
            <w:r>
              <w:rPr>
                <w:webHidden/>
              </w:rPr>
              <w:instrText xml:space="preserve"> PAGEREF _Toc222913876 \h </w:instrText>
            </w:r>
            <w:r>
              <w:rPr>
                <w:webHidden/>
              </w:rPr>
            </w:r>
            <w:r>
              <w:rPr>
                <w:webHidden/>
              </w:rPr>
              <w:fldChar w:fldCharType="separate"/>
            </w:r>
            <w:r w:rsidR="00A40E56">
              <w:rPr>
                <w:webHidden/>
              </w:rPr>
              <w:t>9</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77" w:history="1">
            <w:r w:rsidRPr="006076F3">
              <w:rPr>
                <w:rStyle w:val="Hyperlink"/>
              </w:rPr>
              <w:t>References</w:t>
            </w:r>
            <w:r>
              <w:rPr>
                <w:webHidden/>
              </w:rPr>
              <w:tab/>
            </w:r>
            <w:r>
              <w:rPr>
                <w:webHidden/>
              </w:rPr>
              <w:fldChar w:fldCharType="begin"/>
            </w:r>
            <w:r>
              <w:rPr>
                <w:webHidden/>
              </w:rPr>
              <w:instrText xml:space="preserve"> PAGEREF _Toc222913877 \h </w:instrText>
            </w:r>
            <w:r>
              <w:rPr>
                <w:webHidden/>
              </w:rPr>
            </w:r>
            <w:r>
              <w:rPr>
                <w:webHidden/>
              </w:rPr>
              <w:fldChar w:fldCharType="separate"/>
            </w:r>
            <w:r w:rsidR="00A40E56">
              <w:rPr>
                <w:webHidden/>
              </w:rPr>
              <w:t>10</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78" w:history="1">
            <w:r w:rsidRPr="006076F3">
              <w:rPr>
                <w:rStyle w:val="Hyperlink"/>
              </w:rPr>
              <w:t>Appendix</w:t>
            </w:r>
            <w:r>
              <w:rPr>
                <w:webHidden/>
              </w:rPr>
              <w:tab/>
            </w:r>
            <w:r>
              <w:rPr>
                <w:webHidden/>
              </w:rPr>
              <w:fldChar w:fldCharType="begin"/>
            </w:r>
            <w:r>
              <w:rPr>
                <w:webHidden/>
              </w:rPr>
              <w:instrText xml:space="preserve"> PAGEREF _Toc222913878 \h </w:instrText>
            </w:r>
            <w:r>
              <w:rPr>
                <w:webHidden/>
              </w:rPr>
            </w:r>
            <w:r>
              <w:rPr>
                <w:webHidden/>
              </w:rPr>
              <w:fldChar w:fldCharType="separate"/>
            </w:r>
            <w:r w:rsidR="00A40E56">
              <w:rPr>
                <w:webHidden/>
              </w:rPr>
              <w:t>10</w:t>
            </w:r>
            <w:r>
              <w:rPr>
                <w:webHidden/>
              </w:rPr>
              <w:fldChar w:fldCharType="end"/>
            </w:r>
          </w:hyperlink>
        </w:p>
        <w:p w:rsidR="001252CD" w:rsidRDefault="001252CD">
          <w:r>
            <w:rPr>
              <w:b/>
              <w:bCs/>
            </w:rPr>
            <w:fldChar w:fldCharType="end"/>
          </w:r>
        </w:p>
      </w:sdtContent>
    </w:sdt>
    <w:p w:rsidR="00A40E56" w:rsidRDefault="00A40E56" w:rsidP="00A40E56">
      <w:pPr>
        <w:rPr>
          <w:rFonts w:eastAsiaTheme="majorEastAsia" w:cstheme="majorBidi"/>
          <w:b/>
          <w:bCs/>
          <w:sz w:val="32"/>
          <w:szCs w:val="40"/>
        </w:rPr>
      </w:pPr>
    </w:p>
    <w:p w:rsidR="00A40E56" w:rsidRDefault="00A40E56" w:rsidP="00A40E56">
      <w:pPr>
        <w:jc w:val="center"/>
        <w:rPr>
          <w:rFonts w:eastAsiaTheme="majorEastAsia" w:cstheme="majorBidi"/>
          <w:b/>
          <w:bCs/>
          <w:sz w:val="32"/>
          <w:szCs w:val="40"/>
        </w:rPr>
      </w:pPr>
      <w:r w:rsidRPr="00A40E56">
        <w:rPr>
          <w:rFonts w:eastAsiaTheme="majorEastAsia" w:cstheme="majorBidi"/>
          <w:sz w:val="32"/>
          <w:szCs w:val="40"/>
        </w:rPr>
        <w:br w:type="page"/>
      </w:r>
      <w:r>
        <w:rPr>
          <w:rFonts w:eastAsiaTheme="majorEastAsia" w:cstheme="majorBidi"/>
          <w:b/>
          <w:bCs/>
          <w:sz w:val="32"/>
          <w:szCs w:val="40"/>
        </w:rPr>
        <w:lastRenderedPageBreak/>
        <w:t>EXECUTIVE  SUMMARY</w:t>
      </w:r>
    </w:p>
    <w:p w:rsidR="00A40E56" w:rsidRPr="00FF27F6" w:rsidRDefault="00A40E56" w:rsidP="00A40E56">
      <w:r w:rsidRPr="00FF27F6">
        <w:t>Aether Innovations is facing flat line growth, high employee turnover, and customer satisfaction has begun to decline, indicating more than just isolated operational inefficiencies, but a greater cultural and structural misalignment. In knowledge-intensive industries, the sources of sustainable competitive advantage are human capital, organisational learning, and innovation capability. Drawing upon the Strategic HRM and the Resource-Based View, this report makes the case that innovation has to be embedded as a systemic organisational capability and not so much an aspirational value.</w:t>
      </w:r>
    </w:p>
    <w:p w:rsidR="00A40E56" w:rsidRPr="00FF27F6" w:rsidRDefault="00A40E56" w:rsidP="00A40E56"/>
    <w:p w:rsidR="00A40E56" w:rsidRPr="00FF27F6" w:rsidRDefault="00A40E56" w:rsidP="00A40E56">
      <w:r w:rsidRPr="00FF27F6">
        <w:t>The tensions between entrepreneurial agility and the increasing managerial control are identified in the analysis to limit the psychological safety and the exploratory learning. In order to abate these issues, an integrated human capital blueprint is proposed. This includes: alignment of HR architecture through the Ability-Motivation-Opportunity framework; institutionalisation of innovation mechanisms such as sprints and intrapreneurship; transformational leadership behaviours; and a strategic structured hybrid work model that both increases collaboration and autonomy.</w:t>
      </w:r>
    </w:p>
    <w:p w:rsidR="00A40E56" w:rsidRPr="00FF27F6" w:rsidRDefault="00A40E56" w:rsidP="00A40E56"/>
    <w:p w:rsidR="00A40E56" w:rsidRDefault="00A40E56" w:rsidP="00A40E56">
      <w:pPr>
        <w:sectPr w:rsidR="00A40E56" w:rsidSect="00A40E56">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F27F6">
        <w:t>By ensuring vertical alignment between business and HR systems, combined with horizontal coherence across practices, Aether is able to transform innovation into a sustainable organisational capability. The proposed framework is expected to improve engagement, reduce turnover, improve learning capacity and regain competitive growth momentum</w:t>
      </w:r>
    </w:p>
    <w:p w:rsidR="00917DE6" w:rsidRPr="00917DE6" w:rsidRDefault="00917DE6" w:rsidP="001252CD">
      <w:pPr>
        <w:pStyle w:val="Heading1"/>
      </w:pPr>
      <w:bookmarkStart w:id="0" w:name="_Toc222913857"/>
      <w:r w:rsidRPr="00917DE6">
        <w:lastRenderedPageBreak/>
        <w:t>1.0 Introduction</w:t>
      </w:r>
      <w:bookmarkEnd w:id="0"/>
    </w:p>
    <w:p w:rsidR="00917DE6" w:rsidRDefault="00917DE6" w:rsidP="00917DE6">
      <w:r w:rsidRPr="00917DE6">
        <w:t xml:space="preserve">In knowledge-driven economies, sustainable competitive advantage is coming not from physical capital, but from intangible assets. </w:t>
      </w:r>
      <w:r w:rsidR="005C6607" w:rsidRPr="005C6607">
        <w:t>The Resource-Based View suggests that sustained competitive advantage stems from valuable, rare, inimitable and non-substitutable resources (Barney, 1991; Jay Barney).</w:t>
      </w:r>
      <w:r w:rsidRPr="00917DE6">
        <w:t xml:space="preserve"> Organisational culture, innovation capability and human capital meet these criteria if strategically embedded. For technology companies like Aether Innovations, innovation therefore is not optional but mandatory for survival.</w:t>
      </w:r>
    </w:p>
    <w:p w:rsidR="00A40E56" w:rsidRPr="00917DE6" w:rsidRDefault="00A40E56" w:rsidP="00917DE6">
      <w:r>
        <w:drawing>
          <wp:inline distT="0" distB="0" distL="0" distR="0">
            <wp:extent cx="5731510" cy="4298950"/>
            <wp:effectExtent l="0" t="0" r="2540" b="6350"/>
            <wp:docPr id="1110141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917DE6" w:rsidRPr="00917DE6" w:rsidRDefault="005C6607" w:rsidP="00917DE6">
      <w:r w:rsidRPr="005C6607">
        <w:t>Human capital represents a critical economic asset (Becker, 1964; Gary Becker).</w:t>
      </w:r>
      <w:r w:rsidR="00917DE6" w:rsidRPr="00917DE6">
        <w:t xml:space="preserve"> However, talent alone does not lead to innovation; enabling organisational conditions are necessary. </w:t>
      </w:r>
      <w:r w:rsidRPr="005C6607">
        <w:t>Strategic HRM emphasises alignment between HR systems and organisational goals (Boxall et al., 2023).</w:t>
      </w:r>
    </w:p>
    <w:p w:rsidR="00917DE6" w:rsidRPr="00917DE6" w:rsidRDefault="00917DE6" w:rsidP="00917DE6">
      <w:r w:rsidRPr="00917DE6">
        <w:t>Innovation thrives in cultures that are based on psychological safety and a learning orientation as opposed to rigid control. Organisational Learning Theory (Argyris and Schon, 1978) implies that firms that institutionalise experimentation foster adaptive capabilities that are important in volatile markets. Given Aether's stagnation, high turnover and falling customer satisfaction, recovery involves a systemic redesign of culture and the future work practices to embed the capability of innovation.</w:t>
      </w:r>
    </w:p>
    <w:p w:rsidR="00917DE6" w:rsidRPr="00917DE6" w:rsidRDefault="009D7026" w:rsidP="009D7026">
      <w:pPr>
        <w:pStyle w:val="Heading1"/>
      </w:pPr>
      <w:bookmarkStart w:id="1" w:name="_Toc222913858"/>
      <w:r>
        <w:lastRenderedPageBreak/>
        <w:t xml:space="preserve">2.0 </w:t>
      </w:r>
      <w:r w:rsidR="00917DE6" w:rsidRPr="00917DE6">
        <w:t>Critical Analysis of Culture and Work Practices</w:t>
      </w:r>
      <w:bookmarkEnd w:id="1"/>
    </w:p>
    <w:p w:rsidR="00917DE6" w:rsidRPr="00917DE6" w:rsidRDefault="00917DE6" w:rsidP="00917DE6">
      <w:r w:rsidRPr="00917DE6">
        <w:t>Organisational culture has a great impact on innovation and performance. In the process of scaling technology companies, tensions arise between the need for entrepreneurial agility and managerial control. Aether's performance indicators indicate misalignment of its espoused commitment to innovation with structural realities of behaviour.</w:t>
      </w:r>
    </w:p>
    <w:p w:rsidR="00917DE6" w:rsidRPr="00917DE6" w:rsidRDefault="00917DE6" w:rsidP="009D7026">
      <w:pPr>
        <w:pStyle w:val="Heading2"/>
      </w:pPr>
      <w:bookmarkStart w:id="2" w:name="_Toc222913859"/>
      <w:r w:rsidRPr="00917DE6">
        <w:t>2.1 Culture as a Strategic Asset</w:t>
      </w:r>
      <w:bookmarkEnd w:id="2"/>
    </w:p>
    <w:p w:rsidR="00917DE6" w:rsidRPr="00917DE6" w:rsidRDefault="00917DE6" w:rsidP="00917DE6">
      <w:r w:rsidRPr="00917DE6">
        <w:t>From the Resource-Based View perspective (Barney, 1991), organisational culture can be a source of sustained competitive advantage if it is valuable, rare, and difficult to imitate. In innovation-driven industries, cultures fostering experimentation, learning and collaboration fit these requirements. However, culture must be ingrained in organisational systems rather than just stated in mission statements.</w:t>
      </w:r>
      <w:r w:rsidR="005C6607" w:rsidRPr="005C6607">
        <w:t>Organisational culture operates at multiple levels including artefacts, values and underlying assumptions (Schein, 1985; Edgar Schein).</w:t>
      </w:r>
    </w:p>
    <w:p w:rsidR="00917DE6" w:rsidRPr="00917DE6" w:rsidRDefault="00917DE6" w:rsidP="00917DE6">
      <w:r w:rsidRPr="00917DE6">
        <w:t>Schein's (1985) model of organisational culture categorizes artefacts, espoused values, and underlying assumptions. Many technology companies openly advertise innovation with open offices, hackathons and creative branding. Yet beneath assumptions can be a focus on short-term performance metrics, risk avoidance and managerial oversight. This inconsistency produces cultural fragmentation, in which innovation is symbolically encouraged, but structurally limited.</w:t>
      </w:r>
    </w:p>
    <w:p w:rsidR="00917DE6" w:rsidRPr="00917DE6" w:rsidRDefault="00917DE6" w:rsidP="00917DE6">
      <w:r w:rsidRPr="00917DE6">
        <w:t>Thus, culture should not be perceived as a soft variable but as a strategic infrastructure of shaping behavioural norms and decision-making processes.</w:t>
      </w:r>
    </w:p>
    <w:p w:rsidR="00917DE6" w:rsidRPr="00917DE6" w:rsidRDefault="00917DE6" w:rsidP="00917DE6"/>
    <w:p w:rsidR="00917DE6" w:rsidRPr="00917DE6" w:rsidRDefault="00917DE6" w:rsidP="009D7026">
      <w:pPr>
        <w:pStyle w:val="Heading2"/>
      </w:pPr>
      <w:bookmarkStart w:id="3" w:name="_Toc222913860"/>
      <w:r w:rsidRPr="00917DE6">
        <w:t>2.2 Structural Constraints of Growing Tech Firms</w:t>
      </w:r>
      <w:bookmarkEnd w:id="3"/>
    </w:p>
    <w:p w:rsidR="00917DE6" w:rsidRPr="00917DE6" w:rsidRDefault="00917DE6" w:rsidP="00917DE6">
      <w:r w:rsidRPr="00917DE6">
        <w:t>As technology companies grow, they tend to shift from being organic, founder-led entities to more formalised systems of coordination and control. Burns and Stalker in 1961 distinguish between mechanistic structures with hierarchy and rigid role definitions and organic structures that are decentralised and adaptive. Innovation is able to flourish within organic configurations because of increased flexibility and distributed authority.</w:t>
      </w:r>
      <w:r w:rsidR="005C6607">
        <w:t xml:space="preserve"> </w:t>
      </w:r>
      <w:r w:rsidR="005C6607" w:rsidRPr="005C6607">
        <w:t>Mechanistic structures restrict adaptability, while organic structures promote innovation (Burns &amp; Stalker, 1961).</w:t>
      </w:r>
    </w:p>
    <w:p w:rsidR="00917DE6" w:rsidRPr="00917DE6" w:rsidRDefault="00917DE6" w:rsidP="00917DE6">
      <w:r w:rsidRPr="00917DE6">
        <w:t>However, growth often brings with it bureaucratic processes, increased performance control and centralised decision-making. While these mechanisms increase the predictability, there is a possibility that they will also suppress exploratory learning. March (1991) makes the distinction between exploitation (refinement, efficiency, execution) and exploration (experimentation, variation, discovery). An over-emphasis on exploitation destroys long-term innovation capacity.</w:t>
      </w:r>
    </w:p>
    <w:p w:rsidR="00917DE6" w:rsidRPr="00917DE6" w:rsidRDefault="00917DE6" w:rsidP="00917DE6">
      <w:r w:rsidRPr="00917DE6">
        <w:t>If Aether has moved towards management based on efficiency and has lost some of the flexibility for adaptation, stagnation becomes a rule instead of an exception.</w:t>
      </w:r>
    </w:p>
    <w:p w:rsidR="00917DE6" w:rsidRPr="00917DE6" w:rsidRDefault="00917DE6" w:rsidP="00917DE6"/>
    <w:p w:rsidR="00917DE6" w:rsidRPr="00917DE6" w:rsidRDefault="00917DE6" w:rsidP="009D7026">
      <w:pPr>
        <w:pStyle w:val="Heading2"/>
      </w:pPr>
      <w:bookmarkStart w:id="4" w:name="_Toc222913861"/>
      <w:r w:rsidRPr="00917DE6">
        <w:lastRenderedPageBreak/>
        <w:t>2.3 Psychological Safety, Engagement and Innovation</w:t>
      </w:r>
      <w:bookmarkEnd w:id="4"/>
    </w:p>
    <w:p w:rsidR="00917DE6" w:rsidRPr="00917DE6" w:rsidRDefault="00917DE6" w:rsidP="00917DE6">
      <w:r w:rsidRPr="00917DE6">
        <w:t>Innovation is by nature uncertain and risky. Edmondson (2018) identifies psychological safety as a necessary requirement for team to learn and experiment. When employees are concerned they will be negatively punished for failure, they don't give up ideas and challenge existing dominant assumptions. Performance cultures where evaluation is given priority over learning can contribute unintentionally to less creative contribution.</w:t>
      </w:r>
    </w:p>
    <w:p w:rsidR="00917DE6" w:rsidRPr="00917DE6" w:rsidRDefault="00917DE6" w:rsidP="00917DE6">
      <w:r w:rsidRPr="00917DE6">
        <w:t>Additionally, Social Exchange Theory (Blau, 1964) proposes that the employees reciprocate the organisational treatment. High turnover may indicate perceived imbalance in the exchange relationship, in which case employees feel undervalued or unsupported. Reduced engagement leads to reduced discretionary effort and has a direct impact on service quality and customer satisfaction.</w:t>
      </w:r>
      <w:r w:rsidR="005C6607">
        <w:t xml:space="preserve"> </w:t>
      </w:r>
      <w:r w:rsidR="005C6607" w:rsidRPr="005C6607">
        <w:t>Psychological safety enables learning and idea sharing (Edmondson &amp; Lei, 2023; Amy Edmondson).</w:t>
      </w:r>
    </w:p>
    <w:p w:rsidR="00917DE6" w:rsidRPr="00917DE6" w:rsidRDefault="00917DE6" w:rsidP="00917DE6">
      <w:r w:rsidRPr="00917DE6">
        <w:t>Therefore, the performance challenges for Aether are probably symptoms of deeper cultural and structural tensions that inhibit innovation capability.</w:t>
      </w:r>
    </w:p>
    <w:p w:rsidR="00917DE6" w:rsidRPr="00917DE6" w:rsidRDefault="009D7026" w:rsidP="009D7026">
      <w:pPr>
        <w:pStyle w:val="Heading1"/>
      </w:pPr>
      <w:bookmarkStart w:id="5" w:name="_Toc222913862"/>
      <w:r>
        <w:t xml:space="preserve">3.0 </w:t>
      </w:r>
      <w:r w:rsidR="00917DE6" w:rsidRPr="00917DE6">
        <w:t>Embedding a Culture of Innovation</w:t>
      </w:r>
      <w:bookmarkEnd w:id="5"/>
    </w:p>
    <w:p w:rsidR="00917DE6" w:rsidRPr="00917DE6" w:rsidRDefault="00917DE6" w:rsidP="00917DE6">
      <w:r w:rsidRPr="00917DE6">
        <w:t>Innovation has to be institutionalised through aligned HR architecture, structural mechanism and leadership behaviour. Without the integration of system and culture, the aspirations of the culture become symbolic and not operational.</w:t>
      </w:r>
    </w:p>
    <w:p w:rsidR="009D7026" w:rsidRDefault="009D7026" w:rsidP="00917DE6">
      <w:pPr>
        <w:rPr>
          <w:rFonts w:eastAsiaTheme="majorEastAsia" w:cstheme="majorBidi"/>
          <w:b/>
          <w:sz w:val="28"/>
          <w:szCs w:val="32"/>
        </w:rPr>
      </w:pPr>
      <w:r w:rsidRPr="009D7026">
        <w:rPr>
          <w:rFonts w:eastAsiaTheme="majorEastAsia" w:cstheme="majorBidi"/>
          <w:b/>
          <w:sz w:val="28"/>
          <w:szCs w:val="32"/>
        </w:rPr>
        <w:t>3.1 Aligning HR Architecture through the AMO Framework</w:t>
      </w:r>
    </w:p>
    <w:p w:rsidR="00A40E56" w:rsidRDefault="00A40E56" w:rsidP="00A40E56">
      <w:pPr>
        <w:jc w:val="center"/>
        <w:rPr>
          <w:rFonts w:eastAsiaTheme="majorEastAsia" w:cstheme="majorBidi"/>
          <w:b/>
          <w:sz w:val="28"/>
          <w:szCs w:val="32"/>
        </w:rPr>
      </w:pPr>
      <w:r>
        <w:drawing>
          <wp:inline distT="0" distB="0" distL="0" distR="0">
            <wp:extent cx="4518660" cy="3726180"/>
            <wp:effectExtent l="0" t="0" r="0" b="7620"/>
            <wp:docPr id="1269742347" name="Picture 2" descr="Product-Delivery Methods :: UX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Delivery Methods :: UXmatt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8660" cy="3726180"/>
                    </a:xfrm>
                    <a:prstGeom prst="rect">
                      <a:avLst/>
                    </a:prstGeom>
                    <a:noFill/>
                    <a:ln>
                      <a:noFill/>
                    </a:ln>
                  </pic:spPr>
                </pic:pic>
              </a:graphicData>
            </a:graphic>
          </wp:inline>
        </w:drawing>
      </w:r>
    </w:p>
    <w:p w:rsidR="00917DE6" w:rsidRPr="00917DE6" w:rsidRDefault="00917DE6" w:rsidP="00917DE6">
      <w:r w:rsidRPr="00917DE6">
        <w:t xml:space="preserve">The Ability-Motivation-Opportunity (AMO) framework offers a framework for a structured lens to embed innovation capability. Performance arises when employees have the relevant skills, are intrinsically driven and are given opportunities to </w:t>
      </w:r>
      <w:r w:rsidRPr="00917DE6">
        <w:lastRenderedPageBreak/>
        <w:t>contribute. Stagnation and turn over in Aether implies misalignment with these dimensions.</w:t>
      </w:r>
      <w:r w:rsidR="005C6607">
        <w:t xml:space="preserve"> </w:t>
      </w:r>
      <w:r w:rsidR="005C6607" w:rsidRPr="005C6607">
        <w:t>Employee performance is driven by ability, motivation and opportunity (Appelbaum et al., 2000).</w:t>
      </w:r>
    </w:p>
    <w:p w:rsidR="00917DE6" w:rsidRPr="00917DE6" w:rsidRDefault="00917DE6" w:rsidP="00917DE6">
      <w:r w:rsidRPr="00917DE6">
        <w:t>Ability to be enhanced with constant learning, cross-functional learning and innovation-oriented skills development to promote dynamic capabilities. Motivation must shift from narrow measures of performance, to intrinsic motivation like autonomy and competence in line with Self-Determination Theory (Deci &amp; Ryan). Opportunity needs formalised platforms for experiment; without structural space, ability and motivation go unrealised. Innovation therefore relies on integrated HR practices and not isolated initiatives.</w:t>
      </w:r>
    </w:p>
    <w:p w:rsidR="00917DE6" w:rsidRPr="00917DE6" w:rsidRDefault="009D7026" w:rsidP="009D7026">
      <w:pPr>
        <w:pStyle w:val="Heading2"/>
      </w:pPr>
      <w:bookmarkStart w:id="6" w:name="_Toc222913863"/>
      <w:r w:rsidRPr="009D7026">
        <w:t>3.2 Institutionalising Innovation Mechanisms</w:t>
      </w:r>
      <w:bookmarkEnd w:id="6"/>
    </w:p>
    <w:p w:rsidR="00917DE6" w:rsidRPr="00917DE6" w:rsidRDefault="00917DE6" w:rsidP="00917DE6">
      <w:r w:rsidRPr="00917DE6">
        <w:t>Innovation needs to be routinised but not bureaucratic. Structured innovation sprints allow for a fast pace of experimentation and the right balance between exploitation and exploration (March, 1991). Intrapreneurship programmes, based on the Corporate Entrepreneurship theory (Burgelman, 1983), enable employees to develop internal ventures and create ownership and value. Cross-functional collaboration further increases recombining of knowledge and limits the silo effect. Collectively, these mechanisms move innovation from the creativity of an individual to the capability of an organisation.</w:t>
      </w:r>
      <w:r w:rsidR="005C6607">
        <w:t xml:space="preserve"> </w:t>
      </w:r>
      <w:r w:rsidR="005C6607" w:rsidRPr="005C6607">
        <w:t>Intrinsic motivation enhances creativity and engagement (Deci &amp; Ryan, 2000; Edward Deci).</w:t>
      </w:r>
    </w:p>
    <w:p w:rsidR="009D7026" w:rsidRDefault="009D7026" w:rsidP="00917DE6">
      <w:pPr>
        <w:rPr>
          <w:rFonts w:eastAsiaTheme="majorEastAsia" w:cstheme="majorBidi"/>
          <w:b/>
          <w:sz w:val="28"/>
          <w:szCs w:val="32"/>
        </w:rPr>
      </w:pPr>
      <w:r w:rsidRPr="009D7026">
        <w:rPr>
          <w:rFonts w:eastAsiaTheme="majorEastAsia" w:cstheme="majorBidi"/>
          <w:b/>
          <w:sz w:val="28"/>
          <w:szCs w:val="32"/>
        </w:rPr>
        <w:t>3.3 Leadership as Cultural Architect</w:t>
      </w:r>
    </w:p>
    <w:p w:rsidR="00917DE6" w:rsidRDefault="00917DE6" w:rsidP="00917DE6">
      <w:r w:rsidRPr="00917DE6">
        <w:t>Structural change needs behavioural reinforcement. Transformational leadership supports intellectual stimulation and individual development, whereas empowerment leadership supports autonomy. Leaders need to shift from control-oriented supervision to innovation-enabler, otherwise reform risks being superficially implemented but with no cultural impact.</w:t>
      </w:r>
      <w:r w:rsidR="005C6607">
        <w:t xml:space="preserve"> </w:t>
      </w:r>
      <w:r w:rsidR="005C6607" w:rsidRPr="005C6607">
        <w:t>Transformational leadership fosters innovation and employee development (Bass, 1985).</w:t>
      </w:r>
    </w:p>
    <w:p w:rsidR="00917DE6" w:rsidRDefault="00917DE6" w:rsidP="00917DE6"/>
    <w:p w:rsidR="009D7026" w:rsidRPr="009D7026" w:rsidRDefault="001252CD" w:rsidP="009D7026">
      <w:pPr>
        <w:rPr>
          <w:rFonts w:eastAsiaTheme="majorEastAsia" w:cstheme="majorBidi"/>
          <w:b/>
          <w:sz w:val="32"/>
          <w:szCs w:val="40"/>
        </w:rPr>
      </w:pPr>
      <w:r w:rsidRPr="001252CD">
        <w:rPr>
          <w:rFonts w:eastAsiaTheme="majorEastAsia" w:cstheme="majorBidi"/>
          <w:b/>
          <w:sz w:val="32"/>
          <w:szCs w:val="40"/>
        </w:rPr>
        <w:t>4. Designing the Future of Work Model</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future of work is not characterised by the flexibility of a location, but rather by the strategic reconfiguration of collaboration, autonomy and knowledge exchange. For Aether Innovations, hybrid work should be designed as an innovation enabler, not a cost-saving arrangement. A poorly structured hybrid system faces the risk of fragmentation, undermined culture, and less spontaneous collaboration. However developed intentionally it can reinforce both performance and engagement among employees.</w:t>
      </w:r>
    </w:p>
    <w:p w:rsidR="009D7026" w:rsidRPr="009D7026" w:rsidRDefault="009D7026" w:rsidP="009D7026">
      <w:pPr>
        <w:rPr>
          <w:rFonts w:eastAsiaTheme="majorEastAsia" w:cstheme="majorBidi"/>
          <w:bCs/>
          <w:szCs w:val="24"/>
        </w:rPr>
      </w:pPr>
    </w:p>
    <w:p w:rsidR="009D7026" w:rsidRPr="009D7026" w:rsidRDefault="001252CD" w:rsidP="009D7026">
      <w:pPr>
        <w:pStyle w:val="Heading2"/>
      </w:pPr>
      <w:bookmarkStart w:id="7" w:name="_Toc222913864"/>
      <w:r w:rsidRPr="001252CD">
        <w:t>4.1 Hybrid Work through the JD-R Lens</w:t>
      </w:r>
      <w:bookmarkEnd w:id="7"/>
    </w:p>
    <w:p w:rsidR="009D7026" w:rsidRPr="009D7026" w:rsidRDefault="009D7026" w:rsidP="009D7026">
      <w:pPr>
        <w:rPr>
          <w:rFonts w:eastAsiaTheme="majorEastAsia" w:cstheme="majorBidi"/>
          <w:bCs/>
          <w:szCs w:val="24"/>
        </w:rPr>
      </w:pPr>
      <w:r w:rsidRPr="009D7026">
        <w:rPr>
          <w:rFonts w:eastAsiaTheme="majorEastAsia" w:cstheme="majorBidi"/>
          <w:bCs/>
          <w:szCs w:val="24"/>
        </w:rPr>
        <w:t xml:space="preserve">The Job Demands--Resources (JD-R) model (Bakker &amp; Demerouti) is a useful model for analysing hybrid work arrangements. Job resources such as autonomy, flexibility </w:t>
      </w:r>
      <w:r w:rsidRPr="009D7026">
        <w:rPr>
          <w:rFonts w:eastAsiaTheme="majorEastAsia" w:cstheme="majorBidi"/>
          <w:bCs/>
          <w:szCs w:val="24"/>
        </w:rPr>
        <w:lastRenderedPageBreak/>
        <w:t>and digital connectivity are motivating and engaging, while excessive demands - including role ambiguity, isolation or digital overload - are detrimental to performance.</w:t>
      </w:r>
      <w:r w:rsidR="005C6607">
        <w:rPr>
          <w:rFonts w:eastAsiaTheme="majorEastAsia" w:cstheme="majorBidi"/>
          <w:bCs/>
          <w:szCs w:val="24"/>
        </w:rPr>
        <w:t xml:space="preserve"> </w:t>
      </w:r>
      <w:r w:rsidR="005C6607" w:rsidRPr="005C6607">
        <w:rPr>
          <w:rFonts w:eastAsiaTheme="majorEastAsia" w:cstheme="majorBidi"/>
          <w:bCs/>
          <w:szCs w:val="24"/>
        </w:rPr>
        <w:t>Hybrid work models require intentional design to sustain collaboration (Kniffin et al., 2023).</w:t>
      </w:r>
    </w:p>
    <w:p w:rsidR="009D7026" w:rsidRPr="009D7026" w:rsidRDefault="009D7026" w:rsidP="009D7026">
      <w:pPr>
        <w:rPr>
          <w:rFonts w:eastAsiaTheme="majorEastAsia" w:cstheme="majorBidi"/>
          <w:bCs/>
          <w:szCs w:val="24"/>
        </w:rPr>
      </w:pPr>
      <w:r w:rsidRPr="009D7026">
        <w:rPr>
          <w:rFonts w:eastAsiaTheme="majorEastAsia" w:cstheme="majorBidi"/>
          <w:bCs/>
          <w:szCs w:val="24"/>
        </w:rPr>
        <w:t>Hybrid work needs to be strategically designed in a way that can improve innovation, not just provide flexibility.</w:t>
      </w:r>
    </w:p>
    <w:p w:rsidR="009D7026" w:rsidRPr="009D7026" w:rsidRDefault="009D7026" w:rsidP="009D7026">
      <w:pPr>
        <w:rPr>
          <w:rFonts w:eastAsiaTheme="majorEastAsia" w:cstheme="majorBidi"/>
          <w:bCs/>
          <w:szCs w:val="24"/>
        </w:rPr>
      </w:pPr>
    </w:p>
    <w:p w:rsidR="009D7026" w:rsidRPr="009D7026" w:rsidRDefault="009D7026" w:rsidP="009D7026">
      <w:pPr>
        <w:pStyle w:val="Heading2"/>
      </w:pPr>
      <w:bookmarkStart w:id="8" w:name="_Toc222913865"/>
      <w:r w:rsidRPr="009D7026">
        <w:t>4.2 Structured Hybrid Innovation Model</w:t>
      </w:r>
      <w:bookmarkEnd w:id="8"/>
    </w:p>
    <w:p w:rsidR="009D7026" w:rsidRPr="009D7026" w:rsidRDefault="009D7026" w:rsidP="009D7026">
      <w:pPr>
        <w:rPr>
          <w:rFonts w:eastAsiaTheme="majorEastAsia" w:cstheme="majorBidi"/>
          <w:bCs/>
          <w:szCs w:val="24"/>
        </w:rPr>
      </w:pPr>
      <w:r w:rsidRPr="009D7026">
        <w:rPr>
          <w:rFonts w:eastAsiaTheme="majorEastAsia" w:cstheme="majorBidi"/>
          <w:bCs/>
          <w:szCs w:val="24"/>
        </w:rPr>
        <w:t>Rather than on the individual's work location with no coordination, Aether should introduce a structured hybrid framework:</w:t>
      </w:r>
    </w:p>
    <w:p w:rsidR="0092738E" w:rsidRDefault="009D7026" w:rsidP="009D7026">
      <w:pPr>
        <w:pStyle w:val="ListParagraph"/>
        <w:numPr>
          <w:ilvl w:val="0"/>
          <w:numId w:val="6"/>
        </w:numPr>
        <w:rPr>
          <w:rFonts w:eastAsiaTheme="majorEastAsia" w:cstheme="majorBidi"/>
          <w:bCs/>
          <w:szCs w:val="24"/>
        </w:rPr>
      </w:pPr>
      <w:r w:rsidRPr="0092738E">
        <w:rPr>
          <w:rFonts w:eastAsiaTheme="majorEastAsia" w:cstheme="majorBidi"/>
          <w:bCs/>
          <w:szCs w:val="24"/>
        </w:rPr>
        <w:t>Designated in-office collaboration days dedicated to ideation, sprint reviews and cross-functional workshops.</w:t>
      </w:r>
    </w:p>
    <w:p w:rsidR="009D7026" w:rsidRPr="0092738E" w:rsidRDefault="009D7026" w:rsidP="009D7026">
      <w:pPr>
        <w:pStyle w:val="ListParagraph"/>
        <w:numPr>
          <w:ilvl w:val="0"/>
          <w:numId w:val="6"/>
        </w:numPr>
        <w:rPr>
          <w:rFonts w:eastAsiaTheme="majorEastAsia" w:cstheme="majorBidi"/>
          <w:bCs/>
          <w:szCs w:val="24"/>
        </w:rPr>
      </w:pPr>
      <w:r w:rsidRPr="0092738E">
        <w:rPr>
          <w:rFonts w:eastAsiaTheme="majorEastAsia" w:cstheme="majorBidi"/>
          <w:bCs/>
          <w:szCs w:val="24"/>
        </w:rPr>
        <w:t>Remote days prioritised for concentrated individual work/ research and development tasks.</w:t>
      </w:r>
    </w:p>
    <w:p w:rsidR="009D7026" w:rsidRPr="009D7026" w:rsidRDefault="009D7026" w:rsidP="009D7026">
      <w:pPr>
        <w:rPr>
          <w:rFonts w:eastAsiaTheme="majorEastAsia" w:cstheme="majorBidi"/>
          <w:bCs/>
          <w:szCs w:val="24"/>
        </w:rPr>
      </w:pPr>
      <w:r w:rsidRPr="009D7026">
        <w:rPr>
          <w:rFonts w:eastAsiaTheme="majorEastAsia" w:cstheme="majorBidi"/>
          <w:bCs/>
          <w:szCs w:val="24"/>
        </w:rPr>
        <w:t>This model makes the office a center for innovation rather than for supervision. Physical presence is purposeful and increases the exchange of knowledge and psychological connection.</w:t>
      </w:r>
    </w:p>
    <w:p w:rsidR="009D7026" w:rsidRPr="009D7026" w:rsidRDefault="009D7026" w:rsidP="009D7026">
      <w:pPr>
        <w:rPr>
          <w:rFonts w:eastAsiaTheme="majorEastAsia" w:cstheme="majorBidi"/>
          <w:bCs/>
          <w:szCs w:val="24"/>
        </w:rPr>
      </w:pPr>
      <w:r w:rsidRPr="009D7026">
        <w:rPr>
          <w:rFonts w:eastAsiaTheme="majorEastAsia" w:cstheme="majorBidi"/>
          <w:bCs/>
          <w:szCs w:val="24"/>
        </w:rPr>
        <w:t>Furthermore, the digital infrastructure should also support asynchronous transparency. Shared documentation platforms, virtual idea boards and open performance dashboards support organisational learning. Argyris and Schon's Organisational Learning Theory emphasizes double-loop learning - questioning underlying assumptions rather than correcting errors. Digital knowledge systems can be used to support reflective practice in dispersed teams.</w:t>
      </w:r>
    </w:p>
    <w:p w:rsidR="009D7026" w:rsidRPr="009D7026" w:rsidRDefault="009D7026" w:rsidP="009D7026">
      <w:pPr>
        <w:rPr>
          <w:rFonts w:eastAsiaTheme="majorEastAsia" w:cstheme="majorBidi"/>
          <w:bCs/>
          <w:szCs w:val="24"/>
        </w:rPr>
      </w:pPr>
    </w:p>
    <w:p w:rsidR="009D7026" w:rsidRPr="009D7026" w:rsidRDefault="001252CD" w:rsidP="009D7026">
      <w:pPr>
        <w:pStyle w:val="Heading2"/>
      </w:pPr>
      <w:bookmarkStart w:id="9" w:name="_Toc222913866"/>
      <w:r w:rsidRPr="001252CD">
        <w:t>4.3 Preserving Culture in Distributed Environments</w:t>
      </w:r>
      <w:bookmarkEnd w:id="9"/>
    </w:p>
    <w:p w:rsidR="009D7026" w:rsidRPr="009D7026" w:rsidRDefault="009D7026" w:rsidP="009D7026">
      <w:pPr>
        <w:rPr>
          <w:rFonts w:eastAsiaTheme="majorEastAsia" w:cstheme="majorBidi"/>
          <w:bCs/>
          <w:szCs w:val="24"/>
        </w:rPr>
      </w:pPr>
      <w:r w:rsidRPr="009D7026">
        <w:rPr>
          <w:rFonts w:eastAsiaTheme="majorEastAsia" w:cstheme="majorBidi"/>
          <w:bCs/>
          <w:szCs w:val="24"/>
        </w:rPr>
        <w:t>Hybrid work threatens to weaken the cultural cohesion if the relational capital is ignored. Social Exchange Theory predicts that the level of trust in relationships affects the level of discretionary effort and commitment. Therefore, the visibility of leadership, virtual mentorship, and systematic onboarding are even more critical in the distributed setting.</w:t>
      </w:r>
    </w:p>
    <w:p w:rsidR="009D7026" w:rsidRPr="009D7026" w:rsidRDefault="009D7026" w:rsidP="009D7026">
      <w:pPr>
        <w:rPr>
          <w:rFonts w:eastAsiaTheme="majorEastAsia" w:cstheme="majorBidi"/>
          <w:bCs/>
          <w:szCs w:val="24"/>
        </w:rPr>
      </w:pPr>
      <w:r w:rsidRPr="009D7026">
        <w:rPr>
          <w:rFonts w:eastAsiaTheme="majorEastAsia" w:cstheme="majorBidi"/>
          <w:bCs/>
          <w:szCs w:val="24"/>
        </w:rPr>
        <w:t>Additionally, performance evaluation systems need to change from presenteeism to outcome-based assessment. Control-oriented monitoring destroys psychological safety and runs contrary to innovation goals. A trust-based, results-oriented approach is consistent with high commitment HR systems and reinforces employee autonomy.</w:t>
      </w:r>
    </w:p>
    <w:p w:rsidR="009D7026" w:rsidRPr="009D7026" w:rsidRDefault="009D7026" w:rsidP="009D7026">
      <w:pPr>
        <w:rPr>
          <w:rFonts w:eastAsiaTheme="majorEastAsia" w:cstheme="majorBidi"/>
          <w:bCs/>
          <w:szCs w:val="24"/>
        </w:rPr>
      </w:pPr>
      <w:r w:rsidRPr="009D7026">
        <w:rPr>
          <w:rFonts w:eastAsiaTheme="majorEastAsia" w:cstheme="majorBidi"/>
          <w:bCs/>
          <w:szCs w:val="24"/>
        </w:rPr>
        <w:t>When done in concert with cultural redesign, hybrid work is a driver of innovation as opposed to a structural compromise.</w:t>
      </w:r>
    </w:p>
    <w:p w:rsidR="009D7026" w:rsidRDefault="009D7026" w:rsidP="009D7026">
      <w:pPr>
        <w:pStyle w:val="Heading1"/>
      </w:pPr>
      <w:bookmarkStart w:id="10" w:name="_Toc222913867"/>
      <w:r>
        <w:lastRenderedPageBreak/>
        <w:t xml:space="preserve">5.0 </w:t>
      </w:r>
      <w:r w:rsidR="001252CD" w:rsidRPr="001252CD">
        <w:t>Strategic Integration and Performance Impact</w:t>
      </w:r>
      <w:bookmarkEnd w:id="10"/>
    </w:p>
    <w:p w:rsidR="00A40E56" w:rsidRPr="00A40E56" w:rsidRDefault="00A40E56" w:rsidP="00A40E56">
      <w:r>
        <w:drawing>
          <wp:inline distT="0" distB="0" distL="0" distR="0">
            <wp:extent cx="5181600" cy="5074920"/>
            <wp:effectExtent l="0" t="0" r="0" b="0"/>
            <wp:docPr id="2714848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600" cy="5074920"/>
                    </a:xfrm>
                    <a:prstGeom prst="rect">
                      <a:avLst/>
                    </a:prstGeom>
                    <a:noFill/>
                    <a:ln>
                      <a:noFill/>
                    </a:ln>
                  </pic:spPr>
                </pic:pic>
              </a:graphicData>
            </a:graphic>
          </wp:inline>
        </w:drawing>
      </w:r>
    </w:p>
    <w:p w:rsidR="009D7026" w:rsidRPr="005C6607" w:rsidRDefault="009D7026" w:rsidP="009D7026">
      <w:pPr>
        <w:rPr>
          <w:rFonts w:eastAsiaTheme="majorEastAsia" w:cstheme="majorBidi"/>
          <w:bCs/>
        </w:rPr>
      </w:pPr>
      <w:r w:rsidRPr="009D7026">
        <w:rPr>
          <w:rFonts w:eastAsiaTheme="majorEastAsia" w:cstheme="majorBidi"/>
          <w:bCs/>
          <w:szCs w:val="24"/>
        </w:rPr>
        <w:t>Sustainable innovation is dependent on an alignment of culture, structure, leadership and work design. Fragmented HR initiatives are rarely able to result in systemic change, creating short-term spikes of engagement but without lasting performance improvements.</w:t>
      </w:r>
      <w:r w:rsidR="005C6607">
        <w:rPr>
          <w:rFonts w:eastAsiaTheme="majorEastAsia" w:cstheme="majorBidi"/>
          <w:bCs/>
          <w:szCs w:val="24"/>
        </w:rPr>
        <w:t xml:space="preserve"> </w:t>
      </w:r>
      <w:r w:rsidR="005C6607" w:rsidRPr="005C6607">
        <w:rPr>
          <w:rFonts w:eastAsiaTheme="majorEastAsia" w:cstheme="majorBidi"/>
          <w:bCs/>
        </w:rPr>
        <w:t>High-performance work systems improve organisational outcomes (Ployhart et al., 2022).</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proposed framework brings together three dimensions, which are mutually reinforcing:</w:t>
      </w:r>
    </w:p>
    <w:p w:rsidR="0092738E" w:rsidRDefault="009D7026" w:rsidP="009D7026">
      <w:pPr>
        <w:pStyle w:val="ListParagraph"/>
        <w:numPr>
          <w:ilvl w:val="0"/>
          <w:numId w:val="7"/>
        </w:numPr>
        <w:rPr>
          <w:rFonts w:eastAsiaTheme="majorEastAsia" w:cstheme="majorBidi"/>
          <w:bCs/>
          <w:szCs w:val="24"/>
        </w:rPr>
      </w:pPr>
      <w:r w:rsidRPr="0092738E">
        <w:rPr>
          <w:rFonts w:eastAsiaTheme="majorEastAsia" w:cstheme="majorBidi"/>
          <w:bCs/>
          <w:szCs w:val="24"/>
        </w:rPr>
        <w:t>Cultural transformation with psychological safety and learning orientation.</w:t>
      </w:r>
    </w:p>
    <w:p w:rsidR="0092738E" w:rsidRDefault="009D7026" w:rsidP="009D7026">
      <w:pPr>
        <w:pStyle w:val="ListParagraph"/>
        <w:numPr>
          <w:ilvl w:val="0"/>
          <w:numId w:val="7"/>
        </w:numPr>
        <w:rPr>
          <w:rFonts w:eastAsiaTheme="majorEastAsia" w:cstheme="majorBidi"/>
          <w:bCs/>
          <w:szCs w:val="24"/>
        </w:rPr>
      </w:pPr>
      <w:r w:rsidRPr="0092738E">
        <w:rPr>
          <w:rFonts w:eastAsiaTheme="majorEastAsia" w:cstheme="majorBidi"/>
          <w:bCs/>
          <w:szCs w:val="24"/>
        </w:rPr>
        <w:t>Structural innovation mechanisms such as sprints, intrapreneurship and cross-functional design.</w:t>
      </w:r>
    </w:p>
    <w:p w:rsidR="009D7026" w:rsidRPr="0092738E" w:rsidRDefault="009D7026" w:rsidP="009D7026">
      <w:pPr>
        <w:pStyle w:val="ListParagraph"/>
        <w:numPr>
          <w:ilvl w:val="0"/>
          <w:numId w:val="7"/>
        </w:numPr>
        <w:rPr>
          <w:rFonts w:eastAsiaTheme="majorEastAsia" w:cstheme="majorBidi"/>
          <w:bCs/>
          <w:szCs w:val="24"/>
        </w:rPr>
      </w:pPr>
      <w:r w:rsidRPr="0092738E">
        <w:rPr>
          <w:rFonts w:eastAsiaTheme="majorEastAsia" w:cstheme="majorBidi"/>
          <w:bCs/>
          <w:szCs w:val="24"/>
        </w:rPr>
        <w:t>A well thought out hybrid model for autonomy and collaboration.</w:t>
      </w:r>
    </w:p>
    <w:p w:rsidR="009D7026" w:rsidRPr="009D7026" w:rsidRDefault="009D7026" w:rsidP="009D7026">
      <w:pPr>
        <w:rPr>
          <w:rFonts w:eastAsiaTheme="majorEastAsia" w:cstheme="majorBidi"/>
          <w:bCs/>
          <w:szCs w:val="24"/>
        </w:rPr>
      </w:pPr>
      <w:r w:rsidRPr="009D7026">
        <w:rPr>
          <w:rFonts w:eastAsiaTheme="majorEastAsia" w:cstheme="majorBidi"/>
          <w:bCs/>
          <w:szCs w:val="24"/>
        </w:rPr>
        <w:t>From a Strategic HRM perspective, this is both vertical alignment (HR systems supporting innovation-driven business strategy) and horizontal alignment (HR practices reinforcing each other). When the ability, motivation, and opportunity to do something are synchronised, then innovation is embedded capability rather than episodic effort.</w:t>
      </w:r>
    </w:p>
    <w:p w:rsidR="009D7026" w:rsidRPr="009D7026" w:rsidRDefault="009D7026" w:rsidP="009D7026">
      <w:pPr>
        <w:rPr>
          <w:rFonts w:eastAsiaTheme="majorEastAsia" w:cstheme="majorBidi"/>
          <w:bCs/>
          <w:szCs w:val="24"/>
        </w:rPr>
      </w:pPr>
      <w:r w:rsidRPr="009D7026">
        <w:rPr>
          <w:rFonts w:eastAsiaTheme="majorEastAsia" w:cstheme="majorBidi"/>
          <w:bCs/>
          <w:szCs w:val="24"/>
        </w:rPr>
        <w:lastRenderedPageBreak/>
        <w:t>Expected outcomes include increased employee engagement, reduced turnover due to stronger exchange relationships, increased exploratory learning, and customer satisfaction due to sustained product and service innovation.</w:t>
      </w:r>
    </w:p>
    <w:p w:rsidR="009D7026" w:rsidRPr="009D7026" w:rsidRDefault="009D7026" w:rsidP="009D7026">
      <w:pPr>
        <w:rPr>
          <w:rFonts w:eastAsiaTheme="majorEastAsia" w:cstheme="majorBidi"/>
          <w:bCs/>
          <w:szCs w:val="24"/>
        </w:rPr>
      </w:pPr>
      <w:r w:rsidRPr="009D7026">
        <w:rPr>
          <w:rFonts w:eastAsiaTheme="majorEastAsia" w:cstheme="majorBidi"/>
          <w:bCs/>
          <w:szCs w:val="24"/>
        </w:rPr>
        <w:t>Thus, if we are to rebuild the performance trajectory of Aether, it will need not incremental changes but an integrated blueprint of human capital where culture and future work practices will serve as strategic levers of competitive advantage.</w:t>
      </w:r>
    </w:p>
    <w:p w:rsidR="009D7026" w:rsidRPr="009D7026" w:rsidRDefault="009D7026" w:rsidP="009D7026">
      <w:pPr>
        <w:rPr>
          <w:rFonts w:eastAsiaTheme="majorEastAsia" w:cstheme="majorBidi"/>
          <w:bCs/>
          <w:szCs w:val="24"/>
        </w:rPr>
      </w:pPr>
    </w:p>
    <w:p w:rsidR="009D7026" w:rsidRPr="009D7026" w:rsidRDefault="009D7026" w:rsidP="009D7026">
      <w:pPr>
        <w:pStyle w:val="Heading1"/>
      </w:pPr>
      <w:bookmarkStart w:id="11" w:name="_Toc222913868"/>
      <w:r w:rsidRPr="009D7026">
        <w:t>6.0 Reflective Analysis</w:t>
      </w:r>
      <w:bookmarkEnd w:id="11"/>
    </w:p>
    <w:p w:rsidR="009D7026" w:rsidRPr="009D7026" w:rsidRDefault="009D7026" w:rsidP="009D7026">
      <w:pPr>
        <w:pStyle w:val="Heading2"/>
      </w:pPr>
      <w:bookmarkStart w:id="12" w:name="_Toc222913869"/>
      <w:r w:rsidRPr="009D7026">
        <w:t>6.1 Reflective Learning Journey Using Gibbs cycle</w:t>
      </w:r>
      <w:bookmarkEnd w:id="12"/>
    </w:p>
    <w:p w:rsidR="009D7026" w:rsidRPr="009D7026" w:rsidRDefault="009D7026" w:rsidP="009D7026">
      <w:pPr>
        <w:pStyle w:val="Heading3"/>
      </w:pPr>
      <w:bookmarkStart w:id="13" w:name="_Toc222913870"/>
      <w:r w:rsidRPr="009D7026">
        <w:t>Description</w:t>
      </w:r>
      <w:bookmarkEnd w:id="13"/>
    </w:p>
    <w:p w:rsidR="009D7026" w:rsidRPr="009D7026" w:rsidRDefault="009D7026" w:rsidP="009D7026">
      <w:pPr>
        <w:rPr>
          <w:rFonts w:eastAsiaTheme="majorEastAsia" w:cstheme="majorBidi"/>
          <w:bCs/>
          <w:szCs w:val="24"/>
        </w:rPr>
      </w:pPr>
      <w:r w:rsidRPr="009D7026">
        <w:rPr>
          <w:rFonts w:eastAsiaTheme="majorEastAsia" w:cstheme="majorBidi"/>
          <w:bCs/>
          <w:szCs w:val="24"/>
        </w:rPr>
        <w:t>Throughout this module, my understanding of Human Capital Management changed from an administrative support function of HR to seeing it as a strategic driver for organisational performance. Initially, I linked HR practices to mainly recruitment, training and compliance. However, interaction with modern Strategic HRM literature changed my thinking, especially the match between human capital systems and competitive advantage.</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case of Aether Innovations certain reinforced that organisational culture, leadership behaviour and work design are not peripheral elements but central determinants of growth and innovation capability.</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4" w:name="_Toc222913871"/>
      <w:r w:rsidRPr="009D7026">
        <w:t>Feelings</w:t>
      </w:r>
      <w:bookmarkEnd w:id="14"/>
    </w:p>
    <w:p w:rsidR="009D7026" w:rsidRPr="009D7026" w:rsidRDefault="009D7026" w:rsidP="009D7026">
      <w:pPr>
        <w:rPr>
          <w:rFonts w:eastAsiaTheme="majorEastAsia" w:cstheme="majorBidi"/>
          <w:bCs/>
          <w:szCs w:val="24"/>
        </w:rPr>
      </w:pPr>
      <w:r w:rsidRPr="009D7026">
        <w:rPr>
          <w:rFonts w:eastAsiaTheme="majorEastAsia" w:cstheme="majorBidi"/>
          <w:bCs/>
          <w:szCs w:val="24"/>
        </w:rPr>
        <w:t>At the start of the module, I felt confident in my working knowledge of HR practices. However, as discussions evolved into Strategic HRM, Resource-Based View and High Performance Work Systems I realised the complexity involved with people systems and a long-term strategy. This realisation created a productive discomfort, which underlined the contradiction between technical knowledge and strategic integration skills.</w:t>
      </w:r>
    </w:p>
    <w:p w:rsidR="009D7026" w:rsidRPr="009D7026" w:rsidRDefault="009D7026" w:rsidP="009D7026">
      <w:pPr>
        <w:rPr>
          <w:rFonts w:eastAsiaTheme="majorEastAsia" w:cstheme="majorBidi"/>
          <w:bCs/>
          <w:szCs w:val="24"/>
        </w:rPr>
      </w:pPr>
      <w:r w:rsidRPr="009D7026">
        <w:rPr>
          <w:rFonts w:eastAsiaTheme="majorEastAsia" w:cstheme="majorBidi"/>
          <w:bCs/>
          <w:szCs w:val="24"/>
        </w:rPr>
        <w:t>Over the years this discomfort became intellectual curiosity. I started to view HR architecture as not generic or isolated tools, but interconnected systems that affect behavioural patterns and organisational outcomes.</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5" w:name="_Toc222913872"/>
      <w:r w:rsidRPr="009D7026">
        <w:t>Evaluation</w:t>
      </w:r>
      <w:bookmarkEnd w:id="15"/>
    </w:p>
    <w:p w:rsidR="009D7026" w:rsidRPr="009D7026" w:rsidRDefault="009D7026" w:rsidP="009D7026">
      <w:pPr>
        <w:rPr>
          <w:rFonts w:eastAsiaTheme="majorEastAsia" w:cstheme="majorBidi"/>
          <w:bCs/>
          <w:szCs w:val="24"/>
        </w:rPr>
      </w:pPr>
      <w:r w:rsidRPr="009D7026">
        <w:rPr>
          <w:rFonts w:eastAsiaTheme="majorEastAsia" w:cstheme="majorBidi"/>
          <w:bCs/>
          <w:szCs w:val="24"/>
        </w:rPr>
        <w:t>One of the most valuable aspects of this learning journey was having a grasp on the systemic nature of human capital management. The AMO framework illustrated how ability, motivation, and opportunity need to be synchronised to yield performance produced. Similarly, the difference between mechanistic and organic structures explained the impact of innovation capabilities on structural design.</w:t>
      </w:r>
    </w:p>
    <w:p w:rsidR="009D7026" w:rsidRPr="009D7026" w:rsidRDefault="009D7026" w:rsidP="009D7026">
      <w:pPr>
        <w:rPr>
          <w:rFonts w:eastAsiaTheme="majorEastAsia" w:cstheme="majorBidi"/>
          <w:bCs/>
          <w:szCs w:val="24"/>
        </w:rPr>
      </w:pPr>
      <w:r w:rsidRPr="009D7026">
        <w:rPr>
          <w:rFonts w:eastAsiaTheme="majorEastAsia" w:cstheme="majorBidi"/>
          <w:bCs/>
          <w:szCs w:val="24"/>
        </w:rPr>
        <w:lastRenderedPageBreak/>
        <w:t>However, I also recognised that it is difficult to apply these theories in real life. Organisational politics, resource limitations and resistance from leadership can make strategic alignment difficult. The module motivated critical thinking over idealised assumptions and led me to question simplistic solutions to complex organisational problems.</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6" w:name="_Toc222913873"/>
      <w:r w:rsidRPr="009D7026">
        <w:t>Analysis</w:t>
      </w:r>
      <w:bookmarkEnd w:id="16"/>
    </w:p>
    <w:p w:rsidR="009D7026" w:rsidRPr="009D7026" w:rsidRDefault="009D7026" w:rsidP="009D7026">
      <w:pPr>
        <w:rPr>
          <w:rFonts w:eastAsiaTheme="majorEastAsia" w:cstheme="majorBidi"/>
          <w:bCs/>
          <w:szCs w:val="24"/>
        </w:rPr>
      </w:pPr>
      <w:r w:rsidRPr="009D7026">
        <w:rPr>
          <w:rFonts w:eastAsiaTheme="majorEastAsia" w:cstheme="majorBidi"/>
          <w:bCs/>
          <w:szCs w:val="24"/>
        </w:rPr>
        <w:t>From an analytical perspective, my learning is evident of Kolb's process of experiential learning where conceptual understanding leads to future experimentation. Exposure to the Resource-Based View helped me gain a better appreciation of intangible assets, especially culture and knowledge, as strategic differentiators.</w:t>
      </w:r>
    </w:p>
    <w:p w:rsidR="009D7026" w:rsidRPr="009D7026" w:rsidRDefault="009D7026" w:rsidP="009D7026">
      <w:pPr>
        <w:rPr>
          <w:rFonts w:eastAsiaTheme="majorEastAsia" w:cstheme="majorBidi"/>
          <w:bCs/>
          <w:szCs w:val="24"/>
        </w:rPr>
      </w:pPr>
      <w:r w:rsidRPr="009D7026">
        <w:rPr>
          <w:rFonts w:eastAsiaTheme="majorEastAsia" w:cstheme="majorBidi"/>
          <w:bCs/>
          <w:szCs w:val="24"/>
        </w:rPr>
        <w:t>Furthermore, the idea of psychological safety helped me redefine my understanding of leadership. Innovation is not simply the result of the work of gifted individuals but environments that tolerate uncertainty and encourage voice behaviour. This insight helped me understand more about the relational and behavioural aspects of performance.</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module also brought up the conflict between efficiency and innovation, specifically through March's exploration-exploitation framework. I have now come to realise that there are often trade-offs between short-term productivity and long-term adaptability in the context of managerial decisions. This strategic balancing capability is critical to leadership in the dynamic industries.</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7" w:name="_Toc222913874"/>
      <w:r w:rsidRPr="009D7026">
        <w:t>Conclusion</w:t>
      </w:r>
      <w:bookmarkEnd w:id="17"/>
    </w:p>
    <w:p w:rsidR="007646CA" w:rsidRDefault="009D7026" w:rsidP="009D7026">
      <w:pPr>
        <w:rPr>
          <w:rFonts w:eastAsiaTheme="majorEastAsia" w:cstheme="majorBidi"/>
          <w:bCs/>
          <w:szCs w:val="24"/>
        </w:rPr>
      </w:pPr>
      <w:r w:rsidRPr="009D7026">
        <w:rPr>
          <w:rFonts w:eastAsiaTheme="majorEastAsia" w:cstheme="majorBidi"/>
          <w:bCs/>
          <w:szCs w:val="24"/>
        </w:rPr>
        <w:t>Overall, this module significantly changed my professional identity from a task-oriented HR practitioner to a strategic thinker interested in systemic alignment and organisational capability. I now understand that sustainable performance is neither brought about by isolated interventions, but rather by integrated human capital architecture.</w:t>
      </w:r>
    </w:p>
    <w:p w:rsidR="009D7026" w:rsidRPr="007646CA" w:rsidRDefault="009D7026" w:rsidP="009D7026"/>
    <w:p w:rsidR="009D7026" w:rsidRPr="009D7026" w:rsidRDefault="009D7026" w:rsidP="009D7026">
      <w:pPr>
        <w:rPr>
          <w:b/>
          <w:bCs/>
        </w:rPr>
      </w:pPr>
      <w:r w:rsidRPr="009D7026">
        <w:rPr>
          <w:b/>
          <w:bCs/>
        </w:rPr>
        <w:t>Action Plan</w:t>
      </w:r>
    </w:p>
    <w:p w:rsidR="009D7026" w:rsidRPr="009D7026" w:rsidRDefault="009D7026" w:rsidP="009D7026">
      <w:r w:rsidRPr="009D7026">
        <w:t>In order to develop a growth-oriented mindset and be strategically competent, I aim to:</w:t>
      </w:r>
    </w:p>
    <w:p w:rsidR="009D7026" w:rsidRPr="009D7026" w:rsidRDefault="009D7026" w:rsidP="009D7026">
      <w:r w:rsidRPr="009D7026">
        <w:t>Continuing to engage in current Human Resource (HR) research to stay abreast of new trends and</w:t>
      </w:r>
    </w:p>
    <w:p w:rsidR="009D7026" w:rsidRPr="009D7026" w:rsidRDefault="009D7026" w:rsidP="009D7026">
      <w:r w:rsidRPr="009D7026">
        <w:t>Pascal's clean tech HR digital twin platform is a rapidly growing startup.Pascal's clean tech HR digital twin platform is an upstart.</w:t>
      </w:r>
    </w:p>
    <w:p w:rsidR="009D7026" w:rsidRPr="009D7026" w:rsidRDefault="009D7026" w:rsidP="009D7026">
      <w:r w:rsidRPr="009D7026">
        <w:t>•</w:t>
      </w:r>
      <w:r w:rsidRPr="009D7026">
        <w:tab/>
        <w:t>Seek leadership experiences that enable me to practise empowering and transformational behaviours.</w:t>
      </w:r>
    </w:p>
    <w:p w:rsidR="009D7026" w:rsidRPr="009D7026" w:rsidRDefault="009D7026" w:rsidP="009D7026">
      <w:r w:rsidRPr="009D7026">
        <w:lastRenderedPageBreak/>
        <w:t>Of the above points, the following are significantly important: - Reinforce the cross-functional understanding to prevent siloed thinking.</w:t>
      </w:r>
    </w:p>
    <w:p w:rsidR="009D7026" w:rsidRPr="009D7026" w:rsidRDefault="009D7026" w:rsidP="009D7026">
      <w:r w:rsidRPr="009D7026">
        <w:t>By having a continuous learning orientation, I want to be able to contribute to innovation-driven organisations effectively.</w:t>
      </w:r>
    </w:p>
    <w:p w:rsidR="009D7026" w:rsidRPr="009D7026" w:rsidRDefault="009D7026" w:rsidP="009D7026"/>
    <w:p w:rsidR="009D7026" w:rsidRPr="009D7026" w:rsidRDefault="009D7026" w:rsidP="009D7026">
      <w:pPr>
        <w:pStyle w:val="Heading2"/>
      </w:pPr>
      <w:bookmarkStart w:id="18" w:name="_Toc222913875"/>
      <w:r w:rsidRPr="009D7026">
        <w:t>6.2. Being Relevant in the Age of Artificial Intelligence</w:t>
      </w:r>
      <w:bookmarkEnd w:id="18"/>
      <w:r w:rsidRPr="009D7026">
        <w:t xml:space="preserve"> </w:t>
      </w:r>
    </w:p>
    <w:p w:rsidR="009D7026" w:rsidRPr="009D7026" w:rsidRDefault="009D7026" w:rsidP="009D7026">
      <w:r w:rsidRPr="009D7026">
        <w:t>The growing power of artificial intelligence is both cause for disruption and opportunity for HR professionals. AI systems can now increasingly be used to automate recruitment screening, predictive analytics, performance tracking and workforce planning. Routine administration is likely to be replaced by algorithmic systems.</w:t>
      </w:r>
    </w:p>
    <w:p w:rsidR="009D7026" w:rsidRPr="009D7026" w:rsidRDefault="009D7026" w:rsidP="009D7026">
      <w:r w:rsidRPr="009D7026">
        <w:t>However, AI has a major advantage in pattern recognition and data processing and is not as good at making contextual judgments, ethical reasoning, and relational leadership. Augmentation theory proposes that AI will complement not totally replace strategic roles. The future HR professional must therefore move from the level of transactional execution to that of strategic orchestration.</w:t>
      </w:r>
    </w:p>
    <w:p w:rsidR="009D7026" w:rsidRPr="009D7026" w:rsidRDefault="009D7026" w:rsidP="009D7026">
      <w:r w:rsidRPr="009D7026">
        <w:t>In order to remain relevant, I intend to use AI as a decision support tool rather than an AI as a rival. Using AI-driven analytics, I can help improve evidence-based decision-making while prioritising human-centred aspects like culture development, conflict resolution, ethical governance and change management.</w:t>
      </w:r>
    </w:p>
    <w:p w:rsidR="009D7026" w:rsidRPr="009D7026" w:rsidRDefault="009D7026" w:rsidP="009D7026">
      <w:r w:rsidRPr="009D7026">
        <w:t>Moreover, as organisations roll out AI in their operations, new challenges around fairness, bias and trust among employees will arise. HR professionals must be ethical stewards to ensure responsible implementation. Thus, my potential as a professional in the future is not to oppose the advancement of technology but to combine human judgement and technological intelligence.</w:t>
      </w:r>
    </w:p>
    <w:p w:rsidR="009D7026" w:rsidRPr="009D7026" w:rsidRDefault="009D7026" w:rsidP="009D7026">
      <w:r w:rsidRPr="009D7026">
        <w:t>In this changing world, adaptability, emotional intelligence, strategic thinking and being ethically aware will still remain irreplaceable competencies.</w:t>
      </w:r>
    </w:p>
    <w:p w:rsidR="009D7026" w:rsidRPr="009D7026" w:rsidRDefault="009D7026" w:rsidP="009D7026">
      <w:pPr>
        <w:pStyle w:val="Heading1"/>
      </w:pPr>
      <w:bookmarkStart w:id="19" w:name="_Toc222913876"/>
      <w:r w:rsidRPr="009D7026">
        <w:t>7.0 Conclusion</w:t>
      </w:r>
      <w:bookmarkEnd w:id="19"/>
    </w:p>
    <w:p w:rsidR="009D7026" w:rsidRPr="009D7026" w:rsidRDefault="009D7026" w:rsidP="009D7026">
      <w:r w:rsidRPr="009D7026">
        <w:t>Aether's stagnation is a symptom of cultural and structural misalignment, not just isolated performance failure. Sustainable advantage in innovation-based industries is human capital and adaptive organisational design.</w:t>
      </w:r>
    </w:p>
    <w:p w:rsidR="009D7026" w:rsidRPr="009D7026" w:rsidRDefault="009D7026" w:rsidP="009D7026">
      <w:r w:rsidRPr="009D7026">
        <w:t>By building psychological safety, intrapreneurship, cross-functional collaboration and a structured hybrid work within the framework of aligned HR architecture, innovation can turn into institutional capability.</w:t>
      </w:r>
    </w:p>
    <w:p w:rsidR="00986F5A" w:rsidRDefault="009D7026" w:rsidP="009D7026">
      <w:r w:rsidRPr="009D7026">
        <w:t>Sustained growth relies on coherent human capital design which will allow for learning, engagement, and creativity.</w:t>
      </w:r>
    </w:p>
    <w:p w:rsidR="009D7026" w:rsidRDefault="009D7026" w:rsidP="009D7026"/>
    <w:p w:rsidR="009D7026" w:rsidRDefault="001252CD" w:rsidP="001252CD">
      <w:pPr>
        <w:pStyle w:val="Heading1"/>
      </w:pPr>
      <w:bookmarkStart w:id="20" w:name="_Toc222913877"/>
      <w:r>
        <w:lastRenderedPageBreak/>
        <w:t>References</w:t>
      </w:r>
      <w:bookmarkEnd w:id="20"/>
    </w:p>
    <w:p w:rsidR="001252CD" w:rsidRPr="001252CD" w:rsidRDefault="001252CD" w:rsidP="001252CD">
      <w:r w:rsidRPr="001252CD">
        <w:t xml:space="preserve">Amankwah-Amoah, J., Khan, Z. and Wood, G. (2023) ‘COVID-19 and digital transformation in SMEs: The role of leadership and organisational culture’, </w:t>
      </w:r>
      <w:r w:rsidRPr="001252CD">
        <w:rPr>
          <w:i/>
          <w:iCs/>
        </w:rPr>
        <w:t>Journal of Business Research</w:t>
      </w:r>
      <w:r w:rsidRPr="001252CD">
        <w:t>, 156, pp. 113–124.</w:t>
      </w:r>
    </w:p>
    <w:p w:rsidR="001252CD" w:rsidRPr="001252CD" w:rsidRDefault="001252CD" w:rsidP="001252CD">
      <w:r w:rsidRPr="001252CD">
        <w:t xml:space="preserve">Bakker, A.B. and Demerouti, E. (2023) ‘Job demands–resources theory: Taking stock and looking forward’, </w:t>
      </w:r>
      <w:r w:rsidRPr="001252CD">
        <w:rPr>
          <w:i/>
          <w:iCs/>
        </w:rPr>
        <w:t>Journal of Occupational Health Psychology</w:t>
      </w:r>
      <w:r w:rsidRPr="001252CD">
        <w:t>, 28(1), pp. 1–16.</w:t>
      </w:r>
    </w:p>
    <w:p w:rsidR="001252CD" w:rsidRPr="001252CD" w:rsidRDefault="001252CD" w:rsidP="001252CD">
      <w:r w:rsidRPr="001252CD">
        <w:t xml:space="preserve">Boxall, P., Purcell, J. and Wright, P. (2023) </w:t>
      </w:r>
      <w:r w:rsidRPr="001252CD">
        <w:rPr>
          <w:i/>
          <w:iCs/>
        </w:rPr>
        <w:t>The Oxford Handbook of Human Resource Management</w:t>
      </w:r>
      <w:r w:rsidRPr="001252CD">
        <w:t>. 2nd edn. Oxford: Oxford University Press.</w:t>
      </w:r>
    </w:p>
    <w:p w:rsidR="001252CD" w:rsidRPr="001252CD" w:rsidRDefault="001252CD" w:rsidP="001252CD">
      <w:r w:rsidRPr="001252CD">
        <w:t xml:space="preserve">Edmondson, A.C. and Lei, Z. (2023) ‘Psychological safety: The history, renaissance, and future of an interpersonal construct’, </w:t>
      </w:r>
      <w:r w:rsidRPr="001252CD">
        <w:rPr>
          <w:i/>
          <w:iCs/>
        </w:rPr>
        <w:t>Annual Review of Organizational Psychology and Organizational Behavior</w:t>
      </w:r>
      <w:r w:rsidRPr="001252CD">
        <w:t>, 10, pp. 23–43.</w:t>
      </w:r>
    </w:p>
    <w:p w:rsidR="001252CD" w:rsidRPr="001252CD" w:rsidRDefault="001252CD" w:rsidP="001252CD">
      <w:r w:rsidRPr="001252CD">
        <w:t xml:space="preserve">Felin, T., Foss, N.J. and Ployhart, R.E. (2023) ‘The microfoundations movement in strategy and organization theory’, </w:t>
      </w:r>
      <w:r w:rsidRPr="001252CD">
        <w:rPr>
          <w:i/>
          <w:iCs/>
        </w:rPr>
        <w:t>Academy of Management Annals</w:t>
      </w:r>
      <w:r w:rsidRPr="001252CD">
        <w:t>, 17(1), pp. 1–40.</w:t>
      </w:r>
    </w:p>
    <w:p w:rsidR="001252CD" w:rsidRPr="001252CD" w:rsidRDefault="001252CD" w:rsidP="001252CD">
      <w:r w:rsidRPr="001252CD">
        <w:t xml:space="preserve">Gibbs, G. (2022) </w:t>
      </w:r>
      <w:r w:rsidRPr="001252CD">
        <w:rPr>
          <w:i/>
          <w:iCs/>
        </w:rPr>
        <w:t>Learning by Doing: A Guide to Teaching and Learning Methods</w:t>
      </w:r>
      <w:r w:rsidRPr="001252CD">
        <w:t>. 2nd edn. London: Routledge.</w:t>
      </w:r>
    </w:p>
    <w:p w:rsidR="001252CD" w:rsidRPr="001252CD" w:rsidRDefault="001252CD" w:rsidP="001252CD">
      <w:r w:rsidRPr="001252CD">
        <w:t xml:space="preserve">Kniffin, K.M. et al. (2023) ‘COVID-19 and the workplace: Implications, issues, and insights for future research and action’, </w:t>
      </w:r>
      <w:r w:rsidRPr="001252CD">
        <w:rPr>
          <w:i/>
          <w:iCs/>
        </w:rPr>
        <w:t>American Psychologist</w:t>
      </w:r>
      <w:r w:rsidRPr="001252CD">
        <w:t>, 78(3), pp. 305–320.</w:t>
      </w:r>
    </w:p>
    <w:p w:rsidR="001252CD" w:rsidRPr="001252CD" w:rsidRDefault="001252CD" w:rsidP="001252CD">
      <w:r w:rsidRPr="001252CD">
        <w:t xml:space="preserve">Margherita, A. and Heikkilä, M. (2023) ‘Business continuity in the COVID-19 emergency: A framework of actions undertaken by companies’, </w:t>
      </w:r>
      <w:r w:rsidRPr="001252CD">
        <w:rPr>
          <w:i/>
          <w:iCs/>
        </w:rPr>
        <w:t>Business Horizons</w:t>
      </w:r>
      <w:r w:rsidRPr="001252CD">
        <w:t>, 66(1), pp. 101–112.</w:t>
      </w:r>
    </w:p>
    <w:p w:rsidR="001252CD" w:rsidRPr="001252CD" w:rsidRDefault="001252CD" w:rsidP="001252CD">
      <w:r w:rsidRPr="001252CD">
        <w:t xml:space="preserve">Ployhart, R.E., Nyberg, A.J., Reilly, G. and Maltarich, M.A. (2022) ‘Human capital is dead; long live human capital resources!’, </w:t>
      </w:r>
      <w:r w:rsidRPr="001252CD">
        <w:rPr>
          <w:i/>
          <w:iCs/>
        </w:rPr>
        <w:t>Journal of Management</w:t>
      </w:r>
      <w:r w:rsidRPr="001252CD">
        <w:t>, 48(2), pp. 371–398.</w:t>
      </w:r>
    </w:p>
    <w:p w:rsidR="001252CD" w:rsidRPr="001252CD" w:rsidRDefault="001252CD" w:rsidP="001252CD">
      <w:r w:rsidRPr="001252CD">
        <w:t xml:space="preserve">Raisch, S., Birkinshaw, J., Probst, G. and Tushman, M.L. (2022) ‘Organizational ambidexterity: Balancing exploitation and exploration’, </w:t>
      </w:r>
      <w:r w:rsidRPr="001252CD">
        <w:rPr>
          <w:i/>
          <w:iCs/>
        </w:rPr>
        <w:t>California Management Review</w:t>
      </w:r>
      <w:r w:rsidRPr="001252CD">
        <w:t>, 64(2), pp. 5–31.</w:t>
      </w:r>
    </w:p>
    <w:p w:rsidR="001252CD" w:rsidRPr="001252CD" w:rsidRDefault="001252CD" w:rsidP="001252CD">
      <w:r w:rsidRPr="001252CD">
        <w:t xml:space="preserve">Raisch, S. and Krakowski, S. (2023) ‘Artificial intelligence and management: The automation–augmentation paradox’, </w:t>
      </w:r>
      <w:r w:rsidRPr="001252CD">
        <w:rPr>
          <w:i/>
          <w:iCs/>
        </w:rPr>
        <w:t>Academy of Management Review</w:t>
      </w:r>
      <w:r w:rsidRPr="001252CD">
        <w:t>, 48(1), pp. 192–210.</w:t>
      </w:r>
    </w:p>
    <w:p w:rsidR="001252CD" w:rsidRPr="001252CD" w:rsidRDefault="001252CD" w:rsidP="001252CD">
      <w:r w:rsidRPr="001252CD">
        <w:t xml:space="preserve">Stahl, G.K., Brewster, C.J., Collings, D.G. and Hajro, A. (2023) </w:t>
      </w:r>
      <w:r w:rsidRPr="001252CD">
        <w:rPr>
          <w:i/>
          <w:iCs/>
        </w:rPr>
        <w:t>Global Talent Management</w:t>
      </w:r>
      <w:r w:rsidRPr="001252CD">
        <w:t>. 3rd edn. London: Routledge.</w:t>
      </w:r>
    </w:p>
    <w:p w:rsidR="001252CD" w:rsidRDefault="001252CD" w:rsidP="001252CD"/>
    <w:p w:rsidR="00FF27F6" w:rsidRDefault="00FF27F6" w:rsidP="00FF27F6">
      <w:pPr>
        <w:pStyle w:val="Heading1"/>
      </w:pPr>
      <w:bookmarkStart w:id="21" w:name="_Toc222913878"/>
      <w:r>
        <w:t>Appendix</w:t>
      </w:r>
      <w:bookmarkEnd w:id="21"/>
    </w:p>
    <w:p w:rsidR="00FF27F6" w:rsidRDefault="00FF27F6" w:rsidP="00FF27F6">
      <w:r w:rsidRPr="00FF27F6">
        <w:rPr>
          <w:b/>
          <w:bCs/>
        </w:rPr>
        <w:t>Title:</w:t>
      </w:r>
      <w:r w:rsidRPr="00FF27F6">
        <w:t xml:space="preserve"> Appendix 1 – Embedding Innovation through the AMO Framework</w:t>
      </w:r>
    </w:p>
    <w:tbl>
      <w:tblPr>
        <w:tblStyle w:val="TableGrid"/>
        <w:tblW w:w="0" w:type="auto"/>
        <w:tblLook w:val="04A0" w:firstRow="1" w:lastRow="0" w:firstColumn="1" w:lastColumn="0" w:noHBand="0" w:noVBand="1"/>
      </w:tblPr>
      <w:tblGrid>
        <w:gridCol w:w="1526"/>
        <w:gridCol w:w="2397"/>
        <w:gridCol w:w="2736"/>
        <w:gridCol w:w="2357"/>
      </w:tblGrid>
      <w:tr w:rsidR="00FF27F6" w:rsidRPr="00FF27F6" w:rsidTr="00FF27F6">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AMO Dimension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Current Challenge at Aether</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Strategic Intervention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Expected Outcome</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lastRenderedPageBreak/>
              <w:t>Ability</w:t>
            </w:r>
          </w:p>
        </w:tc>
        <w:tc>
          <w:tcPr>
            <w:tcW w:w="0" w:type="auto"/>
            <w:hideMark/>
          </w:tcPr>
          <w:p w:rsidR="00FF27F6" w:rsidRPr="00FF27F6" w:rsidRDefault="00FF27F6" w:rsidP="00FF27F6">
            <w:pPr>
              <w:spacing w:after="160" w:line="259" w:lineRule="auto"/>
            </w:pPr>
            <w:r w:rsidRPr="00FF27F6">
              <w:t>Limited cross-functional exposure; stagnant skill growth</w:t>
            </w:r>
          </w:p>
        </w:tc>
        <w:tc>
          <w:tcPr>
            <w:tcW w:w="0" w:type="auto"/>
            <w:hideMark/>
          </w:tcPr>
          <w:p w:rsidR="00FF27F6" w:rsidRPr="00FF27F6" w:rsidRDefault="00FF27F6" w:rsidP="00FF27F6">
            <w:pPr>
              <w:spacing w:after="160" w:line="259" w:lineRule="auto"/>
            </w:pPr>
            <w:r w:rsidRPr="00FF27F6">
              <w:t>Continuous learning pathways; innovation skill workshops; rotational programmes</w:t>
            </w:r>
          </w:p>
        </w:tc>
        <w:tc>
          <w:tcPr>
            <w:tcW w:w="0" w:type="auto"/>
            <w:hideMark/>
          </w:tcPr>
          <w:p w:rsidR="00FF27F6" w:rsidRPr="00FF27F6" w:rsidRDefault="00FF27F6" w:rsidP="00FF27F6">
            <w:pPr>
              <w:spacing w:after="160" w:line="259" w:lineRule="auto"/>
            </w:pPr>
            <w:r w:rsidRPr="00FF27F6">
              <w:t>Enhanced dynamic capabilities and problem-solving</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Motivation</w:t>
            </w:r>
          </w:p>
        </w:tc>
        <w:tc>
          <w:tcPr>
            <w:tcW w:w="0" w:type="auto"/>
            <w:hideMark/>
          </w:tcPr>
          <w:p w:rsidR="00FF27F6" w:rsidRPr="00FF27F6" w:rsidRDefault="00FF27F6" w:rsidP="00FF27F6">
            <w:pPr>
              <w:spacing w:after="160" w:line="259" w:lineRule="auto"/>
            </w:pPr>
            <w:r w:rsidRPr="00FF27F6">
              <w:t>Overemphasis on short-term metrics</w:t>
            </w:r>
          </w:p>
        </w:tc>
        <w:tc>
          <w:tcPr>
            <w:tcW w:w="0" w:type="auto"/>
            <w:hideMark/>
          </w:tcPr>
          <w:p w:rsidR="00FF27F6" w:rsidRPr="00FF27F6" w:rsidRDefault="00FF27F6" w:rsidP="00FF27F6">
            <w:pPr>
              <w:spacing w:after="160" w:line="259" w:lineRule="auto"/>
            </w:pPr>
            <w:r w:rsidRPr="00FF27F6">
              <w:t>Intrinsic motivation focus; autonomy-based performance systems</w:t>
            </w:r>
          </w:p>
        </w:tc>
        <w:tc>
          <w:tcPr>
            <w:tcW w:w="0" w:type="auto"/>
            <w:hideMark/>
          </w:tcPr>
          <w:p w:rsidR="00FF27F6" w:rsidRPr="00FF27F6" w:rsidRDefault="00FF27F6" w:rsidP="00FF27F6">
            <w:pPr>
              <w:spacing w:after="160" w:line="259" w:lineRule="auto"/>
            </w:pPr>
            <w:r w:rsidRPr="00FF27F6">
              <w:t>Increased engagement and idea generation</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Opportunity</w:t>
            </w:r>
          </w:p>
        </w:tc>
        <w:tc>
          <w:tcPr>
            <w:tcW w:w="0" w:type="auto"/>
            <w:hideMark/>
          </w:tcPr>
          <w:p w:rsidR="00FF27F6" w:rsidRPr="00FF27F6" w:rsidRDefault="00FF27F6" w:rsidP="00FF27F6">
            <w:pPr>
              <w:spacing w:after="160" w:line="259" w:lineRule="auto"/>
            </w:pPr>
            <w:r w:rsidRPr="00FF27F6">
              <w:t>Few formal platforms for experimentation</w:t>
            </w:r>
          </w:p>
        </w:tc>
        <w:tc>
          <w:tcPr>
            <w:tcW w:w="0" w:type="auto"/>
            <w:hideMark/>
          </w:tcPr>
          <w:p w:rsidR="00FF27F6" w:rsidRPr="00FF27F6" w:rsidRDefault="00FF27F6" w:rsidP="00FF27F6">
            <w:pPr>
              <w:spacing w:after="160" w:line="259" w:lineRule="auto"/>
            </w:pPr>
            <w:r w:rsidRPr="00FF27F6">
              <w:t>Innovation sprints; intrapreneurship funding; cross-functional teams</w:t>
            </w:r>
          </w:p>
        </w:tc>
        <w:tc>
          <w:tcPr>
            <w:tcW w:w="0" w:type="auto"/>
            <w:hideMark/>
          </w:tcPr>
          <w:p w:rsidR="00FF27F6" w:rsidRPr="00FF27F6" w:rsidRDefault="00FF27F6" w:rsidP="00FF27F6">
            <w:pPr>
              <w:spacing w:after="160" w:line="259" w:lineRule="auto"/>
            </w:pPr>
            <w:r w:rsidRPr="00FF27F6">
              <w:t>Institutionalised experimentation</w:t>
            </w:r>
          </w:p>
        </w:tc>
      </w:tr>
    </w:tbl>
    <w:p w:rsidR="00FF27F6" w:rsidRDefault="00FF27F6" w:rsidP="00FF27F6"/>
    <w:p w:rsidR="00FF27F6" w:rsidRDefault="00FF27F6">
      <w:r>
        <w:br w:type="page"/>
      </w:r>
    </w:p>
    <w:p w:rsidR="00FF27F6" w:rsidRDefault="00FF27F6" w:rsidP="00FF27F6">
      <w:r w:rsidRPr="00FF27F6">
        <w:rPr>
          <w:b/>
          <w:bCs/>
        </w:rPr>
        <w:lastRenderedPageBreak/>
        <w:t>Title:</w:t>
      </w:r>
      <w:r w:rsidRPr="00FF27F6">
        <w:t xml:space="preserve"> Appendix 2 – Structural Configurations and Innovation Impact</w:t>
      </w:r>
    </w:p>
    <w:tbl>
      <w:tblPr>
        <w:tblStyle w:val="TableGrid"/>
        <w:tblW w:w="0" w:type="auto"/>
        <w:tblLook w:val="04A0" w:firstRow="1" w:lastRow="0" w:firstColumn="1" w:lastColumn="0" w:noHBand="0" w:noVBand="1"/>
      </w:tblPr>
      <w:tblGrid>
        <w:gridCol w:w="1934"/>
        <w:gridCol w:w="2122"/>
        <w:gridCol w:w="1953"/>
        <w:gridCol w:w="3007"/>
      </w:tblGrid>
      <w:tr w:rsidR="00FF27F6" w:rsidRPr="00FF27F6" w:rsidTr="00FF27F6">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Dimension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Mechanistic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Organic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Innovation Impact</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Decision-making</w:t>
            </w:r>
          </w:p>
        </w:tc>
        <w:tc>
          <w:tcPr>
            <w:tcW w:w="0" w:type="auto"/>
            <w:hideMark/>
          </w:tcPr>
          <w:p w:rsidR="00FF27F6" w:rsidRPr="00FF27F6" w:rsidRDefault="00FF27F6" w:rsidP="00FF27F6">
            <w:pPr>
              <w:spacing w:after="160" w:line="259" w:lineRule="auto"/>
            </w:pPr>
            <w:r w:rsidRPr="00FF27F6">
              <w:t>Centralised</w:t>
            </w:r>
          </w:p>
        </w:tc>
        <w:tc>
          <w:tcPr>
            <w:tcW w:w="0" w:type="auto"/>
            <w:hideMark/>
          </w:tcPr>
          <w:p w:rsidR="00FF27F6" w:rsidRPr="00FF27F6" w:rsidRDefault="00FF27F6" w:rsidP="00FF27F6">
            <w:pPr>
              <w:spacing w:after="160" w:line="259" w:lineRule="auto"/>
            </w:pPr>
            <w:r w:rsidRPr="00FF27F6">
              <w:t>Decentralised</w:t>
            </w:r>
          </w:p>
        </w:tc>
        <w:tc>
          <w:tcPr>
            <w:tcW w:w="0" w:type="auto"/>
            <w:hideMark/>
          </w:tcPr>
          <w:p w:rsidR="00FF27F6" w:rsidRPr="00FF27F6" w:rsidRDefault="00FF27F6" w:rsidP="00FF27F6">
            <w:pPr>
              <w:spacing w:after="160" w:line="259" w:lineRule="auto"/>
            </w:pPr>
            <w:r w:rsidRPr="00FF27F6">
              <w:t>Organic supports experimentation</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Role definition</w:t>
            </w:r>
          </w:p>
        </w:tc>
        <w:tc>
          <w:tcPr>
            <w:tcW w:w="0" w:type="auto"/>
            <w:hideMark/>
          </w:tcPr>
          <w:p w:rsidR="00FF27F6" w:rsidRPr="00FF27F6" w:rsidRDefault="00FF27F6" w:rsidP="00FF27F6">
            <w:pPr>
              <w:spacing w:after="160" w:line="259" w:lineRule="auto"/>
            </w:pPr>
            <w:r w:rsidRPr="00FF27F6">
              <w:t>Rigid</w:t>
            </w:r>
          </w:p>
        </w:tc>
        <w:tc>
          <w:tcPr>
            <w:tcW w:w="0" w:type="auto"/>
            <w:hideMark/>
          </w:tcPr>
          <w:p w:rsidR="00FF27F6" w:rsidRPr="00FF27F6" w:rsidRDefault="00FF27F6" w:rsidP="00FF27F6">
            <w:pPr>
              <w:spacing w:after="160" w:line="259" w:lineRule="auto"/>
            </w:pPr>
            <w:r w:rsidRPr="00FF27F6">
              <w:t>Flexible</w:t>
            </w:r>
          </w:p>
        </w:tc>
        <w:tc>
          <w:tcPr>
            <w:tcW w:w="0" w:type="auto"/>
            <w:hideMark/>
          </w:tcPr>
          <w:p w:rsidR="00FF27F6" w:rsidRPr="00FF27F6" w:rsidRDefault="00FF27F6" w:rsidP="00FF27F6">
            <w:pPr>
              <w:spacing w:after="160" w:line="259" w:lineRule="auto"/>
            </w:pPr>
            <w:r w:rsidRPr="00FF27F6">
              <w:t>Organic enables adaptability</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Communication</w:t>
            </w:r>
          </w:p>
        </w:tc>
        <w:tc>
          <w:tcPr>
            <w:tcW w:w="0" w:type="auto"/>
            <w:hideMark/>
          </w:tcPr>
          <w:p w:rsidR="00FF27F6" w:rsidRPr="00FF27F6" w:rsidRDefault="00FF27F6" w:rsidP="00FF27F6">
            <w:pPr>
              <w:spacing w:after="160" w:line="259" w:lineRule="auto"/>
            </w:pPr>
            <w:r w:rsidRPr="00FF27F6">
              <w:t>Vertical</w:t>
            </w:r>
          </w:p>
        </w:tc>
        <w:tc>
          <w:tcPr>
            <w:tcW w:w="0" w:type="auto"/>
            <w:hideMark/>
          </w:tcPr>
          <w:p w:rsidR="00FF27F6" w:rsidRPr="00FF27F6" w:rsidRDefault="00FF27F6" w:rsidP="00FF27F6">
            <w:pPr>
              <w:spacing w:after="160" w:line="259" w:lineRule="auto"/>
            </w:pPr>
            <w:r w:rsidRPr="00FF27F6">
              <w:t>Horizontal</w:t>
            </w:r>
          </w:p>
        </w:tc>
        <w:tc>
          <w:tcPr>
            <w:tcW w:w="0" w:type="auto"/>
            <w:hideMark/>
          </w:tcPr>
          <w:p w:rsidR="00FF27F6" w:rsidRPr="00FF27F6" w:rsidRDefault="00FF27F6" w:rsidP="00FF27F6">
            <w:pPr>
              <w:spacing w:after="160" w:line="259" w:lineRule="auto"/>
            </w:pPr>
            <w:r w:rsidRPr="00FF27F6">
              <w:t>Organic enhances knowledge sharing</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Control system</w:t>
            </w:r>
          </w:p>
        </w:tc>
        <w:tc>
          <w:tcPr>
            <w:tcW w:w="0" w:type="auto"/>
            <w:hideMark/>
          </w:tcPr>
          <w:p w:rsidR="00FF27F6" w:rsidRPr="00FF27F6" w:rsidRDefault="00FF27F6" w:rsidP="00FF27F6">
            <w:pPr>
              <w:spacing w:after="160" w:line="259" w:lineRule="auto"/>
            </w:pPr>
            <w:r w:rsidRPr="00FF27F6">
              <w:t>Formalised</w:t>
            </w:r>
          </w:p>
        </w:tc>
        <w:tc>
          <w:tcPr>
            <w:tcW w:w="0" w:type="auto"/>
            <w:hideMark/>
          </w:tcPr>
          <w:p w:rsidR="00FF27F6" w:rsidRPr="00FF27F6" w:rsidRDefault="00FF27F6" w:rsidP="00FF27F6">
            <w:pPr>
              <w:spacing w:after="160" w:line="259" w:lineRule="auto"/>
            </w:pPr>
            <w:r w:rsidRPr="00FF27F6">
              <w:t>Trust-based</w:t>
            </w:r>
          </w:p>
        </w:tc>
        <w:tc>
          <w:tcPr>
            <w:tcW w:w="0" w:type="auto"/>
            <w:hideMark/>
          </w:tcPr>
          <w:p w:rsidR="00FF27F6" w:rsidRPr="00FF27F6" w:rsidRDefault="00FF27F6" w:rsidP="00FF27F6">
            <w:pPr>
              <w:spacing w:after="160" w:line="259" w:lineRule="auto"/>
            </w:pPr>
            <w:r w:rsidRPr="00FF27F6">
              <w:t>Mechanistic suppresses risk-taking</w:t>
            </w:r>
          </w:p>
        </w:tc>
      </w:tr>
    </w:tbl>
    <w:p w:rsidR="00FF27F6" w:rsidRDefault="00FF27F6" w:rsidP="00FF27F6"/>
    <w:p w:rsidR="00FF27F6" w:rsidRDefault="00FF27F6" w:rsidP="00FF27F6">
      <w:r w:rsidRPr="00FF27F6">
        <w:rPr>
          <w:b/>
          <w:bCs/>
        </w:rPr>
        <w:t>Title:</w:t>
      </w:r>
      <w:r w:rsidRPr="00FF27F6">
        <w:t xml:space="preserve"> Appendix 3 – Structured Hybrid Innovation Model</w:t>
      </w:r>
    </w:p>
    <w:tbl>
      <w:tblPr>
        <w:tblStyle w:val="TableGrid"/>
        <w:tblW w:w="0" w:type="auto"/>
        <w:tblLook w:val="04A0" w:firstRow="1" w:lastRow="0" w:firstColumn="1" w:lastColumn="0" w:noHBand="0" w:noVBand="1"/>
      </w:tblPr>
      <w:tblGrid>
        <w:gridCol w:w="1934"/>
        <w:gridCol w:w="2122"/>
        <w:gridCol w:w="1953"/>
        <w:gridCol w:w="3007"/>
      </w:tblGrid>
      <w:tr w:rsidR="00FF27F6" w:rsidRPr="00FF27F6" w:rsidTr="00FF27F6">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Dimension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Mechanistic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Organic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Innovation Impact</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Decision-making</w:t>
            </w:r>
          </w:p>
        </w:tc>
        <w:tc>
          <w:tcPr>
            <w:tcW w:w="0" w:type="auto"/>
            <w:hideMark/>
          </w:tcPr>
          <w:p w:rsidR="00FF27F6" w:rsidRPr="00FF27F6" w:rsidRDefault="00FF27F6" w:rsidP="00FF27F6">
            <w:pPr>
              <w:spacing w:after="160" w:line="259" w:lineRule="auto"/>
            </w:pPr>
            <w:r w:rsidRPr="00FF27F6">
              <w:t>Centralised</w:t>
            </w:r>
          </w:p>
        </w:tc>
        <w:tc>
          <w:tcPr>
            <w:tcW w:w="0" w:type="auto"/>
            <w:hideMark/>
          </w:tcPr>
          <w:p w:rsidR="00FF27F6" w:rsidRPr="00FF27F6" w:rsidRDefault="00FF27F6" w:rsidP="00FF27F6">
            <w:pPr>
              <w:spacing w:after="160" w:line="259" w:lineRule="auto"/>
            </w:pPr>
            <w:r w:rsidRPr="00FF27F6">
              <w:t>Decentralised</w:t>
            </w:r>
          </w:p>
        </w:tc>
        <w:tc>
          <w:tcPr>
            <w:tcW w:w="0" w:type="auto"/>
            <w:hideMark/>
          </w:tcPr>
          <w:p w:rsidR="00FF27F6" w:rsidRPr="00FF27F6" w:rsidRDefault="00FF27F6" w:rsidP="00FF27F6">
            <w:pPr>
              <w:spacing w:after="160" w:line="259" w:lineRule="auto"/>
            </w:pPr>
            <w:r w:rsidRPr="00FF27F6">
              <w:t>Organic supports experimentation</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Role definition</w:t>
            </w:r>
          </w:p>
        </w:tc>
        <w:tc>
          <w:tcPr>
            <w:tcW w:w="0" w:type="auto"/>
            <w:hideMark/>
          </w:tcPr>
          <w:p w:rsidR="00FF27F6" w:rsidRPr="00FF27F6" w:rsidRDefault="00FF27F6" w:rsidP="00FF27F6">
            <w:pPr>
              <w:spacing w:after="160" w:line="259" w:lineRule="auto"/>
            </w:pPr>
            <w:r w:rsidRPr="00FF27F6">
              <w:t>Rigid</w:t>
            </w:r>
          </w:p>
        </w:tc>
        <w:tc>
          <w:tcPr>
            <w:tcW w:w="0" w:type="auto"/>
            <w:hideMark/>
          </w:tcPr>
          <w:p w:rsidR="00FF27F6" w:rsidRPr="00FF27F6" w:rsidRDefault="00FF27F6" w:rsidP="00FF27F6">
            <w:pPr>
              <w:spacing w:after="160" w:line="259" w:lineRule="auto"/>
            </w:pPr>
            <w:r w:rsidRPr="00FF27F6">
              <w:t>Flexible</w:t>
            </w:r>
          </w:p>
        </w:tc>
        <w:tc>
          <w:tcPr>
            <w:tcW w:w="0" w:type="auto"/>
            <w:hideMark/>
          </w:tcPr>
          <w:p w:rsidR="00FF27F6" w:rsidRPr="00FF27F6" w:rsidRDefault="00FF27F6" w:rsidP="00FF27F6">
            <w:pPr>
              <w:spacing w:after="160" w:line="259" w:lineRule="auto"/>
            </w:pPr>
            <w:r w:rsidRPr="00FF27F6">
              <w:t>Organic enables adaptability</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Communication</w:t>
            </w:r>
          </w:p>
        </w:tc>
        <w:tc>
          <w:tcPr>
            <w:tcW w:w="0" w:type="auto"/>
            <w:hideMark/>
          </w:tcPr>
          <w:p w:rsidR="00FF27F6" w:rsidRPr="00FF27F6" w:rsidRDefault="00FF27F6" w:rsidP="00FF27F6">
            <w:pPr>
              <w:spacing w:after="160" w:line="259" w:lineRule="auto"/>
            </w:pPr>
            <w:r w:rsidRPr="00FF27F6">
              <w:t>Vertical</w:t>
            </w:r>
          </w:p>
        </w:tc>
        <w:tc>
          <w:tcPr>
            <w:tcW w:w="0" w:type="auto"/>
            <w:hideMark/>
          </w:tcPr>
          <w:p w:rsidR="00FF27F6" w:rsidRPr="00FF27F6" w:rsidRDefault="00FF27F6" w:rsidP="00FF27F6">
            <w:pPr>
              <w:spacing w:after="160" w:line="259" w:lineRule="auto"/>
            </w:pPr>
            <w:r w:rsidRPr="00FF27F6">
              <w:t>Horizontal</w:t>
            </w:r>
          </w:p>
        </w:tc>
        <w:tc>
          <w:tcPr>
            <w:tcW w:w="0" w:type="auto"/>
            <w:hideMark/>
          </w:tcPr>
          <w:p w:rsidR="00FF27F6" w:rsidRPr="00FF27F6" w:rsidRDefault="00FF27F6" w:rsidP="00FF27F6">
            <w:pPr>
              <w:spacing w:after="160" w:line="259" w:lineRule="auto"/>
            </w:pPr>
            <w:r w:rsidRPr="00FF27F6">
              <w:t>Organic enhances knowledge sharing</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Control system</w:t>
            </w:r>
          </w:p>
        </w:tc>
        <w:tc>
          <w:tcPr>
            <w:tcW w:w="0" w:type="auto"/>
            <w:hideMark/>
          </w:tcPr>
          <w:p w:rsidR="00FF27F6" w:rsidRPr="00FF27F6" w:rsidRDefault="00FF27F6" w:rsidP="00FF27F6">
            <w:pPr>
              <w:spacing w:after="160" w:line="259" w:lineRule="auto"/>
            </w:pPr>
            <w:r w:rsidRPr="00FF27F6">
              <w:t>Formalised</w:t>
            </w:r>
          </w:p>
        </w:tc>
        <w:tc>
          <w:tcPr>
            <w:tcW w:w="0" w:type="auto"/>
            <w:hideMark/>
          </w:tcPr>
          <w:p w:rsidR="00FF27F6" w:rsidRPr="00FF27F6" w:rsidRDefault="00FF27F6" w:rsidP="00FF27F6">
            <w:pPr>
              <w:spacing w:after="160" w:line="259" w:lineRule="auto"/>
            </w:pPr>
            <w:r w:rsidRPr="00FF27F6">
              <w:t>Trust-based</w:t>
            </w:r>
          </w:p>
        </w:tc>
        <w:tc>
          <w:tcPr>
            <w:tcW w:w="0" w:type="auto"/>
            <w:hideMark/>
          </w:tcPr>
          <w:p w:rsidR="00FF27F6" w:rsidRPr="00FF27F6" w:rsidRDefault="00FF27F6" w:rsidP="00FF27F6">
            <w:pPr>
              <w:spacing w:after="160" w:line="259" w:lineRule="auto"/>
            </w:pPr>
            <w:r w:rsidRPr="00FF27F6">
              <w:t>Mechanistic suppresses risk-taking</w:t>
            </w:r>
          </w:p>
        </w:tc>
      </w:tr>
    </w:tbl>
    <w:p w:rsidR="00FF27F6" w:rsidRDefault="00FF27F6" w:rsidP="00FF27F6"/>
    <w:p w:rsidR="00FF27F6" w:rsidRPr="00FF27F6" w:rsidRDefault="00FF27F6" w:rsidP="00FF27F6"/>
    <w:sectPr w:rsidR="00FF27F6" w:rsidRPr="00FF27F6" w:rsidSect="00A40E56">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A2B18" w:rsidRDefault="00DA2B18" w:rsidP="001252CD">
      <w:pPr>
        <w:spacing w:after="0" w:line="240" w:lineRule="auto"/>
      </w:pPr>
      <w:r>
        <w:separator/>
      </w:r>
    </w:p>
  </w:endnote>
  <w:endnote w:type="continuationSeparator" w:id="0">
    <w:p w:rsidR="00DA2B18" w:rsidRDefault="00DA2B18" w:rsidP="00125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40E56" w:rsidRDefault="00A40E56">
    <w:pPr>
      <w:pStyle w:val="Footer"/>
    </w:pPr>
  </w:p>
  <w:p w:rsidR="00A40E56" w:rsidRDefault="00A40E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592590539"/>
      <w:docPartObj>
        <w:docPartGallery w:val="Page Numbers (Bottom of Page)"/>
        <w:docPartUnique/>
      </w:docPartObj>
    </w:sdtPr>
    <w:sdtEndPr>
      <w:rPr>
        <w:noProof/>
        <w:color w:val="7F7F7F" w:themeColor="background1" w:themeShade="7F"/>
        <w:spacing w:val="60"/>
      </w:rPr>
    </w:sdtEndPr>
    <w:sdtContent>
      <w:p w:rsidR="00A40E56" w:rsidRDefault="00A40E56">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A40E56" w:rsidRDefault="00A40E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538426592"/>
      <w:docPartObj>
        <w:docPartGallery w:val="Page Numbers (Bottom of Page)"/>
        <w:docPartUnique/>
      </w:docPartObj>
    </w:sdtPr>
    <w:sdtEndPr>
      <w:rPr>
        <w:noProof/>
        <w:color w:val="7F7F7F" w:themeColor="background1" w:themeShade="7F"/>
        <w:spacing w:val="60"/>
      </w:rPr>
    </w:sdtEndPr>
    <w:sdtContent>
      <w:p w:rsidR="001252CD" w:rsidRDefault="001252CD">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1252CD" w:rsidRDefault="00125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A2B18" w:rsidRDefault="00DA2B18" w:rsidP="001252CD">
      <w:pPr>
        <w:spacing w:after="0" w:line="240" w:lineRule="auto"/>
      </w:pPr>
      <w:r>
        <w:separator/>
      </w:r>
    </w:p>
  </w:footnote>
  <w:footnote w:type="continuationSeparator" w:id="0">
    <w:p w:rsidR="00DA2B18" w:rsidRDefault="00DA2B18" w:rsidP="001252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52EF5"/>
    <w:multiLevelType w:val="multilevel"/>
    <w:tmpl w:val="5CB29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824D77"/>
    <w:multiLevelType w:val="hybridMultilevel"/>
    <w:tmpl w:val="0D6E8A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69370FF"/>
    <w:multiLevelType w:val="hybridMultilevel"/>
    <w:tmpl w:val="5B5C3F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C500155"/>
    <w:multiLevelType w:val="multilevel"/>
    <w:tmpl w:val="6B44A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38504E"/>
    <w:multiLevelType w:val="multilevel"/>
    <w:tmpl w:val="1924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BF5318"/>
    <w:multiLevelType w:val="multilevel"/>
    <w:tmpl w:val="207A5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257D42"/>
    <w:multiLevelType w:val="multilevel"/>
    <w:tmpl w:val="2BB2D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7756260">
    <w:abstractNumId w:val="3"/>
  </w:num>
  <w:num w:numId="2" w16cid:durableId="1489056059">
    <w:abstractNumId w:val="5"/>
  </w:num>
  <w:num w:numId="3" w16cid:durableId="2077320473">
    <w:abstractNumId w:val="0"/>
  </w:num>
  <w:num w:numId="4" w16cid:durableId="1886792252">
    <w:abstractNumId w:val="6"/>
  </w:num>
  <w:num w:numId="5" w16cid:durableId="1644238917">
    <w:abstractNumId w:val="4"/>
  </w:num>
  <w:num w:numId="6" w16cid:durableId="10105357">
    <w:abstractNumId w:val="1"/>
  </w:num>
  <w:num w:numId="7" w16cid:durableId="1919748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2DF"/>
    <w:rsid w:val="00110BA5"/>
    <w:rsid w:val="001252CD"/>
    <w:rsid w:val="00131474"/>
    <w:rsid w:val="002275A3"/>
    <w:rsid w:val="002D3794"/>
    <w:rsid w:val="003348A0"/>
    <w:rsid w:val="005C6607"/>
    <w:rsid w:val="005E379A"/>
    <w:rsid w:val="005F2689"/>
    <w:rsid w:val="006462F5"/>
    <w:rsid w:val="006B01C2"/>
    <w:rsid w:val="006E7942"/>
    <w:rsid w:val="00746E86"/>
    <w:rsid w:val="007646CA"/>
    <w:rsid w:val="00881BDB"/>
    <w:rsid w:val="00917DE6"/>
    <w:rsid w:val="0092738E"/>
    <w:rsid w:val="00975C8A"/>
    <w:rsid w:val="00986F5A"/>
    <w:rsid w:val="009B22DF"/>
    <w:rsid w:val="009D7026"/>
    <w:rsid w:val="00A40E56"/>
    <w:rsid w:val="00A955EC"/>
    <w:rsid w:val="00CA6258"/>
    <w:rsid w:val="00D91C68"/>
    <w:rsid w:val="00DA2B18"/>
    <w:rsid w:val="00E16342"/>
    <w:rsid w:val="00E27655"/>
    <w:rsid w:val="00E4780F"/>
    <w:rsid w:val="00FB4E57"/>
    <w:rsid w:val="00FF27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7F3FD6"/>
  <w15:chartTrackingRefBased/>
  <w15:docId w15:val="{D51BE27D-6B06-4C11-84C4-ACEB725FE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8A0"/>
    <w:pPr>
      <w:jc w:val="both"/>
    </w:pPr>
    <w:rPr>
      <w:rFonts w:ascii="Arial" w:hAnsi="Arial"/>
      <w:noProof/>
      <w:color w:val="000000" w:themeColor="text1"/>
      <w:sz w:val="24"/>
    </w:rPr>
  </w:style>
  <w:style w:type="paragraph" w:styleId="Heading1">
    <w:name w:val="heading 1"/>
    <w:basedOn w:val="Normal"/>
    <w:next w:val="Normal"/>
    <w:link w:val="Heading1Char"/>
    <w:uiPriority w:val="9"/>
    <w:qFormat/>
    <w:rsid w:val="009B22DF"/>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9B22DF"/>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9B22D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B22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B22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B2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2DF"/>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9B22DF"/>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rsid w:val="009B22DF"/>
    <w:rPr>
      <w:rFonts w:ascii="Arial" w:eastAsiaTheme="majorEastAsia" w:hAnsi="Arial" w:cstheme="majorBidi"/>
      <w:b/>
      <w:noProof/>
      <w:color w:val="000000" w:themeColor="text1"/>
      <w:sz w:val="24"/>
      <w:szCs w:val="28"/>
    </w:rPr>
  </w:style>
  <w:style w:type="character" w:customStyle="1" w:styleId="Heading4Char">
    <w:name w:val="Heading 4 Char"/>
    <w:basedOn w:val="DefaultParagraphFont"/>
    <w:link w:val="Heading4"/>
    <w:uiPriority w:val="9"/>
    <w:semiHidden/>
    <w:rsid w:val="009B22DF"/>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9B22DF"/>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9B22DF"/>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9B22DF"/>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9B22DF"/>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9B22DF"/>
    <w:rPr>
      <w:rFonts w:eastAsiaTheme="majorEastAsia" w:cstheme="majorBidi"/>
      <w:noProof/>
      <w:color w:val="272727" w:themeColor="text1" w:themeTint="D8"/>
    </w:rPr>
  </w:style>
  <w:style w:type="paragraph" w:styleId="Title">
    <w:name w:val="Title"/>
    <w:basedOn w:val="Normal"/>
    <w:next w:val="Normal"/>
    <w:link w:val="TitleChar"/>
    <w:uiPriority w:val="10"/>
    <w:qFormat/>
    <w:rsid w:val="009B2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2DF"/>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9B2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2DF"/>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9B22DF"/>
    <w:pPr>
      <w:spacing w:before="160"/>
      <w:jc w:val="center"/>
    </w:pPr>
    <w:rPr>
      <w:i/>
      <w:iCs/>
      <w:color w:val="404040" w:themeColor="text1" w:themeTint="BF"/>
    </w:rPr>
  </w:style>
  <w:style w:type="character" w:customStyle="1" w:styleId="QuoteChar">
    <w:name w:val="Quote Char"/>
    <w:basedOn w:val="DefaultParagraphFont"/>
    <w:link w:val="Quote"/>
    <w:uiPriority w:val="29"/>
    <w:rsid w:val="009B22DF"/>
    <w:rPr>
      <w:i/>
      <w:iCs/>
      <w:noProof/>
      <w:color w:val="404040" w:themeColor="text1" w:themeTint="BF"/>
    </w:rPr>
  </w:style>
  <w:style w:type="paragraph" w:styleId="ListParagraph">
    <w:name w:val="List Paragraph"/>
    <w:basedOn w:val="Normal"/>
    <w:uiPriority w:val="34"/>
    <w:qFormat/>
    <w:rsid w:val="009B22DF"/>
    <w:pPr>
      <w:ind w:left="720"/>
      <w:contextualSpacing/>
    </w:pPr>
  </w:style>
  <w:style w:type="character" w:styleId="IntenseEmphasis">
    <w:name w:val="Intense Emphasis"/>
    <w:basedOn w:val="DefaultParagraphFont"/>
    <w:uiPriority w:val="21"/>
    <w:qFormat/>
    <w:rsid w:val="009B22DF"/>
    <w:rPr>
      <w:i/>
      <w:iCs/>
      <w:color w:val="2F5496" w:themeColor="accent1" w:themeShade="BF"/>
    </w:rPr>
  </w:style>
  <w:style w:type="paragraph" w:styleId="IntenseQuote">
    <w:name w:val="Intense Quote"/>
    <w:basedOn w:val="Normal"/>
    <w:next w:val="Normal"/>
    <w:link w:val="IntenseQuoteChar"/>
    <w:uiPriority w:val="30"/>
    <w:qFormat/>
    <w:rsid w:val="009B22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B22DF"/>
    <w:rPr>
      <w:i/>
      <w:iCs/>
      <w:noProof/>
      <w:color w:val="2F5496" w:themeColor="accent1" w:themeShade="BF"/>
    </w:rPr>
  </w:style>
  <w:style w:type="character" w:styleId="IntenseReference">
    <w:name w:val="Intense Reference"/>
    <w:basedOn w:val="DefaultParagraphFont"/>
    <w:uiPriority w:val="32"/>
    <w:qFormat/>
    <w:rsid w:val="009B22DF"/>
    <w:rPr>
      <w:b/>
      <w:bCs/>
      <w:smallCaps/>
      <w:color w:val="2F5496" w:themeColor="accent1" w:themeShade="BF"/>
      <w:spacing w:val="5"/>
    </w:rPr>
  </w:style>
  <w:style w:type="table" w:styleId="TableGrid">
    <w:name w:val="Table Grid"/>
    <w:basedOn w:val="TableNormal"/>
    <w:uiPriority w:val="39"/>
    <w:rsid w:val="009B2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5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2CD"/>
    <w:rPr>
      <w:rFonts w:ascii="Arial" w:hAnsi="Arial"/>
      <w:noProof/>
      <w:color w:val="000000" w:themeColor="text1"/>
      <w:sz w:val="24"/>
    </w:rPr>
  </w:style>
  <w:style w:type="paragraph" w:styleId="Footer">
    <w:name w:val="footer"/>
    <w:basedOn w:val="Normal"/>
    <w:link w:val="FooterChar"/>
    <w:uiPriority w:val="99"/>
    <w:unhideWhenUsed/>
    <w:rsid w:val="00125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2CD"/>
    <w:rPr>
      <w:rFonts w:ascii="Arial" w:hAnsi="Arial"/>
      <w:noProof/>
      <w:color w:val="000000" w:themeColor="text1"/>
      <w:sz w:val="24"/>
    </w:rPr>
  </w:style>
  <w:style w:type="paragraph" w:styleId="TOCHeading">
    <w:name w:val="TOC Heading"/>
    <w:basedOn w:val="Heading1"/>
    <w:next w:val="Normal"/>
    <w:uiPriority w:val="39"/>
    <w:unhideWhenUsed/>
    <w:qFormat/>
    <w:rsid w:val="001252CD"/>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1252CD"/>
    <w:pPr>
      <w:spacing w:after="100"/>
    </w:pPr>
  </w:style>
  <w:style w:type="paragraph" w:styleId="TOC2">
    <w:name w:val="toc 2"/>
    <w:basedOn w:val="Normal"/>
    <w:next w:val="Normal"/>
    <w:autoRedefine/>
    <w:uiPriority w:val="39"/>
    <w:unhideWhenUsed/>
    <w:rsid w:val="001252CD"/>
    <w:pPr>
      <w:spacing w:after="100"/>
      <w:ind w:left="240"/>
    </w:pPr>
  </w:style>
  <w:style w:type="paragraph" w:styleId="TOC3">
    <w:name w:val="toc 3"/>
    <w:basedOn w:val="Normal"/>
    <w:next w:val="Normal"/>
    <w:autoRedefine/>
    <w:uiPriority w:val="39"/>
    <w:unhideWhenUsed/>
    <w:rsid w:val="001252CD"/>
    <w:pPr>
      <w:spacing w:after="100"/>
      <w:ind w:left="480"/>
    </w:pPr>
  </w:style>
  <w:style w:type="character" w:styleId="Hyperlink">
    <w:name w:val="Hyperlink"/>
    <w:basedOn w:val="DefaultParagraphFont"/>
    <w:uiPriority w:val="99"/>
    <w:unhideWhenUsed/>
    <w:rsid w:val="001252CD"/>
    <w:rPr>
      <w:color w:val="0563C1" w:themeColor="hyperlink"/>
      <w:u w:val="single"/>
    </w:rPr>
  </w:style>
  <w:style w:type="paragraph" w:styleId="NormalWeb">
    <w:name w:val="Normal (Web)"/>
    <w:basedOn w:val="Normal"/>
    <w:uiPriority w:val="99"/>
    <w:semiHidden/>
    <w:unhideWhenUsed/>
    <w:rsid w:val="005C6607"/>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94B13-778D-420D-8B5E-85F42D189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15</Pages>
  <Words>3906</Words>
  <Characters>22265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 Kasundra</dc:creator>
  <cp:keywords/>
  <dc:description/>
  <cp:lastModifiedBy>Avani Kasundra</cp:lastModifiedBy>
  <cp:revision>9</cp:revision>
  <dcterms:created xsi:type="dcterms:W3CDTF">2026-02-24T09:07:00Z</dcterms:created>
  <dcterms:modified xsi:type="dcterms:W3CDTF">2026-03-19T18:11:00Z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47b2589f-e811-4e14-a9b9-4cc2446a0954</vt:lpwstr>
  </property>
</Properties>
</file>