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C19B3" w14:textId="77777777" w:rsidR="00335042" w:rsidRDefault="00335042" w:rsidP="003971E5">
      <w:pPr>
        <w:pStyle w:val="NoSpacing"/>
      </w:pPr>
    </w:p>
    <w:p w14:paraId="3C29AAA8" w14:textId="67F0EE43" w:rsidR="00091D1B" w:rsidRPr="00091D1B" w:rsidRDefault="0071293E" w:rsidP="00091D1B">
      <w:pPr>
        <w:rPr>
          <w:b/>
          <w:bCs/>
        </w:rPr>
      </w:pPr>
      <w:r w:rsidRPr="0071293E">
        <w:rPr>
          <w:b/>
          <w:bCs/>
        </w:rPr>
        <w:t>Name:</w:t>
      </w:r>
      <w:r w:rsidRPr="0071293E">
        <w:t xml:space="preserve"> </w:t>
      </w:r>
      <w:r w:rsidR="006B5668">
        <w:t>Safia Imtiaz</w:t>
      </w:r>
      <w:r w:rsidRPr="0071293E">
        <w:br/>
      </w:r>
      <w:r w:rsidRPr="0071293E">
        <w:rPr>
          <w:b/>
          <w:bCs/>
        </w:rPr>
        <w:t>Student Number:</w:t>
      </w:r>
      <w:r w:rsidRPr="0071293E">
        <w:t xml:space="preserve"> </w:t>
      </w:r>
      <w:r w:rsidR="006B5668">
        <w:t>2410388</w:t>
      </w:r>
      <w:r w:rsidRPr="0071293E">
        <w:br/>
      </w:r>
      <w:r w:rsidRPr="0071293E">
        <w:rPr>
          <w:b/>
          <w:bCs/>
        </w:rPr>
        <w:t>Module Code and Title:</w:t>
      </w:r>
      <w:r w:rsidRPr="0071293E">
        <w:t xml:space="preserve"> LCLM5002 – Developing and Managing Individuals and Teams</w:t>
      </w:r>
      <w:r w:rsidRPr="0071293E">
        <w:br/>
      </w:r>
      <w:r w:rsidRPr="0071293E">
        <w:rPr>
          <w:b/>
          <w:bCs/>
        </w:rPr>
        <w:t>Assignment Title:</w:t>
      </w:r>
      <w:r w:rsidRPr="0071293E">
        <w:t xml:space="preserve"> Component 2 </w:t>
      </w:r>
      <w:r w:rsidR="00760213">
        <w:t xml:space="preserve"> </w:t>
      </w:r>
      <w:r w:rsidRPr="0071293E">
        <w:t xml:space="preserve"> Individual Repor</w:t>
      </w:r>
      <w:r>
        <w:t>t</w:t>
      </w:r>
    </w:p>
    <w:p w14:paraId="1DFCB004" w14:textId="77777777" w:rsidR="00335042" w:rsidRDefault="00335042"/>
    <w:p w14:paraId="01F953B6" w14:textId="77777777" w:rsidR="00335042" w:rsidRDefault="00335042">
      <w:r>
        <w:br w:type="page"/>
      </w:r>
    </w:p>
    <w:p w14:paraId="447D13D2" w14:textId="7B868559" w:rsidR="007234EE" w:rsidRPr="007234EE" w:rsidRDefault="007234EE" w:rsidP="007234EE">
      <w:pPr>
        <w:rPr>
          <w:b/>
          <w:bCs/>
        </w:rPr>
      </w:pPr>
      <w:r w:rsidRPr="007234EE">
        <w:rPr>
          <w:b/>
          <w:bCs/>
        </w:rPr>
        <w:lastRenderedPageBreak/>
        <w:t xml:space="preserve">Introduction </w:t>
      </w:r>
    </w:p>
    <w:p w14:paraId="0D6E3C94" w14:textId="0E79A12F" w:rsidR="007234EE" w:rsidRPr="007234EE" w:rsidRDefault="007234EE" w:rsidP="007234EE">
      <w:r w:rsidRPr="007234EE">
        <w:t xml:space="preserve">Starting a role in the HR department of a Birmingham-based organisation offers the unique opportunity to leverage leadership and management skills in a context where operational demands are high, and workforce satisfaction is critical. During the first month, the volume of employee grievances highlighted challenges related to organisational change, digital technology adoption, and flexible working. These challenges are common in rapidly evolving industries such as engineering, manufacturing, and professional </w:t>
      </w:r>
      <w:proofErr w:type="gramStart"/>
      <w:r w:rsidRPr="007234EE">
        <w:t>services</w:t>
      </w:r>
      <w:r w:rsidR="00760213">
        <w:t xml:space="preserve">  </w:t>
      </w:r>
      <w:r w:rsidRPr="007234EE">
        <w:t>sectors</w:t>
      </w:r>
      <w:proofErr w:type="gramEnd"/>
      <w:r w:rsidRPr="007234EE">
        <w:t xml:space="preserve"> that dominate Birmingham’s economic landscape.</w:t>
      </w:r>
    </w:p>
    <w:p w14:paraId="5916B2B6" w14:textId="77777777" w:rsidR="007234EE" w:rsidRPr="007234EE" w:rsidRDefault="007234EE" w:rsidP="007234EE">
      <w:r w:rsidRPr="007234EE">
        <w:rPr>
          <w:b/>
          <w:bCs/>
        </w:rPr>
        <w:t>Business transformation</w:t>
      </w:r>
      <w:r w:rsidRPr="007234EE">
        <w:t xml:space="preserve"> has become a strategic priority for many organisations in the city. Transformation involves systemic changes to processes, structures, technology, and culture to improve efficiency, competitiveness, and sustainability. For instance, Birmingham’s automotive and engineering firms are increasingly integrating robotics, automation, and data analytics to streamline production. In the service sector, consultancies and IT companies are redesigning client engagement and service delivery models using digital platforms. HR’s role is to manage the human dimension of transformation, ensuring employees are informed, prepared, and engaged throughout these changes.</w:t>
      </w:r>
    </w:p>
    <w:p w14:paraId="56D2CBC1" w14:textId="77777777" w:rsidR="007234EE" w:rsidRPr="007234EE" w:rsidRDefault="007234EE" w:rsidP="007234EE">
      <w:r w:rsidRPr="007234EE">
        <w:rPr>
          <w:b/>
          <w:bCs/>
        </w:rPr>
        <w:t>Digital technology trends</w:t>
      </w:r>
      <w:r w:rsidRPr="007234EE">
        <w:t xml:space="preserve"> are reshaping organisational operations and employee interactions. Tools such as HR information systems (HRIS), AI-driven recruitment software, workforce analytics platforms, and collaboration tools like Microsoft Teams or Slack enable better decision-making and communication. While these technologies enhance productivity, they also create challenges such as digital literacy gaps, resistance to change, and cybersecurity concerns. HR is responsible for implementing training, communication strategies, and support systems to overcome these challenges.</w:t>
      </w:r>
    </w:p>
    <w:p w14:paraId="6FDF8A92" w14:textId="77777777" w:rsidR="007234EE" w:rsidRPr="007234EE" w:rsidRDefault="007234EE" w:rsidP="007234EE">
      <w:r w:rsidRPr="007234EE">
        <w:t xml:space="preserve">Additionally, </w:t>
      </w:r>
      <w:r w:rsidRPr="007234EE">
        <w:rPr>
          <w:b/>
          <w:bCs/>
        </w:rPr>
        <w:t>flexible working arrangements</w:t>
      </w:r>
      <w:r w:rsidRPr="007234EE">
        <w:t xml:space="preserve"> have become increasingly important in Birmingham. Remote work, hybrid schedules, and flexible hours support work-life balance, employee retention, and inclusion. However, these arrangements also raise challenges related to team cohesion, monitoring performance, and ensuring equity across departments.</w:t>
      </w:r>
    </w:p>
    <w:p w14:paraId="6DD3EC9C" w14:textId="77777777" w:rsidR="007234EE" w:rsidRPr="007234EE" w:rsidRDefault="007234EE" w:rsidP="007234EE">
      <w:r w:rsidRPr="007234EE">
        <w:t>This report analyses key factors affecting business transformation, digital technology, and flexible working within Birmingham organisations. It evaluates contemporary HR practices designed to address these challenges, critically examines managerial implementation, and provides actionable recommendations to optimise both organisational performance and employee experience.</w:t>
      </w:r>
    </w:p>
    <w:p w14:paraId="0FA1DF8E" w14:textId="147B372C" w:rsidR="00A8064D" w:rsidRDefault="00A8064D"/>
    <w:p w14:paraId="06FEBE05" w14:textId="38716E1D" w:rsidR="007234EE" w:rsidRPr="007234EE" w:rsidRDefault="00A8064D" w:rsidP="008A41C2">
      <w:r>
        <w:br w:type="page"/>
      </w:r>
    </w:p>
    <w:p w14:paraId="0BE93696" w14:textId="7BCE4A08" w:rsidR="004B2B4C" w:rsidRPr="004B2B4C" w:rsidRDefault="004B2B4C" w:rsidP="004B2B4C">
      <w:pPr>
        <w:rPr>
          <w:b/>
          <w:bCs/>
        </w:rPr>
      </w:pPr>
      <w:r w:rsidRPr="004B2B4C">
        <w:rPr>
          <w:b/>
          <w:bCs/>
        </w:rPr>
        <w:t xml:space="preserve">Key Factors Influencing Business Transformation, Digital Technology, and Flexible Working </w:t>
      </w:r>
    </w:p>
    <w:p w14:paraId="0CDFDAE2" w14:textId="77777777" w:rsidR="004B2B4C" w:rsidRPr="004B2B4C" w:rsidRDefault="004B2B4C" w:rsidP="004B2B4C">
      <w:pPr>
        <w:rPr>
          <w:b/>
          <w:bCs/>
        </w:rPr>
      </w:pPr>
      <w:r w:rsidRPr="004B2B4C">
        <w:rPr>
          <w:b/>
          <w:bCs/>
        </w:rPr>
        <w:t>A. Business Transformation</w:t>
      </w:r>
    </w:p>
    <w:p w14:paraId="02DCC109" w14:textId="77777777" w:rsidR="004B2B4C" w:rsidRPr="004B2B4C" w:rsidRDefault="004B2B4C" w:rsidP="004B2B4C">
      <w:r w:rsidRPr="004B2B4C">
        <w:t>Business transformation refers to structured organisational changes designed to improve efficiency, competitiveness, and sustainability. In Birmingham, this process is evident across sectors such as manufacturing, professional services, and fintech. Transformation is driven by market competition, technological disruption, regulatory requirements, and sustainability imperatives.</w:t>
      </w:r>
    </w:p>
    <w:p w14:paraId="69E61AD5" w14:textId="77777777" w:rsidR="004B2B4C" w:rsidRPr="004B2B4C" w:rsidRDefault="004B2B4C" w:rsidP="004B2B4C">
      <w:r w:rsidRPr="004B2B4C">
        <w:rPr>
          <w:b/>
          <w:bCs/>
        </w:rPr>
        <w:t>Key factors include:</w:t>
      </w:r>
    </w:p>
    <w:p w14:paraId="3BA04FCC" w14:textId="77777777" w:rsidR="004B2B4C" w:rsidRPr="004B2B4C" w:rsidRDefault="004B2B4C" w:rsidP="004B2B4C">
      <w:pPr>
        <w:numPr>
          <w:ilvl w:val="0"/>
          <w:numId w:val="11"/>
        </w:numPr>
      </w:pPr>
      <w:r w:rsidRPr="004B2B4C">
        <w:rPr>
          <w:b/>
          <w:bCs/>
        </w:rPr>
        <w:t>Organisational Restructuring:</w:t>
      </w:r>
      <w:r w:rsidRPr="004B2B4C">
        <w:t xml:space="preserve"> Companies often merge departments or redefine roles to improve efficiency. For example, a Birmingham engineering firm may consolidate design and production teams to enhance workflow. Without clear communication, restructuring can lead to confusion and stress among employees.</w:t>
      </w:r>
    </w:p>
    <w:p w14:paraId="10221D9A" w14:textId="77777777" w:rsidR="004B2B4C" w:rsidRPr="004B2B4C" w:rsidRDefault="004B2B4C" w:rsidP="004B2B4C">
      <w:pPr>
        <w:numPr>
          <w:ilvl w:val="0"/>
          <w:numId w:val="11"/>
        </w:numPr>
      </w:pPr>
      <w:r w:rsidRPr="004B2B4C">
        <w:rPr>
          <w:b/>
          <w:bCs/>
        </w:rPr>
        <w:t>Skill Development Requirements:</w:t>
      </w:r>
      <w:r w:rsidRPr="004B2B4C">
        <w:t xml:space="preserve"> Transformation requires new skills and competencies. In manufacturing, employees need expertise in automated machinery, AI-driven quality control, or digital monitoring tools. Professional services firms may require digital project management or advanced analytics skills. HR must implement training programs and continuous learning opportunities to close skill gaps.</w:t>
      </w:r>
    </w:p>
    <w:p w14:paraId="07D66448" w14:textId="77777777" w:rsidR="004B2B4C" w:rsidRPr="004B2B4C" w:rsidRDefault="004B2B4C" w:rsidP="004B2B4C">
      <w:pPr>
        <w:numPr>
          <w:ilvl w:val="0"/>
          <w:numId w:val="11"/>
        </w:numPr>
      </w:pPr>
      <w:r w:rsidRPr="004B2B4C">
        <w:rPr>
          <w:b/>
          <w:bCs/>
        </w:rPr>
        <w:t>Cultural Shifts:</w:t>
      </w:r>
      <w:r w:rsidRPr="004B2B4C">
        <w:t xml:space="preserve"> Transformation succeeds only if the organisational culture supports innovation, adaptability, and collaboration. HR can foster engagement by promoting open communication, recognising achievements, and encouraging a growth mindset.</w:t>
      </w:r>
    </w:p>
    <w:p w14:paraId="46D1CEA3" w14:textId="76694394" w:rsidR="004B2B4C" w:rsidRPr="004B2B4C" w:rsidRDefault="004B2B4C" w:rsidP="004B2B4C">
      <w:r w:rsidRPr="004B2B4C">
        <w:t>Birmingham organisations also face sector</w:t>
      </w:r>
      <w:r w:rsidR="003822F0">
        <w:t xml:space="preserve"> </w:t>
      </w:r>
      <w:r w:rsidRPr="004B2B4C">
        <w:t>specific pressures. For instance, local automotive manufacturers must adapt to electric vehicle production, while professional services firms must integrate cloud technologies and client analytics tools. These pressures increase the demand for effective HR support and workforce adaptability.</w:t>
      </w:r>
    </w:p>
    <w:p w14:paraId="79F10AB1" w14:textId="77777777" w:rsidR="004B2B4C" w:rsidRPr="004B2B4C" w:rsidRDefault="004B2B4C" w:rsidP="004B2B4C">
      <w:pPr>
        <w:rPr>
          <w:b/>
          <w:bCs/>
        </w:rPr>
      </w:pPr>
      <w:r w:rsidRPr="004B2B4C">
        <w:rPr>
          <w:b/>
          <w:bCs/>
        </w:rPr>
        <w:t>B. Digital Technology Trends</w:t>
      </w:r>
    </w:p>
    <w:p w14:paraId="2F343372" w14:textId="77777777" w:rsidR="004B2B4C" w:rsidRPr="004B2B4C" w:rsidRDefault="004B2B4C" w:rsidP="004B2B4C">
      <w:r w:rsidRPr="004B2B4C">
        <w:t>Digital technology adoption is reshaping HR processes and organisational operations. Key trends in Birmingham include:</w:t>
      </w:r>
    </w:p>
    <w:p w14:paraId="00A65BBC" w14:textId="77777777" w:rsidR="004B2B4C" w:rsidRPr="004B2B4C" w:rsidRDefault="004B2B4C" w:rsidP="004B2B4C">
      <w:pPr>
        <w:numPr>
          <w:ilvl w:val="0"/>
          <w:numId w:val="12"/>
        </w:numPr>
      </w:pPr>
      <w:r w:rsidRPr="004B2B4C">
        <w:rPr>
          <w:b/>
          <w:bCs/>
        </w:rPr>
        <w:t>HR Information Systems (HRIS):</w:t>
      </w:r>
      <w:r w:rsidRPr="004B2B4C">
        <w:t xml:space="preserve"> Platforms like Workday and SAP SuccessFactors centralise employee data, streamline payroll, recruitment, and performance management, and provide actionable insights for managers.</w:t>
      </w:r>
    </w:p>
    <w:p w14:paraId="0919DB12" w14:textId="77777777" w:rsidR="004B2B4C" w:rsidRPr="004B2B4C" w:rsidRDefault="004B2B4C" w:rsidP="004B2B4C">
      <w:pPr>
        <w:numPr>
          <w:ilvl w:val="0"/>
          <w:numId w:val="12"/>
        </w:numPr>
      </w:pPr>
      <w:r w:rsidRPr="004B2B4C">
        <w:rPr>
          <w:b/>
          <w:bCs/>
        </w:rPr>
        <w:t>Artificial Intelligence and Automation:</w:t>
      </w:r>
      <w:r w:rsidRPr="004B2B4C">
        <w:t xml:space="preserve"> AI applications include predictive analytics for staff retention, automated candidate screening, and chatbots for employee queries. These tools improve efficiency but require oversight and digital literacy training.</w:t>
      </w:r>
    </w:p>
    <w:p w14:paraId="3FF5F59E" w14:textId="77777777" w:rsidR="004B2B4C" w:rsidRPr="004B2B4C" w:rsidRDefault="004B2B4C" w:rsidP="004B2B4C">
      <w:pPr>
        <w:numPr>
          <w:ilvl w:val="0"/>
          <w:numId w:val="12"/>
        </w:numPr>
      </w:pPr>
      <w:r w:rsidRPr="004B2B4C">
        <w:rPr>
          <w:b/>
          <w:bCs/>
        </w:rPr>
        <w:t>Collaboration and Communication Tools:</w:t>
      </w:r>
      <w:r w:rsidRPr="004B2B4C">
        <w:t xml:space="preserve"> Hybrid working relies on Microsoft Teams, Zoom, and Slack. These platforms maintain connectivity, enhance teamwork, and support flexible work practices.</w:t>
      </w:r>
    </w:p>
    <w:p w14:paraId="59DC7697" w14:textId="77777777" w:rsidR="004B2B4C" w:rsidRPr="004B2B4C" w:rsidRDefault="004B2B4C" w:rsidP="004B2B4C">
      <w:r w:rsidRPr="004B2B4C">
        <w:t>Challenges include employee resistance, cybersecurity risks, and digital skill gaps. HR must implement change management, training programs, and ongoing support to ensure effective adoption.</w:t>
      </w:r>
    </w:p>
    <w:p w14:paraId="79BE6C3F" w14:textId="77777777" w:rsidR="004B2B4C" w:rsidRPr="004B2B4C" w:rsidRDefault="004B2B4C" w:rsidP="004B2B4C">
      <w:pPr>
        <w:rPr>
          <w:b/>
          <w:bCs/>
        </w:rPr>
      </w:pPr>
      <w:r w:rsidRPr="004B2B4C">
        <w:rPr>
          <w:b/>
          <w:bCs/>
        </w:rPr>
        <w:t>C. Flexible Working Arrangements</w:t>
      </w:r>
    </w:p>
    <w:p w14:paraId="194BB496" w14:textId="77777777" w:rsidR="004B2B4C" w:rsidRPr="004B2B4C" w:rsidRDefault="004B2B4C" w:rsidP="004B2B4C">
      <w:r w:rsidRPr="004B2B4C">
        <w:t>Flexible working includes remote work, hybrid schedules, flexitime, and compressed workweeks.</w:t>
      </w:r>
    </w:p>
    <w:p w14:paraId="085B902C" w14:textId="77777777" w:rsidR="004B2B4C" w:rsidRPr="004B2B4C" w:rsidRDefault="004B2B4C" w:rsidP="004B2B4C">
      <w:r w:rsidRPr="004B2B4C">
        <w:rPr>
          <w:b/>
          <w:bCs/>
        </w:rPr>
        <w:t>Benefits:</w:t>
      </w:r>
    </w:p>
    <w:p w14:paraId="3BB6ABDF" w14:textId="77777777" w:rsidR="004B2B4C" w:rsidRPr="004B2B4C" w:rsidRDefault="004B2B4C" w:rsidP="004B2B4C">
      <w:pPr>
        <w:numPr>
          <w:ilvl w:val="0"/>
          <w:numId w:val="13"/>
        </w:numPr>
      </w:pPr>
      <w:r w:rsidRPr="004B2B4C">
        <w:t>Enhances employee work-life balance, reducing stress and burnout.</w:t>
      </w:r>
    </w:p>
    <w:p w14:paraId="69EC5337" w14:textId="77777777" w:rsidR="004B2B4C" w:rsidRPr="004B2B4C" w:rsidRDefault="004B2B4C" w:rsidP="004B2B4C">
      <w:pPr>
        <w:numPr>
          <w:ilvl w:val="0"/>
          <w:numId w:val="13"/>
        </w:numPr>
      </w:pPr>
      <w:r w:rsidRPr="004B2B4C">
        <w:t>Supports retention, particularly among parents and carers.</w:t>
      </w:r>
    </w:p>
    <w:p w14:paraId="2A415094" w14:textId="77777777" w:rsidR="004B2B4C" w:rsidRPr="004B2B4C" w:rsidRDefault="004B2B4C" w:rsidP="004B2B4C">
      <w:pPr>
        <w:numPr>
          <w:ilvl w:val="0"/>
          <w:numId w:val="13"/>
        </w:numPr>
      </w:pPr>
      <w:r w:rsidRPr="004B2B4C">
        <w:t>Expands talent pools, promoting diversity and inclusion.</w:t>
      </w:r>
    </w:p>
    <w:p w14:paraId="26BD1150" w14:textId="77777777" w:rsidR="004B2B4C" w:rsidRPr="004B2B4C" w:rsidRDefault="004B2B4C" w:rsidP="004B2B4C">
      <w:r w:rsidRPr="004B2B4C">
        <w:rPr>
          <w:b/>
          <w:bCs/>
        </w:rPr>
        <w:t>Challenges:</w:t>
      </w:r>
    </w:p>
    <w:p w14:paraId="3E4DF1D8" w14:textId="77777777" w:rsidR="004B2B4C" w:rsidRPr="004B2B4C" w:rsidRDefault="004B2B4C" w:rsidP="004B2B4C">
      <w:pPr>
        <w:numPr>
          <w:ilvl w:val="0"/>
          <w:numId w:val="14"/>
        </w:numPr>
      </w:pPr>
      <w:r w:rsidRPr="004B2B4C">
        <w:t>Maintaining team cohesion and organisational culture.</w:t>
      </w:r>
    </w:p>
    <w:p w14:paraId="4F43C5C2" w14:textId="77777777" w:rsidR="004B2B4C" w:rsidRPr="004B2B4C" w:rsidRDefault="004B2B4C" w:rsidP="004B2B4C">
      <w:pPr>
        <w:numPr>
          <w:ilvl w:val="0"/>
          <w:numId w:val="14"/>
        </w:numPr>
      </w:pPr>
      <w:r w:rsidRPr="004B2B4C">
        <w:t>Monitoring performance and productivity.</w:t>
      </w:r>
    </w:p>
    <w:p w14:paraId="76067898" w14:textId="77777777" w:rsidR="004B2B4C" w:rsidRPr="004B2B4C" w:rsidRDefault="004B2B4C" w:rsidP="004B2B4C">
      <w:pPr>
        <w:numPr>
          <w:ilvl w:val="0"/>
          <w:numId w:val="14"/>
        </w:numPr>
      </w:pPr>
      <w:r w:rsidRPr="004B2B4C">
        <w:t>Ensuring fairness across departments.</w:t>
      </w:r>
    </w:p>
    <w:p w14:paraId="714D463E" w14:textId="77777777" w:rsidR="004B2B4C" w:rsidRPr="004B2B4C" w:rsidRDefault="004B2B4C" w:rsidP="004B2B4C">
      <w:r w:rsidRPr="004B2B4C">
        <w:t>Birmingham organisations have accelerated flexible working adoption post-pandemic. For example, IT and consultancy firms increasingly offer hybrid roles, while manufacturing firms may implement shift flexibility. HR must balance operational requirements with employee expectations to ensure equitable and effective arrangements.</w:t>
      </w:r>
    </w:p>
    <w:p w14:paraId="56004184" w14:textId="75CC7BFD" w:rsidR="00A8064D" w:rsidRDefault="00A8064D"/>
    <w:p w14:paraId="28104D89" w14:textId="7CD01E85" w:rsidR="00A8064D" w:rsidRDefault="00A8064D"/>
    <w:p w14:paraId="572FC8AE" w14:textId="77777777" w:rsidR="00A8064D" w:rsidRDefault="00A8064D">
      <w:r>
        <w:br w:type="page"/>
      </w:r>
    </w:p>
    <w:p w14:paraId="7C5A3965" w14:textId="5C48D834" w:rsidR="007F482E" w:rsidRPr="007F482E" w:rsidRDefault="007F482E" w:rsidP="007F482E">
      <w:pPr>
        <w:rPr>
          <w:b/>
          <w:bCs/>
        </w:rPr>
      </w:pPr>
      <w:r w:rsidRPr="007F482E">
        <w:rPr>
          <w:b/>
          <w:bCs/>
        </w:rPr>
        <w:t>Contemporary HR Practices to Address Identified Factors</w:t>
      </w:r>
    </w:p>
    <w:p w14:paraId="2C58C4CA" w14:textId="77777777" w:rsidR="007F482E" w:rsidRPr="007F482E" w:rsidRDefault="007F482E" w:rsidP="007F482E">
      <w:pPr>
        <w:rPr>
          <w:b/>
          <w:bCs/>
        </w:rPr>
      </w:pPr>
      <w:r w:rsidRPr="007F482E">
        <w:rPr>
          <w:b/>
          <w:bCs/>
        </w:rPr>
        <w:t>A. Addressing Business Transformation</w:t>
      </w:r>
    </w:p>
    <w:p w14:paraId="64823ED7" w14:textId="0B9A79BE" w:rsidR="007F482E" w:rsidRPr="007F482E" w:rsidRDefault="007F482E" w:rsidP="007F482E">
      <w:r w:rsidRPr="007F482E">
        <w:rPr>
          <w:b/>
          <w:bCs/>
        </w:rPr>
        <w:t>Change Management Programmes:</w:t>
      </w:r>
      <w:r w:rsidRPr="007F482E">
        <w:t xml:space="preserve"> Structured approaches, such as Kotter’s 8</w:t>
      </w:r>
      <w:r w:rsidR="00286B07">
        <w:t xml:space="preserve"> </w:t>
      </w:r>
      <w:r w:rsidRPr="007F482E">
        <w:t xml:space="preserve">Step Model or </w:t>
      </w:r>
      <w:proofErr w:type="spellStart"/>
      <w:r w:rsidRPr="007F482E">
        <w:t>Prosci</w:t>
      </w:r>
      <w:proofErr w:type="spellEnd"/>
      <w:r w:rsidRPr="007F482E">
        <w:t xml:space="preserve"> ADKAR framework, guide employees through change, reducing resistance and promoting engagement. Communication plans, leadership support, and employee involvement are essential.</w:t>
      </w:r>
    </w:p>
    <w:p w14:paraId="73B1A68D" w14:textId="77777777" w:rsidR="007F482E" w:rsidRPr="007F482E" w:rsidRDefault="007F482E" w:rsidP="007F482E">
      <w:r w:rsidRPr="007F482E">
        <w:rPr>
          <w:b/>
          <w:bCs/>
        </w:rPr>
        <w:t>Training and Development:</w:t>
      </w:r>
      <w:r w:rsidRPr="007F482E">
        <w:t xml:space="preserve"> Workshops, online courses, and partnerships with Birmingham’s universities or training providers equip employees with new skills. For instance, training in robotics for manufacturing staff or digital project management for consultancy teams.</w:t>
      </w:r>
    </w:p>
    <w:p w14:paraId="014F775F" w14:textId="77777777" w:rsidR="007F482E" w:rsidRPr="007F482E" w:rsidRDefault="007F482E" w:rsidP="007F482E">
      <w:r w:rsidRPr="007F482E">
        <w:rPr>
          <w:b/>
          <w:bCs/>
        </w:rPr>
        <w:t>Performance Management Alignment:</w:t>
      </w:r>
      <w:r w:rsidRPr="007F482E">
        <w:t xml:space="preserve"> Revising KPIs and appraisal systems ensures alignment with transformation goals. Rewarding employees who adapt successfully reinforces motivation and accountability.</w:t>
      </w:r>
    </w:p>
    <w:p w14:paraId="60A32CA2" w14:textId="77777777" w:rsidR="007F482E" w:rsidRPr="007F482E" w:rsidRDefault="007F482E" w:rsidP="007F482E">
      <w:pPr>
        <w:rPr>
          <w:b/>
          <w:bCs/>
        </w:rPr>
      </w:pPr>
      <w:r w:rsidRPr="007F482E">
        <w:rPr>
          <w:b/>
          <w:bCs/>
        </w:rPr>
        <w:t>B. Leveraging Digital Technology</w:t>
      </w:r>
    </w:p>
    <w:p w14:paraId="6EF43ABC" w14:textId="5584E7AB" w:rsidR="007F482E" w:rsidRPr="007F482E" w:rsidRDefault="007F482E" w:rsidP="007F482E">
      <w:r w:rsidRPr="007F482E">
        <w:rPr>
          <w:b/>
          <w:bCs/>
        </w:rPr>
        <w:t>HRIS and Analytics:</w:t>
      </w:r>
      <w:r w:rsidRPr="007F482E">
        <w:t xml:space="preserve"> Centralised systems improve efficiency and support data</w:t>
      </w:r>
      <w:r w:rsidR="007940BF">
        <w:t xml:space="preserve"> </w:t>
      </w:r>
      <w:r w:rsidRPr="007F482E">
        <w:t>driven decisions. HR can monitor trends, forecast staffing needs, and provide real</w:t>
      </w:r>
      <w:r w:rsidR="007940BF">
        <w:t xml:space="preserve"> </w:t>
      </w:r>
      <w:r w:rsidRPr="007F482E">
        <w:t>time feedback to managers.</w:t>
      </w:r>
    </w:p>
    <w:p w14:paraId="2A7E3B94" w14:textId="77777777" w:rsidR="007F482E" w:rsidRPr="007F482E" w:rsidRDefault="007F482E" w:rsidP="007F482E">
      <w:r w:rsidRPr="007F482E">
        <w:rPr>
          <w:b/>
          <w:bCs/>
        </w:rPr>
        <w:t>Digital Learning Platforms:</w:t>
      </w:r>
      <w:r w:rsidRPr="007F482E">
        <w:t xml:space="preserve"> E-learning and virtual training enable continuous skill development, particularly in digital literacy and AI tools.</w:t>
      </w:r>
    </w:p>
    <w:p w14:paraId="47C06B37" w14:textId="77777777" w:rsidR="007F482E" w:rsidRPr="007F482E" w:rsidRDefault="007F482E" w:rsidP="007F482E">
      <w:r w:rsidRPr="007F482E">
        <w:rPr>
          <w:b/>
          <w:bCs/>
        </w:rPr>
        <w:t>Employee Engagement Platforms:</w:t>
      </w:r>
      <w:r w:rsidRPr="007F482E">
        <w:t xml:space="preserve"> Tools for feedback, surveys, and internal communication allow HR to monitor morale, address grievances, and maintain engagement, especially in hybrid environments.</w:t>
      </w:r>
    </w:p>
    <w:p w14:paraId="3BDDFDA3" w14:textId="77777777" w:rsidR="007F482E" w:rsidRPr="007F482E" w:rsidRDefault="007F482E" w:rsidP="007F482E">
      <w:pPr>
        <w:rPr>
          <w:b/>
          <w:bCs/>
        </w:rPr>
      </w:pPr>
      <w:r w:rsidRPr="007F482E">
        <w:rPr>
          <w:b/>
          <w:bCs/>
        </w:rPr>
        <w:t>C. Supporting Flexible Working</w:t>
      </w:r>
    </w:p>
    <w:p w14:paraId="4E583C31" w14:textId="77777777" w:rsidR="007F482E" w:rsidRPr="007F482E" w:rsidRDefault="007F482E" w:rsidP="007F482E">
      <w:r w:rsidRPr="007F482E">
        <w:rPr>
          <w:b/>
          <w:bCs/>
        </w:rPr>
        <w:t>Flexible Work Policies:</w:t>
      </w:r>
      <w:r w:rsidRPr="007F482E">
        <w:t xml:space="preserve"> Clear policies define eligibility, expectations, and protocols for remote or hybrid work, ensuring fairness.</w:t>
      </w:r>
    </w:p>
    <w:p w14:paraId="2A0A05CF" w14:textId="77777777" w:rsidR="007F482E" w:rsidRPr="007F482E" w:rsidRDefault="007F482E" w:rsidP="007F482E">
      <w:r w:rsidRPr="007F482E">
        <w:rPr>
          <w:b/>
          <w:bCs/>
        </w:rPr>
        <w:t>Wellbeing and Mental Health Initiatives:</w:t>
      </w:r>
      <w:r w:rsidRPr="007F482E">
        <w:t xml:space="preserve"> Virtual counselling, wellness workshops, and mental health resources support employees in flexible arrangements.</w:t>
      </w:r>
    </w:p>
    <w:p w14:paraId="5D8DA027" w14:textId="77777777" w:rsidR="007F482E" w:rsidRPr="007F482E" w:rsidRDefault="007F482E" w:rsidP="007F482E">
      <w:r w:rsidRPr="007F482E">
        <w:rPr>
          <w:b/>
          <w:bCs/>
        </w:rPr>
        <w:t>Outcome-Based Performance Monitoring:</w:t>
      </w:r>
      <w:r w:rsidRPr="007F482E">
        <w:t xml:space="preserve"> Focus on results rather than presence enhances accountability while allowing flexibility.</w:t>
      </w:r>
    </w:p>
    <w:p w14:paraId="1D45DCB9" w14:textId="77777777" w:rsidR="007F482E" w:rsidRPr="007F482E" w:rsidRDefault="007F482E" w:rsidP="007F482E">
      <w:r w:rsidRPr="007F482E">
        <w:t>Integrating these HR practices allows Birmingham organisations to manage transformation, digitalisation, and flexible working effectively, supporting both organisational objectives and employee well-being.</w:t>
      </w:r>
    </w:p>
    <w:p w14:paraId="01F3B0BE" w14:textId="031AC699" w:rsidR="00A8064D" w:rsidRDefault="00A8064D"/>
    <w:p w14:paraId="3541943B" w14:textId="77777777" w:rsidR="00A8064D" w:rsidRDefault="00A8064D">
      <w:r>
        <w:br w:type="page"/>
      </w:r>
    </w:p>
    <w:p w14:paraId="4506BE4C" w14:textId="0598D8B9" w:rsidR="004A6BE1" w:rsidRPr="004A6BE1" w:rsidRDefault="004A6BE1" w:rsidP="004A6BE1">
      <w:pPr>
        <w:rPr>
          <w:b/>
          <w:bCs/>
        </w:rPr>
      </w:pPr>
      <w:r w:rsidRPr="004A6BE1">
        <w:rPr>
          <w:b/>
          <w:bCs/>
        </w:rPr>
        <w:t>Managerial Implementation of HR Practices: Critical Evaluation</w:t>
      </w:r>
    </w:p>
    <w:p w14:paraId="2EBF3CEE" w14:textId="247CA3A7" w:rsidR="004A6BE1" w:rsidRPr="004A6BE1" w:rsidRDefault="004A6BE1" w:rsidP="004A6BE1">
      <w:r w:rsidRPr="004A6BE1">
        <w:t xml:space="preserve">Managers are the linchpin in the effective implementation of HR practices. While HR teams design policies and frameworks, it is ultimately the responsibility of departmental managers to ensure these practices are executed in daily operations. Without proactive managerial involvement, even the most </w:t>
      </w:r>
      <w:proofErr w:type="gramStart"/>
      <w:r w:rsidRPr="004A6BE1">
        <w:t>well</w:t>
      </w:r>
      <w:r w:rsidR="00B140A2">
        <w:t xml:space="preserve">  </w:t>
      </w:r>
      <w:r w:rsidRPr="004A6BE1">
        <w:t>designed</w:t>
      </w:r>
      <w:proofErr w:type="gramEnd"/>
      <w:r w:rsidRPr="004A6BE1">
        <w:t xml:space="preserve"> HR strategies can fail, resulting in low engagement, poor performance, and resistance to change.</w:t>
      </w:r>
    </w:p>
    <w:p w14:paraId="79914FB3" w14:textId="4004C4E4" w:rsidR="004A6BE1" w:rsidRPr="004A6BE1" w:rsidRDefault="004A6BE1" w:rsidP="004A6BE1">
      <w:r w:rsidRPr="004A6BE1">
        <w:rPr>
          <w:b/>
          <w:bCs/>
        </w:rPr>
        <w:t>Clear Communication and Role Modelling:</w:t>
      </w:r>
      <w:r w:rsidRPr="004A6BE1">
        <w:t xml:space="preserve"> Managers must communicate HR policies clearly, consistently, and transparently to all employees. For example, in a Birmingham</w:t>
      </w:r>
      <w:r w:rsidR="009110D0">
        <w:t xml:space="preserve"> </w:t>
      </w:r>
      <w:r w:rsidRPr="004A6BE1">
        <w:t xml:space="preserve">based professional services firm implementing hybrid working, managers should hold team briefings, emails, and Q&amp;A sessions to explain expectations, guidelines, and benefits of the new flexible arrangements. Role modelling is equally </w:t>
      </w:r>
      <w:proofErr w:type="gramStart"/>
      <w:r w:rsidRPr="004A6BE1">
        <w:t>important</w:t>
      </w:r>
      <w:r w:rsidR="006335A1">
        <w:t xml:space="preserve"> </w:t>
      </w:r>
      <w:r w:rsidR="009110D0">
        <w:t xml:space="preserve"> </w:t>
      </w:r>
      <w:r w:rsidRPr="004A6BE1">
        <w:t>managers</w:t>
      </w:r>
      <w:proofErr w:type="gramEnd"/>
      <w:r w:rsidRPr="004A6BE1">
        <w:t xml:space="preserve"> should demonstrate compliance by adhering to flexible schedules themselves and using digital collaboration tools effectively. This approach fosters trust, reduces anxiety about new processes, and encourages employees to follow suit. According to Armstrong (2020), consistent communication and visible leadership </w:t>
      </w:r>
      <w:proofErr w:type="spellStart"/>
      <w:r w:rsidRPr="004A6BE1">
        <w:t>behavior</w:t>
      </w:r>
      <w:proofErr w:type="spellEnd"/>
      <w:r w:rsidRPr="004A6BE1">
        <w:t xml:space="preserve"> are essential in driving organisational change.</w:t>
      </w:r>
    </w:p>
    <w:p w14:paraId="56AB6CAE" w14:textId="77777777" w:rsidR="004A6BE1" w:rsidRPr="004A6BE1" w:rsidRDefault="004A6BE1" w:rsidP="004A6BE1">
      <w:r w:rsidRPr="004A6BE1">
        <w:rPr>
          <w:b/>
          <w:bCs/>
        </w:rPr>
        <w:t>Integration with Departmental Goals:</w:t>
      </w:r>
      <w:r w:rsidRPr="004A6BE1">
        <w:t xml:space="preserve"> HR practices must not exist in isolation. Managers need to align HR initiatives with operational objectives to make them meaningful for employees. For instance, when introducing digital learning platforms for skill development, managers can set team-specific learning milestones linked to ongoing projects. This not only enhances motivation but also demonstrates the direct impact of these HR initiatives on departmental performance. CIPD (2023) highlights that aligning HR strategies with operational goals improves employee engagement and organisational efficiency.</w:t>
      </w:r>
    </w:p>
    <w:p w14:paraId="0975235C" w14:textId="77777777" w:rsidR="004A6BE1" w:rsidRPr="004A6BE1" w:rsidRDefault="004A6BE1" w:rsidP="004A6BE1">
      <w:r w:rsidRPr="004A6BE1">
        <w:rPr>
          <w:b/>
          <w:bCs/>
        </w:rPr>
        <w:t>Monitoring and Urgency:</w:t>
      </w:r>
      <w:r w:rsidRPr="004A6BE1">
        <w:t xml:space="preserve"> Implementation requires consistent monitoring. Managers can conduct regular audits, performance reviews, and informal check-ins to ensure HR practices are being adopted effectively. For example, in manufacturing operations in Birmingham, managers can track compliance with new safety procedures alongside flexible shift arrangements. Prompt corrective action in response to gaps or delays is crucial, particularly during periods of business transformation, to prevent resistance from escalating.</w:t>
      </w:r>
    </w:p>
    <w:p w14:paraId="6DDA3339" w14:textId="77777777" w:rsidR="004A6BE1" w:rsidRPr="004A6BE1" w:rsidRDefault="004A6BE1" w:rsidP="004A6BE1">
      <w:r w:rsidRPr="004A6BE1">
        <w:rPr>
          <w:b/>
          <w:bCs/>
        </w:rPr>
        <w:t>Resistance Management:</w:t>
      </w:r>
      <w:r w:rsidRPr="004A6BE1">
        <w:t xml:space="preserve"> Resistance is natural when implementing new practices, whether related to digital technology or flexible working. Managers must proactively involve employees in discussions, provide coaching, and create forums for feedback. Transparent dialogue helps identify concerns early, enabling tailored interventions such as additional training or mentoring. </w:t>
      </w:r>
      <w:proofErr w:type="spellStart"/>
      <w:r w:rsidRPr="004A6BE1">
        <w:t>Prosci</w:t>
      </w:r>
      <w:proofErr w:type="spellEnd"/>
      <w:r w:rsidRPr="004A6BE1">
        <w:t xml:space="preserve"> (2021) emphasises that early engagement and open communication significantly increase the likelihood of successful change adoption.</w:t>
      </w:r>
    </w:p>
    <w:p w14:paraId="66EBF163" w14:textId="1C1AABD5" w:rsidR="004A6BE1" w:rsidRPr="004A6BE1" w:rsidRDefault="004A6BE1" w:rsidP="004A6BE1">
      <w:r w:rsidRPr="004A6BE1">
        <w:rPr>
          <w:b/>
          <w:bCs/>
        </w:rPr>
        <w:t>Performance Metrics and Evaluation:</w:t>
      </w:r>
      <w:r w:rsidRPr="004A6BE1">
        <w:t xml:space="preserve"> To ensure HR practices are effective, managers should implement measurable performance indicators. These could include monitoring flexible work adoption rates, digital skills certification completion, reduction in grievances, productivity metrics, and employee engagement scores. Continuous evaluation enables managers to make data-driven decisions, refine processes, and demonstrate the tangible value of HR interventions. Workday (2023) notes that </w:t>
      </w:r>
      <w:proofErr w:type="gramStart"/>
      <w:r w:rsidRPr="004A6BE1">
        <w:t>analytics</w:t>
      </w:r>
      <w:r w:rsidR="009110D0">
        <w:t xml:space="preserve">  </w:t>
      </w:r>
      <w:r w:rsidRPr="004A6BE1">
        <w:t>driven</w:t>
      </w:r>
      <w:proofErr w:type="gramEnd"/>
      <w:r w:rsidRPr="004A6BE1">
        <w:t xml:space="preserve"> management improves accountability and efficiency, particularly in organisations undergoing transformation.</w:t>
      </w:r>
    </w:p>
    <w:p w14:paraId="04986186" w14:textId="77777777" w:rsidR="004A6BE1" w:rsidRPr="004A6BE1" w:rsidRDefault="004A6BE1" w:rsidP="004A6BE1">
      <w:r w:rsidRPr="004A6BE1">
        <w:t>Overall, effective managerial engagement ensures that HR practices are implemented consistently, urgently, and in a manner that supports both employee well-being and organisational objectives. By embedding HR practices into daily managerial responsibilities, Birmingham organisations can navigate transformation successfully while fostering a positive workplace culture.</w:t>
      </w:r>
    </w:p>
    <w:p w14:paraId="3680B7DF" w14:textId="1C99D52F" w:rsidR="00A8064D" w:rsidRDefault="00A8064D"/>
    <w:p w14:paraId="7DBE0A16" w14:textId="26FBE54D" w:rsidR="006352B3" w:rsidRPr="006352B3" w:rsidRDefault="006352B3" w:rsidP="006352B3">
      <w:pPr>
        <w:rPr>
          <w:b/>
          <w:bCs/>
        </w:rPr>
      </w:pPr>
      <w:r w:rsidRPr="006352B3">
        <w:rPr>
          <w:b/>
          <w:bCs/>
        </w:rPr>
        <w:t>Conclusion and Recommendations</w:t>
      </w:r>
    </w:p>
    <w:p w14:paraId="7E95FBFA" w14:textId="49210CB3" w:rsidR="006352B3" w:rsidRPr="006352B3" w:rsidRDefault="006352B3" w:rsidP="006352B3">
      <w:r w:rsidRPr="006352B3">
        <w:rPr>
          <w:b/>
          <w:bCs/>
        </w:rPr>
        <w:t>Conclusion:</w:t>
      </w:r>
      <w:r w:rsidRPr="006352B3">
        <w:br/>
        <w:t xml:space="preserve">Birmingham-based organisations are increasingly navigating complex pressures from business transformation, digital technology adoption, and flexible working arrangements. These initiatives are critical to sustaining competitiveness, enhancing efficiency, and meeting employee expectations in a dynamic labour market. Business transformation involves restructuring processes, reskilling staff, and promoting cultural adaptability to maintain operational excellence. Digital technology adoption enables real-time decision-making, optimises performance, and facilitates collaboration, but it also requires overcoming challenges such as digital literacy gaps and employee resistance. Flexible working arrangements, including remote and hybrid models, support </w:t>
      </w:r>
      <w:proofErr w:type="gramStart"/>
      <w:r w:rsidRPr="006352B3">
        <w:t>work</w:t>
      </w:r>
      <w:r w:rsidR="00F31F92">
        <w:t xml:space="preserve">  </w:t>
      </w:r>
      <w:r w:rsidRPr="006352B3">
        <w:t>life</w:t>
      </w:r>
      <w:proofErr w:type="gramEnd"/>
      <w:r w:rsidRPr="006352B3">
        <w:t xml:space="preserve"> balance, talent retention, and inclusion; however, they demand clear policies, effective performance monitoring, and cultural adjustment to ensure equity and cohesion.</w:t>
      </w:r>
    </w:p>
    <w:p w14:paraId="5AF0AE1D" w14:textId="77777777" w:rsidR="006352B3" w:rsidRPr="006352B3" w:rsidRDefault="006352B3" w:rsidP="006352B3">
      <w:r w:rsidRPr="006352B3">
        <w:t>The success of these initiatives largely depends on the alignment of HR practices with organisational objectives and the proactive involvement of managers. Without comprehensive implementation, employees may feel unsupported, leading to dissatisfaction, increased grievances, and decreased productivity. HR teams must work alongside managers to design policies, provide training, and establish monitoring systems that are responsive to evolving business needs. Birmingham organisations that effectively integrate HR strategies with digital technology, flexible working, and change management are better positioned to enhance employee engagement, retain talent, and achieve operational resilience.</w:t>
      </w:r>
    </w:p>
    <w:p w14:paraId="5E5477F5" w14:textId="77777777" w:rsidR="006352B3" w:rsidRPr="006352B3" w:rsidRDefault="006352B3" w:rsidP="006352B3">
      <w:r w:rsidRPr="006352B3">
        <w:rPr>
          <w:b/>
          <w:bCs/>
        </w:rPr>
        <w:t>Recommendations:</w:t>
      </w:r>
    </w:p>
    <w:p w14:paraId="698AE1A5" w14:textId="77777777" w:rsidR="006352B3" w:rsidRPr="006352B3" w:rsidRDefault="006352B3" w:rsidP="006352B3">
      <w:pPr>
        <w:numPr>
          <w:ilvl w:val="0"/>
          <w:numId w:val="15"/>
        </w:numPr>
      </w:pPr>
      <w:r w:rsidRPr="006352B3">
        <w:rPr>
          <w:b/>
          <w:bCs/>
        </w:rPr>
        <w:t>Implement Continuous Learning and Development Programmes:</w:t>
      </w:r>
      <w:r w:rsidRPr="006352B3">
        <w:t xml:space="preserve"> Invest in both digital literacy and leadership development programmes. Encourage collaboration with Birmingham universities or local training providers to provide relevant upskilling opportunities.</w:t>
      </w:r>
    </w:p>
    <w:p w14:paraId="0FFF6983" w14:textId="77777777" w:rsidR="006352B3" w:rsidRPr="006352B3" w:rsidRDefault="006352B3" w:rsidP="006352B3">
      <w:pPr>
        <w:numPr>
          <w:ilvl w:val="0"/>
          <w:numId w:val="15"/>
        </w:numPr>
      </w:pPr>
      <w:r w:rsidRPr="006352B3">
        <w:rPr>
          <w:b/>
          <w:bCs/>
        </w:rPr>
        <w:t>Invest in HRIS and Digital Collaboration Platforms:</w:t>
      </w:r>
      <w:r w:rsidRPr="006352B3">
        <w:t xml:space="preserve"> Centralised HR systems and collaboration tools improve efficiency, monitor engagement, and enable data-driven decision-making.</w:t>
      </w:r>
    </w:p>
    <w:p w14:paraId="547F6FA6" w14:textId="77777777" w:rsidR="006352B3" w:rsidRPr="006352B3" w:rsidRDefault="006352B3" w:rsidP="006352B3">
      <w:pPr>
        <w:numPr>
          <w:ilvl w:val="0"/>
          <w:numId w:val="15"/>
        </w:numPr>
      </w:pPr>
      <w:r w:rsidRPr="006352B3">
        <w:rPr>
          <w:b/>
          <w:bCs/>
        </w:rPr>
        <w:t>Establish Clear, Equitable Flexible Working Policies:</w:t>
      </w:r>
      <w:r w:rsidRPr="006352B3">
        <w:t xml:space="preserve"> Define eligibility, expectations, and performance metrics to ensure fairness across all teams, fostering trust and consistency.</w:t>
      </w:r>
    </w:p>
    <w:p w14:paraId="37EB21D3" w14:textId="77777777" w:rsidR="006352B3" w:rsidRPr="006352B3" w:rsidRDefault="006352B3" w:rsidP="006352B3">
      <w:pPr>
        <w:numPr>
          <w:ilvl w:val="0"/>
          <w:numId w:val="15"/>
        </w:numPr>
      </w:pPr>
      <w:r w:rsidRPr="006352B3">
        <w:rPr>
          <w:b/>
          <w:bCs/>
        </w:rPr>
        <w:t>Empower Managers to Monitor and Support HR Practices:</w:t>
      </w:r>
      <w:r w:rsidRPr="006352B3">
        <w:t xml:space="preserve"> Train managers to act as role models, provide guidance, and maintain regular feedback loops.</w:t>
      </w:r>
    </w:p>
    <w:p w14:paraId="527D726B" w14:textId="77777777" w:rsidR="006352B3" w:rsidRPr="006352B3" w:rsidRDefault="006352B3" w:rsidP="006352B3">
      <w:pPr>
        <w:numPr>
          <w:ilvl w:val="0"/>
          <w:numId w:val="15"/>
        </w:numPr>
      </w:pPr>
      <w:r w:rsidRPr="006352B3">
        <w:rPr>
          <w:b/>
          <w:bCs/>
        </w:rPr>
        <w:t>Introduce Performance Metrics and Feedback Systems:</w:t>
      </w:r>
      <w:r w:rsidRPr="006352B3">
        <w:t xml:space="preserve"> Monitor adoption of HR initiatives, digital skills progress, grievance trends, and employee engagement to evaluate effectiveness and refine strategies.</w:t>
      </w:r>
    </w:p>
    <w:p w14:paraId="319B59C0" w14:textId="77777777" w:rsidR="006352B3" w:rsidRPr="006352B3" w:rsidRDefault="006352B3" w:rsidP="006352B3">
      <w:pPr>
        <w:numPr>
          <w:ilvl w:val="0"/>
          <w:numId w:val="15"/>
        </w:numPr>
      </w:pPr>
      <w:r w:rsidRPr="006352B3">
        <w:rPr>
          <w:b/>
          <w:bCs/>
        </w:rPr>
        <w:t>Foster Open Communication and Employee Involvement:</w:t>
      </w:r>
      <w:r w:rsidRPr="006352B3">
        <w:t xml:space="preserve"> Encourage participation in decision-making processes, provide forums for feedback, and maintain transparent dialogue during organisational change.</w:t>
      </w:r>
    </w:p>
    <w:p w14:paraId="2FCEDD4A" w14:textId="5C798FA6" w:rsidR="006352B3" w:rsidRPr="006352B3" w:rsidRDefault="006352B3" w:rsidP="006352B3">
      <w:r w:rsidRPr="006352B3">
        <w:t xml:space="preserve">By implementing these recommendations, </w:t>
      </w:r>
      <w:proofErr w:type="gramStart"/>
      <w:r w:rsidRPr="006352B3">
        <w:t>Birmingham</w:t>
      </w:r>
      <w:r w:rsidR="00115DA7">
        <w:t xml:space="preserve">  </w:t>
      </w:r>
      <w:r w:rsidRPr="006352B3">
        <w:t>based</w:t>
      </w:r>
      <w:proofErr w:type="gramEnd"/>
      <w:r w:rsidRPr="006352B3">
        <w:t xml:space="preserve"> organisations can successfully manage the human dimension of transformation, integrate new technologies, and support flexible working arrangements. These strategies not only improve operational outcomes but also enhance employee satisfaction, retention, and engagement, creating a resilient and adaptable organisational culture capable of sustaining long-term growth and competitiveness.</w:t>
      </w:r>
    </w:p>
    <w:p w14:paraId="00776B63" w14:textId="77777777" w:rsidR="00ED2DCB" w:rsidRPr="00ED2DCB" w:rsidRDefault="00ED2DCB" w:rsidP="00ED2DCB">
      <w:pPr>
        <w:rPr>
          <w:b/>
          <w:bCs/>
        </w:rPr>
      </w:pPr>
      <w:r w:rsidRPr="00ED2DCB">
        <w:rPr>
          <w:b/>
          <w:bCs/>
        </w:rPr>
        <w:t>References</w:t>
      </w:r>
    </w:p>
    <w:p w14:paraId="005F70B0" w14:textId="77777777" w:rsidR="00ED2DCB" w:rsidRPr="00ED2DCB" w:rsidRDefault="00ED2DCB" w:rsidP="00ED2DCB">
      <w:pPr>
        <w:numPr>
          <w:ilvl w:val="0"/>
          <w:numId w:val="16"/>
        </w:numPr>
      </w:pPr>
      <w:r w:rsidRPr="00ED2DCB">
        <w:t xml:space="preserve">Armstrong, M. (2020). </w:t>
      </w:r>
      <w:r w:rsidRPr="00ED2DCB">
        <w:rPr>
          <w:i/>
          <w:iCs/>
        </w:rPr>
        <w:t>Armstrong’s Handbook of Human Resource Management Practice</w:t>
      </w:r>
      <w:r w:rsidRPr="00ED2DCB">
        <w:t xml:space="preserve"> (15th ed.). London: Kogan Page.</w:t>
      </w:r>
    </w:p>
    <w:p w14:paraId="6872BA7F" w14:textId="77777777" w:rsidR="00ED2DCB" w:rsidRPr="00ED2DCB" w:rsidRDefault="00ED2DCB" w:rsidP="00ED2DCB">
      <w:pPr>
        <w:numPr>
          <w:ilvl w:val="0"/>
          <w:numId w:val="16"/>
        </w:numPr>
      </w:pPr>
      <w:r w:rsidRPr="00ED2DCB">
        <w:t xml:space="preserve">CIPD. (2022). </w:t>
      </w:r>
      <w:r w:rsidRPr="00ED2DCB">
        <w:rPr>
          <w:i/>
          <w:iCs/>
        </w:rPr>
        <w:t>Flexible working: The future of work</w:t>
      </w:r>
      <w:r w:rsidRPr="00ED2DCB">
        <w:t>. Chartered Institute of Personnel and Development.</w:t>
      </w:r>
    </w:p>
    <w:p w14:paraId="14698612" w14:textId="77777777" w:rsidR="00ED2DCB" w:rsidRPr="00ED2DCB" w:rsidRDefault="00ED2DCB" w:rsidP="00ED2DCB">
      <w:pPr>
        <w:numPr>
          <w:ilvl w:val="0"/>
          <w:numId w:val="16"/>
        </w:numPr>
      </w:pPr>
      <w:r w:rsidRPr="00ED2DCB">
        <w:t xml:space="preserve">CIPD. (2023). </w:t>
      </w:r>
      <w:r w:rsidRPr="00ED2DCB">
        <w:rPr>
          <w:i/>
          <w:iCs/>
        </w:rPr>
        <w:t>HR practices and business transformation</w:t>
      </w:r>
      <w:r w:rsidRPr="00ED2DCB">
        <w:t>. Chartered Institute of Personnel and Development.</w:t>
      </w:r>
    </w:p>
    <w:p w14:paraId="2F492C25" w14:textId="77777777" w:rsidR="00ED2DCB" w:rsidRPr="00ED2DCB" w:rsidRDefault="00ED2DCB" w:rsidP="00ED2DCB">
      <w:pPr>
        <w:numPr>
          <w:ilvl w:val="0"/>
          <w:numId w:val="16"/>
        </w:numPr>
      </w:pPr>
      <w:r w:rsidRPr="00ED2DCB">
        <w:t xml:space="preserve">Kotter, J. P. (2012). </w:t>
      </w:r>
      <w:r w:rsidRPr="00ED2DCB">
        <w:rPr>
          <w:i/>
          <w:iCs/>
        </w:rPr>
        <w:t>Leading Change</w:t>
      </w:r>
      <w:r w:rsidRPr="00ED2DCB">
        <w:t>. Harvard Business Review Press.</w:t>
      </w:r>
    </w:p>
    <w:p w14:paraId="252F457C" w14:textId="77777777" w:rsidR="00ED2DCB" w:rsidRPr="00ED2DCB" w:rsidRDefault="00ED2DCB" w:rsidP="00ED2DCB">
      <w:pPr>
        <w:numPr>
          <w:ilvl w:val="0"/>
          <w:numId w:val="16"/>
        </w:numPr>
      </w:pPr>
      <w:proofErr w:type="spellStart"/>
      <w:r w:rsidRPr="00ED2DCB">
        <w:t>Prosci</w:t>
      </w:r>
      <w:proofErr w:type="spellEnd"/>
      <w:r w:rsidRPr="00ED2DCB">
        <w:t xml:space="preserve">. (2021). </w:t>
      </w:r>
      <w:r w:rsidRPr="00ED2DCB">
        <w:rPr>
          <w:i/>
          <w:iCs/>
        </w:rPr>
        <w:t>ADKAR: A Model for Change in Business, Government, and Our Community</w:t>
      </w:r>
      <w:r w:rsidRPr="00ED2DCB">
        <w:t xml:space="preserve">. </w:t>
      </w:r>
      <w:proofErr w:type="spellStart"/>
      <w:r w:rsidRPr="00ED2DCB">
        <w:t>Prosci</w:t>
      </w:r>
      <w:proofErr w:type="spellEnd"/>
      <w:r w:rsidRPr="00ED2DCB">
        <w:t xml:space="preserve"> Research.</w:t>
      </w:r>
    </w:p>
    <w:p w14:paraId="218968CF" w14:textId="784193E9" w:rsidR="00ED2DCB" w:rsidRPr="00ED2DCB" w:rsidRDefault="00ED2DCB" w:rsidP="00ED2DCB">
      <w:pPr>
        <w:numPr>
          <w:ilvl w:val="0"/>
          <w:numId w:val="16"/>
        </w:numPr>
      </w:pPr>
      <w:r w:rsidRPr="00ED2DCB">
        <w:t xml:space="preserve">Workday. (2023). </w:t>
      </w:r>
      <w:r w:rsidRPr="00ED2DCB">
        <w:rPr>
          <w:i/>
          <w:iCs/>
        </w:rPr>
        <w:t>The role of HRIS in modern organisations</w:t>
      </w:r>
      <w:r w:rsidR="005F7C77">
        <w:t>.</w:t>
      </w:r>
    </w:p>
    <w:p w14:paraId="49E17779" w14:textId="13BB83A7" w:rsidR="009F089A" w:rsidRDefault="00A8064D" w:rsidP="002A10F6">
      <w:r>
        <w:br w:type="page"/>
      </w:r>
    </w:p>
    <w:p w14:paraId="2CE8A5D7" w14:textId="77777777" w:rsidR="00A909A6" w:rsidRDefault="00A909A6"/>
    <w:sectPr w:rsidR="00A909A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3A118" w14:textId="77777777" w:rsidR="005A50AE" w:rsidRDefault="005A50AE" w:rsidP="00335042">
      <w:pPr>
        <w:spacing w:after="0" w:line="240" w:lineRule="auto"/>
      </w:pPr>
      <w:r>
        <w:separator/>
      </w:r>
    </w:p>
  </w:endnote>
  <w:endnote w:type="continuationSeparator" w:id="0">
    <w:p w14:paraId="6F42782E" w14:textId="77777777" w:rsidR="005A50AE" w:rsidRDefault="005A50AE" w:rsidP="00335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7376251"/>
      <w:docPartObj>
        <w:docPartGallery w:val="Page Numbers (Bottom of Page)"/>
        <w:docPartUnique/>
      </w:docPartObj>
    </w:sdtPr>
    <w:sdtEndPr/>
    <w:sdtContent>
      <w:p w14:paraId="77292FD3" w14:textId="77777777" w:rsidR="00335042" w:rsidRDefault="00335042">
        <w:pPr>
          <w:pStyle w:val="Footer"/>
          <w:jc w:val="right"/>
        </w:pPr>
        <w:r>
          <w:fldChar w:fldCharType="begin"/>
        </w:r>
        <w:r>
          <w:instrText>PAGE   \* MERGEFORMAT</w:instrText>
        </w:r>
        <w:r>
          <w:fldChar w:fldCharType="separate"/>
        </w:r>
        <w:r>
          <w:t>2</w:t>
        </w:r>
        <w:r>
          <w:fldChar w:fldCharType="end"/>
        </w:r>
      </w:p>
    </w:sdtContent>
  </w:sdt>
  <w:p w14:paraId="021C9DB4" w14:textId="77777777" w:rsidR="00335042" w:rsidRDefault="00335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7A5D9" w14:textId="77777777" w:rsidR="005A50AE" w:rsidRDefault="005A50AE" w:rsidP="00335042">
      <w:pPr>
        <w:spacing w:after="0" w:line="240" w:lineRule="auto"/>
      </w:pPr>
      <w:r>
        <w:separator/>
      </w:r>
    </w:p>
  </w:footnote>
  <w:footnote w:type="continuationSeparator" w:id="0">
    <w:p w14:paraId="27221233" w14:textId="77777777" w:rsidR="005A50AE" w:rsidRDefault="005A50AE" w:rsidP="003350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C5355"/>
    <w:multiLevelType w:val="multilevel"/>
    <w:tmpl w:val="3AB4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F62EB"/>
    <w:multiLevelType w:val="multilevel"/>
    <w:tmpl w:val="2C40D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D74730"/>
    <w:multiLevelType w:val="multilevel"/>
    <w:tmpl w:val="61FA3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E49C1"/>
    <w:multiLevelType w:val="multilevel"/>
    <w:tmpl w:val="47B8C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A16E44"/>
    <w:multiLevelType w:val="multilevel"/>
    <w:tmpl w:val="F790E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553922"/>
    <w:multiLevelType w:val="multilevel"/>
    <w:tmpl w:val="2C0C5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47627F"/>
    <w:multiLevelType w:val="multilevel"/>
    <w:tmpl w:val="FBD8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442C7A"/>
    <w:multiLevelType w:val="multilevel"/>
    <w:tmpl w:val="EB9A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C925AF"/>
    <w:multiLevelType w:val="multilevel"/>
    <w:tmpl w:val="EDFA3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A85B19"/>
    <w:multiLevelType w:val="multilevel"/>
    <w:tmpl w:val="4C3C0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7165AE"/>
    <w:multiLevelType w:val="multilevel"/>
    <w:tmpl w:val="34EA4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EF7781"/>
    <w:multiLevelType w:val="multilevel"/>
    <w:tmpl w:val="DAD83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792F78"/>
    <w:multiLevelType w:val="multilevel"/>
    <w:tmpl w:val="99B43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1A1771"/>
    <w:multiLevelType w:val="multilevel"/>
    <w:tmpl w:val="FCB2B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6A1D66"/>
    <w:multiLevelType w:val="multilevel"/>
    <w:tmpl w:val="F928F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B004D2"/>
    <w:multiLevelType w:val="multilevel"/>
    <w:tmpl w:val="1D581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8243526">
    <w:abstractNumId w:val="5"/>
  </w:num>
  <w:num w:numId="2" w16cid:durableId="719086969">
    <w:abstractNumId w:val="9"/>
  </w:num>
  <w:num w:numId="3" w16cid:durableId="159464588">
    <w:abstractNumId w:val="4"/>
  </w:num>
  <w:num w:numId="4" w16cid:durableId="203296843">
    <w:abstractNumId w:val="0"/>
  </w:num>
  <w:num w:numId="5" w16cid:durableId="1222910526">
    <w:abstractNumId w:val="2"/>
  </w:num>
  <w:num w:numId="6" w16cid:durableId="2084175892">
    <w:abstractNumId w:val="11"/>
  </w:num>
  <w:num w:numId="7" w16cid:durableId="927999424">
    <w:abstractNumId w:val="7"/>
  </w:num>
  <w:num w:numId="8" w16cid:durableId="106312842">
    <w:abstractNumId w:val="13"/>
  </w:num>
  <w:num w:numId="9" w16cid:durableId="67266038">
    <w:abstractNumId w:val="6"/>
  </w:num>
  <w:num w:numId="10" w16cid:durableId="1616138996">
    <w:abstractNumId w:val="14"/>
  </w:num>
  <w:num w:numId="11" w16cid:durableId="230896066">
    <w:abstractNumId w:val="12"/>
  </w:num>
  <w:num w:numId="12" w16cid:durableId="368796156">
    <w:abstractNumId w:val="3"/>
  </w:num>
  <w:num w:numId="13" w16cid:durableId="1815682394">
    <w:abstractNumId w:val="10"/>
  </w:num>
  <w:num w:numId="14" w16cid:durableId="1733893601">
    <w:abstractNumId w:val="8"/>
  </w:num>
  <w:num w:numId="15" w16cid:durableId="1306198825">
    <w:abstractNumId w:val="1"/>
  </w:num>
  <w:num w:numId="16" w16cid:durableId="18060485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042"/>
    <w:rsid w:val="00014554"/>
    <w:rsid w:val="00091D1B"/>
    <w:rsid w:val="00115DA7"/>
    <w:rsid w:val="001D7091"/>
    <w:rsid w:val="00286B07"/>
    <w:rsid w:val="002A10F6"/>
    <w:rsid w:val="00335042"/>
    <w:rsid w:val="003822F0"/>
    <w:rsid w:val="003971E5"/>
    <w:rsid w:val="0042353B"/>
    <w:rsid w:val="004A6BE1"/>
    <w:rsid w:val="004B2B4C"/>
    <w:rsid w:val="005A50AE"/>
    <w:rsid w:val="005C53B5"/>
    <w:rsid w:val="005F7C77"/>
    <w:rsid w:val="006335A1"/>
    <w:rsid w:val="006352B3"/>
    <w:rsid w:val="006B5668"/>
    <w:rsid w:val="0071293E"/>
    <w:rsid w:val="0072250D"/>
    <w:rsid w:val="007234EE"/>
    <w:rsid w:val="00760213"/>
    <w:rsid w:val="00784331"/>
    <w:rsid w:val="007940BF"/>
    <w:rsid w:val="007A590C"/>
    <w:rsid w:val="007F482E"/>
    <w:rsid w:val="008A41C2"/>
    <w:rsid w:val="009110D0"/>
    <w:rsid w:val="009F089A"/>
    <w:rsid w:val="00A63110"/>
    <w:rsid w:val="00A8064D"/>
    <w:rsid w:val="00A909A6"/>
    <w:rsid w:val="00B140A2"/>
    <w:rsid w:val="00C86785"/>
    <w:rsid w:val="00CB5646"/>
    <w:rsid w:val="00CB7DA5"/>
    <w:rsid w:val="00CD1854"/>
    <w:rsid w:val="00D42C44"/>
    <w:rsid w:val="00EC4000"/>
    <w:rsid w:val="00ED2DCB"/>
    <w:rsid w:val="00F31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57039"/>
  <w15:chartTrackingRefBased/>
  <w15:docId w15:val="{75B0BCE2-81BC-4B4A-AC88-E0E6CA986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0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0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0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0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0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0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0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0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0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0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0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0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0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0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0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0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0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042"/>
    <w:rPr>
      <w:rFonts w:eastAsiaTheme="majorEastAsia" w:cstheme="majorBidi"/>
      <w:color w:val="272727" w:themeColor="text1" w:themeTint="D8"/>
    </w:rPr>
  </w:style>
  <w:style w:type="paragraph" w:styleId="Title">
    <w:name w:val="Title"/>
    <w:basedOn w:val="Normal"/>
    <w:next w:val="Normal"/>
    <w:link w:val="TitleChar"/>
    <w:uiPriority w:val="10"/>
    <w:qFormat/>
    <w:rsid w:val="003350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0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0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042"/>
    <w:pPr>
      <w:spacing w:before="160"/>
      <w:jc w:val="center"/>
    </w:pPr>
    <w:rPr>
      <w:i/>
      <w:iCs/>
      <w:color w:val="404040" w:themeColor="text1" w:themeTint="BF"/>
    </w:rPr>
  </w:style>
  <w:style w:type="character" w:customStyle="1" w:styleId="QuoteChar">
    <w:name w:val="Quote Char"/>
    <w:basedOn w:val="DefaultParagraphFont"/>
    <w:link w:val="Quote"/>
    <w:uiPriority w:val="29"/>
    <w:rsid w:val="00335042"/>
    <w:rPr>
      <w:i/>
      <w:iCs/>
      <w:color w:val="404040" w:themeColor="text1" w:themeTint="BF"/>
    </w:rPr>
  </w:style>
  <w:style w:type="paragraph" w:styleId="ListParagraph">
    <w:name w:val="List Paragraph"/>
    <w:basedOn w:val="Normal"/>
    <w:uiPriority w:val="34"/>
    <w:qFormat/>
    <w:rsid w:val="00335042"/>
    <w:pPr>
      <w:ind w:left="720"/>
      <w:contextualSpacing/>
    </w:pPr>
  </w:style>
  <w:style w:type="character" w:styleId="IntenseEmphasis">
    <w:name w:val="Intense Emphasis"/>
    <w:basedOn w:val="DefaultParagraphFont"/>
    <w:uiPriority w:val="21"/>
    <w:qFormat/>
    <w:rsid w:val="00335042"/>
    <w:rPr>
      <w:i/>
      <w:iCs/>
      <w:color w:val="0F4761" w:themeColor="accent1" w:themeShade="BF"/>
    </w:rPr>
  </w:style>
  <w:style w:type="paragraph" w:styleId="IntenseQuote">
    <w:name w:val="Intense Quote"/>
    <w:basedOn w:val="Normal"/>
    <w:next w:val="Normal"/>
    <w:link w:val="IntenseQuoteChar"/>
    <w:uiPriority w:val="30"/>
    <w:qFormat/>
    <w:rsid w:val="003350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042"/>
    <w:rPr>
      <w:i/>
      <w:iCs/>
      <w:color w:val="0F4761" w:themeColor="accent1" w:themeShade="BF"/>
    </w:rPr>
  </w:style>
  <w:style w:type="character" w:styleId="IntenseReference">
    <w:name w:val="Intense Reference"/>
    <w:basedOn w:val="DefaultParagraphFont"/>
    <w:uiPriority w:val="32"/>
    <w:qFormat/>
    <w:rsid w:val="00335042"/>
    <w:rPr>
      <w:b/>
      <w:bCs/>
      <w:smallCaps/>
      <w:color w:val="0F4761" w:themeColor="accent1" w:themeShade="BF"/>
      <w:spacing w:val="5"/>
    </w:rPr>
  </w:style>
  <w:style w:type="paragraph" w:styleId="Header">
    <w:name w:val="header"/>
    <w:basedOn w:val="Normal"/>
    <w:link w:val="HeaderChar"/>
    <w:uiPriority w:val="99"/>
    <w:unhideWhenUsed/>
    <w:rsid w:val="00335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042"/>
  </w:style>
  <w:style w:type="paragraph" w:styleId="Footer">
    <w:name w:val="footer"/>
    <w:basedOn w:val="Normal"/>
    <w:link w:val="FooterChar"/>
    <w:uiPriority w:val="99"/>
    <w:unhideWhenUsed/>
    <w:rsid w:val="00335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042"/>
  </w:style>
  <w:style w:type="paragraph" w:styleId="NoSpacing">
    <w:name w:val="No Spacing"/>
    <w:uiPriority w:val="1"/>
    <w:qFormat/>
    <w:rsid w:val="003971E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60a9f85987e60bd6e8378436fc831b2">
  <xsd:schema xmlns:xsd="http://www.w3.org/2001/XMLSchema" xmlns:xs="http://www.w3.org/2001/XMLSchema" xmlns:p="http://schemas.microsoft.com/office/2006/metadata/properties" xmlns:ns3="0085e1a2-9cbf-4b92-866b-21f3c89040b6" targetNamespace="http://schemas.microsoft.com/office/2006/metadata/properties" ma:root="true" ma:fieldsID="744578f4a68d222672915c3cd5f2a8a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070C2-22C4-48CD-8C38-44DAF7B899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AE254D-6556-460D-A798-1861F0A9F4BC}">
  <ds:schemaRefs>
    <ds:schemaRef ds:uri="http://schemas.microsoft.com/sharepoint/v3/contenttype/forms"/>
  </ds:schemaRefs>
</ds:datastoreItem>
</file>

<file path=customXml/itemProps3.xml><?xml version="1.0" encoding="utf-8"?>
<ds:datastoreItem xmlns:ds="http://schemas.openxmlformats.org/officeDocument/2006/customXml" ds:itemID="{A9016CB0-3D56-4D96-9EDF-61718B4415D2}">
  <ds:schemaRefs>
    <ds:schemaRef ds:uri="http://purl.org/dc/dcmitype/"/>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terms/"/>
    <ds:schemaRef ds:uri="http://schemas.microsoft.com/office/infopath/2007/PartnerControls"/>
    <ds:schemaRef ds:uri="0085e1a2-9cbf-4b92-866b-21f3c89040b6"/>
    <ds:schemaRef ds:uri="http://www.w3.org/XML/1998/namespace"/>
  </ds:schemaRefs>
</ds:datastoreItem>
</file>

<file path=customXml/itemProps4.xml><?xml version="1.0" encoding="utf-8"?>
<ds:datastoreItem xmlns:ds="http://schemas.openxmlformats.org/officeDocument/2006/customXml" ds:itemID="{A17D8451-AB69-43B0-A564-13A973D83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2411</Words>
  <Characters>13747</Characters>
  <Application>Microsoft Office Word</Application>
  <DocSecurity>0</DocSecurity>
  <Lines>114</Lines>
  <Paragraphs>32</Paragraphs>
  <ScaleCrop>false</ScaleCrop>
  <Company/>
  <LinksUpToDate>false</LinksUpToDate>
  <CharactersWithSpaces>16126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Safia Imtiaz (2410388)</dc:creator>
  <cp:keywords/>
  <dc:description/>
  <cp:lastModifiedBy>Safia Imtiaz (2410388)</cp:lastModifiedBy>
  <cp:revision>2</cp:revision>
  <dcterms:created xsi:type="dcterms:W3CDTF">2025-11-19T18:02:00Z</dcterms:created>
  <dcterms:modified xsi:type="dcterms:W3CDTF">2025-11-19T18:02:00Z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