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color w:val="4472C4" w:themeColor="accent1"/>
        </w:rPr>
        <w:id w:val="620802310"/>
        <w:docPartObj>
          <w:docPartGallery w:val="Cover Pages"/>
          <w:docPartUnique/>
        </w:docPartObj>
      </w:sdtPr>
      <w:sdtEndPr>
        <w:rPr>
          <w:rFonts w:eastAsiaTheme="minorHAnsi"/>
          <w:color w:val="auto"/>
          <w:kern w:val="2"/>
          <w:sz w:val="24"/>
          <w:szCs w:val="24"/>
          <w:lang w:val="en-GB" w:eastAsia="en-US"/>
          <w14:ligatures w14:val="standardContextual"/>
        </w:rPr>
      </w:sdtEndPr>
      <w:sdtContent>
        <w:p w14:paraId="23DCFE96" w14:textId="3B4DFB7C" w:rsidR="00650551" w:rsidRPr="0005085E" w:rsidRDefault="00650551">
          <w:pPr>
            <w:pStyle w:val="NoSpacing"/>
            <w:spacing w:before="1540" w:after="240"/>
            <w:jc w:val="center"/>
            <w:rPr>
              <w:rFonts w:ascii="Arial" w:hAnsi="Arial" w:cs="Arial"/>
              <w:color w:val="4472C4" w:themeColor="accent1"/>
            </w:rPr>
          </w:pPr>
          <w:r w:rsidRPr="0005085E">
            <w:rPr>
              <w:rFonts w:ascii="Arial" w:hAnsi="Arial" w:cs="Arial"/>
              <w:noProof/>
              <w:color w:val="4472C4" w:themeColor="accent1"/>
            </w:rPr>
            <w:drawing>
              <wp:inline distT="0" distB="0" distL="0" distR="0" wp14:anchorId="3940446C" wp14:editId="718DBA13">
                <wp:extent cx="1417320" cy="750898"/>
                <wp:effectExtent l="0" t="0" r="0" b="0"/>
                <wp:docPr id="14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72"/>
              <w:szCs w:val="72"/>
            </w:rPr>
            <w:alias w:val="Title"/>
            <w:tag w:val=""/>
            <w:id w:val="1735040861"/>
            <w:placeholder>
              <w:docPart w:val="5CF38092EC8F38409AD41B7ADBF98A8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01F9948" w14:textId="59FA1B0B" w:rsidR="00650551" w:rsidRPr="0005085E" w:rsidRDefault="001B0E87">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80"/>
                  <w:szCs w:val="80"/>
                </w:rPr>
              </w:pPr>
              <w:r w:rsidRPr="0005085E">
                <w:rPr>
                  <w:rFonts w:ascii="Arial" w:eastAsiaTheme="majorEastAsia" w:hAnsi="Arial" w:cs="Arial"/>
                  <w:caps/>
                  <w:color w:val="4472C4" w:themeColor="accent1"/>
                  <w:sz w:val="72"/>
                  <w:szCs w:val="72"/>
                </w:rPr>
                <w:t xml:space="preserve">Managing people in organisations </w:t>
              </w:r>
            </w:p>
          </w:sdtContent>
        </w:sdt>
        <w:sdt>
          <w:sdtPr>
            <w:rPr>
              <w:rFonts w:ascii="Arial" w:hAnsi="Arial" w:cs="Arial"/>
              <w:color w:val="4472C4" w:themeColor="accent1"/>
              <w:sz w:val="28"/>
              <w:szCs w:val="28"/>
            </w:rPr>
            <w:alias w:val="Subtitle"/>
            <w:tag w:val=""/>
            <w:id w:val="328029620"/>
            <w:placeholder>
              <w:docPart w:val="79758A95B1642A45AEE45CFC2C8D471D"/>
            </w:placeholder>
            <w:dataBinding w:prefixMappings="xmlns:ns0='http://purl.org/dc/elements/1.1/' xmlns:ns1='http://schemas.openxmlformats.org/package/2006/metadata/core-properties' " w:xpath="/ns1:coreProperties[1]/ns0:subject[1]" w:storeItemID="{6C3C8BC8-F283-45AE-878A-BAB7291924A1}"/>
            <w:text/>
          </w:sdtPr>
          <w:sdtContent>
            <w:p w14:paraId="0748425D" w14:textId="77C2B040" w:rsidR="00650551" w:rsidRPr="0005085E" w:rsidRDefault="001B0E87">
              <w:pPr>
                <w:pStyle w:val="NoSpacing"/>
                <w:jc w:val="center"/>
                <w:rPr>
                  <w:rFonts w:ascii="Arial" w:hAnsi="Arial" w:cs="Arial"/>
                  <w:color w:val="4472C4" w:themeColor="accent1"/>
                  <w:sz w:val="28"/>
                  <w:szCs w:val="28"/>
                </w:rPr>
              </w:pPr>
              <w:r w:rsidRPr="0005085E">
                <w:rPr>
                  <w:rFonts w:ascii="Arial" w:hAnsi="Arial" w:cs="Arial"/>
                  <w:color w:val="4472C4" w:themeColor="accent1"/>
                  <w:sz w:val="28"/>
                  <w:szCs w:val="28"/>
                </w:rPr>
                <w:t>Advanced and Emerging Technological Issues in HRM and IHRM</w:t>
              </w:r>
              <w:r w:rsidRPr="0005085E">
                <w:rPr>
                  <w:rFonts w:ascii="Arial" w:hAnsi="Arial" w:cs="Arial"/>
                  <w:color w:val="4472C4" w:themeColor="accent1"/>
                  <w:sz w:val="28"/>
                  <w:szCs w:val="28"/>
                </w:rPr>
                <w:t xml:space="preserve"> case study google </w:t>
              </w:r>
            </w:p>
          </w:sdtContent>
        </w:sdt>
        <w:p w14:paraId="7A26B024" w14:textId="77777777" w:rsidR="00650551" w:rsidRPr="0005085E" w:rsidRDefault="00650551">
          <w:pPr>
            <w:pStyle w:val="NoSpacing"/>
            <w:spacing w:before="480"/>
            <w:jc w:val="center"/>
            <w:rPr>
              <w:rFonts w:ascii="Arial" w:hAnsi="Arial" w:cs="Arial"/>
              <w:color w:val="4472C4" w:themeColor="accent1"/>
            </w:rPr>
          </w:pPr>
          <w:r w:rsidRPr="0005085E">
            <w:rPr>
              <w:rFonts w:ascii="Arial" w:hAnsi="Arial" w:cs="Arial"/>
              <w:noProof/>
              <w:color w:val="4472C4" w:themeColor="accent1"/>
            </w:rPr>
            <mc:AlternateContent>
              <mc:Choice Requires="wps">
                <w:drawing>
                  <wp:anchor distT="0" distB="0" distL="114300" distR="114300" simplePos="0" relativeHeight="251659264" behindDoc="0" locked="0" layoutInCell="1" allowOverlap="1" wp14:anchorId="652858BF" wp14:editId="57E17C5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33"/>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9501910" w14:textId="7989347F" w:rsidR="00650551" w:rsidRDefault="0005085E">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70DE6DAD" w14:textId="39EBAFF5" w:rsidR="00650551" w:rsidRDefault="0065055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1B0E87">
                                      <w:rPr>
                                        <w:caps/>
                                        <w:color w:val="4472C4" w:themeColor="accent1"/>
                                      </w:rPr>
                                      <w:t>darius hoole 21109</w:t>
                                    </w:r>
                                    <w:r w:rsidR="0005085E">
                                      <w:rPr>
                                        <w:caps/>
                                        <w:color w:val="4472C4" w:themeColor="accent1"/>
                                      </w:rPr>
                                      <w:t>31</w:t>
                                    </w:r>
                                  </w:sdtContent>
                                </w:sdt>
                              </w:p>
                              <w:p w14:paraId="20227126" w14:textId="2948B37B" w:rsidR="00650551" w:rsidRDefault="00650551">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05085E">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52858BF" id="_x0000_t202" coordsize="21600,21600" o:spt="202" path="m,l,21600r21600,l21600,xe">
                    <v:stroke joinstyle="miter"/>
                    <v:path gradientshapeok="t" o:connecttype="rect"/>
                  </v:shapetype>
                  <v:shape id="Text Box 33"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9501910" w14:textId="7989347F" w:rsidR="00650551" w:rsidRDefault="0005085E">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70DE6DAD" w14:textId="39EBAFF5" w:rsidR="00650551" w:rsidRDefault="0065055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1B0E87">
                                <w:rPr>
                                  <w:caps/>
                                  <w:color w:val="4472C4" w:themeColor="accent1"/>
                                </w:rPr>
                                <w:t>darius hoole 21109</w:t>
                              </w:r>
                              <w:r w:rsidR="0005085E">
                                <w:rPr>
                                  <w:caps/>
                                  <w:color w:val="4472C4" w:themeColor="accent1"/>
                                </w:rPr>
                                <w:t>31</w:t>
                              </w:r>
                            </w:sdtContent>
                          </w:sdt>
                        </w:p>
                        <w:p w14:paraId="20227126" w14:textId="2948B37B" w:rsidR="00650551" w:rsidRDefault="00650551">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05085E">
                                <w:rPr>
                                  <w:color w:val="4472C4" w:themeColor="accent1"/>
                                </w:rPr>
                                <w:t xml:space="preserve">     </w:t>
                              </w:r>
                            </w:sdtContent>
                          </w:sdt>
                        </w:p>
                      </w:txbxContent>
                    </v:textbox>
                    <w10:wrap anchorx="margin" anchory="page"/>
                  </v:shape>
                </w:pict>
              </mc:Fallback>
            </mc:AlternateContent>
          </w:r>
          <w:r w:rsidRPr="0005085E">
            <w:rPr>
              <w:rFonts w:ascii="Arial" w:hAnsi="Arial" w:cs="Arial"/>
              <w:noProof/>
              <w:color w:val="4472C4" w:themeColor="accent1"/>
            </w:rPr>
            <w:drawing>
              <wp:inline distT="0" distB="0" distL="0" distR="0" wp14:anchorId="006AFC9B" wp14:editId="464F9876">
                <wp:extent cx="758952" cy="478932"/>
                <wp:effectExtent l="0" t="0" r="3175" b="0"/>
                <wp:docPr id="14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805721C" w14:textId="26C2B708" w:rsidR="00650551" w:rsidRPr="0005085E" w:rsidRDefault="00650551">
          <w:pPr>
            <w:rPr>
              <w:rFonts w:ascii="Arial" w:hAnsi="Arial" w:cs="Arial"/>
            </w:rPr>
          </w:pPr>
          <w:r w:rsidRPr="0005085E">
            <w:rPr>
              <w:rFonts w:ascii="Arial" w:hAnsi="Arial" w:cs="Arial"/>
            </w:rPr>
            <w:br w:type="page"/>
          </w:r>
        </w:p>
      </w:sdtContent>
    </w:sdt>
    <w:p w14:paraId="32C189FD" w14:textId="07C54DF3" w:rsidR="00650551" w:rsidRPr="002C45A4" w:rsidRDefault="00650551" w:rsidP="002C45A4">
      <w:pPr>
        <w:pStyle w:val="Heading1"/>
        <w:rPr>
          <w:rFonts w:ascii="Arial" w:hAnsi="Arial" w:cs="Arial"/>
        </w:rPr>
      </w:pPr>
      <w:r w:rsidRPr="002C45A4">
        <w:rPr>
          <w:rFonts w:ascii="Arial" w:hAnsi="Arial" w:cs="Arial"/>
        </w:rPr>
        <w:t>LINK</w:t>
      </w:r>
    </w:p>
    <w:p w14:paraId="4E84C7BD" w14:textId="77777777" w:rsidR="00650551" w:rsidRPr="0005085E" w:rsidRDefault="00650551">
      <w:pPr>
        <w:rPr>
          <w:rFonts w:ascii="Arial" w:hAnsi="Arial" w:cs="Arial"/>
        </w:rPr>
      </w:pPr>
    </w:p>
    <w:p w14:paraId="2DAAB98A" w14:textId="2A4E0015" w:rsidR="003E122E" w:rsidRPr="0005085E" w:rsidRDefault="00650551">
      <w:pPr>
        <w:rPr>
          <w:rFonts w:ascii="Arial" w:hAnsi="Arial" w:cs="Arial"/>
        </w:rPr>
      </w:pPr>
      <w:r w:rsidRPr="0005085E">
        <w:rPr>
          <w:rFonts w:ascii="Arial" w:hAnsi="Arial" w:cs="Arial"/>
        </w:rPr>
        <w:fldChar w:fldCharType="begin"/>
      </w:r>
      <w:r w:rsidRPr="0005085E">
        <w:rPr>
          <w:rFonts w:ascii="Arial" w:hAnsi="Arial" w:cs="Arial"/>
        </w:rPr>
        <w:instrText>HYPERLINK "</w:instrText>
      </w:r>
      <w:r w:rsidRPr="0005085E">
        <w:rPr>
          <w:rFonts w:ascii="Arial" w:hAnsi="Arial" w:cs="Arial"/>
        </w:rPr>
        <w:instrText>https://uowtsd-my.sharepoint.com/:p:/g/personal/2110931_student_uwtsd_ac_uk/Ec5-aU0Gqt9KhpfZz5Z_z2ABtLlJLC35U5qrCz7SbwMe-A?email=h.evans1%40uwtsd.ac.uk&amp;e=iafOcD</w:instrText>
      </w:r>
      <w:r w:rsidRPr="0005085E">
        <w:rPr>
          <w:rFonts w:ascii="Arial" w:hAnsi="Arial" w:cs="Arial"/>
        </w:rPr>
        <w:instrText>"</w:instrText>
      </w:r>
      <w:r w:rsidRPr="0005085E">
        <w:rPr>
          <w:rFonts w:ascii="Arial" w:hAnsi="Arial" w:cs="Arial"/>
        </w:rPr>
        <w:fldChar w:fldCharType="separate"/>
      </w:r>
      <w:r w:rsidRPr="0005085E">
        <w:rPr>
          <w:rStyle w:val="Hyperlink"/>
          <w:rFonts w:ascii="Arial" w:hAnsi="Arial" w:cs="Arial"/>
        </w:rPr>
        <w:t>https://uowtsd-my.sharepoint.com/:p:/g/personal/2110931_student_uwtsd_ac_uk/Ec5-</w:t>
      </w:r>
      <w:r w:rsidRPr="0005085E">
        <w:rPr>
          <w:rStyle w:val="Hyperlink"/>
          <w:rFonts w:ascii="Arial" w:hAnsi="Arial" w:cs="Arial"/>
        </w:rPr>
        <w:t>a</w:t>
      </w:r>
      <w:r w:rsidRPr="0005085E">
        <w:rPr>
          <w:rStyle w:val="Hyperlink"/>
          <w:rFonts w:ascii="Arial" w:hAnsi="Arial" w:cs="Arial"/>
        </w:rPr>
        <w:t>U0Gqt9KhpfZz5Z_z2ABtLlJL</w:t>
      </w:r>
      <w:r w:rsidRPr="0005085E">
        <w:rPr>
          <w:rStyle w:val="Hyperlink"/>
          <w:rFonts w:ascii="Arial" w:hAnsi="Arial" w:cs="Arial"/>
        </w:rPr>
        <w:t>C</w:t>
      </w:r>
      <w:r w:rsidRPr="0005085E">
        <w:rPr>
          <w:rStyle w:val="Hyperlink"/>
          <w:rFonts w:ascii="Arial" w:hAnsi="Arial" w:cs="Arial"/>
        </w:rPr>
        <w:t>35U5qrCz7SbwMe-A?email=h.evans1%40uwtsd.ac.uk&amp;e=iafOcD</w:t>
      </w:r>
      <w:r w:rsidRPr="0005085E">
        <w:rPr>
          <w:rFonts w:ascii="Arial" w:hAnsi="Arial" w:cs="Arial"/>
        </w:rPr>
        <w:fldChar w:fldCharType="end"/>
      </w:r>
    </w:p>
    <w:p w14:paraId="645D752A" w14:textId="77777777" w:rsidR="0005085E" w:rsidRDefault="0005085E">
      <w:pPr>
        <w:rPr>
          <w:rFonts w:ascii="Arial" w:hAnsi="Arial" w:cs="Arial"/>
        </w:rPr>
      </w:pPr>
    </w:p>
    <w:p w14:paraId="0814C645" w14:textId="77777777" w:rsidR="0005085E" w:rsidRDefault="0005085E" w:rsidP="002C45A4">
      <w:pPr>
        <w:pStyle w:val="Heading1"/>
      </w:pPr>
    </w:p>
    <w:p w14:paraId="46C19AEF" w14:textId="4E1FBCD3" w:rsidR="0005085E" w:rsidRPr="002C45A4" w:rsidRDefault="0005085E" w:rsidP="002C45A4">
      <w:pPr>
        <w:pStyle w:val="Heading1"/>
        <w:rPr>
          <w:rFonts w:ascii="Arial" w:hAnsi="Arial" w:cs="Arial"/>
        </w:rPr>
      </w:pPr>
      <w:r w:rsidRPr="002C45A4">
        <w:rPr>
          <w:rFonts w:ascii="Arial" w:hAnsi="Arial" w:cs="Arial"/>
        </w:rPr>
        <w:t xml:space="preserve">Script </w:t>
      </w:r>
    </w:p>
    <w:p w14:paraId="598BECD2" w14:textId="77777777" w:rsidR="002C45A4" w:rsidRDefault="002C45A4">
      <w:pPr>
        <w:rPr>
          <w:rFonts w:ascii="Arial" w:hAnsi="Arial" w:cs="Arial"/>
        </w:rPr>
      </w:pPr>
    </w:p>
    <w:p w14:paraId="267A88D3" w14:textId="77777777" w:rsidR="002C45A4" w:rsidRPr="008A544B" w:rsidRDefault="002C45A4" w:rsidP="002C45A4">
      <w:pPr>
        <w:pStyle w:val="Title"/>
        <w:rPr>
          <w:rFonts w:ascii="Arial" w:hAnsi="Arial" w:cs="Arial"/>
          <w:lang w:val="en-GB"/>
        </w:rPr>
      </w:pPr>
      <w:r w:rsidRPr="008A544B">
        <w:rPr>
          <w:rFonts w:ascii="Arial" w:hAnsi="Arial" w:cs="Arial"/>
          <w:lang w:val="en-GB"/>
        </w:rPr>
        <w:t>Expanded Speaking Notes: TED Talk Presentation on HRM &amp; IHRM at Google</w:t>
      </w:r>
    </w:p>
    <w:p w14:paraId="45DFD0D5" w14:textId="77777777" w:rsidR="002C45A4" w:rsidRPr="008A544B" w:rsidRDefault="002C45A4" w:rsidP="002C45A4">
      <w:pPr>
        <w:pStyle w:val="Heading1"/>
        <w:rPr>
          <w:rFonts w:ascii="Arial" w:hAnsi="Arial" w:cs="Arial"/>
        </w:rPr>
      </w:pPr>
      <w:r w:rsidRPr="008A544B">
        <w:rPr>
          <w:rFonts w:ascii="Arial" w:hAnsi="Arial" w:cs="Arial"/>
        </w:rPr>
        <w:t>Slide 1: Title Slide</w:t>
      </w:r>
    </w:p>
    <w:p w14:paraId="365B4E7A" w14:textId="77777777" w:rsidR="002C45A4" w:rsidRPr="008A544B" w:rsidRDefault="002C45A4" w:rsidP="002C45A4">
      <w:pPr>
        <w:rPr>
          <w:rFonts w:ascii="Arial" w:hAnsi="Arial" w:cs="Arial"/>
        </w:rPr>
      </w:pPr>
      <w:r w:rsidRPr="008A544B">
        <w:rPr>
          <w:rFonts w:ascii="Arial" w:hAnsi="Arial" w:cs="Arial"/>
        </w:rPr>
        <w:t>Hello everyone, my names Darius and welcome to my TED Talk-style presentation. Today, I'm going to walk you through some of the most advanced and emerging technological issues in Human Resource Management (HRM) and International Human Resource Management (IHRM), using Google as a prime example. Google, as a global tech leader, is at the forefront of integrating artificial intelligence and other advanced tools into its HR strategies. Over the next 15 minutes, we’ll explore how these technologies are transforming the way HR functions operate, how they align with strategic organisational goals, and how they offer a competitive edge. We’ll also discuss some of the ethical implications and conclude with key recommendations. Let’s begin by setting the context of HRM and IHRM.</w:t>
      </w:r>
    </w:p>
    <w:p w14:paraId="67DE62A7" w14:textId="77777777" w:rsidR="002C45A4" w:rsidRPr="008A544B" w:rsidRDefault="002C45A4" w:rsidP="002C45A4">
      <w:pPr>
        <w:pStyle w:val="Heading1"/>
        <w:rPr>
          <w:rFonts w:ascii="Arial" w:hAnsi="Arial" w:cs="Arial"/>
        </w:rPr>
      </w:pPr>
      <w:r w:rsidRPr="008A544B">
        <w:rPr>
          <w:rFonts w:ascii="Arial" w:hAnsi="Arial" w:cs="Arial"/>
        </w:rPr>
        <w:t>Slide 2: Introduction</w:t>
      </w:r>
    </w:p>
    <w:p w14:paraId="597B93AF" w14:textId="77777777" w:rsidR="002C45A4" w:rsidRPr="008A544B" w:rsidRDefault="002C45A4" w:rsidP="002C45A4">
      <w:pPr>
        <w:rPr>
          <w:rFonts w:ascii="Arial" w:hAnsi="Arial" w:cs="Arial"/>
        </w:rPr>
      </w:pPr>
      <w:r w:rsidRPr="008A544B">
        <w:rPr>
          <w:rFonts w:ascii="Arial" w:hAnsi="Arial" w:cs="Arial"/>
        </w:rPr>
        <w:t>Technology is revolutionising the workplace, and HR is no exception. From AI-driven recruitment platforms to virtual reality training, these innovations are reshaping how organisations manage talent. The goal of this presentation is to systematically analyse how emerging technologies are impacting HRM and IHRM, particularly in a global organisation like Google. I will provide an overview of current technological trends, examine their impact on strategic goals and competitive advantage, and present real-world examples of how Google is leveraging these tools. This talk also includes a comparative analysis of local vs. global HR practices, identifies ongoing challenges, and outlines strategic recommendations. As technology evolves, HR must evolve with it. Let’s now differentiate HRM from IHRM to understand their distinct challenges.</w:t>
      </w:r>
    </w:p>
    <w:p w14:paraId="74DD7371" w14:textId="77777777" w:rsidR="002C45A4" w:rsidRPr="008A544B" w:rsidRDefault="002C45A4" w:rsidP="002C45A4">
      <w:pPr>
        <w:pStyle w:val="Heading1"/>
        <w:rPr>
          <w:rFonts w:ascii="Arial" w:hAnsi="Arial" w:cs="Arial"/>
        </w:rPr>
      </w:pPr>
      <w:r w:rsidRPr="008A544B">
        <w:rPr>
          <w:rFonts w:ascii="Arial" w:hAnsi="Arial" w:cs="Arial"/>
        </w:rPr>
        <w:t>Slide 3: HRM vs. IHRM</w:t>
      </w:r>
    </w:p>
    <w:p w14:paraId="6EA2B234" w14:textId="77777777" w:rsidR="002C45A4" w:rsidRPr="008A544B" w:rsidRDefault="002C45A4" w:rsidP="002C45A4">
      <w:pPr>
        <w:rPr>
          <w:rFonts w:ascii="Arial" w:hAnsi="Arial" w:cs="Arial"/>
        </w:rPr>
      </w:pPr>
      <w:r w:rsidRPr="008A544B">
        <w:rPr>
          <w:rFonts w:ascii="Arial" w:hAnsi="Arial" w:cs="Arial"/>
        </w:rPr>
        <w:t>HRM, or Human Resource Management, refers to managing employees within a single country. This includes hiring, training, managing performance, and maintaining legal compliance. In contrast, IHRM, or International HRM, deals with managing employees in multiple countries. This includes addressing cultural differences, international labour laws, global talent acquisition, expatriate management, and ensuring cohesion across diverse teams. Google, with offices in over 50 countries, exemplifies both approaches. For example, while it maintains a global performance review framework, it tailors training and employee engagement programs to fit local cultures. IHRM also involves unique challenges like taxation, relocation support, and regional compensation strategies. This dual approach is essential for maintaining global consistency while respecting local differences. Now that we understand these definitions, let’s explore the technologies that are reshaping both HRM and IHRM.</w:t>
      </w:r>
    </w:p>
    <w:p w14:paraId="729B7457" w14:textId="77777777" w:rsidR="002C45A4" w:rsidRPr="008A544B" w:rsidRDefault="002C45A4" w:rsidP="002C45A4">
      <w:pPr>
        <w:pStyle w:val="Heading1"/>
        <w:rPr>
          <w:rFonts w:ascii="Arial" w:hAnsi="Arial" w:cs="Arial"/>
        </w:rPr>
      </w:pPr>
      <w:r w:rsidRPr="008A544B">
        <w:rPr>
          <w:rFonts w:ascii="Arial" w:hAnsi="Arial" w:cs="Arial"/>
        </w:rPr>
        <w:t>Slide 4: Emerging Technologies in HRM/IHRM</w:t>
      </w:r>
    </w:p>
    <w:p w14:paraId="50CB2CC2" w14:textId="77777777" w:rsidR="002C45A4" w:rsidRPr="008A544B" w:rsidRDefault="002C45A4" w:rsidP="002C45A4">
      <w:pPr>
        <w:rPr>
          <w:rFonts w:ascii="Arial" w:hAnsi="Arial" w:cs="Arial"/>
        </w:rPr>
      </w:pPr>
      <w:r w:rsidRPr="008A544B">
        <w:rPr>
          <w:rFonts w:ascii="Arial" w:hAnsi="Arial" w:cs="Arial"/>
        </w:rPr>
        <w:t>The HR field is undergoing a digital transformation. Technologies like Artificial Intelligence (AI), Machine Learning (ML), data analytics, virtual reality (VR), and blockchain are playing key roles. AI automates routine tasks like resume screening and chat-based candidate interactions. ML predicts employee attrition and training needs. VR is used in immersive training programs, particularly for remote teams. Blockchain helps in secure, tamper-proof employee records and credential verification. Google employs many of these technologies. For example, it uses AI for personalised learning paths and data analytics to understand employee sentiment. These tools not only streamline HR operations but also help HR professionals focus on strategic tasks. Let’s now focus on one of the most prominent applications of AI at Google: recruitment.</w:t>
      </w:r>
    </w:p>
    <w:p w14:paraId="1D80F1C2" w14:textId="77777777" w:rsidR="002C45A4" w:rsidRPr="008A544B" w:rsidRDefault="002C45A4" w:rsidP="002C45A4">
      <w:pPr>
        <w:pStyle w:val="Heading1"/>
        <w:rPr>
          <w:rFonts w:ascii="Arial" w:hAnsi="Arial" w:cs="Arial"/>
        </w:rPr>
      </w:pPr>
      <w:r w:rsidRPr="008A544B">
        <w:rPr>
          <w:rFonts w:ascii="Arial" w:hAnsi="Arial" w:cs="Arial"/>
        </w:rPr>
        <w:t>Slide 5: AI in Recruitment at Google</w:t>
      </w:r>
    </w:p>
    <w:p w14:paraId="76C76CCD" w14:textId="77777777" w:rsidR="002C45A4" w:rsidRPr="008A544B" w:rsidRDefault="002C45A4" w:rsidP="002C45A4">
      <w:pPr>
        <w:rPr>
          <w:rFonts w:ascii="Arial" w:hAnsi="Arial" w:cs="Arial"/>
        </w:rPr>
      </w:pPr>
      <w:r w:rsidRPr="008A544B">
        <w:rPr>
          <w:rFonts w:ascii="Arial" w:hAnsi="Arial" w:cs="Arial"/>
        </w:rPr>
        <w:t>Recruitment at Google is known for being rigorous, data-driven, and innovative. Google uses an internal tool called '</w:t>
      </w:r>
      <w:proofErr w:type="spellStart"/>
      <w:r w:rsidRPr="008A544B">
        <w:rPr>
          <w:rFonts w:ascii="Arial" w:hAnsi="Arial" w:cs="Arial"/>
        </w:rPr>
        <w:t>gHire</w:t>
      </w:r>
      <w:proofErr w:type="spellEnd"/>
      <w:r w:rsidRPr="008A544B">
        <w:rPr>
          <w:rFonts w:ascii="Arial" w:hAnsi="Arial" w:cs="Arial"/>
        </w:rPr>
        <w:t>', which integrates AI to screen resumes, assess candidate fit, and schedule interviews. AI algorithms help match job requirements with candidate profiles using natural language processing. This significantly reduces the time to hire and ensures more objective decision-making. Moreover, AI-powered chatbots answer candidate queries 24/7 and help applicants through the application process. According to a 2025 Reuters report, AI in administrative tasks like hiring could save over 122 hours annually per worker. By using AI, Google improves candidate experience, enhances recruiter productivity, and ensures alignment with role requirements. However, this level of automation also raises ethical questions, which we’ll address shortly.</w:t>
      </w:r>
    </w:p>
    <w:p w14:paraId="5BA5DFB2" w14:textId="77777777" w:rsidR="002C45A4" w:rsidRPr="008A544B" w:rsidRDefault="002C45A4" w:rsidP="002C45A4">
      <w:pPr>
        <w:pStyle w:val="Heading1"/>
        <w:rPr>
          <w:rFonts w:ascii="Arial" w:hAnsi="Arial" w:cs="Arial"/>
        </w:rPr>
      </w:pPr>
      <w:r w:rsidRPr="008A544B">
        <w:rPr>
          <w:rFonts w:ascii="Arial" w:hAnsi="Arial" w:cs="Arial"/>
        </w:rPr>
        <w:t>Slide 6: AI in Performance Management</w:t>
      </w:r>
    </w:p>
    <w:p w14:paraId="058386CF" w14:textId="77777777" w:rsidR="002C45A4" w:rsidRPr="008A544B" w:rsidRDefault="002C45A4" w:rsidP="002C45A4">
      <w:pPr>
        <w:rPr>
          <w:rFonts w:ascii="Arial" w:hAnsi="Arial" w:cs="Arial"/>
        </w:rPr>
      </w:pPr>
      <w:r w:rsidRPr="008A544B">
        <w:rPr>
          <w:rFonts w:ascii="Arial" w:hAnsi="Arial" w:cs="Arial"/>
        </w:rPr>
        <w:t>At Google, performance management is supported by data-driven systems and AI. One of the most widely used approaches is the Objectives and Key Results (OKRs) framework, which tracks performance and progress in real-time. Google also uses AI tools to analyse employee feedback, predict performance trends, and tailor development programs. For example, machine learning can detect when an employee might need support or training based on behavioural patterns and productivity data. Managers receive real-time alerts and suggestions on how to better support their teams. These AI-driven insights help ensure that performance management is continuous, personalised, and aligned with organisational goals.</w:t>
      </w:r>
    </w:p>
    <w:p w14:paraId="21D77031" w14:textId="77777777" w:rsidR="002C45A4" w:rsidRPr="008A544B" w:rsidRDefault="002C45A4" w:rsidP="002C45A4">
      <w:pPr>
        <w:pStyle w:val="Heading1"/>
        <w:rPr>
          <w:rFonts w:ascii="Arial" w:hAnsi="Arial" w:cs="Arial"/>
        </w:rPr>
      </w:pPr>
      <w:r w:rsidRPr="008A544B">
        <w:rPr>
          <w:rFonts w:ascii="Arial" w:hAnsi="Arial" w:cs="Arial"/>
        </w:rPr>
        <w:t>Slide 7: Ethical Considerations and Data Privacy</w:t>
      </w:r>
    </w:p>
    <w:p w14:paraId="60F7DC18" w14:textId="77777777" w:rsidR="002C45A4" w:rsidRPr="008A544B" w:rsidRDefault="002C45A4" w:rsidP="002C45A4">
      <w:pPr>
        <w:rPr>
          <w:rFonts w:ascii="Arial" w:hAnsi="Arial" w:cs="Arial"/>
        </w:rPr>
      </w:pPr>
      <w:r w:rsidRPr="008A544B">
        <w:rPr>
          <w:rFonts w:ascii="Arial" w:hAnsi="Arial" w:cs="Arial"/>
        </w:rPr>
        <w:t>While AI offers efficiency and insights, it also introduces risks. Algorithms trained on biased data can reinforce existing inequalities. Google addresses this through a strong ethical framework, including its AI Principles. These emphasise transparency, accountability, and fairness. For example, Google avoids black-box algorithms and insists on human oversight in key HR decisions. They also comply with data privacy laws such as GDPR. Regular internal audits of AI systems are conducted to ensure they operate ethically and without unintended bias. Privacy-by-design principles guide the development of HR tools, ensuring data protection is built into every process.</w:t>
      </w:r>
    </w:p>
    <w:p w14:paraId="1FC36BD3" w14:textId="77777777" w:rsidR="002C45A4" w:rsidRPr="008A544B" w:rsidRDefault="002C45A4" w:rsidP="002C45A4">
      <w:pPr>
        <w:pStyle w:val="Heading1"/>
        <w:rPr>
          <w:rFonts w:ascii="Arial" w:hAnsi="Arial" w:cs="Arial"/>
        </w:rPr>
      </w:pPr>
      <w:r w:rsidRPr="008A544B">
        <w:rPr>
          <w:rFonts w:ascii="Arial" w:hAnsi="Arial" w:cs="Arial"/>
        </w:rPr>
        <w:t>Slide 8: Global vs. Local Challenges in IHRM</w:t>
      </w:r>
    </w:p>
    <w:p w14:paraId="270C2EBB" w14:textId="77777777" w:rsidR="002C45A4" w:rsidRPr="008A544B" w:rsidRDefault="002C45A4" w:rsidP="002C45A4">
      <w:pPr>
        <w:rPr>
          <w:rFonts w:ascii="Arial" w:hAnsi="Arial" w:cs="Arial"/>
        </w:rPr>
      </w:pPr>
      <w:r w:rsidRPr="008A544B">
        <w:rPr>
          <w:rFonts w:ascii="Arial" w:hAnsi="Arial" w:cs="Arial"/>
        </w:rPr>
        <w:t>International HRM requires navigating cultural and legal diversity. At Google, global standards must be adapted to local contexts. For example, performance feedback is direct in the U.S. but more nuanced in countries like Japan. Google’s HR systems are built to accommodate such differences while maintaining core values. Compliance with local labour laws, benefits regulations, and language preferences are critical. Google’s IHRM strategy emphasizes flexibility, using digital tools to customize employee experiences and policies for different regions while maintaining coherence with the company’s mission and values.</w:t>
      </w:r>
    </w:p>
    <w:p w14:paraId="196994CD" w14:textId="77777777" w:rsidR="002C45A4" w:rsidRPr="008A544B" w:rsidRDefault="002C45A4" w:rsidP="002C45A4">
      <w:pPr>
        <w:pStyle w:val="Heading1"/>
        <w:rPr>
          <w:rFonts w:ascii="Arial" w:hAnsi="Arial" w:cs="Arial"/>
        </w:rPr>
      </w:pPr>
      <w:r w:rsidRPr="008A544B">
        <w:rPr>
          <w:rFonts w:ascii="Arial" w:hAnsi="Arial" w:cs="Arial"/>
        </w:rPr>
        <w:t>Slide 9: Aligning Technology with Strategic Aims</w:t>
      </w:r>
    </w:p>
    <w:p w14:paraId="027E4049" w14:textId="77777777" w:rsidR="002C45A4" w:rsidRPr="008A544B" w:rsidRDefault="002C45A4" w:rsidP="002C45A4">
      <w:pPr>
        <w:rPr>
          <w:rFonts w:ascii="Arial" w:hAnsi="Arial" w:cs="Arial"/>
        </w:rPr>
      </w:pPr>
      <w:r w:rsidRPr="008A544B">
        <w:rPr>
          <w:rFonts w:ascii="Arial" w:hAnsi="Arial" w:cs="Arial"/>
        </w:rPr>
        <w:t>Google’s strategic aims in HR include fostering innovation, operational efficiency, and continuous learning. Technology plays a vital role in achieving these goals. For example, predictive analytics help anticipate workforce needs, allowing HR to proactively hire or train staff. AI tools monitor employee sentiment, identify engagement issues, and track diversity goals. Cloud-based systems enable real-time decision-making and collaboration across global teams. By aligning HR technology with strategic aims, Google ensures its people strategies support broader organisational success and adaptability.</w:t>
      </w:r>
    </w:p>
    <w:p w14:paraId="4074F2C2" w14:textId="77777777" w:rsidR="002C45A4" w:rsidRPr="008A544B" w:rsidRDefault="002C45A4" w:rsidP="002C45A4">
      <w:pPr>
        <w:pStyle w:val="Heading1"/>
        <w:rPr>
          <w:rFonts w:ascii="Arial" w:hAnsi="Arial" w:cs="Arial"/>
        </w:rPr>
      </w:pPr>
      <w:r w:rsidRPr="008A544B">
        <w:rPr>
          <w:rFonts w:ascii="Arial" w:hAnsi="Arial" w:cs="Arial"/>
        </w:rPr>
        <w:t>Slide 10: Gaining Competitive Edge through Technology</w:t>
      </w:r>
    </w:p>
    <w:p w14:paraId="6191C5D5" w14:textId="77777777" w:rsidR="002C45A4" w:rsidRPr="008A544B" w:rsidRDefault="002C45A4" w:rsidP="002C45A4">
      <w:pPr>
        <w:rPr>
          <w:rFonts w:ascii="Arial" w:hAnsi="Arial" w:cs="Arial"/>
        </w:rPr>
      </w:pPr>
      <w:r w:rsidRPr="008A544B">
        <w:rPr>
          <w:rFonts w:ascii="Arial" w:hAnsi="Arial" w:cs="Arial"/>
        </w:rPr>
        <w:t>Technology helps Google maintain a leading position in the global talent market. Automated hiring tools reduce time-to-fill and improve candidate experience. Personalised learning platforms help employees continuously upskill. Predictive analytics identify high-potential employees for leadership development. AI-enhanced internal mobility platforms recommend career paths and growth opportunities. All of this contributes to a more engaged, capable, and loyal workforce. Google’s tech-enabled HR practices not only improve efficiency but also support the company’s brand as an employer of choice.</w:t>
      </w:r>
    </w:p>
    <w:p w14:paraId="305F668E" w14:textId="77777777" w:rsidR="002C45A4" w:rsidRPr="008A544B" w:rsidRDefault="002C45A4" w:rsidP="002C45A4">
      <w:pPr>
        <w:pStyle w:val="Heading1"/>
        <w:rPr>
          <w:rFonts w:ascii="Arial" w:hAnsi="Arial" w:cs="Arial"/>
        </w:rPr>
      </w:pPr>
      <w:r w:rsidRPr="008A544B">
        <w:rPr>
          <w:rFonts w:ascii="Arial" w:hAnsi="Arial" w:cs="Arial"/>
        </w:rPr>
        <w:t>Slide 11: Case Study – Google's Project Oxygen</w:t>
      </w:r>
    </w:p>
    <w:p w14:paraId="56EE17D2" w14:textId="77777777" w:rsidR="002C45A4" w:rsidRPr="008A544B" w:rsidRDefault="002C45A4" w:rsidP="002C45A4">
      <w:pPr>
        <w:rPr>
          <w:rFonts w:ascii="Arial" w:hAnsi="Arial" w:cs="Arial"/>
        </w:rPr>
      </w:pPr>
      <w:r w:rsidRPr="008A544B">
        <w:rPr>
          <w:rFonts w:ascii="Arial" w:hAnsi="Arial" w:cs="Arial"/>
        </w:rPr>
        <w:t>Project Oxygen began with a simple question: do managers matter? Using data from performance reviews, surveys, and team outcomes, Google identified eight behaviours common to high-performing managers. These included coaching skills, effective communication, and supporting career development. The findings reshaped Google’s management training programs and performance evaluations. The success of Project Oxygen demonstrated the power of HR analytics in shaping culture and leadership practices. It also encouraged a culture of continuous learning and evidence-based management at Google.</w:t>
      </w:r>
    </w:p>
    <w:p w14:paraId="0714C303" w14:textId="77777777" w:rsidR="002C45A4" w:rsidRPr="008A544B" w:rsidRDefault="002C45A4" w:rsidP="002C45A4">
      <w:pPr>
        <w:pStyle w:val="Heading1"/>
        <w:rPr>
          <w:rFonts w:ascii="Arial" w:hAnsi="Arial" w:cs="Arial"/>
        </w:rPr>
      </w:pPr>
      <w:r w:rsidRPr="008A544B">
        <w:rPr>
          <w:rFonts w:ascii="Arial" w:hAnsi="Arial" w:cs="Arial"/>
        </w:rPr>
        <w:t>Slide 12: AI in Decision-Making</w:t>
      </w:r>
    </w:p>
    <w:p w14:paraId="4289F6E6" w14:textId="77777777" w:rsidR="002C45A4" w:rsidRPr="008A544B" w:rsidRDefault="002C45A4" w:rsidP="002C45A4">
      <w:pPr>
        <w:rPr>
          <w:rFonts w:ascii="Arial" w:hAnsi="Arial" w:cs="Arial"/>
        </w:rPr>
      </w:pPr>
      <w:r w:rsidRPr="008A544B">
        <w:rPr>
          <w:rFonts w:ascii="Arial" w:hAnsi="Arial" w:cs="Arial"/>
        </w:rPr>
        <w:t>AI supports faster, smarter decision-making in Google’s HR functions. For example, AI predicts turnover risks by analysing data such as engagement scores, manager feedback, and even calendar usage. This allows for timely interventions, such as changes in workload or support programs. AI also supports workforce planning by analysing project data and forecasting staffing needs. In hiring, AI identifies top candidates by scoring applications based on specific skills and experiences. These insights improve HR agility and reduce risks, helping Google respond quickly to business challenges.</w:t>
      </w:r>
    </w:p>
    <w:p w14:paraId="41D1A0DC" w14:textId="77777777" w:rsidR="002C45A4" w:rsidRPr="008A544B" w:rsidRDefault="002C45A4" w:rsidP="002C45A4">
      <w:pPr>
        <w:pStyle w:val="Heading1"/>
        <w:rPr>
          <w:rFonts w:ascii="Arial" w:hAnsi="Arial" w:cs="Arial"/>
        </w:rPr>
      </w:pPr>
      <w:r w:rsidRPr="008A544B">
        <w:rPr>
          <w:rFonts w:ascii="Arial" w:hAnsi="Arial" w:cs="Arial"/>
        </w:rPr>
        <w:t>Slide 13: Future Trends in HR Technology</w:t>
      </w:r>
    </w:p>
    <w:p w14:paraId="2214E074" w14:textId="77777777" w:rsidR="002C45A4" w:rsidRPr="008A544B" w:rsidRDefault="002C45A4" w:rsidP="002C45A4">
      <w:pPr>
        <w:rPr>
          <w:rFonts w:ascii="Arial" w:hAnsi="Arial" w:cs="Arial"/>
        </w:rPr>
      </w:pPr>
      <w:r w:rsidRPr="008A544B">
        <w:rPr>
          <w:rFonts w:ascii="Arial" w:hAnsi="Arial" w:cs="Arial"/>
        </w:rPr>
        <w:t>The future of HR technology will be shaped by personalisation, immersion, and security. Google is already exploring virtual reality for training remote teams and simulating real-world challenges. Blockchain is being considered for storing tamper-proof credentials and employment records. AI will become more personalised, tailoring benefits, training, and wellness programs to each employee’s profile. As the workplace becomes more hybrid and global, technology will ensure consistency, engagement, and compliance. HR professionals must stay updated on these trends to remain effective in this evolving landscape.</w:t>
      </w:r>
    </w:p>
    <w:p w14:paraId="15F39564" w14:textId="77777777" w:rsidR="002C45A4" w:rsidRPr="008A544B" w:rsidRDefault="002C45A4" w:rsidP="002C45A4">
      <w:pPr>
        <w:pStyle w:val="Heading1"/>
        <w:rPr>
          <w:rFonts w:ascii="Arial" w:hAnsi="Arial" w:cs="Arial"/>
        </w:rPr>
      </w:pPr>
      <w:r w:rsidRPr="008A544B">
        <w:rPr>
          <w:rFonts w:ascii="Arial" w:hAnsi="Arial" w:cs="Arial"/>
        </w:rPr>
        <w:t>Slide 14: Recommendations for Google</w:t>
      </w:r>
    </w:p>
    <w:p w14:paraId="3CB6C93D" w14:textId="77777777" w:rsidR="002C45A4" w:rsidRPr="008A544B" w:rsidRDefault="002C45A4" w:rsidP="002C45A4">
      <w:pPr>
        <w:rPr>
          <w:rFonts w:ascii="Arial" w:hAnsi="Arial" w:cs="Arial"/>
        </w:rPr>
      </w:pPr>
      <w:r w:rsidRPr="008A544B">
        <w:rPr>
          <w:rFonts w:ascii="Arial" w:hAnsi="Arial" w:cs="Arial"/>
        </w:rPr>
        <w:t>To stay ahead, Google should invest in AI literacy for HR professionals so they can interpret and leverage data effectively. It should enhance transparency by communicating clearly how AI influences decisions in hiring and performance management. Regular algorithm audits should become standard practice to maintain fairness and compliance. Furthermore, Google could expand the use of generative AI to automate content creation, streamline onboarding, and enhance employee communication. These steps will strengthen HR’s strategic contribution and ensure ethical, efficient use of emerging technologies.</w:t>
      </w:r>
    </w:p>
    <w:p w14:paraId="4B52ED92" w14:textId="77777777" w:rsidR="002C45A4" w:rsidRPr="008A544B" w:rsidRDefault="002C45A4" w:rsidP="002C45A4">
      <w:pPr>
        <w:pStyle w:val="Heading1"/>
        <w:rPr>
          <w:rFonts w:ascii="Arial" w:hAnsi="Arial" w:cs="Arial"/>
        </w:rPr>
      </w:pPr>
      <w:r w:rsidRPr="008A544B">
        <w:rPr>
          <w:rFonts w:ascii="Arial" w:hAnsi="Arial" w:cs="Arial"/>
        </w:rPr>
        <w:t>Slide 15: Conclusion</w:t>
      </w:r>
    </w:p>
    <w:p w14:paraId="4770CDA9" w14:textId="77777777" w:rsidR="002C45A4" w:rsidRPr="008A544B" w:rsidRDefault="002C45A4" w:rsidP="002C45A4">
      <w:pPr>
        <w:rPr>
          <w:rFonts w:ascii="Arial" w:hAnsi="Arial" w:cs="Arial"/>
        </w:rPr>
      </w:pPr>
      <w:r w:rsidRPr="008A544B">
        <w:rPr>
          <w:rFonts w:ascii="Arial" w:hAnsi="Arial" w:cs="Arial"/>
        </w:rPr>
        <w:t>In conclusion, Google exemplifies how advanced technology can transform HRM and IHRM. Through tools like AI, analytics, and cloud platforms, Google optimises recruitment, engagement, and performance. At the same time, the company emphasises ethics, transparency, and cultural adaptability. Organisations can learn from Google’s integrated, innovative approach to HR tech. As we move into a future shaped by constant change, the key to success will be aligning technology with human values and strategic goals.</w:t>
      </w:r>
    </w:p>
    <w:p w14:paraId="4D8E9B25" w14:textId="77777777" w:rsidR="002C45A4" w:rsidRPr="008A544B" w:rsidRDefault="002C45A4" w:rsidP="002C45A4">
      <w:pPr>
        <w:pStyle w:val="Heading1"/>
        <w:rPr>
          <w:rFonts w:ascii="Arial" w:hAnsi="Arial" w:cs="Arial"/>
        </w:rPr>
      </w:pPr>
      <w:r w:rsidRPr="008A544B">
        <w:rPr>
          <w:rFonts w:ascii="Arial" w:hAnsi="Arial" w:cs="Arial"/>
        </w:rPr>
        <w:t xml:space="preserve">Slide 16: </w:t>
      </w:r>
    </w:p>
    <w:p w14:paraId="72E2B09B" w14:textId="77777777" w:rsidR="002C45A4" w:rsidRPr="008A544B" w:rsidRDefault="002C45A4" w:rsidP="002C45A4">
      <w:pPr>
        <w:rPr>
          <w:rFonts w:ascii="Arial" w:hAnsi="Arial" w:cs="Arial"/>
        </w:rPr>
      </w:pPr>
      <w:r w:rsidRPr="008A544B">
        <w:rPr>
          <w:rFonts w:ascii="Arial" w:hAnsi="Arial" w:cs="Arial"/>
        </w:rPr>
        <w:t xml:space="preserve">Thank you slide. </w:t>
      </w:r>
    </w:p>
    <w:p w14:paraId="3FF6C812" w14:textId="6321E5D2" w:rsidR="002C45A4" w:rsidRPr="0005085E" w:rsidRDefault="002C45A4">
      <w:pPr>
        <w:rPr>
          <w:rFonts w:ascii="Arial" w:hAnsi="Arial" w:cs="Arial"/>
        </w:rPr>
      </w:pPr>
    </w:p>
    <w:p w14:paraId="60983B00" w14:textId="77777777" w:rsidR="0005085E" w:rsidRPr="0005085E" w:rsidRDefault="0005085E">
      <w:pPr>
        <w:rPr>
          <w:rFonts w:ascii="Arial" w:hAnsi="Arial" w:cs="Arial"/>
        </w:rPr>
      </w:pPr>
    </w:p>
    <w:p w14:paraId="1B5CEFAD" w14:textId="77777777" w:rsidR="00650551" w:rsidRDefault="00650551"/>
    <w:p w14:paraId="110B9331" w14:textId="700C24F4" w:rsidR="00650551" w:rsidRDefault="001B0E87">
      <w:r>
        <w:t xml:space="preserve">  </w:t>
      </w:r>
    </w:p>
    <w:p w14:paraId="2274522F" w14:textId="77777777" w:rsidR="001B0E87" w:rsidRDefault="001B0E87"/>
    <w:p w14:paraId="7FCFC7CF" w14:textId="77777777" w:rsidR="001B0E87" w:rsidRDefault="001B0E87"/>
    <w:p w14:paraId="3959CE73" w14:textId="77777777" w:rsidR="001B0E87" w:rsidRDefault="001B0E87"/>
    <w:p w14:paraId="6F2E2795" w14:textId="77777777" w:rsidR="001B0E87" w:rsidRDefault="001B0E87"/>
    <w:p w14:paraId="7362BD71" w14:textId="77777777" w:rsidR="001B0E87" w:rsidRDefault="001B0E87"/>
    <w:p w14:paraId="63FEEFB5" w14:textId="77777777" w:rsidR="001B0E87" w:rsidRDefault="001B0E87"/>
    <w:p w14:paraId="762CA77F" w14:textId="77777777" w:rsidR="001B0E87" w:rsidRDefault="001B0E87"/>
    <w:p w14:paraId="0C27F1BE" w14:textId="77777777" w:rsidR="001B0E87" w:rsidRDefault="001B0E87"/>
    <w:p w14:paraId="6F44B9E2" w14:textId="77777777" w:rsidR="001B0E87" w:rsidRDefault="001B0E87"/>
    <w:p w14:paraId="0CBAD5D5" w14:textId="77777777" w:rsidR="001B0E87" w:rsidRDefault="001B0E87"/>
    <w:p w14:paraId="74BA8FDB" w14:textId="77777777" w:rsidR="001B0E87" w:rsidRDefault="001B0E87"/>
    <w:p w14:paraId="577865E7" w14:textId="77777777" w:rsidR="001B0E87" w:rsidRDefault="001B0E87"/>
    <w:p w14:paraId="712A97A8" w14:textId="77777777" w:rsidR="001B0E87" w:rsidRDefault="001B0E87"/>
    <w:p w14:paraId="14F5B559" w14:textId="77777777" w:rsidR="001B0E87" w:rsidRDefault="001B0E87"/>
    <w:p w14:paraId="3660E5EF" w14:textId="77777777" w:rsidR="001B0E87" w:rsidRDefault="001B0E87"/>
    <w:p w14:paraId="4A46452A" w14:textId="77777777" w:rsidR="001B0E87" w:rsidRDefault="001B0E87"/>
    <w:p w14:paraId="75135517" w14:textId="77777777" w:rsidR="001B0E87" w:rsidRDefault="001B0E87"/>
    <w:p w14:paraId="79A97826" w14:textId="77777777" w:rsidR="001B0E87" w:rsidRDefault="001B0E87"/>
    <w:p w14:paraId="63ABAECF" w14:textId="77777777" w:rsidR="001B0E87" w:rsidRDefault="001B0E87"/>
    <w:p w14:paraId="5498816B" w14:textId="77777777" w:rsidR="001B0E87" w:rsidRDefault="001B0E87"/>
    <w:p w14:paraId="025FE172" w14:textId="77777777" w:rsidR="001B0E87" w:rsidRDefault="001B0E87"/>
    <w:p w14:paraId="65B951A4" w14:textId="77777777" w:rsidR="001B0E87" w:rsidRDefault="001B0E87"/>
    <w:p w14:paraId="24566ADD" w14:textId="77777777" w:rsidR="001B0E87" w:rsidRDefault="001B0E87"/>
    <w:p w14:paraId="35572A54" w14:textId="77777777" w:rsidR="001B0E87" w:rsidRDefault="001B0E87"/>
    <w:p w14:paraId="483123D9" w14:textId="77777777" w:rsidR="001B0E87" w:rsidRDefault="001B0E87"/>
    <w:p w14:paraId="47F8C50E" w14:textId="77777777" w:rsidR="001B0E87" w:rsidRDefault="001B0E87"/>
    <w:p w14:paraId="4D90354E" w14:textId="77777777" w:rsidR="001B0E87" w:rsidRDefault="001B0E87"/>
    <w:p w14:paraId="004749DA" w14:textId="77777777" w:rsidR="001B0E87" w:rsidRDefault="001B0E87"/>
    <w:p w14:paraId="04ACE398" w14:textId="77777777" w:rsidR="001B0E87" w:rsidRDefault="001B0E87"/>
    <w:p w14:paraId="696A7517" w14:textId="77777777" w:rsidR="001B0E87" w:rsidRDefault="001B0E87"/>
    <w:p w14:paraId="0635A6B3" w14:textId="77777777" w:rsidR="001B0E87" w:rsidRDefault="001B0E87"/>
    <w:p w14:paraId="29EB031C" w14:textId="77777777" w:rsidR="001B0E87" w:rsidRDefault="001B0E87"/>
    <w:p w14:paraId="1C4DA399" w14:textId="77777777" w:rsidR="001B0E87" w:rsidRDefault="001B0E87"/>
    <w:p w14:paraId="689FC434" w14:textId="77777777" w:rsidR="001B0E87" w:rsidRDefault="001B0E87"/>
    <w:p w14:paraId="5C5B1399" w14:textId="77777777" w:rsidR="001B0E87" w:rsidRDefault="001B0E87"/>
    <w:p w14:paraId="3503ED56" w14:textId="77777777" w:rsidR="001B0E87" w:rsidRDefault="001B0E87"/>
    <w:p w14:paraId="1EBF32B7" w14:textId="77777777" w:rsidR="001B0E87" w:rsidRDefault="001B0E87"/>
    <w:p w14:paraId="0C40D5CF" w14:textId="77777777" w:rsidR="001B0E87" w:rsidRDefault="001B0E87"/>
    <w:p w14:paraId="61D96CFB" w14:textId="77777777" w:rsidR="001B0E87" w:rsidRDefault="001B0E87"/>
    <w:p w14:paraId="2963B49A" w14:textId="2E573001" w:rsidR="001B0E87" w:rsidRDefault="001B0E87" w:rsidP="0005085E">
      <w:pPr>
        <w:pStyle w:val="Heading1"/>
      </w:pPr>
      <w:r w:rsidRPr="001B0E87">
        <w:t>References:</w:t>
      </w:r>
    </w:p>
    <w:p w14:paraId="3F00048D" w14:textId="77777777" w:rsidR="0005085E" w:rsidRPr="0005085E" w:rsidRDefault="0005085E" w:rsidP="0005085E"/>
    <w:p w14:paraId="2D938162" w14:textId="77777777" w:rsidR="0005085E" w:rsidRDefault="001B0E87" w:rsidP="001B0E87">
      <w:pPr>
        <w:autoSpaceDE w:val="0"/>
        <w:autoSpaceDN w:val="0"/>
        <w:adjustRightInd w:val="0"/>
        <w:rPr>
          <w:rFonts w:ascii="Arial" w:hAnsi="Arial" w:cs="Arial"/>
          <w:kern w:val="0"/>
        </w:rPr>
      </w:pPr>
      <w:r w:rsidRPr="001B0E87">
        <w:rPr>
          <w:rFonts w:ascii="Arial" w:hAnsi="Arial" w:cs="Arial"/>
          <w:b/>
          <w:bCs/>
          <w:kern w:val="0"/>
        </w:rPr>
        <w:t>Wilson, H.J. &amp; Daugherty, P.R.</w:t>
      </w:r>
      <w:r w:rsidRPr="001B0E87">
        <w:rPr>
          <w:rFonts w:ascii="Arial" w:hAnsi="Arial" w:cs="Arial"/>
          <w:kern w:val="0"/>
        </w:rPr>
        <w:t xml:space="preserve"> (2024) </w:t>
      </w:r>
      <w:r w:rsidRPr="001B0E87">
        <w:rPr>
          <w:rFonts w:ascii="Arial" w:hAnsi="Arial" w:cs="Arial"/>
          <w:i/>
          <w:iCs/>
          <w:kern w:val="0"/>
        </w:rPr>
        <w:t>Embracing Gen AI at Work</w:t>
      </w:r>
      <w:r w:rsidRPr="001B0E87">
        <w:rPr>
          <w:rFonts w:ascii="Arial" w:hAnsi="Arial" w:cs="Arial"/>
          <w:kern w:val="0"/>
        </w:rPr>
        <w:t xml:space="preserve">. Harvard Business Review, September–October. Available at: </w:t>
      </w:r>
      <w:hyperlink r:id="rId9" w:history="1">
        <w:r w:rsidRPr="001B0E87">
          <w:rPr>
            <w:rStyle w:val="Hyperlink"/>
            <w:rFonts w:ascii="Arial" w:hAnsi="Arial" w:cs="Arial"/>
            <w:kern w:val="0"/>
          </w:rPr>
          <w:t>https://hbr.org/2024/09/embracing-gen-ai-at-work</w:t>
        </w:r>
      </w:hyperlink>
      <w:r w:rsidRPr="001B0E87">
        <w:rPr>
          <w:rFonts w:ascii="Arial" w:hAnsi="Arial" w:cs="Arial"/>
          <w:kern w:val="0"/>
        </w:rPr>
        <w:t> </w:t>
      </w:r>
    </w:p>
    <w:p w14:paraId="478B2F88" w14:textId="77777777" w:rsidR="0005085E" w:rsidRDefault="0005085E" w:rsidP="001B0E87">
      <w:pPr>
        <w:autoSpaceDE w:val="0"/>
        <w:autoSpaceDN w:val="0"/>
        <w:adjustRightInd w:val="0"/>
        <w:rPr>
          <w:rFonts w:ascii="Arial" w:hAnsi="Arial" w:cs="Arial"/>
          <w:b/>
          <w:bCs/>
          <w:kern w:val="0"/>
        </w:rPr>
      </w:pPr>
    </w:p>
    <w:p w14:paraId="242C6E7C" w14:textId="74785614" w:rsidR="001B0E87" w:rsidRPr="001B0E87" w:rsidRDefault="001B0E87" w:rsidP="001B0E87">
      <w:pPr>
        <w:autoSpaceDE w:val="0"/>
        <w:autoSpaceDN w:val="0"/>
        <w:adjustRightInd w:val="0"/>
        <w:rPr>
          <w:rFonts w:ascii="Arial" w:hAnsi="Arial" w:cs="Arial"/>
          <w:kern w:val="0"/>
        </w:rPr>
      </w:pPr>
      <w:r w:rsidRPr="001B0E87">
        <w:rPr>
          <w:rFonts w:ascii="Arial" w:hAnsi="Arial" w:cs="Arial"/>
          <w:b/>
          <w:bCs/>
          <w:kern w:val="0"/>
        </w:rPr>
        <w:t xml:space="preserve">Fenwick, A., Molnar, G. &amp; </w:t>
      </w:r>
      <w:proofErr w:type="spellStart"/>
      <w:r w:rsidRPr="001B0E87">
        <w:rPr>
          <w:rFonts w:ascii="Arial" w:hAnsi="Arial" w:cs="Arial"/>
          <w:b/>
          <w:bCs/>
          <w:kern w:val="0"/>
        </w:rPr>
        <w:t>Frangos</w:t>
      </w:r>
      <w:proofErr w:type="spellEnd"/>
      <w:r w:rsidRPr="001B0E87">
        <w:rPr>
          <w:rFonts w:ascii="Arial" w:hAnsi="Arial" w:cs="Arial"/>
          <w:b/>
          <w:bCs/>
          <w:kern w:val="0"/>
        </w:rPr>
        <w:t>, P.</w:t>
      </w:r>
      <w:r w:rsidRPr="001B0E87">
        <w:rPr>
          <w:rFonts w:ascii="Arial" w:hAnsi="Arial" w:cs="Arial"/>
          <w:kern w:val="0"/>
        </w:rPr>
        <w:t xml:space="preserve"> (2024) </w:t>
      </w:r>
      <w:r w:rsidRPr="001B0E87">
        <w:rPr>
          <w:rFonts w:ascii="Arial" w:hAnsi="Arial" w:cs="Arial"/>
          <w:i/>
          <w:iCs/>
          <w:kern w:val="0"/>
        </w:rPr>
        <w:t>The critical role of HRM in AI-driven digital transformation: a paradigm shift to enable firms to move from AI implementation to human-centric adoption</w:t>
      </w:r>
      <w:r w:rsidRPr="001B0E87">
        <w:rPr>
          <w:rFonts w:ascii="Arial" w:hAnsi="Arial" w:cs="Arial"/>
          <w:kern w:val="0"/>
        </w:rPr>
        <w:t xml:space="preserve">. Discover Artificial Intelligence, 4(34). Available at: </w:t>
      </w:r>
      <w:hyperlink r:id="rId10" w:history="1">
        <w:r w:rsidRPr="001B0E87">
          <w:rPr>
            <w:rStyle w:val="Hyperlink"/>
            <w:rFonts w:ascii="Arial" w:hAnsi="Arial" w:cs="Arial"/>
            <w:kern w:val="0"/>
          </w:rPr>
          <w:t>https://link.springer.com/article/10.1007/s44163-024-00125-4</w:t>
        </w:r>
      </w:hyperlink>
      <w:r w:rsidRPr="001B0E87">
        <w:rPr>
          <w:rFonts w:ascii="Arial" w:hAnsi="Arial" w:cs="Arial"/>
          <w:kern w:val="0"/>
        </w:rPr>
        <w:t xml:space="preserve"> </w:t>
      </w:r>
    </w:p>
    <w:p w14:paraId="73D60485" w14:textId="77777777" w:rsidR="0005085E" w:rsidRDefault="0005085E" w:rsidP="001B0E87">
      <w:pPr>
        <w:autoSpaceDE w:val="0"/>
        <w:autoSpaceDN w:val="0"/>
        <w:adjustRightInd w:val="0"/>
        <w:rPr>
          <w:rFonts w:ascii="Arial" w:hAnsi="Arial" w:cs="Arial"/>
          <w:b/>
          <w:bCs/>
          <w:kern w:val="0"/>
        </w:rPr>
      </w:pPr>
    </w:p>
    <w:p w14:paraId="57974E8E" w14:textId="0ED74746" w:rsidR="001B0E87" w:rsidRDefault="001B0E87" w:rsidP="001B0E87">
      <w:pPr>
        <w:autoSpaceDE w:val="0"/>
        <w:autoSpaceDN w:val="0"/>
        <w:adjustRightInd w:val="0"/>
        <w:rPr>
          <w:rFonts w:ascii="Arial" w:hAnsi="Arial" w:cs="Arial"/>
          <w:kern w:val="0"/>
        </w:rPr>
      </w:pPr>
      <w:proofErr w:type="spellStart"/>
      <w:r w:rsidRPr="001B0E87">
        <w:rPr>
          <w:rFonts w:ascii="Arial" w:hAnsi="Arial" w:cs="Arial"/>
          <w:b/>
          <w:bCs/>
          <w:kern w:val="0"/>
        </w:rPr>
        <w:t>Deodhar</w:t>
      </w:r>
      <w:proofErr w:type="spellEnd"/>
      <w:r w:rsidRPr="001B0E87">
        <w:rPr>
          <w:rFonts w:ascii="Arial" w:hAnsi="Arial" w:cs="Arial"/>
          <w:b/>
          <w:bCs/>
          <w:kern w:val="0"/>
        </w:rPr>
        <w:t xml:space="preserve">, S., </w:t>
      </w:r>
      <w:proofErr w:type="spellStart"/>
      <w:r w:rsidRPr="001B0E87">
        <w:rPr>
          <w:rFonts w:ascii="Arial" w:hAnsi="Arial" w:cs="Arial"/>
          <w:b/>
          <w:bCs/>
          <w:kern w:val="0"/>
        </w:rPr>
        <w:t>Borokini</w:t>
      </w:r>
      <w:proofErr w:type="spellEnd"/>
      <w:r w:rsidRPr="001B0E87">
        <w:rPr>
          <w:rFonts w:ascii="Arial" w:hAnsi="Arial" w:cs="Arial"/>
          <w:b/>
          <w:bCs/>
          <w:kern w:val="0"/>
        </w:rPr>
        <w:t xml:space="preserve">, F. &amp; </w:t>
      </w:r>
      <w:proofErr w:type="spellStart"/>
      <w:r w:rsidRPr="001B0E87">
        <w:rPr>
          <w:rFonts w:ascii="Arial" w:hAnsi="Arial" w:cs="Arial"/>
          <w:b/>
          <w:bCs/>
          <w:kern w:val="0"/>
        </w:rPr>
        <w:t>Waber</w:t>
      </w:r>
      <w:proofErr w:type="spellEnd"/>
      <w:r w:rsidRPr="001B0E87">
        <w:rPr>
          <w:rFonts w:ascii="Arial" w:hAnsi="Arial" w:cs="Arial"/>
          <w:b/>
          <w:bCs/>
          <w:kern w:val="0"/>
        </w:rPr>
        <w:t>, B.</w:t>
      </w:r>
      <w:r w:rsidRPr="001B0E87">
        <w:rPr>
          <w:rFonts w:ascii="Arial" w:hAnsi="Arial" w:cs="Arial"/>
          <w:kern w:val="0"/>
        </w:rPr>
        <w:t xml:space="preserve"> (2024) </w:t>
      </w:r>
      <w:r w:rsidRPr="001B0E87">
        <w:rPr>
          <w:rFonts w:ascii="Arial" w:hAnsi="Arial" w:cs="Arial"/>
          <w:i/>
          <w:iCs/>
          <w:kern w:val="0"/>
        </w:rPr>
        <w:t>How Companies Can Take a Global Approach to AI Ethics</w:t>
      </w:r>
      <w:r w:rsidRPr="001B0E87">
        <w:rPr>
          <w:rFonts w:ascii="Arial" w:hAnsi="Arial" w:cs="Arial"/>
          <w:kern w:val="0"/>
        </w:rPr>
        <w:t xml:space="preserve">. Harvard Business Review, 5 August. Available at: </w:t>
      </w:r>
      <w:hyperlink r:id="rId11" w:history="1">
        <w:r w:rsidRPr="001B0E87">
          <w:rPr>
            <w:rStyle w:val="Hyperlink"/>
            <w:rFonts w:ascii="Arial" w:hAnsi="Arial" w:cs="Arial"/>
            <w:kern w:val="0"/>
          </w:rPr>
          <w:t>https://hbr.org/2024/08/how-companies-can-take-a-global-approach-to-ai-ethics</w:t>
        </w:r>
      </w:hyperlink>
      <w:r w:rsidRPr="001B0E87">
        <w:rPr>
          <w:rFonts w:ascii="Arial" w:hAnsi="Arial" w:cs="Arial"/>
          <w:kern w:val="0"/>
        </w:rPr>
        <w:t xml:space="preserve"> </w:t>
      </w:r>
    </w:p>
    <w:p w14:paraId="63EB584C" w14:textId="77777777" w:rsidR="0005085E" w:rsidRPr="001B0E87" w:rsidRDefault="0005085E" w:rsidP="001B0E87">
      <w:pPr>
        <w:autoSpaceDE w:val="0"/>
        <w:autoSpaceDN w:val="0"/>
        <w:adjustRightInd w:val="0"/>
        <w:rPr>
          <w:rFonts w:ascii="Arial" w:hAnsi="Arial" w:cs="Arial"/>
          <w:kern w:val="0"/>
        </w:rPr>
      </w:pPr>
    </w:p>
    <w:p w14:paraId="62AD90AD" w14:textId="1961DF1D" w:rsidR="001B0E87" w:rsidRDefault="001B0E87" w:rsidP="001B0E87">
      <w:pPr>
        <w:autoSpaceDE w:val="0"/>
        <w:autoSpaceDN w:val="0"/>
        <w:adjustRightInd w:val="0"/>
        <w:rPr>
          <w:rFonts w:ascii="Arial" w:hAnsi="Arial" w:cs="Arial"/>
          <w:kern w:val="0"/>
        </w:rPr>
      </w:pPr>
      <w:r w:rsidRPr="001B0E87">
        <w:rPr>
          <w:rFonts w:ascii="Arial" w:hAnsi="Arial" w:cs="Arial"/>
          <w:b/>
          <w:bCs/>
          <w:kern w:val="0"/>
        </w:rPr>
        <w:t>Du, J.</w:t>
      </w:r>
      <w:r w:rsidRPr="001B0E87">
        <w:rPr>
          <w:rFonts w:ascii="Arial" w:hAnsi="Arial" w:cs="Arial"/>
          <w:kern w:val="0"/>
        </w:rPr>
        <w:t xml:space="preserve"> (2024) </w:t>
      </w:r>
      <w:r w:rsidRPr="001B0E87">
        <w:rPr>
          <w:rFonts w:ascii="Arial" w:hAnsi="Arial" w:cs="Arial"/>
          <w:i/>
          <w:iCs/>
          <w:kern w:val="0"/>
        </w:rPr>
        <w:t>Ethical and Legal Challenges of AI in Human Resource Management</w:t>
      </w:r>
      <w:r w:rsidRPr="001B0E87">
        <w:rPr>
          <w:rFonts w:ascii="Arial" w:hAnsi="Arial" w:cs="Arial"/>
          <w:kern w:val="0"/>
        </w:rPr>
        <w:t xml:space="preserve">. Journal of Computing and Electronic Information Management, 13(2), pp.71–77. Available at: </w:t>
      </w:r>
      <w:hyperlink r:id="rId12" w:history="1">
        <w:r w:rsidRPr="001B0E87">
          <w:rPr>
            <w:rStyle w:val="Hyperlink"/>
            <w:rFonts w:ascii="Arial" w:hAnsi="Arial" w:cs="Arial"/>
            <w:kern w:val="0"/>
          </w:rPr>
          <w:t>https://drpress.org/ojs/index.php/jceim/article/view/23006</w:t>
        </w:r>
      </w:hyperlink>
      <w:r w:rsidRPr="001B0E87">
        <w:rPr>
          <w:rFonts w:ascii="Arial" w:hAnsi="Arial" w:cs="Arial"/>
          <w:kern w:val="0"/>
        </w:rPr>
        <w:t xml:space="preserve"> </w:t>
      </w:r>
    </w:p>
    <w:p w14:paraId="6C2C9B3C" w14:textId="77777777" w:rsidR="0005085E" w:rsidRPr="001B0E87" w:rsidRDefault="0005085E" w:rsidP="001B0E87">
      <w:pPr>
        <w:autoSpaceDE w:val="0"/>
        <w:autoSpaceDN w:val="0"/>
        <w:adjustRightInd w:val="0"/>
        <w:rPr>
          <w:rFonts w:ascii="Arial" w:hAnsi="Arial" w:cs="Arial"/>
          <w:kern w:val="0"/>
        </w:rPr>
      </w:pPr>
    </w:p>
    <w:p w14:paraId="379416B0" w14:textId="35082F38" w:rsidR="001B0E87" w:rsidRDefault="001B0E87" w:rsidP="001B0E87">
      <w:pPr>
        <w:autoSpaceDE w:val="0"/>
        <w:autoSpaceDN w:val="0"/>
        <w:adjustRightInd w:val="0"/>
        <w:rPr>
          <w:rFonts w:ascii="Arial" w:hAnsi="Arial" w:cs="Arial"/>
          <w:kern w:val="0"/>
        </w:rPr>
      </w:pPr>
      <w:r w:rsidRPr="001B0E87">
        <w:rPr>
          <w:rFonts w:ascii="Arial" w:hAnsi="Arial" w:cs="Arial"/>
          <w:b/>
          <w:bCs/>
          <w:kern w:val="0"/>
        </w:rPr>
        <w:t xml:space="preserve">Aydin, O., </w:t>
      </w:r>
      <w:proofErr w:type="spellStart"/>
      <w:r w:rsidRPr="001B0E87">
        <w:rPr>
          <w:rFonts w:ascii="Arial" w:hAnsi="Arial" w:cs="Arial"/>
          <w:b/>
          <w:bCs/>
          <w:kern w:val="0"/>
        </w:rPr>
        <w:t>Karaarslan</w:t>
      </w:r>
      <w:proofErr w:type="spellEnd"/>
      <w:r w:rsidRPr="001B0E87">
        <w:rPr>
          <w:rFonts w:ascii="Arial" w:hAnsi="Arial" w:cs="Arial"/>
          <w:b/>
          <w:bCs/>
          <w:kern w:val="0"/>
        </w:rPr>
        <w:t xml:space="preserve">, E. &amp; </w:t>
      </w:r>
      <w:proofErr w:type="spellStart"/>
      <w:r w:rsidRPr="001B0E87">
        <w:rPr>
          <w:rFonts w:ascii="Arial" w:hAnsi="Arial" w:cs="Arial"/>
          <w:b/>
          <w:bCs/>
          <w:kern w:val="0"/>
        </w:rPr>
        <w:t>Narin</w:t>
      </w:r>
      <w:proofErr w:type="spellEnd"/>
      <w:r w:rsidRPr="001B0E87">
        <w:rPr>
          <w:rFonts w:ascii="Arial" w:hAnsi="Arial" w:cs="Arial"/>
          <w:b/>
          <w:bCs/>
          <w:kern w:val="0"/>
        </w:rPr>
        <w:t>, N.G.</w:t>
      </w:r>
      <w:r w:rsidRPr="001B0E87">
        <w:rPr>
          <w:rFonts w:ascii="Arial" w:hAnsi="Arial" w:cs="Arial"/>
          <w:kern w:val="0"/>
        </w:rPr>
        <w:t xml:space="preserve"> (2024) </w:t>
      </w:r>
      <w:r w:rsidRPr="001B0E87">
        <w:rPr>
          <w:rFonts w:ascii="Arial" w:hAnsi="Arial" w:cs="Arial"/>
          <w:i/>
          <w:iCs/>
          <w:kern w:val="0"/>
        </w:rPr>
        <w:t xml:space="preserve">Artificial Intelligence, VR, </w:t>
      </w:r>
      <w:proofErr w:type="gramStart"/>
      <w:r w:rsidRPr="001B0E87">
        <w:rPr>
          <w:rFonts w:ascii="Arial" w:hAnsi="Arial" w:cs="Arial"/>
          <w:i/>
          <w:iCs/>
          <w:kern w:val="0"/>
        </w:rPr>
        <w:t>AR</w:t>
      </w:r>
      <w:proofErr w:type="gramEnd"/>
      <w:r w:rsidRPr="001B0E87">
        <w:rPr>
          <w:rFonts w:ascii="Arial" w:hAnsi="Arial" w:cs="Arial"/>
          <w:i/>
          <w:iCs/>
          <w:kern w:val="0"/>
        </w:rPr>
        <w:t xml:space="preserve"> and Metaverse Technologies for Human Resources Management</w:t>
      </w:r>
      <w:r w:rsidRPr="001B0E87">
        <w:rPr>
          <w:rFonts w:ascii="Arial" w:hAnsi="Arial" w:cs="Arial"/>
          <w:kern w:val="0"/>
        </w:rPr>
        <w:t xml:space="preserve">. </w:t>
      </w:r>
      <w:proofErr w:type="spellStart"/>
      <w:r w:rsidRPr="001B0E87">
        <w:rPr>
          <w:rFonts w:ascii="Arial" w:hAnsi="Arial" w:cs="Arial"/>
          <w:kern w:val="0"/>
        </w:rPr>
        <w:t>arXiv</w:t>
      </w:r>
      <w:proofErr w:type="spellEnd"/>
      <w:r w:rsidRPr="001B0E87">
        <w:rPr>
          <w:rFonts w:ascii="Arial" w:hAnsi="Arial" w:cs="Arial"/>
          <w:kern w:val="0"/>
        </w:rPr>
        <w:t xml:space="preserve"> preprint arXiv:2406.15383. Available at: </w:t>
      </w:r>
      <w:hyperlink r:id="rId13" w:history="1">
        <w:r w:rsidRPr="001B0E87">
          <w:rPr>
            <w:rStyle w:val="Hyperlink"/>
            <w:rFonts w:ascii="Arial" w:hAnsi="Arial" w:cs="Arial"/>
            <w:kern w:val="0"/>
          </w:rPr>
          <w:t>https://arxiv.org/abs/2406.15383</w:t>
        </w:r>
      </w:hyperlink>
      <w:r w:rsidRPr="001B0E87">
        <w:rPr>
          <w:rFonts w:ascii="Arial" w:hAnsi="Arial" w:cs="Arial"/>
          <w:kern w:val="0"/>
        </w:rPr>
        <w:t xml:space="preserve"> </w:t>
      </w:r>
    </w:p>
    <w:p w14:paraId="5508CD4F" w14:textId="77777777" w:rsidR="0005085E" w:rsidRPr="001B0E87" w:rsidRDefault="0005085E" w:rsidP="001B0E87">
      <w:pPr>
        <w:autoSpaceDE w:val="0"/>
        <w:autoSpaceDN w:val="0"/>
        <w:adjustRightInd w:val="0"/>
        <w:rPr>
          <w:rFonts w:ascii="Arial" w:hAnsi="Arial" w:cs="Arial"/>
          <w:kern w:val="0"/>
        </w:rPr>
      </w:pPr>
    </w:p>
    <w:p w14:paraId="47372F9C" w14:textId="6B08A1EB" w:rsidR="001B0E87" w:rsidRPr="001B0E87" w:rsidRDefault="001B0E87" w:rsidP="001B0E87">
      <w:pPr>
        <w:autoSpaceDE w:val="0"/>
        <w:autoSpaceDN w:val="0"/>
        <w:adjustRightInd w:val="0"/>
        <w:rPr>
          <w:rFonts w:ascii="Arial" w:hAnsi="Arial" w:cs="Arial"/>
          <w:kern w:val="0"/>
        </w:rPr>
      </w:pPr>
      <w:r w:rsidRPr="001B0E87">
        <w:rPr>
          <w:rFonts w:ascii="Arial" w:hAnsi="Arial" w:cs="Arial"/>
          <w:b/>
          <w:bCs/>
          <w:kern w:val="0"/>
        </w:rPr>
        <w:t>Immaculate, I.J.</w:t>
      </w:r>
      <w:r w:rsidRPr="001B0E87">
        <w:rPr>
          <w:rFonts w:ascii="Arial" w:hAnsi="Arial" w:cs="Arial"/>
          <w:kern w:val="0"/>
        </w:rPr>
        <w:t xml:space="preserve"> (2024) </w:t>
      </w:r>
      <w:r w:rsidRPr="001B0E87">
        <w:rPr>
          <w:rFonts w:ascii="Arial" w:hAnsi="Arial" w:cs="Arial"/>
          <w:i/>
          <w:iCs/>
          <w:kern w:val="0"/>
        </w:rPr>
        <w:t>Emerging Technologies Reshaping the HR Landscape</w:t>
      </w:r>
      <w:r w:rsidRPr="001B0E87">
        <w:rPr>
          <w:rFonts w:ascii="Arial" w:hAnsi="Arial" w:cs="Arial"/>
          <w:kern w:val="0"/>
        </w:rPr>
        <w:t xml:space="preserve">. SSRN. Available at: </w:t>
      </w:r>
      <w:hyperlink r:id="rId14" w:history="1">
        <w:r w:rsidRPr="001B0E87">
          <w:rPr>
            <w:rStyle w:val="Hyperlink"/>
            <w:rFonts w:ascii="Arial" w:hAnsi="Arial" w:cs="Arial"/>
            <w:kern w:val="0"/>
          </w:rPr>
          <w:t>https://ssrn.com/abstract=4922171</w:t>
        </w:r>
      </w:hyperlink>
      <w:r w:rsidRPr="001B0E87">
        <w:rPr>
          <w:rFonts w:ascii="Arial" w:hAnsi="Arial" w:cs="Arial"/>
          <w:kern w:val="0"/>
        </w:rPr>
        <w:t xml:space="preserve"> </w:t>
      </w:r>
    </w:p>
    <w:p w14:paraId="2B2A4D10" w14:textId="3005FE2B" w:rsidR="001B0E87" w:rsidRDefault="001B0E87" w:rsidP="001B0E87">
      <w:pPr>
        <w:autoSpaceDE w:val="0"/>
        <w:autoSpaceDN w:val="0"/>
        <w:adjustRightInd w:val="0"/>
        <w:rPr>
          <w:rFonts w:ascii="Arial" w:hAnsi="Arial" w:cs="Arial"/>
          <w:kern w:val="0"/>
        </w:rPr>
      </w:pPr>
      <w:r w:rsidRPr="001B0E87">
        <w:rPr>
          <w:rFonts w:ascii="Arial" w:hAnsi="Arial" w:cs="Arial"/>
          <w:b/>
          <w:bCs/>
          <w:kern w:val="0"/>
        </w:rPr>
        <w:t>Jia, X.</w:t>
      </w:r>
      <w:r w:rsidRPr="001B0E87">
        <w:rPr>
          <w:rFonts w:ascii="Arial" w:hAnsi="Arial" w:cs="Arial"/>
          <w:kern w:val="0"/>
        </w:rPr>
        <w:t xml:space="preserve"> (2024) </w:t>
      </w:r>
      <w:r w:rsidRPr="001B0E87">
        <w:rPr>
          <w:rFonts w:ascii="Arial" w:hAnsi="Arial" w:cs="Arial"/>
          <w:i/>
          <w:iCs/>
          <w:kern w:val="0"/>
        </w:rPr>
        <w:t>Architecting the future: exploring the synergy of AI-driven sustainable HRM and employee engagement</w:t>
      </w:r>
      <w:r w:rsidRPr="001B0E87">
        <w:rPr>
          <w:rFonts w:ascii="Arial" w:hAnsi="Arial" w:cs="Arial"/>
          <w:kern w:val="0"/>
        </w:rPr>
        <w:t xml:space="preserve">. Digital Sustainability, 5, pp.30–45. Available at: </w:t>
      </w:r>
      <w:hyperlink r:id="rId15" w:history="1">
        <w:r w:rsidRPr="001B0E87">
          <w:rPr>
            <w:rStyle w:val="Hyperlink"/>
            <w:rFonts w:ascii="Arial" w:hAnsi="Arial" w:cs="Arial"/>
            <w:kern w:val="0"/>
          </w:rPr>
          <w:t>https://ui.adsabs.harvard.edu/abs/2024DiSus…5…30J/abstract</w:t>
        </w:r>
      </w:hyperlink>
      <w:r w:rsidRPr="001B0E87">
        <w:rPr>
          <w:rFonts w:ascii="Arial" w:hAnsi="Arial" w:cs="Arial"/>
          <w:kern w:val="0"/>
        </w:rPr>
        <w:t xml:space="preserve"> </w:t>
      </w:r>
    </w:p>
    <w:p w14:paraId="568661C2" w14:textId="77777777" w:rsidR="0005085E" w:rsidRPr="001B0E87" w:rsidRDefault="0005085E" w:rsidP="001B0E87">
      <w:pPr>
        <w:autoSpaceDE w:val="0"/>
        <w:autoSpaceDN w:val="0"/>
        <w:adjustRightInd w:val="0"/>
        <w:rPr>
          <w:rFonts w:ascii="Arial" w:hAnsi="Arial" w:cs="Arial"/>
          <w:kern w:val="0"/>
        </w:rPr>
      </w:pPr>
    </w:p>
    <w:p w14:paraId="10DB2D0A" w14:textId="69DE53A2" w:rsidR="001B0E87" w:rsidRDefault="001B0E87" w:rsidP="001B0E87">
      <w:pPr>
        <w:autoSpaceDE w:val="0"/>
        <w:autoSpaceDN w:val="0"/>
        <w:adjustRightInd w:val="0"/>
        <w:rPr>
          <w:rFonts w:ascii="Arial" w:hAnsi="Arial" w:cs="Arial"/>
          <w:kern w:val="0"/>
        </w:rPr>
      </w:pPr>
      <w:r w:rsidRPr="001B0E87">
        <w:rPr>
          <w:rFonts w:ascii="Arial" w:hAnsi="Arial" w:cs="Arial"/>
          <w:b/>
          <w:bCs/>
          <w:kern w:val="0"/>
        </w:rPr>
        <w:t>Meister, J.</w:t>
      </w:r>
      <w:r w:rsidRPr="001B0E87">
        <w:rPr>
          <w:rFonts w:ascii="Arial" w:hAnsi="Arial" w:cs="Arial"/>
          <w:kern w:val="0"/>
        </w:rPr>
        <w:t xml:space="preserve"> (2024) </w:t>
      </w:r>
      <w:r w:rsidRPr="001B0E87">
        <w:rPr>
          <w:rFonts w:ascii="Arial" w:hAnsi="Arial" w:cs="Arial"/>
          <w:i/>
          <w:iCs/>
          <w:kern w:val="0"/>
        </w:rPr>
        <w:t>The Top Ten HR Trends That Matter Most In 2024</w:t>
      </w:r>
      <w:r w:rsidRPr="001B0E87">
        <w:rPr>
          <w:rFonts w:ascii="Arial" w:hAnsi="Arial" w:cs="Arial"/>
          <w:kern w:val="0"/>
        </w:rPr>
        <w:t xml:space="preserve">. Forbes, 4 January. Available at: </w:t>
      </w:r>
      <w:hyperlink r:id="rId16" w:history="1">
        <w:r w:rsidRPr="001B0E87">
          <w:rPr>
            <w:rStyle w:val="Hyperlink"/>
            <w:rFonts w:ascii="Arial" w:hAnsi="Arial" w:cs="Arial"/>
            <w:kern w:val="0"/>
          </w:rPr>
          <w:t>https://www.forbes.com/sites/jeannemeister/2024/01/04/the-top-ten-hr-trends-that-matter-most-in-2024/</w:t>
        </w:r>
      </w:hyperlink>
      <w:r w:rsidRPr="001B0E87">
        <w:rPr>
          <w:rFonts w:ascii="Arial" w:hAnsi="Arial" w:cs="Arial"/>
          <w:kern w:val="0"/>
        </w:rPr>
        <w:t xml:space="preserve"> </w:t>
      </w:r>
    </w:p>
    <w:p w14:paraId="35C5C23F" w14:textId="77777777" w:rsidR="0005085E" w:rsidRPr="001B0E87" w:rsidRDefault="0005085E" w:rsidP="001B0E87">
      <w:pPr>
        <w:autoSpaceDE w:val="0"/>
        <w:autoSpaceDN w:val="0"/>
        <w:adjustRightInd w:val="0"/>
        <w:rPr>
          <w:rFonts w:ascii="Arial" w:hAnsi="Arial" w:cs="Arial"/>
          <w:kern w:val="0"/>
        </w:rPr>
      </w:pPr>
    </w:p>
    <w:p w14:paraId="435BA463" w14:textId="69472185" w:rsidR="001B0E87" w:rsidRDefault="001B0E87" w:rsidP="001B0E87">
      <w:pPr>
        <w:autoSpaceDE w:val="0"/>
        <w:autoSpaceDN w:val="0"/>
        <w:adjustRightInd w:val="0"/>
        <w:rPr>
          <w:rFonts w:ascii="Arial" w:hAnsi="Arial" w:cs="Arial"/>
          <w:kern w:val="0"/>
        </w:rPr>
      </w:pPr>
      <w:r w:rsidRPr="001B0E87">
        <w:rPr>
          <w:rFonts w:ascii="Arial" w:hAnsi="Arial" w:cs="Arial"/>
          <w:b/>
          <w:bCs/>
          <w:kern w:val="0"/>
        </w:rPr>
        <w:t>Lin, X. et al.</w:t>
      </w:r>
      <w:r w:rsidRPr="001B0E87">
        <w:rPr>
          <w:rFonts w:ascii="Arial" w:hAnsi="Arial" w:cs="Arial"/>
          <w:kern w:val="0"/>
        </w:rPr>
        <w:t xml:space="preserve"> (2024) </w:t>
      </w:r>
      <w:r w:rsidRPr="001B0E87">
        <w:rPr>
          <w:rFonts w:ascii="Arial" w:hAnsi="Arial" w:cs="Arial"/>
          <w:i/>
          <w:iCs/>
          <w:kern w:val="0"/>
        </w:rPr>
        <w:t xml:space="preserve">The Impact of Artificial Intelligence (AI) on Global Higher Education: Opportunities and Challenges of Using </w:t>
      </w:r>
      <w:proofErr w:type="spellStart"/>
      <w:r w:rsidRPr="001B0E87">
        <w:rPr>
          <w:rFonts w:ascii="Arial" w:hAnsi="Arial" w:cs="Arial"/>
          <w:i/>
          <w:iCs/>
          <w:kern w:val="0"/>
        </w:rPr>
        <w:t>ChatGPT</w:t>
      </w:r>
      <w:proofErr w:type="spellEnd"/>
      <w:r w:rsidRPr="001B0E87">
        <w:rPr>
          <w:rFonts w:ascii="Arial" w:hAnsi="Arial" w:cs="Arial"/>
          <w:i/>
          <w:iCs/>
          <w:kern w:val="0"/>
        </w:rPr>
        <w:t xml:space="preserve"> and Generative AI</w:t>
      </w:r>
      <w:r w:rsidRPr="001B0E87">
        <w:rPr>
          <w:rFonts w:ascii="Arial" w:hAnsi="Arial" w:cs="Arial"/>
          <w:kern w:val="0"/>
        </w:rPr>
        <w:t xml:space="preserve">. In: </w:t>
      </w:r>
      <w:proofErr w:type="spellStart"/>
      <w:r w:rsidRPr="001B0E87">
        <w:rPr>
          <w:rFonts w:ascii="Arial" w:hAnsi="Arial" w:cs="Arial"/>
          <w:i/>
          <w:iCs/>
          <w:kern w:val="0"/>
        </w:rPr>
        <w:t>ChatGPT</w:t>
      </w:r>
      <w:proofErr w:type="spellEnd"/>
      <w:r w:rsidRPr="001B0E87">
        <w:rPr>
          <w:rFonts w:ascii="Arial" w:hAnsi="Arial" w:cs="Arial"/>
          <w:i/>
          <w:iCs/>
          <w:kern w:val="0"/>
        </w:rPr>
        <w:t xml:space="preserve"> and Global Higher Education</w:t>
      </w:r>
      <w:r w:rsidRPr="001B0E87">
        <w:rPr>
          <w:rFonts w:ascii="Arial" w:hAnsi="Arial" w:cs="Arial"/>
          <w:kern w:val="0"/>
        </w:rPr>
        <w:t xml:space="preserve">, pp.26–42. Available at: </w:t>
      </w:r>
      <w:hyperlink r:id="rId17" w:history="1">
        <w:r w:rsidRPr="001B0E87">
          <w:rPr>
            <w:rStyle w:val="Hyperlink"/>
            <w:rFonts w:ascii="Arial" w:hAnsi="Arial" w:cs="Arial"/>
            <w:kern w:val="0"/>
          </w:rPr>
          <w:t>https://scholar.harvard.edu/sites/scholar.harvard.edu/files/roychan/files/ebook_chatgpt_and_global_higher_education-26-42.pdf</w:t>
        </w:r>
      </w:hyperlink>
      <w:r w:rsidRPr="001B0E87">
        <w:rPr>
          <w:rFonts w:ascii="Arial" w:hAnsi="Arial" w:cs="Arial"/>
          <w:kern w:val="0"/>
        </w:rPr>
        <w:t xml:space="preserve"> </w:t>
      </w:r>
    </w:p>
    <w:p w14:paraId="36587548" w14:textId="77777777" w:rsidR="0005085E" w:rsidRPr="001B0E87" w:rsidRDefault="0005085E" w:rsidP="001B0E87">
      <w:pPr>
        <w:autoSpaceDE w:val="0"/>
        <w:autoSpaceDN w:val="0"/>
        <w:adjustRightInd w:val="0"/>
        <w:rPr>
          <w:rFonts w:ascii="Arial" w:hAnsi="Arial" w:cs="Arial"/>
          <w:kern w:val="0"/>
        </w:rPr>
      </w:pPr>
    </w:p>
    <w:p w14:paraId="2DBE35F2" w14:textId="74542952" w:rsidR="001B0E87" w:rsidRPr="001B0E87" w:rsidRDefault="001B0E87" w:rsidP="001B0E87">
      <w:pPr>
        <w:autoSpaceDE w:val="0"/>
        <w:autoSpaceDN w:val="0"/>
        <w:adjustRightInd w:val="0"/>
        <w:rPr>
          <w:rFonts w:ascii="Arial" w:hAnsi="Arial" w:cs="Arial"/>
          <w:kern w:val="0"/>
        </w:rPr>
      </w:pPr>
      <w:r w:rsidRPr="001B0E87">
        <w:rPr>
          <w:rFonts w:ascii="Arial" w:hAnsi="Arial" w:cs="Arial"/>
          <w:b/>
          <w:bCs/>
          <w:kern w:val="0"/>
        </w:rPr>
        <w:t xml:space="preserve">Zhang, D. &amp; </w:t>
      </w:r>
      <w:proofErr w:type="spellStart"/>
      <w:r w:rsidRPr="001B0E87">
        <w:rPr>
          <w:rFonts w:ascii="Arial" w:hAnsi="Arial" w:cs="Arial"/>
          <w:b/>
          <w:bCs/>
          <w:kern w:val="0"/>
        </w:rPr>
        <w:t>Nunamaker</w:t>
      </w:r>
      <w:proofErr w:type="spellEnd"/>
      <w:r w:rsidRPr="001B0E87">
        <w:rPr>
          <w:rFonts w:ascii="Arial" w:hAnsi="Arial" w:cs="Arial"/>
          <w:b/>
          <w:bCs/>
          <w:kern w:val="0"/>
        </w:rPr>
        <w:t>, J.F.</w:t>
      </w:r>
      <w:r w:rsidRPr="001B0E87">
        <w:rPr>
          <w:rFonts w:ascii="Arial" w:hAnsi="Arial" w:cs="Arial"/>
          <w:kern w:val="0"/>
        </w:rPr>
        <w:t xml:space="preserve"> (2024) </w:t>
      </w:r>
      <w:r w:rsidRPr="001B0E87">
        <w:rPr>
          <w:rFonts w:ascii="Arial" w:hAnsi="Arial" w:cs="Arial"/>
          <w:i/>
          <w:iCs/>
          <w:kern w:val="0"/>
        </w:rPr>
        <w:t>Powering E-Learning in the New Millennium: An Overview of E-Learning and Enabling Technology</w:t>
      </w:r>
      <w:r w:rsidRPr="001B0E87">
        <w:rPr>
          <w:rFonts w:ascii="Arial" w:hAnsi="Arial" w:cs="Arial"/>
          <w:kern w:val="0"/>
        </w:rPr>
        <w:t xml:space="preserve">. Information Systems Frontiers, 16(1), pp.1–14. Available at: </w:t>
      </w:r>
      <w:hyperlink r:id="rId18" w:history="1">
        <w:r w:rsidRPr="001B0E87">
          <w:rPr>
            <w:rStyle w:val="Hyperlink"/>
            <w:rFonts w:ascii="Arial" w:hAnsi="Arial" w:cs="Arial"/>
            <w:kern w:val="0"/>
          </w:rPr>
          <w:t>https://en.wikipedia.org/wiki/E-HRM</w:t>
        </w:r>
      </w:hyperlink>
      <w:r w:rsidRPr="001B0E87">
        <w:rPr>
          <w:rFonts w:ascii="Arial" w:hAnsi="Arial" w:cs="Arial"/>
          <w:kern w:val="0"/>
        </w:rPr>
        <w:t xml:space="preserve"> </w:t>
      </w:r>
    </w:p>
    <w:p w14:paraId="75283F6E" w14:textId="5F5070B7" w:rsidR="001B0E87" w:rsidRDefault="001B0E87" w:rsidP="001B0E87">
      <w:pPr>
        <w:autoSpaceDE w:val="0"/>
        <w:autoSpaceDN w:val="0"/>
        <w:adjustRightInd w:val="0"/>
        <w:rPr>
          <w:rFonts w:ascii="Arial" w:hAnsi="Arial" w:cs="Arial"/>
          <w:kern w:val="0"/>
        </w:rPr>
      </w:pPr>
      <w:r w:rsidRPr="001B0E87">
        <w:rPr>
          <w:rFonts w:ascii="Arial" w:hAnsi="Arial" w:cs="Arial"/>
          <w:b/>
          <w:bCs/>
          <w:kern w:val="0"/>
        </w:rPr>
        <w:t>Fenwick, A. et al.</w:t>
      </w:r>
      <w:r w:rsidRPr="001B0E87">
        <w:rPr>
          <w:rFonts w:ascii="Arial" w:hAnsi="Arial" w:cs="Arial"/>
          <w:kern w:val="0"/>
        </w:rPr>
        <w:t xml:space="preserve"> (2024) </w:t>
      </w:r>
      <w:r w:rsidRPr="001B0E87">
        <w:rPr>
          <w:rFonts w:ascii="Arial" w:hAnsi="Arial" w:cs="Arial"/>
          <w:i/>
          <w:iCs/>
          <w:kern w:val="0"/>
        </w:rPr>
        <w:t>Transformative AI in human resource management</w:t>
      </w:r>
      <w:r w:rsidRPr="001B0E87">
        <w:rPr>
          <w:rFonts w:ascii="Arial" w:hAnsi="Arial" w:cs="Arial"/>
          <w:kern w:val="0"/>
        </w:rPr>
        <w:t xml:space="preserve">. Cogent Business &amp; Management, 11(1), 2432550. Available at: </w:t>
      </w:r>
      <w:hyperlink r:id="rId19" w:history="1">
        <w:r w:rsidRPr="001B0E87">
          <w:rPr>
            <w:rStyle w:val="Hyperlink"/>
            <w:rFonts w:ascii="Arial" w:hAnsi="Arial" w:cs="Arial"/>
            <w:kern w:val="0"/>
          </w:rPr>
          <w:t>https://www.tandfonline.com/doi/full/10.1080/23311975.2024.2432550</w:t>
        </w:r>
      </w:hyperlink>
      <w:r w:rsidRPr="001B0E87">
        <w:rPr>
          <w:rFonts w:ascii="Arial" w:hAnsi="Arial" w:cs="Arial"/>
          <w:kern w:val="0"/>
        </w:rPr>
        <w:t xml:space="preserve"> </w:t>
      </w:r>
    </w:p>
    <w:p w14:paraId="35DC49D5" w14:textId="77777777" w:rsidR="0005085E" w:rsidRPr="001B0E87" w:rsidRDefault="0005085E" w:rsidP="001B0E87">
      <w:pPr>
        <w:autoSpaceDE w:val="0"/>
        <w:autoSpaceDN w:val="0"/>
        <w:adjustRightInd w:val="0"/>
        <w:rPr>
          <w:rFonts w:ascii="Arial" w:hAnsi="Arial" w:cs="Arial"/>
          <w:kern w:val="0"/>
        </w:rPr>
      </w:pPr>
    </w:p>
    <w:p w14:paraId="241659D8" w14:textId="65C64964" w:rsidR="001B0E87" w:rsidRPr="001B0E87" w:rsidRDefault="001B0E87" w:rsidP="001B0E87">
      <w:pPr>
        <w:autoSpaceDE w:val="0"/>
        <w:autoSpaceDN w:val="0"/>
        <w:adjustRightInd w:val="0"/>
        <w:rPr>
          <w:rFonts w:ascii="Arial" w:hAnsi="Arial" w:cs="Arial"/>
          <w:kern w:val="0"/>
        </w:rPr>
      </w:pPr>
      <w:r w:rsidRPr="001B0E87">
        <w:rPr>
          <w:rFonts w:ascii="Arial" w:hAnsi="Arial" w:cs="Arial"/>
          <w:b/>
          <w:bCs/>
          <w:kern w:val="0"/>
        </w:rPr>
        <w:t>Du, J.</w:t>
      </w:r>
      <w:r w:rsidRPr="001B0E87">
        <w:rPr>
          <w:rFonts w:ascii="Arial" w:hAnsi="Arial" w:cs="Arial"/>
          <w:kern w:val="0"/>
        </w:rPr>
        <w:t xml:space="preserve"> (2024) </w:t>
      </w:r>
      <w:r w:rsidRPr="001B0E87">
        <w:rPr>
          <w:rFonts w:ascii="Arial" w:hAnsi="Arial" w:cs="Arial"/>
          <w:i/>
          <w:iCs/>
          <w:kern w:val="0"/>
        </w:rPr>
        <w:t>Exploring gender bias and algorithm transparency: Ethical considerations of AI in HRM</w:t>
      </w:r>
      <w:r w:rsidRPr="001B0E87">
        <w:rPr>
          <w:rFonts w:ascii="Arial" w:hAnsi="Arial" w:cs="Arial"/>
          <w:kern w:val="0"/>
        </w:rPr>
        <w:t>. Journal of Theory and Practice of Management Science, 4(3), pp.36–43.</w:t>
      </w:r>
    </w:p>
    <w:p w14:paraId="0881891E" w14:textId="0E3644AB" w:rsidR="001B0E87" w:rsidRDefault="001B0E87" w:rsidP="001B0E87">
      <w:pPr>
        <w:autoSpaceDE w:val="0"/>
        <w:autoSpaceDN w:val="0"/>
        <w:adjustRightInd w:val="0"/>
        <w:rPr>
          <w:rFonts w:ascii="Arial" w:hAnsi="Arial" w:cs="Arial"/>
          <w:kern w:val="0"/>
        </w:rPr>
      </w:pPr>
      <w:r w:rsidRPr="001B0E87">
        <w:rPr>
          <w:rFonts w:ascii="Arial" w:hAnsi="Arial" w:cs="Arial"/>
          <w:b/>
          <w:bCs/>
          <w:kern w:val="0"/>
        </w:rPr>
        <w:t xml:space="preserve">Aydin, O., </w:t>
      </w:r>
      <w:proofErr w:type="spellStart"/>
      <w:r w:rsidRPr="001B0E87">
        <w:rPr>
          <w:rFonts w:ascii="Arial" w:hAnsi="Arial" w:cs="Arial"/>
          <w:b/>
          <w:bCs/>
          <w:kern w:val="0"/>
        </w:rPr>
        <w:t>Karaarslan</w:t>
      </w:r>
      <w:proofErr w:type="spellEnd"/>
      <w:r w:rsidRPr="001B0E87">
        <w:rPr>
          <w:rFonts w:ascii="Arial" w:hAnsi="Arial" w:cs="Arial"/>
          <w:b/>
          <w:bCs/>
          <w:kern w:val="0"/>
        </w:rPr>
        <w:t xml:space="preserve">, E. &amp; </w:t>
      </w:r>
      <w:proofErr w:type="spellStart"/>
      <w:r w:rsidRPr="001B0E87">
        <w:rPr>
          <w:rFonts w:ascii="Arial" w:hAnsi="Arial" w:cs="Arial"/>
          <w:b/>
          <w:bCs/>
          <w:kern w:val="0"/>
        </w:rPr>
        <w:t>Narin</w:t>
      </w:r>
      <w:proofErr w:type="spellEnd"/>
      <w:r w:rsidRPr="001B0E87">
        <w:rPr>
          <w:rFonts w:ascii="Arial" w:hAnsi="Arial" w:cs="Arial"/>
          <w:b/>
          <w:bCs/>
          <w:kern w:val="0"/>
        </w:rPr>
        <w:t>, N.G.</w:t>
      </w:r>
      <w:r w:rsidRPr="001B0E87">
        <w:rPr>
          <w:rFonts w:ascii="Arial" w:hAnsi="Arial" w:cs="Arial"/>
          <w:kern w:val="0"/>
        </w:rPr>
        <w:t xml:space="preserve"> (2024) </w:t>
      </w:r>
      <w:r w:rsidRPr="001B0E87">
        <w:rPr>
          <w:rFonts w:ascii="Arial" w:hAnsi="Arial" w:cs="Arial"/>
          <w:i/>
          <w:iCs/>
          <w:kern w:val="0"/>
        </w:rPr>
        <w:t xml:space="preserve">Artificial Intelligence, VR, </w:t>
      </w:r>
      <w:proofErr w:type="gramStart"/>
      <w:r w:rsidRPr="001B0E87">
        <w:rPr>
          <w:rFonts w:ascii="Arial" w:hAnsi="Arial" w:cs="Arial"/>
          <w:i/>
          <w:iCs/>
          <w:kern w:val="0"/>
        </w:rPr>
        <w:t>AR</w:t>
      </w:r>
      <w:proofErr w:type="gramEnd"/>
      <w:r w:rsidRPr="001B0E87">
        <w:rPr>
          <w:rFonts w:ascii="Arial" w:hAnsi="Arial" w:cs="Arial"/>
          <w:i/>
          <w:iCs/>
          <w:kern w:val="0"/>
        </w:rPr>
        <w:t xml:space="preserve"> and Metaverse Technologies for Human Resources Management</w:t>
      </w:r>
      <w:r w:rsidRPr="001B0E87">
        <w:rPr>
          <w:rFonts w:ascii="Arial" w:hAnsi="Arial" w:cs="Arial"/>
          <w:kern w:val="0"/>
        </w:rPr>
        <w:t xml:space="preserve">. </w:t>
      </w:r>
      <w:proofErr w:type="spellStart"/>
      <w:r w:rsidRPr="001B0E87">
        <w:rPr>
          <w:rFonts w:ascii="Arial" w:hAnsi="Arial" w:cs="Arial"/>
          <w:kern w:val="0"/>
        </w:rPr>
        <w:t>arXiv</w:t>
      </w:r>
      <w:proofErr w:type="spellEnd"/>
      <w:r w:rsidRPr="001B0E87">
        <w:rPr>
          <w:rFonts w:ascii="Arial" w:hAnsi="Arial" w:cs="Arial"/>
          <w:kern w:val="0"/>
        </w:rPr>
        <w:t xml:space="preserve"> preprint arXiv:2406.15383. Available at: </w:t>
      </w:r>
      <w:hyperlink r:id="rId20" w:history="1">
        <w:r w:rsidRPr="001B0E87">
          <w:rPr>
            <w:rStyle w:val="Hyperlink"/>
            <w:rFonts w:ascii="Arial" w:hAnsi="Arial" w:cs="Arial"/>
            <w:kern w:val="0"/>
          </w:rPr>
          <w:t>https://arxiv.org/abs/2406.15383</w:t>
        </w:r>
      </w:hyperlink>
      <w:r w:rsidRPr="001B0E87">
        <w:rPr>
          <w:rFonts w:ascii="Arial" w:hAnsi="Arial" w:cs="Arial"/>
          <w:kern w:val="0"/>
        </w:rPr>
        <w:t xml:space="preserve"> </w:t>
      </w:r>
    </w:p>
    <w:p w14:paraId="0151A4F4" w14:textId="77777777" w:rsidR="0005085E" w:rsidRPr="001B0E87" w:rsidRDefault="0005085E" w:rsidP="001B0E87">
      <w:pPr>
        <w:autoSpaceDE w:val="0"/>
        <w:autoSpaceDN w:val="0"/>
        <w:adjustRightInd w:val="0"/>
        <w:rPr>
          <w:rFonts w:ascii="Arial" w:hAnsi="Arial" w:cs="Arial"/>
          <w:kern w:val="0"/>
        </w:rPr>
      </w:pPr>
    </w:p>
    <w:p w14:paraId="6C75E89C" w14:textId="315D14AA" w:rsidR="001B0E87" w:rsidRDefault="001B0E87" w:rsidP="001B0E87">
      <w:pPr>
        <w:autoSpaceDE w:val="0"/>
        <w:autoSpaceDN w:val="0"/>
        <w:adjustRightInd w:val="0"/>
        <w:rPr>
          <w:rFonts w:ascii="Arial" w:hAnsi="Arial" w:cs="Arial"/>
          <w:kern w:val="0"/>
        </w:rPr>
      </w:pPr>
      <w:r w:rsidRPr="001B0E87">
        <w:rPr>
          <w:rFonts w:ascii="Arial" w:hAnsi="Arial" w:cs="Arial"/>
          <w:b/>
          <w:bCs/>
          <w:kern w:val="0"/>
        </w:rPr>
        <w:t>Immaculate, I.J.</w:t>
      </w:r>
      <w:r w:rsidRPr="001B0E87">
        <w:rPr>
          <w:rFonts w:ascii="Arial" w:hAnsi="Arial" w:cs="Arial"/>
          <w:kern w:val="0"/>
        </w:rPr>
        <w:t xml:space="preserve"> (2024) </w:t>
      </w:r>
      <w:r w:rsidRPr="001B0E87">
        <w:rPr>
          <w:rFonts w:ascii="Arial" w:hAnsi="Arial" w:cs="Arial"/>
          <w:i/>
          <w:iCs/>
          <w:kern w:val="0"/>
        </w:rPr>
        <w:t>Emerging Technologies Reshaping the HR Landscape</w:t>
      </w:r>
      <w:r w:rsidRPr="001B0E87">
        <w:rPr>
          <w:rFonts w:ascii="Arial" w:hAnsi="Arial" w:cs="Arial"/>
          <w:kern w:val="0"/>
        </w:rPr>
        <w:t xml:space="preserve">. SSRN. Available at: </w:t>
      </w:r>
      <w:hyperlink r:id="rId21" w:history="1">
        <w:r w:rsidRPr="001B0E87">
          <w:rPr>
            <w:rStyle w:val="Hyperlink"/>
            <w:rFonts w:ascii="Arial" w:hAnsi="Arial" w:cs="Arial"/>
            <w:kern w:val="0"/>
          </w:rPr>
          <w:t>https://ssrn.com/abstract=4922171</w:t>
        </w:r>
      </w:hyperlink>
      <w:r w:rsidRPr="001B0E87">
        <w:rPr>
          <w:rFonts w:ascii="Arial" w:hAnsi="Arial" w:cs="Arial"/>
          <w:kern w:val="0"/>
        </w:rPr>
        <w:t xml:space="preserve"> </w:t>
      </w:r>
    </w:p>
    <w:p w14:paraId="75B01A6A" w14:textId="77777777" w:rsidR="0005085E" w:rsidRPr="001B0E87" w:rsidRDefault="0005085E" w:rsidP="001B0E87">
      <w:pPr>
        <w:autoSpaceDE w:val="0"/>
        <w:autoSpaceDN w:val="0"/>
        <w:adjustRightInd w:val="0"/>
        <w:rPr>
          <w:rFonts w:ascii="Arial" w:hAnsi="Arial" w:cs="Arial"/>
          <w:kern w:val="0"/>
        </w:rPr>
      </w:pPr>
    </w:p>
    <w:p w14:paraId="3DD53806" w14:textId="7FCB5DF2" w:rsidR="001B0E87" w:rsidRPr="001B0E87" w:rsidRDefault="001B0E87" w:rsidP="001B0E87">
      <w:pPr>
        <w:rPr>
          <w:rFonts w:ascii="Arial" w:hAnsi="Arial" w:cs="Arial"/>
        </w:rPr>
      </w:pPr>
      <w:r w:rsidRPr="001B0E87">
        <w:rPr>
          <w:rFonts w:ascii="Arial" w:hAnsi="Arial" w:cs="Arial"/>
          <w:b/>
          <w:bCs/>
          <w:kern w:val="0"/>
        </w:rPr>
        <w:t>Du, J.</w:t>
      </w:r>
      <w:r w:rsidRPr="001B0E87">
        <w:rPr>
          <w:rFonts w:ascii="Arial" w:hAnsi="Arial" w:cs="Arial"/>
          <w:kern w:val="0"/>
        </w:rPr>
        <w:t xml:space="preserve"> (2024) </w:t>
      </w:r>
      <w:r w:rsidRPr="001B0E87">
        <w:rPr>
          <w:rFonts w:ascii="Arial" w:hAnsi="Arial" w:cs="Arial"/>
          <w:i/>
          <w:iCs/>
          <w:kern w:val="0"/>
        </w:rPr>
        <w:t>Unlocking the potential: Literature review on the evolving role of AI in HRM</w:t>
      </w:r>
      <w:r w:rsidRPr="001B0E87">
        <w:rPr>
          <w:rFonts w:ascii="Arial" w:hAnsi="Arial" w:cs="Arial"/>
          <w:kern w:val="0"/>
        </w:rPr>
        <w:t>. Frontiers in Management Science, 3(1), pp.28–33.</w:t>
      </w:r>
    </w:p>
    <w:p w14:paraId="1594D780" w14:textId="77777777" w:rsidR="001B0E87" w:rsidRPr="001B0E87" w:rsidRDefault="001B0E87" w:rsidP="001B0E87">
      <w:pPr>
        <w:rPr>
          <w:rFonts w:ascii="Arial" w:hAnsi="Arial" w:cs="Arial"/>
          <w:sz w:val="22"/>
          <w:szCs w:val="22"/>
        </w:rPr>
      </w:pPr>
    </w:p>
    <w:sectPr w:rsidR="001B0E87" w:rsidRPr="001B0E87" w:rsidSect="00650551">
      <w:head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F16A1" w14:textId="77777777" w:rsidR="0003292A" w:rsidRDefault="0003292A" w:rsidP="00650551">
      <w:r>
        <w:separator/>
      </w:r>
    </w:p>
  </w:endnote>
  <w:endnote w:type="continuationSeparator" w:id="0">
    <w:p w14:paraId="26B102C7" w14:textId="77777777" w:rsidR="0003292A" w:rsidRDefault="0003292A" w:rsidP="006505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BEB4B7" w14:textId="77777777" w:rsidR="0003292A" w:rsidRDefault="0003292A" w:rsidP="00650551">
      <w:r>
        <w:separator/>
      </w:r>
    </w:p>
  </w:footnote>
  <w:footnote w:type="continuationSeparator" w:id="0">
    <w:p w14:paraId="24A6B2FD" w14:textId="77777777" w:rsidR="0003292A" w:rsidRDefault="0003292A" w:rsidP="0065055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56E67B" w14:textId="77777777" w:rsidR="00650551" w:rsidRDefault="00650551">
    <w:pPr>
      <w:pStyle w:val="Header"/>
    </w:pPr>
  </w:p>
  <w:p w14:paraId="3BD5CD17" w14:textId="77777777" w:rsidR="00650551" w:rsidRDefault="00650551">
    <w:pPr>
      <w:pStyle w:val="Header"/>
    </w:pPr>
  </w:p>
  <w:p w14:paraId="2020309E" w14:textId="77777777" w:rsidR="00650551" w:rsidRDefault="00650551">
    <w:pPr>
      <w:pStyle w:val="Header"/>
    </w:pPr>
  </w:p>
  <w:p w14:paraId="3ABF5FF7" w14:textId="77777777" w:rsidR="00650551" w:rsidRDefault="006505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A72EC5"/>
    <w:multiLevelType w:val="hybridMultilevel"/>
    <w:tmpl w:val="FAAEA9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55533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0551"/>
    <w:rsid w:val="0003292A"/>
    <w:rsid w:val="0005085E"/>
    <w:rsid w:val="001B0E87"/>
    <w:rsid w:val="002C45A4"/>
    <w:rsid w:val="003E122E"/>
    <w:rsid w:val="00650551"/>
    <w:rsid w:val="008D2548"/>
    <w:rsid w:val="00A15A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06E84"/>
  <w15:chartTrackingRefBased/>
  <w15:docId w15:val="{4605190B-0A83-6C44-91E9-047DE66D15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085E"/>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50551"/>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650551"/>
    <w:rPr>
      <w:rFonts w:eastAsiaTheme="minorEastAsia"/>
      <w:kern w:val="0"/>
      <w:sz w:val="22"/>
      <w:szCs w:val="22"/>
      <w:lang w:val="en-US" w:eastAsia="zh-CN"/>
      <w14:ligatures w14:val="none"/>
    </w:rPr>
  </w:style>
  <w:style w:type="paragraph" w:customStyle="1" w:styleId="s166">
    <w:name w:val="s166"/>
    <w:basedOn w:val="Normal"/>
    <w:rsid w:val="00650551"/>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bumpedfont15">
    <w:name w:val="bumpedfont15"/>
    <w:basedOn w:val="DefaultParagraphFont"/>
    <w:rsid w:val="00650551"/>
  </w:style>
  <w:style w:type="character" w:customStyle="1" w:styleId="apple-converted-space">
    <w:name w:val="apple-converted-space"/>
    <w:basedOn w:val="DefaultParagraphFont"/>
    <w:rsid w:val="00650551"/>
  </w:style>
  <w:style w:type="character" w:customStyle="1" w:styleId="s107">
    <w:name w:val="s107"/>
    <w:basedOn w:val="DefaultParagraphFont"/>
    <w:rsid w:val="00650551"/>
  </w:style>
  <w:style w:type="character" w:styleId="Hyperlink">
    <w:name w:val="Hyperlink"/>
    <w:basedOn w:val="DefaultParagraphFont"/>
    <w:uiPriority w:val="99"/>
    <w:unhideWhenUsed/>
    <w:rsid w:val="00650551"/>
    <w:rPr>
      <w:color w:val="0563C1" w:themeColor="hyperlink"/>
      <w:u w:val="single"/>
    </w:rPr>
  </w:style>
  <w:style w:type="character" w:styleId="UnresolvedMention">
    <w:name w:val="Unresolved Mention"/>
    <w:basedOn w:val="DefaultParagraphFont"/>
    <w:uiPriority w:val="99"/>
    <w:semiHidden/>
    <w:unhideWhenUsed/>
    <w:rsid w:val="00650551"/>
    <w:rPr>
      <w:color w:val="605E5C"/>
      <w:shd w:val="clear" w:color="auto" w:fill="E1DFDD"/>
    </w:rPr>
  </w:style>
  <w:style w:type="character" w:styleId="FollowedHyperlink">
    <w:name w:val="FollowedHyperlink"/>
    <w:basedOn w:val="DefaultParagraphFont"/>
    <w:uiPriority w:val="99"/>
    <w:semiHidden/>
    <w:unhideWhenUsed/>
    <w:rsid w:val="00650551"/>
    <w:rPr>
      <w:color w:val="954F72" w:themeColor="followedHyperlink"/>
      <w:u w:val="single"/>
    </w:rPr>
  </w:style>
  <w:style w:type="paragraph" w:styleId="Header">
    <w:name w:val="header"/>
    <w:basedOn w:val="Normal"/>
    <w:link w:val="HeaderChar"/>
    <w:uiPriority w:val="99"/>
    <w:unhideWhenUsed/>
    <w:rsid w:val="00650551"/>
    <w:pPr>
      <w:tabs>
        <w:tab w:val="center" w:pos="4513"/>
        <w:tab w:val="right" w:pos="9026"/>
      </w:tabs>
    </w:pPr>
  </w:style>
  <w:style w:type="character" w:customStyle="1" w:styleId="HeaderChar">
    <w:name w:val="Header Char"/>
    <w:basedOn w:val="DefaultParagraphFont"/>
    <w:link w:val="Header"/>
    <w:uiPriority w:val="99"/>
    <w:rsid w:val="00650551"/>
  </w:style>
  <w:style w:type="paragraph" w:styleId="Footer">
    <w:name w:val="footer"/>
    <w:basedOn w:val="Normal"/>
    <w:link w:val="FooterChar"/>
    <w:uiPriority w:val="99"/>
    <w:unhideWhenUsed/>
    <w:rsid w:val="00650551"/>
    <w:pPr>
      <w:tabs>
        <w:tab w:val="center" w:pos="4513"/>
        <w:tab w:val="right" w:pos="9026"/>
      </w:tabs>
    </w:pPr>
  </w:style>
  <w:style w:type="character" w:customStyle="1" w:styleId="FooterChar">
    <w:name w:val="Footer Char"/>
    <w:basedOn w:val="DefaultParagraphFont"/>
    <w:link w:val="Footer"/>
    <w:uiPriority w:val="99"/>
    <w:rsid w:val="00650551"/>
  </w:style>
  <w:style w:type="paragraph" w:styleId="ListParagraph">
    <w:name w:val="List Paragraph"/>
    <w:basedOn w:val="Normal"/>
    <w:uiPriority w:val="34"/>
    <w:qFormat/>
    <w:rsid w:val="001B0E87"/>
    <w:pPr>
      <w:ind w:left="720"/>
      <w:contextualSpacing/>
    </w:pPr>
  </w:style>
  <w:style w:type="character" w:customStyle="1" w:styleId="Heading1Char">
    <w:name w:val="Heading 1 Char"/>
    <w:basedOn w:val="DefaultParagraphFont"/>
    <w:link w:val="Heading1"/>
    <w:uiPriority w:val="9"/>
    <w:rsid w:val="0005085E"/>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2C45A4"/>
    <w:pPr>
      <w:pBdr>
        <w:bottom w:val="single" w:sz="8" w:space="4" w:color="4472C4" w:themeColor="accent1"/>
      </w:pBdr>
      <w:spacing w:after="300"/>
      <w:contextualSpacing/>
    </w:pPr>
    <w:rPr>
      <w:rFonts w:asciiTheme="majorHAnsi" w:eastAsiaTheme="majorEastAsia" w:hAnsiTheme="majorHAnsi" w:cstheme="majorBidi"/>
      <w:color w:val="323E4F" w:themeColor="text2" w:themeShade="BF"/>
      <w:spacing w:val="5"/>
      <w:kern w:val="28"/>
      <w:sz w:val="52"/>
      <w:szCs w:val="52"/>
      <w:lang w:val="en-US"/>
      <w14:ligatures w14:val="none"/>
    </w:rPr>
  </w:style>
  <w:style w:type="character" w:customStyle="1" w:styleId="TitleChar">
    <w:name w:val="Title Char"/>
    <w:basedOn w:val="DefaultParagraphFont"/>
    <w:link w:val="Title"/>
    <w:uiPriority w:val="10"/>
    <w:rsid w:val="002C45A4"/>
    <w:rPr>
      <w:rFonts w:asciiTheme="majorHAnsi" w:eastAsiaTheme="majorEastAsia" w:hAnsiTheme="majorHAnsi" w:cstheme="majorBidi"/>
      <w:color w:val="323E4F" w:themeColor="text2" w:themeShade="BF"/>
      <w:spacing w:val="5"/>
      <w:kern w:val="28"/>
      <w:sz w:val="52"/>
      <w:szCs w:val="5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6753059">
      <w:bodyDiv w:val="1"/>
      <w:marLeft w:val="0"/>
      <w:marRight w:val="0"/>
      <w:marTop w:val="0"/>
      <w:marBottom w:val="0"/>
      <w:divBdr>
        <w:top w:val="none" w:sz="0" w:space="0" w:color="auto"/>
        <w:left w:val="none" w:sz="0" w:space="0" w:color="auto"/>
        <w:bottom w:val="none" w:sz="0" w:space="0" w:color="auto"/>
        <w:right w:val="none" w:sz="0" w:space="0" w:color="auto"/>
      </w:divBdr>
      <w:divsChild>
        <w:div w:id="1819804927">
          <w:marLeft w:val="540"/>
          <w:marRight w:val="0"/>
          <w:marTop w:val="0"/>
          <w:marBottom w:val="0"/>
          <w:divBdr>
            <w:top w:val="none" w:sz="0" w:space="0" w:color="auto"/>
            <w:left w:val="none" w:sz="0" w:space="0" w:color="auto"/>
            <w:bottom w:val="none" w:sz="0" w:space="0" w:color="auto"/>
            <w:right w:val="none" w:sz="0" w:space="0" w:color="auto"/>
          </w:divBdr>
        </w:div>
        <w:div w:id="1022365741">
          <w:marLeft w:val="540"/>
          <w:marRight w:val="0"/>
          <w:marTop w:val="0"/>
          <w:marBottom w:val="0"/>
          <w:divBdr>
            <w:top w:val="none" w:sz="0" w:space="0" w:color="auto"/>
            <w:left w:val="none" w:sz="0" w:space="0" w:color="auto"/>
            <w:bottom w:val="none" w:sz="0" w:space="0" w:color="auto"/>
            <w:right w:val="none" w:sz="0" w:space="0" w:color="auto"/>
          </w:divBdr>
        </w:div>
        <w:div w:id="756093297">
          <w:marLeft w:val="540"/>
          <w:marRight w:val="0"/>
          <w:marTop w:val="0"/>
          <w:marBottom w:val="0"/>
          <w:divBdr>
            <w:top w:val="none" w:sz="0" w:space="0" w:color="auto"/>
            <w:left w:val="none" w:sz="0" w:space="0" w:color="auto"/>
            <w:bottom w:val="none" w:sz="0" w:space="0" w:color="auto"/>
            <w:right w:val="none" w:sz="0" w:space="0" w:color="auto"/>
          </w:divBdr>
        </w:div>
        <w:div w:id="524640067">
          <w:marLeft w:val="54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arxiv.org/abs/2406.15383" TargetMode="External"/><Relationship Id="rId18" Type="http://schemas.openxmlformats.org/officeDocument/2006/relationships/hyperlink" Target="https://en.wikipedia.org/wiki/E-HRM" TargetMode="External"/><Relationship Id="rId3" Type="http://schemas.openxmlformats.org/officeDocument/2006/relationships/settings" Target="settings.xml"/><Relationship Id="rId21" Type="http://schemas.openxmlformats.org/officeDocument/2006/relationships/hyperlink" Target="https://ssrn.com/abstract=4922171" TargetMode="External"/><Relationship Id="rId7" Type="http://schemas.openxmlformats.org/officeDocument/2006/relationships/image" Target="media/image1.png"/><Relationship Id="rId12" Type="http://schemas.openxmlformats.org/officeDocument/2006/relationships/hyperlink" Target="https://drpress.org/ojs/index.php/jceim/article/view/23006" TargetMode="External"/><Relationship Id="rId17" Type="http://schemas.openxmlformats.org/officeDocument/2006/relationships/hyperlink" Target="https://scholar.harvard.edu/sites/scholar.harvard.edu/files/roychan/files/ebook_chatgpt_and_global_higher_education-26-42.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forbes.com/sites/jeannemeister/2024/01/04/the-top-ten-hr-trends-that-matter-most-in-2024/" TargetMode="External"/><Relationship Id="rId20" Type="http://schemas.openxmlformats.org/officeDocument/2006/relationships/hyperlink" Target="https://arxiv.org/abs/2406.1538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br.org/2024/08/how-companies-can-take-a-global-approach-to-ai-ethics" TargetMode="External"/><Relationship Id="rId24"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hyperlink" Target="https://ui.adsabs.harvard.edu/abs/2024DiSus&#8230;5&#8230;30J/abstract" TargetMode="External"/><Relationship Id="rId23" Type="http://schemas.openxmlformats.org/officeDocument/2006/relationships/fontTable" Target="fontTable.xml"/><Relationship Id="rId10" Type="http://schemas.openxmlformats.org/officeDocument/2006/relationships/hyperlink" Target="https://link.springer.com/article/10.1007/s44163-024-00125-4" TargetMode="External"/><Relationship Id="rId19" Type="http://schemas.openxmlformats.org/officeDocument/2006/relationships/hyperlink" Target="https://www.tandfonline.com/doi/full/10.1080/23311975.2024.2432550" TargetMode="External"/><Relationship Id="rId4" Type="http://schemas.openxmlformats.org/officeDocument/2006/relationships/webSettings" Target="webSettings.xml"/><Relationship Id="rId9" Type="http://schemas.openxmlformats.org/officeDocument/2006/relationships/hyperlink" Target="https://hbr.org/2024/09/embracing-gen-ai-at-work" TargetMode="External"/><Relationship Id="rId14" Type="http://schemas.openxmlformats.org/officeDocument/2006/relationships/hyperlink" Target="https://ssrn.com/abstract=4922171" TargetMode="External"/><Relationship Id="rId22"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CF38092EC8F38409AD41B7ADBF98A8C"/>
        <w:category>
          <w:name w:val="General"/>
          <w:gallery w:val="placeholder"/>
        </w:category>
        <w:types>
          <w:type w:val="bbPlcHdr"/>
        </w:types>
        <w:behaviors>
          <w:behavior w:val="content"/>
        </w:behaviors>
        <w:guid w:val="{A59D9200-C2C2-9F40-A7A6-F5DF91CCE441}"/>
      </w:docPartPr>
      <w:docPartBody>
        <w:p w:rsidR="00970E3A" w:rsidRDefault="00AC00F1" w:rsidP="00AC00F1">
          <w:pPr>
            <w:pStyle w:val="5CF38092EC8F38409AD41B7ADBF98A8C"/>
          </w:pPr>
          <w:r>
            <w:rPr>
              <w:rFonts w:asciiTheme="majorHAnsi" w:eastAsiaTheme="majorEastAsia" w:hAnsiTheme="majorHAnsi" w:cstheme="majorBidi"/>
              <w:caps/>
              <w:color w:val="4472C4" w:themeColor="accent1"/>
              <w:sz w:val="80"/>
              <w:szCs w:val="80"/>
            </w:rPr>
            <w:t>[Document title]</w:t>
          </w:r>
        </w:p>
      </w:docPartBody>
    </w:docPart>
    <w:docPart>
      <w:docPartPr>
        <w:name w:val="79758A95B1642A45AEE45CFC2C8D471D"/>
        <w:category>
          <w:name w:val="General"/>
          <w:gallery w:val="placeholder"/>
        </w:category>
        <w:types>
          <w:type w:val="bbPlcHdr"/>
        </w:types>
        <w:behaviors>
          <w:behavior w:val="content"/>
        </w:behaviors>
        <w:guid w:val="{EC431BE6-FA56-F24C-9534-5E318EBD0971}"/>
      </w:docPartPr>
      <w:docPartBody>
        <w:p w:rsidR="00970E3A" w:rsidRDefault="00AC00F1" w:rsidP="00AC00F1">
          <w:pPr>
            <w:pStyle w:val="79758A95B1642A45AEE45CFC2C8D471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00F1"/>
    <w:rsid w:val="00970E3A"/>
    <w:rsid w:val="00AC00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CF38092EC8F38409AD41B7ADBF98A8C">
    <w:name w:val="5CF38092EC8F38409AD41B7ADBF98A8C"/>
    <w:rsid w:val="00AC00F1"/>
  </w:style>
  <w:style w:type="paragraph" w:customStyle="1" w:styleId="79758A95B1642A45AEE45CFC2C8D471D">
    <w:name w:val="79758A95B1642A45AEE45CFC2C8D471D"/>
    <w:rsid w:val="00AC00F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TotalTime>
  <Pages>1</Pages>
  <Words>2348</Words>
  <Characters>13385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darius hoole 2110931</Company>
  <LinksUpToDate>false</LinksUpToDate>
  <CharactersWithSpaces>15702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people in organisations</dc:title>
  <dc:subject>Advanced and Emerging Technological Issues in HRM and IHRM case study google</dc:subject>
  <dc:creator>Stanislav Kim (1807730)</dc:creator>
  <cp:keywords/>
  <dc:description/>
  <cp:lastModifiedBy>Stanislav Kim (1807730)</cp:lastModifiedBy>
  <cp:revision>1</cp:revision>
  <dcterms:created xsi:type="dcterms:W3CDTF">2025-05-02T20:35:00Z</dcterms:created>
  <dcterms:modified xsi:type="dcterms:W3CDTF">2025-05-02T20:44:00Z</dcterms:modified>
</cp:coreProperties>
</file>