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DC5D0F" w14:textId="77777777" w:rsidR="00A9315F" w:rsidRPr="004B250A" w:rsidRDefault="00A9315F" w:rsidP="00A9315F">
      <w:pPr>
        <w:rPr>
          <w:rFonts w:asciiTheme="majorBidi" w:hAnsiTheme="majorBidi" w:cstheme="majorBidi"/>
          <w:sz w:val="32"/>
          <w:szCs w:val="32"/>
        </w:rPr>
      </w:pPr>
      <w:r w:rsidRPr="004B250A">
        <w:rPr>
          <w:rFonts w:asciiTheme="majorBidi" w:hAnsiTheme="majorBidi" w:cstheme="majorBidi"/>
          <w:sz w:val="32"/>
          <w:szCs w:val="32"/>
        </w:rPr>
        <w:t>Organisational Culture: Individual report [Toyota]</w:t>
      </w:r>
    </w:p>
    <w:p w14:paraId="19EAE85C" w14:textId="77777777" w:rsidR="00A9315F" w:rsidRPr="00A9315F" w:rsidRDefault="00A9315F" w:rsidP="00A9315F">
      <w:pPr>
        <w:rPr>
          <w:rFonts w:asciiTheme="majorBidi" w:hAnsiTheme="majorBidi" w:cstheme="majorBidi"/>
          <w:sz w:val="24"/>
          <w:szCs w:val="24"/>
        </w:rPr>
      </w:pPr>
    </w:p>
    <w:p w14:paraId="43CE5C1F" w14:textId="77777777" w:rsidR="00A9315F" w:rsidRPr="00A9315F" w:rsidRDefault="00A9315F" w:rsidP="00A9315F">
      <w:pPr>
        <w:rPr>
          <w:rFonts w:asciiTheme="majorBidi" w:hAnsiTheme="majorBidi" w:cstheme="majorBidi"/>
          <w:sz w:val="24"/>
          <w:szCs w:val="24"/>
        </w:rPr>
      </w:pPr>
    </w:p>
    <w:p w14:paraId="5EB0D778" w14:textId="6354EDBB" w:rsidR="00A9315F" w:rsidRPr="004B250A" w:rsidRDefault="00A9315F" w:rsidP="00A9315F">
      <w:pPr>
        <w:rPr>
          <w:rFonts w:asciiTheme="majorBidi" w:hAnsiTheme="majorBidi" w:cstheme="majorBidi"/>
          <w:sz w:val="28"/>
          <w:szCs w:val="28"/>
        </w:rPr>
      </w:pPr>
      <w:r w:rsidRPr="004B250A">
        <w:rPr>
          <w:rFonts w:asciiTheme="majorBidi" w:hAnsiTheme="majorBidi" w:cstheme="majorBidi"/>
          <w:b/>
          <w:bCs/>
          <w:sz w:val="28"/>
          <w:szCs w:val="28"/>
        </w:rPr>
        <w:t>Student Name:</w:t>
      </w:r>
      <w:r w:rsidRPr="004B250A">
        <w:rPr>
          <w:rFonts w:asciiTheme="majorBidi" w:hAnsiTheme="majorBidi" w:cstheme="majorBidi"/>
          <w:sz w:val="28"/>
          <w:szCs w:val="28"/>
        </w:rPr>
        <w:t xml:space="preserve"> </w:t>
      </w:r>
      <w:r w:rsidR="004B250A" w:rsidRPr="004B250A">
        <w:rPr>
          <w:rFonts w:asciiTheme="majorBidi" w:hAnsiTheme="majorBidi" w:cstheme="majorBidi"/>
          <w:sz w:val="28"/>
          <w:szCs w:val="28"/>
        </w:rPr>
        <w:t>Jarrai Bangura</w:t>
      </w:r>
    </w:p>
    <w:p w14:paraId="4146F800" w14:textId="294649D3" w:rsidR="00A9315F" w:rsidRPr="004B250A" w:rsidRDefault="00A9315F" w:rsidP="00A9315F">
      <w:pPr>
        <w:rPr>
          <w:rFonts w:asciiTheme="majorBidi" w:hAnsiTheme="majorBidi" w:cstheme="majorBidi"/>
          <w:sz w:val="28"/>
          <w:szCs w:val="28"/>
        </w:rPr>
      </w:pPr>
      <w:r w:rsidRPr="004B250A">
        <w:rPr>
          <w:rFonts w:asciiTheme="majorBidi" w:hAnsiTheme="majorBidi" w:cstheme="majorBidi"/>
          <w:b/>
          <w:bCs/>
          <w:sz w:val="28"/>
          <w:szCs w:val="28"/>
          <w:u w:val="double"/>
        </w:rPr>
        <w:t xml:space="preserve">Student ID: </w:t>
      </w:r>
      <w:r w:rsidR="004B250A" w:rsidRPr="004B250A">
        <w:rPr>
          <w:rFonts w:asciiTheme="majorBidi" w:hAnsiTheme="majorBidi" w:cstheme="majorBidi"/>
          <w:sz w:val="28"/>
          <w:szCs w:val="28"/>
        </w:rPr>
        <w:t>2316525</w:t>
      </w:r>
    </w:p>
    <w:p w14:paraId="5AA4F6EF" w14:textId="4236F3BE" w:rsidR="00A9315F" w:rsidRPr="004B250A" w:rsidRDefault="00A9315F" w:rsidP="00A9315F">
      <w:pPr>
        <w:rPr>
          <w:rFonts w:asciiTheme="majorBidi" w:hAnsiTheme="majorBidi" w:cstheme="majorBidi"/>
          <w:sz w:val="28"/>
          <w:szCs w:val="28"/>
        </w:rPr>
      </w:pPr>
      <w:r w:rsidRPr="004B250A">
        <w:rPr>
          <w:rFonts w:asciiTheme="majorBidi" w:hAnsiTheme="majorBidi" w:cstheme="majorBidi"/>
          <w:b/>
          <w:bCs/>
          <w:sz w:val="28"/>
          <w:szCs w:val="28"/>
        </w:rPr>
        <w:t>Module</w:t>
      </w:r>
      <w:r w:rsidR="004B250A" w:rsidRPr="004B250A">
        <w:rPr>
          <w:rFonts w:asciiTheme="majorBidi" w:hAnsiTheme="majorBidi" w:cstheme="majorBidi"/>
          <w:b/>
          <w:bCs/>
          <w:sz w:val="28"/>
          <w:szCs w:val="28"/>
        </w:rPr>
        <w:t xml:space="preserve"> Code:</w:t>
      </w:r>
      <w:r w:rsidRPr="004B250A">
        <w:rPr>
          <w:rFonts w:asciiTheme="majorBidi" w:hAnsiTheme="majorBidi" w:cstheme="majorBidi"/>
          <w:b/>
          <w:bCs/>
          <w:sz w:val="28"/>
          <w:szCs w:val="28"/>
        </w:rPr>
        <w:t xml:space="preserve"> </w:t>
      </w:r>
      <w:r w:rsidRPr="004B250A">
        <w:rPr>
          <w:rFonts w:asciiTheme="majorBidi" w:hAnsiTheme="majorBidi" w:cstheme="majorBidi"/>
          <w:sz w:val="28"/>
          <w:szCs w:val="28"/>
        </w:rPr>
        <w:t xml:space="preserve">LCLM 5005 </w:t>
      </w:r>
    </w:p>
    <w:p w14:paraId="17F74204" w14:textId="76BA8706" w:rsidR="004B250A" w:rsidRDefault="004B250A" w:rsidP="004B250A">
      <w:pPr>
        <w:rPr>
          <w:rFonts w:asciiTheme="majorBidi" w:hAnsiTheme="majorBidi" w:cstheme="majorBidi"/>
          <w:sz w:val="28"/>
          <w:szCs w:val="28"/>
        </w:rPr>
      </w:pPr>
      <w:r w:rsidRPr="004B250A">
        <w:rPr>
          <w:rFonts w:asciiTheme="majorBidi" w:hAnsiTheme="majorBidi" w:cstheme="majorBidi"/>
          <w:b/>
          <w:bCs/>
          <w:sz w:val="28"/>
          <w:szCs w:val="28"/>
        </w:rPr>
        <w:t xml:space="preserve">Assessment </w:t>
      </w:r>
      <w:r w:rsidRPr="004B250A">
        <w:rPr>
          <w:rFonts w:asciiTheme="majorBidi" w:hAnsiTheme="majorBidi" w:cstheme="majorBidi"/>
          <w:b/>
          <w:bCs/>
          <w:sz w:val="28"/>
          <w:szCs w:val="28"/>
        </w:rPr>
        <w:t>Title:</w:t>
      </w:r>
      <w:r>
        <w:rPr>
          <w:rFonts w:asciiTheme="majorBidi" w:hAnsiTheme="majorBidi" w:cstheme="majorBidi"/>
          <w:sz w:val="28"/>
          <w:szCs w:val="28"/>
        </w:rPr>
        <w:t xml:space="preserve"> </w:t>
      </w:r>
      <w:r w:rsidRPr="004B250A">
        <w:rPr>
          <w:rFonts w:asciiTheme="majorBidi" w:hAnsiTheme="majorBidi" w:cstheme="majorBidi"/>
          <w:sz w:val="28"/>
          <w:szCs w:val="28"/>
        </w:rPr>
        <w:t>Component 1 Organisational Culture</w:t>
      </w:r>
    </w:p>
    <w:p w14:paraId="24BBE1C0" w14:textId="49D5E0EC" w:rsidR="004B250A" w:rsidRPr="007D5289" w:rsidRDefault="004B250A" w:rsidP="004B250A">
      <w:pPr>
        <w:rPr>
          <w:rFonts w:asciiTheme="majorBidi" w:hAnsiTheme="majorBidi" w:cstheme="majorBidi"/>
          <w:b/>
          <w:bCs/>
          <w:sz w:val="28"/>
          <w:szCs w:val="28"/>
        </w:rPr>
      </w:pPr>
      <w:r w:rsidRPr="007D5289">
        <w:rPr>
          <w:rFonts w:asciiTheme="majorBidi" w:hAnsiTheme="majorBidi" w:cstheme="majorBidi"/>
          <w:b/>
          <w:bCs/>
          <w:sz w:val="28"/>
          <w:szCs w:val="28"/>
        </w:rPr>
        <w:t>Lecturer Name:</w:t>
      </w:r>
      <w:r w:rsidR="007D5289">
        <w:rPr>
          <w:rFonts w:asciiTheme="majorBidi" w:hAnsiTheme="majorBidi" w:cstheme="majorBidi"/>
          <w:b/>
          <w:bCs/>
          <w:sz w:val="28"/>
          <w:szCs w:val="28"/>
        </w:rPr>
        <w:t xml:space="preserve"> </w:t>
      </w:r>
      <w:r w:rsidR="007D5289" w:rsidRPr="007D5289">
        <w:rPr>
          <w:rFonts w:asciiTheme="majorBidi" w:hAnsiTheme="majorBidi" w:cstheme="majorBidi"/>
          <w:sz w:val="28"/>
          <w:szCs w:val="28"/>
        </w:rPr>
        <w:t>Ibrahim Rufai</w:t>
      </w:r>
    </w:p>
    <w:p w14:paraId="0D89E24B" w14:textId="05468309" w:rsidR="004B250A" w:rsidRDefault="004B250A" w:rsidP="004B250A">
      <w:pPr>
        <w:rPr>
          <w:rFonts w:asciiTheme="majorBidi" w:hAnsiTheme="majorBidi" w:cstheme="majorBidi"/>
          <w:sz w:val="24"/>
          <w:szCs w:val="24"/>
        </w:rPr>
      </w:pPr>
    </w:p>
    <w:p w14:paraId="12516A36" w14:textId="03AC614F" w:rsidR="004B250A" w:rsidRPr="00A9315F" w:rsidRDefault="004B250A" w:rsidP="004B250A">
      <w:pPr>
        <w:rPr>
          <w:rFonts w:asciiTheme="majorBidi" w:hAnsiTheme="majorBidi" w:cstheme="majorBidi"/>
          <w:sz w:val="24"/>
          <w:szCs w:val="24"/>
        </w:rPr>
      </w:pPr>
    </w:p>
    <w:p w14:paraId="34FF4A40" w14:textId="05C56853" w:rsidR="00A9315F" w:rsidRPr="00A9315F" w:rsidRDefault="00A9315F" w:rsidP="00A9315F">
      <w:pPr>
        <w:rPr>
          <w:rFonts w:asciiTheme="majorBidi" w:hAnsiTheme="majorBidi" w:cstheme="majorBidi"/>
          <w:sz w:val="24"/>
          <w:szCs w:val="24"/>
        </w:rPr>
      </w:pPr>
    </w:p>
    <w:p w14:paraId="40D03A96" w14:textId="77777777" w:rsidR="00A9315F" w:rsidRDefault="00A9315F" w:rsidP="00DA216C"/>
    <w:p w14:paraId="0F647552" w14:textId="77777777" w:rsidR="00A9315F" w:rsidRDefault="00A9315F" w:rsidP="00DA216C"/>
    <w:p w14:paraId="1BF582B0" w14:textId="77777777" w:rsidR="007C71F4" w:rsidRDefault="007C71F4" w:rsidP="00A9315F"/>
    <w:p w14:paraId="34A360BF" w14:textId="77777777" w:rsidR="007C71F4" w:rsidRDefault="007C71F4" w:rsidP="00A9315F"/>
    <w:p w14:paraId="7AC34BCF" w14:textId="77777777" w:rsidR="007C71F4" w:rsidRDefault="007C71F4" w:rsidP="00A9315F">
      <w:r>
        <w:br w:type="page"/>
      </w:r>
    </w:p>
    <w:sdt>
      <w:sdtPr>
        <w:rPr>
          <w:rFonts w:asciiTheme="majorBidi" w:eastAsiaTheme="minorHAnsi" w:hAnsiTheme="majorBidi" w:cstheme="minorBidi"/>
          <w:noProof/>
          <w:color w:val="auto"/>
          <w:sz w:val="24"/>
          <w:szCs w:val="24"/>
          <w:lang w:val="en-GB" w:bidi="ur-PK"/>
        </w:rPr>
        <w:id w:val="1084259146"/>
        <w:docPartObj>
          <w:docPartGallery w:val="Table of Contents"/>
          <w:docPartUnique/>
        </w:docPartObj>
      </w:sdtPr>
      <w:sdtEndPr>
        <w:rPr>
          <w:rFonts w:asciiTheme="minorHAnsi" w:hAnsiTheme="minorHAnsi"/>
          <w:sz w:val="22"/>
          <w:szCs w:val="22"/>
        </w:rPr>
      </w:sdtEndPr>
      <w:sdtContent>
        <w:p w14:paraId="31404EE5" w14:textId="77777777" w:rsidR="007C71F4" w:rsidRPr="007C71F4" w:rsidRDefault="007C71F4" w:rsidP="007C71F4">
          <w:pPr>
            <w:pStyle w:val="TOCHeading"/>
            <w:jc w:val="center"/>
            <w:rPr>
              <w:rFonts w:asciiTheme="majorBidi" w:hAnsiTheme="majorBidi"/>
              <w:b/>
              <w:bCs/>
              <w:color w:val="auto"/>
              <w:sz w:val="24"/>
              <w:szCs w:val="24"/>
            </w:rPr>
          </w:pPr>
          <w:r w:rsidRPr="007C71F4">
            <w:rPr>
              <w:rFonts w:asciiTheme="majorBidi" w:hAnsiTheme="majorBidi"/>
              <w:b/>
              <w:bCs/>
              <w:color w:val="auto"/>
              <w:sz w:val="24"/>
              <w:szCs w:val="24"/>
            </w:rPr>
            <w:t>Table of Contents</w:t>
          </w:r>
        </w:p>
        <w:p w14:paraId="0B1F6310" w14:textId="77777777" w:rsidR="007C71F4" w:rsidRPr="007C71F4" w:rsidRDefault="007C71F4">
          <w:pPr>
            <w:pStyle w:val="TOC1"/>
            <w:tabs>
              <w:tab w:val="left" w:pos="440"/>
              <w:tab w:val="right" w:leader="dot" w:pos="9350"/>
            </w:tabs>
            <w:rPr>
              <w:rFonts w:asciiTheme="majorBidi" w:hAnsiTheme="majorBidi" w:cstheme="majorBidi"/>
              <w:sz w:val="24"/>
              <w:szCs w:val="24"/>
            </w:rPr>
          </w:pPr>
          <w:r w:rsidRPr="007C71F4">
            <w:rPr>
              <w:rFonts w:asciiTheme="majorBidi" w:hAnsiTheme="majorBidi" w:cstheme="majorBidi"/>
              <w:sz w:val="24"/>
              <w:szCs w:val="24"/>
            </w:rPr>
            <w:fldChar w:fldCharType="begin"/>
          </w:r>
          <w:r w:rsidRPr="007C71F4">
            <w:rPr>
              <w:rFonts w:asciiTheme="majorBidi" w:hAnsiTheme="majorBidi" w:cstheme="majorBidi"/>
              <w:sz w:val="24"/>
              <w:szCs w:val="24"/>
            </w:rPr>
            <w:instrText xml:space="preserve"> TOC \o "1-3" \h \z \u </w:instrText>
          </w:r>
          <w:r w:rsidRPr="007C71F4">
            <w:rPr>
              <w:rFonts w:asciiTheme="majorBidi" w:hAnsiTheme="majorBidi" w:cstheme="majorBidi"/>
              <w:sz w:val="24"/>
              <w:szCs w:val="24"/>
            </w:rPr>
            <w:fldChar w:fldCharType="separate"/>
          </w:r>
          <w:hyperlink w:anchor="_Toc210852922" w:history="1">
            <w:r w:rsidRPr="007C71F4">
              <w:rPr>
                <w:rStyle w:val="Hyperlink"/>
                <w:rFonts w:asciiTheme="majorBidi" w:hAnsiTheme="majorBidi" w:cstheme="majorBidi"/>
                <w:sz w:val="24"/>
                <w:szCs w:val="24"/>
              </w:rPr>
              <w:t>1.</w:t>
            </w:r>
            <w:r w:rsidRPr="007C71F4">
              <w:rPr>
                <w:rFonts w:asciiTheme="majorBidi" w:hAnsiTheme="majorBidi" w:cstheme="majorBidi"/>
                <w:sz w:val="24"/>
                <w:szCs w:val="24"/>
              </w:rPr>
              <w:tab/>
            </w:r>
            <w:r w:rsidRPr="007C71F4">
              <w:rPr>
                <w:rStyle w:val="Hyperlink"/>
                <w:rFonts w:asciiTheme="majorBidi" w:hAnsiTheme="majorBidi" w:cstheme="majorBidi"/>
                <w:sz w:val="24"/>
                <w:szCs w:val="24"/>
              </w:rPr>
              <w:t>Introduction</w:t>
            </w:r>
            <w:r w:rsidRPr="007C71F4">
              <w:rPr>
                <w:rFonts w:asciiTheme="majorBidi" w:hAnsiTheme="majorBidi" w:cstheme="majorBidi"/>
                <w:webHidden/>
                <w:sz w:val="24"/>
                <w:szCs w:val="24"/>
              </w:rPr>
              <w:tab/>
            </w:r>
            <w:r w:rsidRPr="007C71F4">
              <w:rPr>
                <w:rStyle w:val="Hyperlink"/>
                <w:rFonts w:asciiTheme="majorBidi" w:hAnsiTheme="majorBidi" w:cstheme="majorBidi"/>
                <w:sz w:val="24"/>
                <w:szCs w:val="24"/>
                <w:rtl/>
              </w:rPr>
              <w:fldChar w:fldCharType="begin"/>
            </w:r>
            <w:r w:rsidRPr="007C71F4">
              <w:rPr>
                <w:rFonts w:asciiTheme="majorBidi" w:hAnsiTheme="majorBidi" w:cstheme="majorBidi"/>
                <w:webHidden/>
                <w:sz w:val="24"/>
                <w:szCs w:val="24"/>
              </w:rPr>
              <w:instrText xml:space="preserve"> PAGEREF _Toc210852922 \h </w:instrText>
            </w:r>
            <w:r w:rsidRPr="007C71F4">
              <w:rPr>
                <w:rStyle w:val="Hyperlink"/>
                <w:rFonts w:asciiTheme="majorBidi" w:hAnsiTheme="majorBidi" w:cstheme="majorBidi"/>
                <w:sz w:val="24"/>
                <w:szCs w:val="24"/>
                <w:rtl/>
              </w:rPr>
            </w:r>
            <w:r w:rsidRPr="007C71F4">
              <w:rPr>
                <w:rStyle w:val="Hyperlink"/>
                <w:rFonts w:asciiTheme="majorBidi" w:hAnsiTheme="majorBidi" w:cstheme="majorBidi"/>
                <w:sz w:val="24"/>
                <w:szCs w:val="24"/>
                <w:rtl/>
              </w:rPr>
              <w:fldChar w:fldCharType="separate"/>
            </w:r>
            <w:r>
              <w:rPr>
                <w:rFonts w:asciiTheme="majorBidi" w:hAnsiTheme="majorBidi" w:cstheme="majorBidi"/>
                <w:webHidden/>
                <w:sz w:val="24"/>
                <w:szCs w:val="24"/>
              </w:rPr>
              <w:t>3</w:t>
            </w:r>
            <w:r w:rsidRPr="007C71F4">
              <w:rPr>
                <w:rStyle w:val="Hyperlink"/>
                <w:rFonts w:asciiTheme="majorBidi" w:hAnsiTheme="majorBidi" w:cstheme="majorBidi"/>
                <w:sz w:val="24"/>
                <w:szCs w:val="24"/>
                <w:rtl/>
              </w:rPr>
              <w:fldChar w:fldCharType="end"/>
            </w:r>
          </w:hyperlink>
        </w:p>
        <w:p w14:paraId="4E28154F" w14:textId="77777777" w:rsidR="007C71F4" w:rsidRPr="007C71F4" w:rsidRDefault="007C71F4">
          <w:pPr>
            <w:pStyle w:val="TOC1"/>
            <w:tabs>
              <w:tab w:val="left" w:pos="440"/>
              <w:tab w:val="right" w:leader="dot" w:pos="9350"/>
            </w:tabs>
            <w:rPr>
              <w:rFonts w:asciiTheme="majorBidi" w:hAnsiTheme="majorBidi" w:cstheme="majorBidi"/>
              <w:sz w:val="24"/>
              <w:szCs w:val="24"/>
            </w:rPr>
          </w:pPr>
          <w:hyperlink w:anchor="_Toc210852923" w:history="1">
            <w:r w:rsidRPr="007C71F4">
              <w:rPr>
                <w:rStyle w:val="Hyperlink"/>
                <w:rFonts w:asciiTheme="majorBidi" w:hAnsiTheme="majorBidi" w:cstheme="majorBidi"/>
                <w:sz w:val="24"/>
                <w:szCs w:val="24"/>
              </w:rPr>
              <w:t>2.</w:t>
            </w:r>
            <w:r w:rsidRPr="007C71F4">
              <w:rPr>
                <w:rFonts w:asciiTheme="majorBidi" w:hAnsiTheme="majorBidi" w:cstheme="majorBidi"/>
                <w:sz w:val="24"/>
                <w:szCs w:val="24"/>
              </w:rPr>
              <w:tab/>
            </w:r>
            <w:r w:rsidRPr="007C71F4">
              <w:rPr>
                <w:rStyle w:val="Hyperlink"/>
                <w:rFonts w:asciiTheme="majorBidi" w:hAnsiTheme="majorBidi" w:cstheme="majorBidi"/>
                <w:sz w:val="24"/>
                <w:szCs w:val="24"/>
              </w:rPr>
              <w:t>Organisational Culture of Toyota</w:t>
            </w:r>
            <w:r w:rsidRPr="007C71F4">
              <w:rPr>
                <w:rFonts w:asciiTheme="majorBidi" w:hAnsiTheme="majorBidi" w:cstheme="majorBidi"/>
                <w:webHidden/>
                <w:sz w:val="24"/>
                <w:szCs w:val="24"/>
              </w:rPr>
              <w:tab/>
            </w:r>
            <w:r w:rsidRPr="007C71F4">
              <w:rPr>
                <w:rStyle w:val="Hyperlink"/>
                <w:rFonts w:asciiTheme="majorBidi" w:hAnsiTheme="majorBidi" w:cstheme="majorBidi"/>
                <w:sz w:val="24"/>
                <w:szCs w:val="24"/>
                <w:rtl/>
              </w:rPr>
              <w:fldChar w:fldCharType="begin"/>
            </w:r>
            <w:r w:rsidRPr="007C71F4">
              <w:rPr>
                <w:rFonts w:asciiTheme="majorBidi" w:hAnsiTheme="majorBidi" w:cstheme="majorBidi"/>
                <w:webHidden/>
                <w:sz w:val="24"/>
                <w:szCs w:val="24"/>
              </w:rPr>
              <w:instrText xml:space="preserve"> PAGEREF _Toc210852923 \h </w:instrText>
            </w:r>
            <w:r w:rsidRPr="007C71F4">
              <w:rPr>
                <w:rStyle w:val="Hyperlink"/>
                <w:rFonts w:asciiTheme="majorBidi" w:hAnsiTheme="majorBidi" w:cstheme="majorBidi"/>
                <w:sz w:val="24"/>
                <w:szCs w:val="24"/>
                <w:rtl/>
              </w:rPr>
            </w:r>
            <w:r w:rsidRPr="007C71F4">
              <w:rPr>
                <w:rStyle w:val="Hyperlink"/>
                <w:rFonts w:asciiTheme="majorBidi" w:hAnsiTheme="majorBidi" w:cstheme="majorBidi"/>
                <w:sz w:val="24"/>
                <w:szCs w:val="24"/>
                <w:rtl/>
              </w:rPr>
              <w:fldChar w:fldCharType="separate"/>
            </w:r>
            <w:r>
              <w:rPr>
                <w:rFonts w:asciiTheme="majorBidi" w:hAnsiTheme="majorBidi" w:cstheme="majorBidi"/>
                <w:webHidden/>
                <w:sz w:val="24"/>
                <w:szCs w:val="24"/>
              </w:rPr>
              <w:t>4</w:t>
            </w:r>
            <w:r w:rsidRPr="007C71F4">
              <w:rPr>
                <w:rStyle w:val="Hyperlink"/>
                <w:rFonts w:asciiTheme="majorBidi" w:hAnsiTheme="majorBidi" w:cstheme="majorBidi"/>
                <w:sz w:val="24"/>
                <w:szCs w:val="24"/>
                <w:rtl/>
              </w:rPr>
              <w:fldChar w:fldCharType="end"/>
            </w:r>
          </w:hyperlink>
        </w:p>
        <w:p w14:paraId="72C64FE3" w14:textId="77777777" w:rsidR="007C71F4" w:rsidRPr="007C71F4" w:rsidRDefault="007C71F4">
          <w:pPr>
            <w:pStyle w:val="TOC1"/>
            <w:tabs>
              <w:tab w:val="left" w:pos="440"/>
              <w:tab w:val="right" w:leader="dot" w:pos="9350"/>
            </w:tabs>
            <w:rPr>
              <w:rFonts w:asciiTheme="majorBidi" w:hAnsiTheme="majorBidi" w:cstheme="majorBidi"/>
              <w:sz w:val="24"/>
              <w:szCs w:val="24"/>
            </w:rPr>
          </w:pPr>
          <w:hyperlink w:anchor="_Toc210852924" w:history="1">
            <w:r w:rsidRPr="007C71F4">
              <w:rPr>
                <w:rStyle w:val="Hyperlink"/>
                <w:rFonts w:asciiTheme="majorBidi" w:hAnsiTheme="majorBidi" w:cstheme="majorBidi"/>
                <w:sz w:val="24"/>
                <w:szCs w:val="24"/>
              </w:rPr>
              <w:t>3.</w:t>
            </w:r>
            <w:r w:rsidRPr="007C71F4">
              <w:rPr>
                <w:rFonts w:asciiTheme="majorBidi" w:hAnsiTheme="majorBidi" w:cstheme="majorBidi"/>
                <w:sz w:val="24"/>
                <w:szCs w:val="24"/>
              </w:rPr>
              <w:tab/>
            </w:r>
            <w:r w:rsidRPr="007C71F4">
              <w:rPr>
                <w:rStyle w:val="Hyperlink"/>
                <w:rFonts w:asciiTheme="majorBidi" w:hAnsiTheme="majorBidi" w:cstheme="majorBidi"/>
                <w:sz w:val="24"/>
                <w:szCs w:val="24"/>
              </w:rPr>
              <w:t>Influence of Culture on Structure and Decision Making</w:t>
            </w:r>
            <w:r w:rsidRPr="007C71F4">
              <w:rPr>
                <w:rFonts w:asciiTheme="majorBidi" w:hAnsiTheme="majorBidi" w:cstheme="majorBidi"/>
                <w:webHidden/>
                <w:sz w:val="24"/>
                <w:szCs w:val="24"/>
              </w:rPr>
              <w:tab/>
            </w:r>
            <w:r w:rsidRPr="007C71F4">
              <w:rPr>
                <w:rStyle w:val="Hyperlink"/>
                <w:rFonts w:asciiTheme="majorBidi" w:hAnsiTheme="majorBidi" w:cstheme="majorBidi"/>
                <w:sz w:val="24"/>
                <w:szCs w:val="24"/>
                <w:rtl/>
              </w:rPr>
              <w:fldChar w:fldCharType="begin"/>
            </w:r>
            <w:r w:rsidRPr="007C71F4">
              <w:rPr>
                <w:rFonts w:asciiTheme="majorBidi" w:hAnsiTheme="majorBidi" w:cstheme="majorBidi"/>
                <w:webHidden/>
                <w:sz w:val="24"/>
                <w:szCs w:val="24"/>
              </w:rPr>
              <w:instrText xml:space="preserve"> PAGEREF _Toc210852924 \h </w:instrText>
            </w:r>
            <w:r w:rsidRPr="007C71F4">
              <w:rPr>
                <w:rStyle w:val="Hyperlink"/>
                <w:rFonts w:asciiTheme="majorBidi" w:hAnsiTheme="majorBidi" w:cstheme="majorBidi"/>
                <w:sz w:val="24"/>
                <w:szCs w:val="24"/>
                <w:rtl/>
              </w:rPr>
            </w:r>
            <w:r w:rsidRPr="007C71F4">
              <w:rPr>
                <w:rStyle w:val="Hyperlink"/>
                <w:rFonts w:asciiTheme="majorBidi" w:hAnsiTheme="majorBidi" w:cstheme="majorBidi"/>
                <w:sz w:val="24"/>
                <w:szCs w:val="24"/>
                <w:rtl/>
              </w:rPr>
              <w:fldChar w:fldCharType="separate"/>
            </w:r>
            <w:r>
              <w:rPr>
                <w:rFonts w:asciiTheme="majorBidi" w:hAnsiTheme="majorBidi" w:cstheme="majorBidi"/>
                <w:webHidden/>
                <w:sz w:val="24"/>
                <w:szCs w:val="24"/>
              </w:rPr>
              <w:t>5</w:t>
            </w:r>
            <w:r w:rsidRPr="007C71F4">
              <w:rPr>
                <w:rStyle w:val="Hyperlink"/>
                <w:rFonts w:asciiTheme="majorBidi" w:hAnsiTheme="majorBidi" w:cstheme="majorBidi"/>
                <w:sz w:val="24"/>
                <w:szCs w:val="24"/>
                <w:rtl/>
              </w:rPr>
              <w:fldChar w:fldCharType="end"/>
            </w:r>
          </w:hyperlink>
        </w:p>
        <w:p w14:paraId="3CF3AFA6" w14:textId="77777777" w:rsidR="007C71F4" w:rsidRPr="007C71F4" w:rsidRDefault="007C71F4">
          <w:pPr>
            <w:pStyle w:val="TOC1"/>
            <w:tabs>
              <w:tab w:val="left" w:pos="440"/>
              <w:tab w:val="right" w:leader="dot" w:pos="9350"/>
            </w:tabs>
            <w:rPr>
              <w:rFonts w:asciiTheme="majorBidi" w:hAnsiTheme="majorBidi" w:cstheme="majorBidi"/>
              <w:sz w:val="24"/>
              <w:szCs w:val="24"/>
            </w:rPr>
          </w:pPr>
          <w:hyperlink w:anchor="_Toc210852925" w:history="1">
            <w:r w:rsidRPr="007C71F4">
              <w:rPr>
                <w:rStyle w:val="Hyperlink"/>
                <w:rFonts w:asciiTheme="majorBidi" w:hAnsiTheme="majorBidi" w:cstheme="majorBidi"/>
                <w:sz w:val="24"/>
                <w:szCs w:val="24"/>
              </w:rPr>
              <w:t>4.</w:t>
            </w:r>
            <w:r w:rsidRPr="007C71F4">
              <w:rPr>
                <w:rFonts w:asciiTheme="majorBidi" w:hAnsiTheme="majorBidi" w:cstheme="majorBidi"/>
                <w:sz w:val="24"/>
                <w:szCs w:val="24"/>
              </w:rPr>
              <w:tab/>
            </w:r>
            <w:r w:rsidRPr="007C71F4">
              <w:rPr>
                <w:rStyle w:val="Hyperlink"/>
                <w:rFonts w:asciiTheme="majorBidi" w:hAnsiTheme="majorBidi" w:cstheme="majorBidi"/>
                <w:sz w:val="24"/>
                <w:szCs w:val="24"/>
              </w:rPr>
              <w:t>Identifying Cultural Types, Models, and Frameworks</w:t>
            </w:r>
            <w:r w:rsidRPr="007C71F4">
              <w:rPr>
                <w:rFonts w:asciiTheme="majorBidi" w:hAnsiTheme="majorBidi" w:cstheme="majorBidi"/>
                <w:webHidden/>
                <w:sz w:val="24"/>
                <w:szCs w:val="24"/>
              </w:rPr>
              <w:tab/>
            </w:r>
            <w:r w:rsidRPr="007C71F4">
              <w:rPr>
                <w:rStyle w:val="Hyperlink"/>
                <w:rFonts w:asciiTheme="majorBidi" w:hAnsiTheme="majorBidi" w:cstheme="majorBidi"/>
                <w:sz w:val="24"/>
                <w:szCs w:val="24"/>
                <w:rtl/>
              </w:rPr>
              <w:fldChar w:fldCharType="begin"/>
            </w:r>
            <w:r w:rsidRPr="007C71F4">
              <w:rPr>
                <w:rFonts w:asciiTheme="majorBidi" w:hAnsiTheme="majorBidi" w:cstheme="majorBidi"/>
                <w:webHidden/>
                <w:sz w:val="24"/>
                <w:szCs w:val="24"/>
              </w:rPr>
              <w:instrText xml:space="preserve"> PAGEREF _Toc210852925 \h </w:instrText>
            </w:r>
            <w:r w:rsidRPr="007C71F4">
              <w:rPr>
                <w:rStyle w:val="Hyperlink"/>
                <w:rFonts w:asciiTheme="majorBidi" w:hAnsiTheme="majorBidi" w:cstheme="majorBidi"/>
                <w:sz w:val="24"/>
                <w:szCs w:val="24"/>
                <w:rtl/>
              </w:rPr>
            </w:r>
            <w:r w:rsidRPr="007C71F4">
              <w:rPr>
                <w:rStyle w:val="Hyperlink"/>
                <w:rFonts w:asciiTheme="majorBidi" w:hAnsiTheme="majorBidi" w:cstheme="majorBidi"/>
                <w:sz w:val="24"/>
                <w:szCs w:val="24"/>
                <w:rtl/>
              </w:rPr>
              <w:fldChar w:fldCharType="separate"/>
            </w:r>
            <w:r>
              <w:rPr>
                <w:rFonts w:asciiTheme="majorBidi" w:hAnsiTheme="majorBidi" w:cstheme="majorBidi"/>
                <w:webHidden/>
                <w:sz w:val="24"/>
                <w:szCs w:val="24"/>
              </w:rPr>
              <w:t>7</w:t>
            </w:r>
            <w:r w:rsidRPr="007C71F4">
              <w:rPr>
                <w:rStyle w:val="Hyperlink"/>
                <w:rFonts w:asciiTheme="majorBidi" w:hAnsiTheme="majorBidi" w:cstheme="majorBidi"/>
                <w:sz w:val="24"/>
                <w:szCs w:val="24"/>
                <w:rtl/>
              </w:rPr>
              <w:fldChar w:fldCharType="end"/>
            </w:r>
          </w:hyperlink>
        </w:p>
        <w:p w14:paraId="6BA65AA1" w14:textId="77777777" w:rsidR="007C71F4" w:rsidRPr="007C71F4" w:rsidRDefault="007C71F4">
          <w:pPr>
            <w:pStyle w:val="TOC1"/>
            <w:tabs>
              <w:tab w:val="left" w:pos="660"/>
              <w:tab w:val="right" w:leader="dot" w:pos="9350"/>
            </w:tabs>
            <w:rPr>
              <w:rFonts w:asciiTheme="majorBidi" w:hAnsiTheme="majorBidi" w:cstheme="majorBidi"/>
              <w:sz w:val="24"/>
              <w:szCs w:val="24"/>
            </w:rPr>
          </w:pPr>
          <w:hyperlink w:anchor="_Toc210852926" w:history="1">
            <w:r w:rsidRPr="007C71F4">
              <w:rPr>
                <w:rStyle w:val="Hyperlink"/>
                <w:rFonts w:asciiTheme="majorBidi" w:hAnsiTheme="majorBidi" w:cstheme="majorBidi"/>
                <w:sz w:val="24"/>
                <w:szCs w:val="24"/>
              </w:rPr>
              <w:t>4.1.</w:t>
            </w:r>
            <w:r w:rsidRPr="007C71F4">
              <w:rPr>
                <w:rFonts w:asciiTheme="majorBidi" w:hAnsiTheme="majorBidi" w:cstheme="majorBidi"/>
                <w:sz w:val="24"/>
                <w:szCs w:val="24"/>
              </w:rPr>
              <w:tab/>
            </w:r>
            <w:r w:rsidRPr="007C71F4">
              <w:rPr>
                <w:rStyle w:val="Hyperlink"/>
                <w:rFonts w:asciiTheme="majorBidi" w:hAnsiTheme="majorBidi" w:cstheme="majorBidi"/>
                <w:sz w:val="24"/>
                <w:szCs w:val="24"/>
              </w:rPr>
              <w:t>Schein’s Three Levels</w:t>
            </w:r>
            <w:r w:rsidRPr="007C71F4">
              <w:rPr>
                <w:rFonts w:asciiTheme="majorBidi" w:hAnsiTheme="majorBidi" w:cstheme="majorBidi"/>
                <w:webHidden/>
                <w:sz w:val="24"/>
                <w:szCs w:val="24"/>
              </w:rPr>
              <w:tab/>
            </w:r>
            <w:r w:rsidRPr="007C71F4">
              <w:rPr>
                <w:rStyle w:val="Hyperlink"/>
                <w:rFonts w:asciiTheme="majorBidi" w:hAnsiTheme="majorBidi" w:cstheme="majorBidi"/>
                <w:sz w:val="24"/>
                <w:szCs w:val="24"/>
                <w:rtl/>
              </w:rPr>
              <w:fldChar w:fldCharType="begin"/>
            </w:r>
            <w:r w:rsidRPr="007C71F4">
              <w:rPr>
                <w:rFonts w:asciiTheme="majorBidi" w:hAnsiTheme="majorBidi" w:cstheme="majorBidi"/>
                <w:webHidden/>
                <w:sz w:val="24"/>
                <w:szCs w:val="24"/>
              </w:rPr>
              <w:instrText xml:space="preserve"> PAGEREF _Toc210852926 \h </w:instrText>
            </w:r>
            <w:r w:rsidRPr="007C71F4">
              <w:rPr>
                <w:rStyle w:val="Hyperlink"/>
                <w:rFonts w:asciiTheme="majorBidi" w:hAnsiTheme="majorBidi" w:cstheme="majorBidi"/>
                <w:sz w:val="24"/>
                <w:szCs w:val="24"/>
                <w:rtl/>
              </w:rPr>
            </w:r>
            <w:r w:rsidRPr="007C71F4">
              <w:rPr>
                <w:rStyle w:val="Hyperlink"/>
                <w:rFonts w:asciiTheme="majorBidi" w:hAnsiTheme="majorBidi" w:cstheme="majorBidi"/>
                <w:sz w:val="24"/>
                <w:szCs w:val="24"/>
                <w:rtl/>
              </w:rPr>
              <w:fldChar w:fldCharType="separate"/>
            </w:r>
            <w:r>
              <w:rPr>
                <w:rFonts w:asciiTheme="majorBidi" w:hAnsiTheme="majorBidi" w:cstheme="majorBidi"/>
                <w:webHidden/>
                <w:sz w:val="24"/>
                <w:szCs w:val="24"/>
              </w:rPr>
              <w:t>7</w:t>
            </w:r>
            <w:r w:rsidRPr="007C71F4">
              <w:rPr>
                <w:rStyle w:val="Hyperlink"/>
                <w:rFonts w:asciiTheme="majorBidi" w:hAnsiTheme="majorBidi" w:cstheme="majorBidi"/>
                <w:sz w:val="24"/>
                <w:szCs w:val="24"/>
                <w:rtl/>
              </w:rPr>
              <w:fldChar w:fldCharType="end"/>
            </w:r>
          </w:hyperlink>
        </w:p>
        <w:p w14:paraId="67EFBED5" w14:textId="77777777" w:rsidR="007C71F4" w:rsidRPr="007C71F4" w:rsidRDefault="007C71F4">
          <w:pPr>
            <w:pStyle w:val="TOC1"/>
            <w:tabs>
              <w:tab w:val="left" w:pos="660"/>
              <w:tab w:val="right" w:leader="dot" w:pos="9350"/>
            </w:tabs>
            <w:rPr>
              <w:rFonts w:asciiTheme="majorBidi" w:hAnsiTheme="majorBidi" w:cstheme="majorBidi"/>
              <w:sz w:val="24"/>
              <w:szCs w:val="24"/>
            </w:rPr>
          </w:pPr>
          <w:hyperlink w:anchor="_Toc210852927" w:history="1">
            <w:r w:rsidRPr="007C71F4">
              <w:rPr>
                <w:rStyle w:val="Hyperlink"/>
                <w:rFonts w:asciiTheme="majorBidi" w:hAnsiTheme="majorBidi" w:cstheme="majorBidi"/>
                <w:sz w:val="24"/>
                <w:szCs w:val="24"/>
              </w:rPr>
              <w:t>4.2.</w:t>
            </w:r>
            <w:r w:rsidRPr="007C71F4">
              <w:rPr>
                <w:rFonts w:asciiTheme="majorBidi" w:hAnsiTheme="majorBidi" w:cstheme="majorBidi"/>
                <w:sz w:val="24"/>
                <w:szCs w:val="24"/>
              </w:rPr>
              <w:tab/>
            </w:r>
            <w:r w:rsidRPr="007C71F4">
              <w:rPr>
                <w:rStyle w:val="Hyperlink"/>
                <w:rFonts w:asciiTheme="majorBidi" w:hAnsiTheme="majorBidi" w:cstheme="majorBidi"/>
                <w:sz w:val="24"/>
                <w:szCs w:val="24"/>
              </w:rPr>
              <w:t>Hofstede’s Cultural Dimensions, National Context</w:t>
            </w:r>
            <w:r w:rsidRPr="007C71F4">
              <w:rPr>
                <w:rFonts w:asciiTheme="majorBidi" w:hAnsiTheme="majorBidi" w:cstheme="majorBidi"/>
                <w:webHidden/>
                <w:sz w:val="24"/>
                <w:szCs w:val="24"/>
              </w:rPr>
              <w:tab/>
            </w:r>
            <w:r w:rsidRPr="007C71F4">
              <w:rPr>
                <w:rStyle w:val="Hyperlink"/>
                <w:rFonts w:asciiTheme="majorBidi" w:hAnsiTheme="majorBidi" w:cstheme="majorBidi"/>
                <w:sz w:val="24"/>
                <w:szCs w:val="24"/>
                <w:rtl/>
              </w:rPr>
              <w:fldChar w:fldCharType="begin"/>
            </w:r>
            <w:r w:rsidRPr="007C71F4">
              <w:rPr>
                <w:rFonts w:asciiTheme="majorBidi" w:hAnsiTheme="majorBidi" w:cstheme="majorBidi"/>
                <w:webHidden/>
                <w:sz w:val="24"/>
                <w:szCs w:val="24"/>
              </w:rPr>
              <w:instrText xml:space="preserve"> PAGEREF _Toc210852927 \h </w:instrText>
            </w:r>
            <w:r w:rsidRPr="007C71F4">
              <w:rPr>
                <w:rStyle w:val="Hyperlink"/>
                <w:rFonts w:asciiTheme="majorBidi" w:hAnsiTheme="majorBidi" w:cstheme="majorBidi"/>
                <w:sz w:val="24"/>
                <w:szCs w:val="24"/>
                <w:rtl/>
              </w:rPr>
            </w:r>
            <w:r w:rsidRPr="007C71F4">
              <w:rPr>
                <w:rStyle w:val="Hyperlink"/>
                <w:rFonts w:asciiTheme="majorBidi" w:hAnsiTheme="majorBidi" w:cstheme="majorBidi"/>
                <w:sz w:val="24"/>
                <w:szCs w:val="24"/>
                <w:rtl/>
              </w:rPr>
              <w:fldChar w:fldCharType="separate"/>
            </w:r>
            <w:r>
              <w:rPr>
                <w:rFonts w:asciiTheme="majorBidi" w:hAnsiTheme="majorBidi" w:cstheme="majorBidi"/>
                <w:webHidden/>
                <w:sz w:val="24"/>
                <w:szCs w:val="24"/>
              </w:rPr>
              <w:t>8</w:t>
            </w:r>
            <w:r w:rsidRPr="007C71F4">
              <w:rPr>
                <w:rStyle w:val="Hyperlink"/>
                <w:rFonts w:asciiTheme="majorBidi" w:hAnsiTheme="majorBidi" w:cstheme="majorBidi"/>
                <w:sz w:val="24"/>
                <w:szCs w:val="24"/>
                <w:rtl/>
              </w:rPr>
              <w:fldChar w:fldCharType="end"/>
            </w:r>
          </w:hyperlink>
        </w:p>
        <w:p w14:paraId="7378E464" w14:textId="77777777" w:rsidR="007C71F4" w:rsidRPr="007C71F4" w:rsidRDefault="007C71F4">
          <w:pPr>
            <w:pStyle w:val="TOC1"/>
            <w:tabs>
              <w:tab w:val="left" w:pos="660"/>
              <w:tab w:val="right" w:leader="dot" w:pos="9350"/>
            </w:tabs>
            <w:rPr>
              <w:rFonts w:asciiTheme="majorBidi" w:hAnsiTheme="majorBidi" w:cstheme="majorBidi"/>
              <w:sz w:val="24"/>
              <w:szCs w:val="24"/>
            </w:rPr>
          </w:pPr>
          <w:hyperlink w:anchor="_Toc210852928" w:history="1">
            <w:r w:rsidRPr="007C71F4">
              <w:rPr>
                <w:rStyle w:val="Hyperlink"/>
                <w:rFonts w:asciiTheme="majorBidi" w:hAnsiTheme="majorBidi" w:cstheme="majorBidi"/>
                <w:sz w:val="24"/>
                <w:szCs w:val="24"/>
              </w:rPr>
              <w:t>4.3.</w:t>
            </w:r>
            <w:r w:rsidRPr="007C71F4">
              <w:rPr>
                <w:rFonts w:asciiTheme="majorBidi" w:hAnsiTheme="majorBidi" w:cstheme="majorBidi"/>
                <w:sz w:val="24"/>
                <w:szCs w:val="24"/>
              </w:rPr>
              <w:tab/>
            </w:r>
            <w:r w:rsidRPr="007C71F4">
              <w:rPr>
                <w:rStyle w:val="Hyperlink"/>
                <w:rFonts w:asciiTheme="majorBidi" w:hAnsiTheme="majorBidi" w:cstheme="majorBidi"/>
                <w:sz w:val="24"/>
                <w:szCs w:val="24"/>
              </w:rPr>
              <w:t>Handy’s Cultural Types</w:t>
            </w:r>
            <w:r w:rsidRPr="007C71F4">
              <w:rPr>
                <w:rFonts w:asciiTheme="majorBidi" w:hAnsiTheme="majorBidi" w:cstheme="majorBidi"/>
                <w:webHidden/>
                <w:sz w:val="24"/>
                <w:szCs w:val="24"/>
              </w:rPr>
              <w:tab/>
            </w:r>
            <w:r w:rsidRPr="007C71F4">
              <w:rPr>
                <w:rStyle w:val="Hyperlink"/>
                <w:rFonts w:asciiTheme="majorBidi" w:hAnsiTheme="majorBidi" w:cstheme="majorBidi"/>
                <w:sz w:val="24"/>
                <w:szCs w:val="24"/>
                <w:rtl/>
              </w:rPr>
              <w:fldChar w:fldCharType="begin"/>
            </w:r>
            <w:r w:rsidRPr="007C71F4">
              <w:rPr>
                <w:rFonts w:asciiTheme="majorBidi" w:hAnsiTheme="majorBidi" w:cstheme="majorBidi"/>
                <w:webHidden/>
                <w:sz w:val="24"/>
                <w:szCs w:val="24"/>
              </w:rPr>
              <w:instrText xml:space="preserve"> PAGEREF _Toc210852928 \h </w:instrText>
            </w:r>
            <w:r w:rsidRPr="007C71F4">
              <w:rPr>
                <w:rStyle w:val="Hyperlink"/>
                <w:rFonts w:asciiTheme="majorBidi" w:hAnsiTheme="majorBidi" w:cstheme="majorBidi"/>
                <w:sz w:val="24"/>
                <w:szCs w:val="24"/>
                <w:rtl/>
              </w:rPr>
            </w:r>
            <w:r w:rsidRPr="007C71F4">
              <w:rPr>
                <w:rStyle w:val="Hyperlink"/>
                <w:rFonts w:asciiTheme="majorBidi" w:hAnsiTheme="majorBidi" w:cstheme="majorBidi"/>
                <w:sz w:val="24"/>
                <w:szCs w:val="24"/>
                <w:rtl/>
              </w:rPr>
              <w:fldChar w:fldCharType="separate"/>
            </w:r>
            <w:r>
              <w:rPr>
                <w:rFonts w:asciiTheme="majorBidi" w:hAnsiTheme="majorBidi" w:cstheme="majorBidi"/>
                <w:webHidden/>
                <w:sz w:val="24"/>
                <w:szCs w:val="24"/>
              </w:rPr>
              <w:t>9</w:t>
            </w:r>
            <w:r w:rsidRPr="007C71F4">
              <w:rPr>
                <w:rStyle w:val="Hyperlink"/>
                <w:rFonts w:asciiTheme="majorBidi" w:hAnsiTheme="majorBidi" w:cstheme="majorBidi"/>
                <w:sz w:val="24"/>
                <w:szCs w:val="24"/>
                <w:rtl/>
              </w:rPr>
              <w:fldChar w:fldCharType="end"/>
            </w:r>
          </w:hyperlink>
        </w:p>
        <w:p w14:paraId="7FDEC98F" w14:textId="77777777" w:rsidR="007C71F4" w:rsidRPr="007C71F4" w:rsidRDefault="007C71F4">
          <w:pPr>
            <w:pStyle w:val="TOC1"/>
            <w:tabs>
              <w:tab w:val="left" w:pos="660"/>
              <w:tab w:val="right" w:leader="dot" w:pos="9350"/>
            </w:tabs>
            <w:rPr>
              <w:rFonts w:asciiTheme="majorBidi" w:hAnsiTheme="majorBidi" w:cstheme="majorBidi"/>
              <w:sz w:val="24"/>
              <w:szCs w:val="24"/>
            </w:rPr>
          </w:pPr>
          <w:hyperlink w:anchor="_Toc210852929" w:history="1">
            <w:r w:rsidRPr="007C71F4">
              <w:rPr>
                <w:rStyle w:val="Hyperlink"/>
                <w:rFonts w:asciiTheme="majorBidi" w:hAnsiTheme="majorBidi" w:cstheme="majorBidi"/>
                <w:sz w:val="24"/>
                <w:szCs w:val="24"/>
              </w:rPr>
              <w:t>4.4.</w:t>
            </w:r>
            <w:r w:rsidRPr="007C71F4">
              <w:rPr>
                <w:rFonts w:asciiTheme="majorBidi" w:hAnsiTheme="majorBidi" w:cstheme="majorBidi"/>
                <w:sz w:val="24"/>
                <w:szCs w:val="24"/>
              </w:rPr>
              <w:tab/>
            </w:r>
            <w:r w:rsidRPr="007C71F4">
              <w:rPr>
                <w:rStyle w:val="Hyperlink"/>
                <w:rFonts w:asciiTheme="majorBidi" w:hAnsiTheme="majorBidi" w:cstheme="majorBidi"/>
                <w:sz w:val="24"/>
                <w:szCs w:val="24"/>
              </w:rPr>
              <w:t>Denison’s Traits</w:t>
            </w:r>
            <w:r w:rsidRPr="007C71F4">
              <w:rPr>
                <w:rFonts w:asciiTheme="majorBidi" w:hAnsiTheme="majorBidi" w:cstheme="majorBidi"/>
                <w:webHidden/>
                <w:sz w:val="24"/>
                <w:szCs w:val="24"/>
              </w:rPr>
              <w:tab/>
            </w:r>
            <w:r w:rsidRPr="007C71F4">
              <w:rPr>
                <w:rStyle w:val="Hyperlink"/>
                <w:rFonts w:asciiTheme="majorBidi" w:hAnsiTheme="majorBidi" w:cstheme="majorBidi"/>
                <w:sz w:val="24"/>
                <w:szCs w:val="24"/>
                <w:rtl/>
              </w:rPr>
              <w:fldChar w:fldCharType="begin"/>
            </w:r>
            <w:r w:rsidRPr="007C71F4">
              <w:rPr>
                <w:rFonts w:asciiTheme="majorBidi" w:hAnsiTheme="majorBidi" w:cstheme="majorBidi"/>
                <w:webHidden/>
                <w:sz w:val="24"/>
                <w:szCs w:val="24"/>
              </w:rPr>
              <w:instrText xml:space="preserve"> PAGEREF _Toc210852929 \h </w:instrText>
            </w:r>
            <w:r w:rsidRPr="007C71F4">
              <w:rPr>
                <w:rStyle w:val="Hyperlink"/>
                <w:rFonts w:asciiTheme="majorBidi" w:hAnsiTheme="majorBidi" w:cstheme="majorBidi"/>
                <w:sz w:val="24"/>
                <w:szCs w:val="24"/>
                <w:rtl/>
              </w:rPr>
            </w:r>
            <w:r w:rsidRPr="007C71F4">
              <w:rPr>
                <w:rStyle w:val="Hyperlink"/>
                <w:rFonts w:asciiTheme="majorBidi" w:hAnsiTheme="majorBidi" w:cstheme="majorBidi"/>
                <w:sz w:val="24"/>
                <w:szCs w:val="24"/>
                <w:rtl/>
              </w:rPr>
              <w:fldChar w:fldCharType="separate"/>
            </w:r>
            <w:r>
              <w:rPr>
                <w:rFonts w:asciiTheme="majorBidi" w:hAnsiTheme="majorBidi" w:cstheme="majorBidi"/>
                <w:webHidden/>
                <w:sz w:val="24"/>
                <w:szCs w:val="24"/>
              </w:rPr>
              <w:t>9</w:t>
            </w:r>
            <w:r w:rsidRPr="007C71F4">
              <w:rPr>
                <w:rStyle w:val="Hyperlink"/>
                <w:rFonts w:asciiTheme="majorBidi" w:hAnsiTheme="majorBidi" w:cstheme="majorBidi"/>
                <w:sz w:val="24"/>
                <w:szCs w:val="24"/>
                <w:rtl/>
              </w:rPr>
              <w:fldChar w:fldCharType="end"/>
            </w:r>
          </w:hyperlink>
        </w:p>
        <w:p w14:paraId="20E76F42" w14:textId="77777777" w:rsidR="007C71F4" w:rsidRPr="007C71F4" w:rsidRDefault="007C71F4">
          <w:pPr>
            <w:pStyle w:val="TOC1"/>
            <w:tabs>
              <w:tab w:val="left" w:pos="440"/>
              <w:tab w:val="right" w:leader="dot" w:pos="9350"/>
            </w:tabs>
            <w:rPr>
              <w:rFonts w:asciiTheme="majorBidi" w:hAnsiTheme="majorBidi" w:cstheme="majorBidi"/>
              <w:sz w:val="24"/>
              <w:szCs w:val="24"/>
            </w:rPr>
          </w:pPr>
          <w:hyperlink w:anchor="_Toc210852930" w:history="1">
            <w:r w:rsidRPr="007C71F4">
              <w:rPr>
                <w:rStyle w:val="Hyperlink"/>
                <w:rFonts w:asciiTheme="majorBidi" w:hAnsiTheme="majorBidi" w:cstheme="majorBidi"/>
                <w:sz w:val="24"/>
                <w:szCs w:val="24"/>
              </w:rPr>
              <w:t>5.</w:t>
            </w:r>
            <w:r w:rsidRPr="007C71F4">
              <w:rPr>
                <w:rFonts w:asciiTheme="majorBidi" w:hAnsiTheme="majorBidi" w:cstheme="majorBidi"/>
                <w:sz w:val="24"/>
                <w:szCs w:val="24"/>
              </w:rPr>
              <w:tab/>
            </w:r>
            <w:r w:rsidRPr="007C71F4">
              <w:rPr>
                <w:rStyle w:val="Hyperlink"/>
                <w:rFonts w:asciiTheme="majorBidi" w:hAnsiTheme="majorBidi" w:cstheme="majorBidi"/>
                <w:sz w:val="24"/>
                <w:szCs w:val="24"/>
              </w:rPr>
              <w:t>Culture and the External Environment</w:t>
            </w:r>
            <w:r w:rsidRPr="007C71F4">
              <w:rPr>
                <w:rFonts w:asciiTheme="majorBidi" w:hAnsiTheme="majorBidi" w:cstheme="majorBidi"/>
                <w:webHidden/>
                <w:sz w:val="24"/>
                <w:szCs w:val="24"/>
              </w:rPr>
              <w:tab/>
            </w:r>
            <w:r w:rsidRPr="007C71F4">
              <w:rPr>
                <w:rStyle w:val="Hyperlink"/>
                <w:rFonts w:asciiTheme="majorBidi" w:hAnsiTheme="majorBidi" w:cstheme="majorBidi"/>
                <w:sz w:val="24"/>
                <w:szCs w:val="24"/>
                <w:rtl/>
              </w:rPr>
              <w:fldChar w:fldCharType="begin"/>
            </w:r>
            <w:r w:rsidRPr="007C71F4">
              <w:rPr>
                <w:rFonts w:asciiTheme="majorBidi" w:hAnsiTheme="majorBidi" w:cstheme="majorBidi"/>
                <w:webHidden/>
                <w:sz w:val="24"/>
                <w:szCs w:val="24"/>
              </w:rPr>
              <w:instrText xml:space="preserve"> PAGEREF _Toc210852930 \h </w:instrText>
            </w:r>
            <w:r w:rsidRPr="007C71F4">
              <w:rPr>
                <w:rStyle w:val="Hyperlink"/>
                <w:rFonts w:asciiTheme="majorBidi" w:hAnsiTheme="majorBidi" w:cstheme="majorBidi"/>
                <w:sz w:val="24"/>
                <w:szCs w:val="24"/>
                <w:rtl/>
              </w:rPr>
            </w:r>
            <w:r w:rsidRPr="007C71F4">
              <w:rPr>
                <w:rStyle w:val="Hyperlink"/>
                <w:rFonts w:asciiTheme="majorBidi" w:hAnsiTheme="majorBidi" w:cstheme="majorBidi"/>
                <w:sz w:val="24"/>
                <w:szCs w:val="24"/>
                <w:rtl/>
              </w:rPr>
              <w:fldChar w:fldCharType="separate"/>
            </w:r>
            <w:r>
              <w:rPr>
                <w:rFonts w:asciiTheme="majorBidi" w:hAnsiTheme="majorBidi" w:cstheme="majorBidi"/>
                <w:webHidden/>
                <w:sz w:val="24"/>
                <w:szCs w:val="24"/>
              </w:rPr>
              <w:t>9</w:t>
            </w:r>
            <w:r w:rsidRPr="007C71F4">
              <w:rPr>
                <w:rStyle w:val="Hyperlink"/>
                <w:rFonts w:asciiTheme="majorBidi" w:hAnsiTheme="majorBidi" w:cstheme="majorBidi"/>
                <w:sz w:val="24"/>
                <w:szCs w:val="24"/>
                <w:rtl/>
              </w:rPr>
              <w:fldChar w:fldCharType="end"/>
            </w:r>
          </w:hyperlink>
        </w:p>
        <w:p w14:paraId="69A3F7A3" w14:textId="77777777" w:rsidR="007C71F4" w:rsidRPr="007C71F4" w:rsidRDefault="007C71F4">
          <w:pPr>
            <w:pStyle w:val="TOC1"/>
            <w:tabs>
              <w:tab w:val="left" w:pos="440"/>
              <w:tab w:val="right" w:leader="dot" w:pos="9350"/>
            </w:tabs>
            <w:rPr>
              <w:rFonts w:asciiTheme="majorBidi" w:hAnsiTheme="majorBidi" w:cstheme="majorBidi"/>
              <w:sz w:val="24"/>
              <w:szCs w:val="24"/>
            </w:rPr>
          </w:pPr>
          <w:hyperlink w:anchor="_Toc210852931" w:history="1">
            <w:r w:rsidRPr="007C71F4">
              <w:rPr>
                <w:rStyle w:val="Hyperlink"/>
                <w:rFonts w:asciiTheme="majorBidi" w:hAnsiTheme="majorBidi" w:cstheme="majorBidi"/>
                <w:sz w:val="24"/>
                <w:szCs w:val="24"/>
              </w:rPr>
              <w:t>6.</w:t>
            </w:r>
            <w:r w:rsidRPr="007C71F4">
              <w:rPr>
                <w:rFonts w:asciiTheme="majorBidi" w:hAnsiTheme="majorBidi" w:cstheme="majorBidi"/>
                <w:sz w:val="24"/>
                <w:szCs w:val="24"/>
              </w:rPr>
              <w:tab/>
            </w:r>
            <w:r w:rsidRPr="007C71F4">
              <w:rPr>
                <w:rStyle w:val="Hyperlink"/>
                <w:rFonts w:asciiTheme="majorBidi" w:hAnsiTheme="majorBidi" w:cstheme="majorBidi"/>
                <w:sz w:val="24"/>
                <w:szCs w:val="24"/>
              </w:rPr>
              <w:t>Is Organisational Culture a Barrier?</w:t>
            </w:r>
            <w:r w:rsidRPr="007C71F4">
              <w:rPr>
                <w:rFonts w:asciiTheme="majorBidi" w:hAnsiTheme="majorBidi" w:cstheme="majorBidi"/>
                <w:webHidden/>
                <w:sz w:val="24"/>
                <w:szCs w:val="24"/>
              </w:rPr>
              <w:tab/>
            </w:r>
            <w:r w:rsidRPr="007C71F4">
              <w:rPr>
                <w:rStyle w:val="Hyperlink"/>
                <w:rFonts w:asciiTheme="majorBidi" w:hAnsiTheme="majorBidi" w:cstheme="majorBidi"/>
                <w:sz w:val="24"/>
                <w:szCs w:val="24"/>
                <w:rtl/>
              </w:rPr>
              <w:fldChar w:fldCharType="begin"/>
            </w:r>
            <w:r w:rsidRPr="007C71F4">
              <w:rPr>
                <w:rFonts w:asciiTheme="majorBidi" w:hAnsiTheme="majorBidi" w:cstheme="majorBidi"/>
                <w:webHidden/>
                <w:sz w:val="24"/>
                <w:szCs w:val="24"/>
              </w:rPr>
              <w:instrText xml:space="preserve"> PAGEREF _Toc210852931 \h </w:instrText>
            </w:r>
            <w:r w:rsidRPr="007C71F4">
              <w:rPr>
                <w:rStyle w:val="Hyperlink"/>
                <w:rFonts w:asciiTheme="majorBidi" w:hAnsiTheme="majorBidi" w:cstheme="majorBidi"/>
                <w:sz w:val="24"/>
                <w:szCs w:val="24"/>
                <w:rtl/>
              </w:rPr>
            </w:r>
            <w:r w:rsidRPr="007C71F4">
              <w:rPr>
                <w:rStyle w:val="Hyperlink"/>
                <w:rFonts w:asciiTheme="majorBidi" w:hAnsiTheme="majorBidi" w:cstheme="majorBidi"/>
                <w:sz w:val="24"/>
                <w:szCs w:val="24"/>
                <w:rtl/>
              </w:rPr>
              <w:fldChar w:fldCharType="separate"/>
            </w:r>
            <w:r>
              <w:rPr>
                <w:rFonts w:asciiTheme="majorBidi" w:hAnsiTheme="majorBidi" w:cstheme="majorBidi"/>
                <w:webHidden/>
                <w:sz w:val="24"/>
                <w:szCs w:val="24"/>
              </w:rPr>
              <w:t>11</w:t>
            </w:r>
            <w:r w:rsidRPr="007C71F4">
              <w:rPr>
                <w:rStyle w:val="Hyperlink"/>
                <w:rFonts w:asciiTheme="majorBidi" w:hAnsiTheme="majorBidi" w:cstheme="majorBidi"/>
                <w:sz w:val="24"/>
                <w:szCs w:val="24"/>
                <w:rtl/>
              </w:rPr>
              <w:fldChar w:fldCharType="end"/>
            </w:r>
          </w:hyperlink>
        </w:p>
        <w:p w14:paraId="52601F0D" w14:textId="77777777" w:rsidR="007C71F4" w:rsidRPr="007C71F4" w:rsidRDefault="007C71F4">
          <w:pPr>
            <w:pStyle w:val="TOC1"/>
            <w:tabs>
              <w:tab w:val="left" w:pos="440"/>
              <w:tab w:val="right" w:leader="dot" w:pos="9350"/>
            </w:tabs>
            <w:rPr>
              <w:rFonts w:asciiTheme="majorBidi" w:hAnsiTheme="majorBidi" w:cstheme="majorBidi"/>
              <w:sz w:val="24"/>
              <w:szCs w:val="24"/>
            </w:rPr>
          </w:pPr>
          <w:hyperlink w:anchor="_Toc210852932" w:history="1">
            <w:r w:rsidRPr="007C71F4">
              <w:rPr>
                <w:rStyle w:val="Hyperlink"/>
                <w:rFonts w:asciiTheme="majorBidi" w:hAnsiTheme="majorBidi" w:cstheme="majorBidi"/>
                <w:sz w:val="24"/>
                <w:szCs w:val="24"/>
              </w:rPr>
              <w:t>7.</w:t>
            </w:r>
            <w:r w:rsidRPr="007C71F4">
              <w:rPr>
                <w:rFonts w:asciiTheme="majorBidi" w:hAnsiTheme="majorBidi" w:cstheme="majorBidi"/>
                <w:sz w:val="24"/>
                <w:szCs w:val="24"/>
              </w:rPr>
              <w:tab/>
            </w:r>
            <w:r w:rsidRPr="007C71F4">
              <w:rPr>
                <w:rStyle w:val="Hyperlink"/>
                <w:rFonts w:asciiTheme="majorBidi" w:hAnsiTheme="majorBidi" w:cstheme="majorBidi"/>
                <w:sz w:val="24"/>
                <w:szCs w:val="24"/>
              </w:rPr>
              <w:t>Impact of Culture on Organisational Performance</w:t>
            </w:r>
            <w:r w:rsidRPr="007C71F4">
              <w:rPr>
                <w:rFonts w:asciiTheme="majorBidi" w:hAnsiTheme="majorBidi" w:cstheme="majorBidi"/>
                <w:webHidden/>
                <w:sz w:val="24"/>
                <w:szCs w:val="24"/>
              </w:rPr>
              <w:tab/>
            </w:r>
            <w:r w:rsidRPr="007C71F4">
              <w:rPr>
                <w:rStyle w:val="Hyperlink"/>
                <w:rFonts w:asciiTheme="majorBidi" w:hAnsiTheme="majorBidi" w:cstheme="majorBidi"/>
                <w:sz w:val="24"/>
                <w:szCs w:val="24"/>
                <w:rtl/>
              </w:rPr>
              <w:fldChar w:fldCharType="begin"/>
            </w:r>
            <w:r w:rsidRPr="007C71F4">
              <w:rPr>
                <w:rFonts w:asciiTheme="majorBidi" w:hAnsiTheme="majorBidi" w:cstheme="majorBidi"/>
                <w:webHidden/>
                <w:sz w:val="24"/>
                <w:szCs w:val="24"/>
              </w:rPr>
              <w:instrText xml:space="preserve"> PAGEREF _Toc210852932 \h </w:instrText>
            </w:r>
            <w:r w:rsidRPr="007C71F4">
              <w:rPr>
                <w:rStyle w:val="Hyperlink"/>
                <w:rFonts w:asciiTheme="majorBidi" w:hAnsiTheme="majorBidi" w:cstheme="majorBidi"/>
                <w:sz w:val="24"/>
                <w:szCs w:val="24"/>
                <w:rtl/>
              </w:rPr>
            </w:r>
            <w:r w:rsidRPr="007C71F4">
              <w:rPr>
                <w:rStyle w:val="Hyperlink"/>
                <w:rFonts w:asciiTheme="majorBidi" w:hAnsiTheme="majorBidi" w:cstheme="majorBidi"/>
                <w:sz w:val="24"/>
                <w:szCs w:val="24"/>
                <w:rtl/>
              </w:rPr>
              <w:fldChar w:fldCharType="separate"/>
            </w:r>
            <w:r>
              <w:rPr>
                <w:rFonts w:asciiTheme="majorBidi" w:hAnsiTheme="majorBidi" w:cstheme="majorBidi"/>
                <w:webHidden/>
                <w:sz w:val="24"/>
                <w:szCs w:val="24"/>
              </w:rPr>
              <w:t>12</w:t>
            </w:r>
            <w:r w:rsidRPr="007C71F4">
              <w:rPr>
                <w:rStyle w:val="Hyperlink"/>
                <w:rFonts w:asciiTheme="majorBidi" w:hAnsiTheme="majorBidi" w:cstheme="majorBidi"/>
                <w:sz w:val="24"/>
                <w:szCs w:val="24"/>
                <w:rtl/>
              </w:rPr>
              <w:fldChar w:fldCharType="end"/>
            </w:r>
          </w:hyperlink>
        </w:p>
        <w:p w14:paraId="4C9412B5" w14:textId="77777777" w:rsidR="007C71F4" w:rsidRPr="007C71F4" w:rsidRDefault="007C71F4">
          <w:pPr>
            <w:pStyle w:val="TOC1"/>
            <w:tabs>
              <w:tab w:val="left" w:pos="440"/>
              <w:tab w:val="right" w:leader="dot" w:pos="9350"/>
            </w:tabs>
            <w:rPr>
              <w:rFonts w:asciiTheme="majorBidi" w:hAnsiTheme="majorBidi" w:cstheme="majorBidi"/>
              <w:sz w:val="24"/>
              <w:szCs w:val="24"/>
            </w:rPr>
          </w:pPr>
          <w:hyperlink w:anchor="_Toc210852933" w:history="1">
            <w:r w:rsidRPr="007C71F4">
              <w:rPr>
                <w:rStyle w:val="Hyperlink"/>
                <w:rFonts w:asciiTheme="majorBidi" w:hAnsiTheme="majorBidi" w:cstheme="majorBidi"/>
                <w:sz w:val="24"/>
                <w:szCs w:val="24"/>
              </w:rPr>
              <w:t>8.</w:t>
            </w:r>
            <w:r w:rsidRPr="007C71F4">
              <w:rPr>
                <w:rFonts w:asciiTheme="majorBidi" w:hAnsiTheme="majorBidi" w:cstheme="majorBidi"/>
                <w:sz w:val="24"/>
                <w:szCs w:val="24"/>
              </w:rPr>
              <w:tab/>
            </w:r>
            <w:r w:rsidRPr="007C71F4">
              <w:rPr>
                <w:rStyle w:val="Hyperlink"/>
                <w:rFonts w:asciiTheme="majorBidi" w:hAnsiTheme="majorBidi" w:cstheme="majorBidi"/>
                <w:sz w:val="24"/>
                <w:szCs w:val="24"/>
              </w:rPr>
              <w:t>Recommendations</w:t>
            </w:r>
            <w:r w:rsidRPr="007C71F4">
              <w:rPr>
                <w:rFonts w:asciiTheme="majorBidi" w:hAnsiTheme="majorBidi" w:cstheme="majorBidi"/>
                <w:webHidden/>
                <w:sz w:val="24"/>
                <w:szCs w:val="24"/>
              </w:rPr>
              <w:tab/>
            </w:r>
            <w:r w:rsidRPr="007C71F4">
              <w:rPr>
                <w:rStyle w:val="Hyperlink"/>
                <w:rFonts w:asciiTheme="majorBidi" w:hAnsiTheme="majorBidi" w:cstheme="majorBidi"/>
                <w:sz w:val="24"/>
                <w:szCs w:val="24"/>
                <w:rtl/>
              </w:rPr>
              <w:fldChar w:fldCharType="begin"/>
            </w:r>
            <w:r w:rsidRPr="007C71F4">
              <w:rPr>
                <w:rFonts w:asciiTheme="majorBidi" w:hAnsiTheme="majorBidi" w:cstheme="majorBidi"/>
                <w:webHidden/>
                <w:sz w:val="24"/>
                <w:szCs w:val="24"/>
              </w:rPr>
              <w:instrText xml:space="preserve"> PAGEREF _Toc210852933 \h </w:instrText>
            </w:r>
            <w:r w:rsidRPr="007C71F4">
              <w:rPr>
                <w:rStyle w:val="Hyperlink"/>
                <w:rFonts w:asciiTheme="majorBidi" w:hAnsiTheme="majorBidi" w:cstheme="majorBidi"/>
                <w:sz w:val="24"/>
                <w:szCs w:val="24"/>
                <w:rtl/>
              </w:rPr>
            </w:r>
            <w:r w:rsidRPr="007C71F4">
              <w:rPr>
                <w:rStyle w:val="Hyperlink"/>
                <w:rFonts w:asciiTheme="majorBidi" w:hAnsiTheme="majorBidi" w:cstheme="majorBidi"/>
                <w:sz w:val="24"/>
                <w:szCs w:val="24"/>
                <w:rtl/>
              </w:rPr>
              <w:fldChar w:fldCharType="separate"/>
            </w:r>
            <w:r>
              <w:rPr>
                <w:rFonts w:asciiTheme="majorBidi" w:hAnsiTheme="majorBidi" w:cstheme="majorBidi"/>
                <w:webHidden/>
                <w:sz w:val="24"/>
                <w:szCs w:val="24"/>
              </w:rPr>
              <w:t>13</w:t>
            </w:r>
            <w:r w:rsidRPr="007C71F4">
              <w:rPr>
                <w:rStyle w:val="Hyperlink"/>
                <w:rFonts w:asciiTheme="majorBidi" w:hAnsiTheme="majorBidi" w:cstheme="majorBidi"/>
                <w:sz w:val="24"/>
                <w:szCs w:val="24"/>
                <w:rtl/>
              </w:rPr>
              <w:fldChar w:fldCharType="end"/>
            </w:r>
          </w:hyperlink>
        </w:p>
        <w:p w14:paraId="679E938D" w14:textId="77777777" w:rsidR="007C71F4" w:rsidRPr="007C71F4" w:rsidRDefault="007C71F4">
          <w:pPr>
            <w:pStyle w:val="TOC1"/>
            <w:tabs>
              <w:tab w:val="left" w:pos="440"/>
              <w:tab w:val="right" w:leader="dot" w:pos="9350"/>
            </w:tabs>
            <w:rPr>
              <w:rFonts w:asciiTheme="majorBidi" w:hAnsiTheme="majorBidi" w:cstheme="majorBidi"/>
              <w:sz w:val="24"/>
              <w:szCs w:val="24"/>
            </w:rPr>
          </w:pPr>
          <w:hyperlink w:anchor="_Toc210852934" w:history="1">
            <w:r w:rsidRPr="007C71F4">
              <w:rPr>
                <w:rStyle w:val="Hyperlink"/>
                <w:rFonts w:asciiTheme="majorBidi" w:hAnsiTheme="majorBidi" w:cstheme="majorBidi"/>
                <w:sz w:val="24"/>
                <w:szCs w:val="24"/>
              </w:rPr>
              <w:t>9.</w:t>
            </w:r>
            <w:r w:rsidRPr="007C71F4">
              <w:rPr>
                <w:rFonts w:asciiTheme="majorBidi" w:hAnsiTheme="majorBidi" w:cstheme="majorBidi"/>
                <w:sz w:val="24"/>
                <w:szCs w:val="24"/>
              </w:rPr>
              <w:tab/>
            </w:r>
            <w:r w:rsidRPr="007C71F4">
              <w:rPr>
                <w:rStyle w:val="Hyperlink"/>
                <w:rFonts w:asciiTheme="majorBidi" w:hAnsiTheme="majorBidi" w:cstheme="majorBidi"/>
                <w:sz w:val="24"/>
                <w:szCs w:val="24"/>
              </w:rPr>
              <w:t>Conclusion</w:t>
            </w:r>
            <w:r w:rsidRPr="007C71F4">
              <w:rPr>
                <w:rFonts w:asciiTheme="majorBidi" w:hAnsiTheme="majorBidi" w:cstheme="majorBidi"/>
                <w:webHidden/>
                <w:sz w:val="24"/>
                <w:szCs w:val="24"/>
              </w:rPr>
              <w:tab/>
            </w:r>
            <w:r w:rsidRPr="007C71F4">
              <w:rPr>
                <w:rStyle w:val="Hyperlink"/>
                <w:rFonts w:asciiTheme="majorBidi" w:hAnsiTheme="majorBidi" w:cstheme="majorBidi"/>
                <w:sz w:val="24"/>
                <w:szCs w:val="24"/>
                <w:rtl/>
              </w:rPr>
              <w:fldChar w:fldCharType="begin"/>
            </w:r>
            <w:r w:rsidRPr="007C71F4">
              <w:rPr>
                <w:rFonts w:asciiTheme="majorBidi" w:hAnsiTheme="majorBidi" w:cstheme="majorBidi"/>
                <w:webHidden/>
                <w:sz w:val="24"/>
                <w:szCs w:val="24"/>
              </w:rPr>
              <w:instrText xml:space="preserve"> PAGEREF _Toc210852934 \h </w:instrText>
            </w:r>
            <w:r w:rsidRPr="007C71F4">
              <w:rPr>
                <w:rStyle w:val="Hyperlink"/>
                <w:rFonts w:asciiTheme="majorBidi" w:hAnsiTheme="majorBidi" w:cstheme="majorBidi"/>
                <w:sz w:val="24"/>
                <w:szCs w:val="24"/>
                <w:rtl/>
              </w:rPr>
            </w:r>
            <w:r w:rsidRPr="007C71F4">
              <w:rPr>
                <w:rStyle w:val="Hyperlink"/>
                <w:rFonts w:asciiTheme="majorBidi" w:hAnsiTheme="majorBidi" w:cstheme="majorBidi"/>
                <w:sz w:val="24"/>
                <w:szCs w:val="24"/>
                <w:rtl/>
              </w:rPr>
              <w:fldChar w:fldCharType="separate"/>
            </w:r>
            <w:r>
              <w:rPr>
                <w:rFonts w:asciiTheme="majorBidi" w:hAnsiTheme="majorBidi" w:cstheme="majorBidi"/>
                <w:webHidden/>
                <w:sz w:val="24"/>
                <w:szCs w:val="24"/>
              </w:rPr>
              <w:t>14</w:t>
            </w:r>
            <w:r w:rsidRPr="007C71F4">
              <w:rPr>
                <w:rStyle w:val="Hyperlink"/>
                <w:rFonts w:asciiTheme="majorBidi" w:hAnsiTheme="majorBidi" w:cstheme="majorBidi"/>
                <w:sz w:val="24"/>
                <w:szCs w:val="24"/>
                <w:rtl/>
              </w:rPr>
              <w:fldChar w:fldCharType="end"/>
            </w:r>
          </w:hyperlink>
        </w:p>
        <w:p w14:paraId="498F7458" w14:textId="77777777" w:rsidR="007C71F4" w:rsidRPr="007C71F4" w:rsidRDefault="007C71F4">
          <w:pPr>
            <w:pStyle w:val="TOC1"/>
            <w:tabs>
              <w:tab w:val="right" w:leader="dot" w:pos="9350"/>
            </w:tabs>
            <w:rPr>
              <w:rFonts w:asciiTheme="majorBidi" w:hAnsiTheme="majorBidi" w:cstheme="majorBidi"/>
              <w:sz w:val="24"/>
              <w:szCs w:val="24"/>
            </w:rPr>
          </w:pPr>
          <w:hyperlink w:anchor="_Toc210852935" w:history="1">
            <w:r w:rsidRPr="007C71F4">
              <w:rPr>
                <w:rStyle w:val="Hyperlink"/>
                <w:rFonts w:asciiTheme="majorBidi" w:hAnsiTheme="majorBidi" w:cstheme="majorBidi"/>
                <w:sz w:val="24"/>
                <w:szCs w:val="24"/>
              </w:rPr>
              <w:t>References</w:t>
            </w:r>
            <w:r w:rsidRPr="007C71F4">
              <w:rPr>
                <w:rFonts w:asciiTheme="majorBidi" w:hAnsiTheme="majorBidi" w:cstheme="majorBidi"/>
                <w:webHidden/>
                <w:sz w:val="24"/>
                <w:szCs w:val="24"/>
              </w:rPr>
              <w:tab/>
            </w:r>
            <w:r w:rsidRPr="007C71F4">
              <w:rPr>
                <w:rStyle w:val="Hyperlink"/>
                <w:rFonts w:asciiTheme="majorBidi" w:hAnsiTheme="majorBidi" w:cstheme="majorBidi"/>
                <w:sz w:val="24"/>
                <w:szCs w:val="24"/>
                <w:rtl/>
              </w:rPr>
              <w:fldChar w:fldCharType="begin"/>
            </w:r>
            <w:r w:rsidRPr="007C71F4">
              <w:rPr>
                <w:rFonts w:asciiTheme="majorBidi" w:hAnsiTheme="majorBidi" w:cstheme="majorBidi"/>
                <w:webHidden/>
                <w:sz w:val="24"/>
                <w:szCs w:val="24"/>
              </w:rPr>
              <w:instrText xml:space="preserve"> PAGEREF _Toc210852935 \h </w:instrText>
            </w:r>
            <w:r w:rsidRPr="007C71F4">
              <w:rPr>
                <w:rStyle w:val="Hyperlink"/>
                <w:rFonts w:asciiTheme="majorBidi" w:hAnsiTheme="majorBidi" w:cstheme="majorBidi"/>
                <w:sz w:val="24"/>
                <w:szCs w:val="24"/>
                <w:rtl/>
              </w:rPr>
            </w:r>
            <w:r w:rsidRPr="007C71F4">
              <w:rPr>
                <w:rStyle w:val="Hyperlink"/>
                <w:rFonts w:asciiTheme="majorBidi" w:hAnsiTheme="majorBidi" w:cstheme="majorBidi"/>
                <w:sz w:val="24"/>
                <w:szCs w:val="24"/>
                <w:rtl/>
              </w:rPr>
              <w:fldChar w:fldCharType="separate"/>
            </w:r>
            <w:r>
              <w:rPr>
                <w:rFonts w:asciiTheme="majorBidi" w:hAnsiTheme="majorBidi" w:cstheme="majorBidi"/>
                <w:webHidden/>
                <w:sz w:val="24"/>
                <w:szCs w:val="24"/>
              </w:rPr>
              <w:t>15</w:t>
            </w:r>
            <w:r w:rsidRPr="007C71F4">
              <w:rPr>
                <w:rStyle w:val="Hyperlink"/>
                <w:rFonts w:asciiTheme="majorBidi" w:hAnsiTheme="majorBidi" w:cstheme="majorBidi"/>
                <w:sz w:val="24"/>
                <w:szCs w:val="24"/>
                <w:rtl/>
              </w:rPr>
              <w:fldChar w:fldCharType="end"/>
            </w:r>
          </w:hyperlink>
        </w:p>
        <w:p w14:paraId="1F6F31EE" w14:textId="77777777" w:rsidR="007C71F4" w:rsidRDefault="007C71F4">
          <w:r w:rsidRPr="007C71F4">
            <w:rPr>
              <w:rFonts w:asciiTheme="majorBidi" w:hAnsiTheme="majorBidi" w:cstheme="majorBidi"/>
              <w:b/>
              <w:bCs/>
              <w:sz w:val="24"/>
              <w:szCs w:val="24"/>
            </w:rPr>
            <w:fldChar w:fldCharType="end"/>
          </w:r>
        </w:p>
      </w:sdtContent>
    </w:sdt>
    <w:p w14:paraId="07DB48C3" w14:textId="77777777" w:rsidR="00A9315F" w:rsidRDefault="00A9315F" w:rsidP="00A9315F">
      <w:r>
        <w:br w:type="page"/>
      </w:r>
    </w:p>
    <w:p w14:paraId="02831764" w14:textId="77777777" w:rsidR="00383B81" w:rsidRDefault="00DB69E1" w:rsidP="00DA216C">
      <w:pPr>
        <w:pStyle w:val="Heading1"/>
        <w:numPr>
          <w:ilvl w:val="0"/>
          <w:numId w:val="1"/>
        </w:numPr>
      </w:pPr>
      <w:bookmarkStart w:id="0" w:name="_Toc210852922"/>
      <w:r>
        <w:lastRenderedPageBreak/>
        <w:t>Introduction</w:t>
      </w:r>
      <w:bookmarkEnd w:id="0"/>
    </w:p>
    <w:p w14:paraId="7A2513CB" w14:textId="77777777" w:rsidR="00B96F86" w:rsidRDefault="00B96F86" w:rsidP="00B96F86">
      <w:pPr>
        <w:spacing w:line="480" w:lineRule="auto"/>
        <w:ind w:firstLine="720"/>
        <w:rPr>
          <w:rFonts w:asciiTheme="majorBidi" w:hAnsiTheme="majorBidi" w:cstheme="majorBidi"/>
          <w:sz w:val="24"/>
          <w:szCs w:val="24"/>
        </w:rPr>
      </w:pPr>
      <w:r w:rsidRPr="00B96F86">
        <w:rPr>
          <w:rFonts w:asciiTheme="majorBidi" w:hAnsiTheme="majorBidi" w:cstheme="majorBidi"/>
          <w:sz w:val="24"/>
          <w:szCs w:val="24"/>
        </w:rPr>
        <w:t xml:space="preserve">Organisational culture describes the shared values, beliefs, and </w:t>
      </w:r>
      <w:r>
        <w:rPr>
          <w:rFonts w:asciiTheme="majorBidi" w:hAnsiTheme="majorBidi" w:cstheme="majorBidi"/>
          <w:sz w:val="24"/>
          <w:szCs w:val="24"/>
        </w:rPr>
        <w:t>day-to-day</w:t>
      </w:r>
      <w:r w:rsidRPr="00B96F86">
        <w:rPr>
          <w:rFonts w:asciiTheme="majorBidi" w:hAnsiTheme="majorBidi" w:cstheme="majorBidi"/>
          <w:sz w:val="24"/>
          <w:szCs w:val="24"/>
        </w:rPr>
        <w:t xml:space="preserve"> behaviours that guide how people work together. It shapes what is acceptable, what gets rewarded, and how problems get solved</w:t>
      </w:r>
      <w:r>
        <w:rPr>
          <w:rFonts w:asciiTheme="majorBidi" w:hAnsiTheme="majorBidi" w:cstheme="majorBidi"/>
          <w:sz w:val="24"/>
          <w:szCs w:val="24"/>
        </w:rPr>
        <w:t xml:space="preserve"> (Driskill, 2018)</w:t>
      </w:r>
      <w:r w:rsidRPr="00B96F86">
        <w:rPr>
          <w:rFonts w:asciiTheme="majorBidi" w:hAnsiTheme="majorBidi" w:cstheme="majorBidi"/>
          <w:sz w:val="24"/>
          <w:szCs w:val="24"/>
        </w:rPr>
        <w:t>. Culture matters because it influences structure, how decisions are made, how people stay motivated, and how managers exercise control. It sets the routines that link strategy to action and results (</w:t>
      </w:r>
      <w:r>
        <w:rPr>
          <w:rFonts w:asciiTheme="majorBidi" w:hAnsiTheme="majorBidi" w:cstheme="majorBidi"/>
          <w:sz w:val="24"/>
          <w:szCs w:val="24"/>
        </w:rPr>
        <w:t>Mullins, 2016</w:t>
      </w:r>
      <w:r w:rsidRPr="00B96F86">
        <w:rPr>
          <w:rFonts w:asciiTheme="majorBidi" w:hAnsiTheme="majorBidi" w:cstheme="majorBidi"/>
          <w:sz w:val="24"/>
          <w:szCs w:val="24"/>
        </w:rPr>
        <w:t>). It also frames the basic assumptions people use when they interpret events and choose responses (</w:t>
      </w:r>
      <w:r>
        <w:rPr>
          <w:rFonts w:asciiTheme="majorBidi" w:hAnsiTheme="majorBidi" w:cstheme="majorBidi"/>
          <w:sz w:val="24"/>
          <w:szCs w:val="24"/>
        </w:rPr>
        <w:t>Van Hulst et al., 2025</w:t>
      </w:r>
      <w:r w:rsidRPr="00B96F86">
        <w:rPr>
          <w:rFonts w:asciiTheme="majorBidi" w:hAnsiTheme="majorBidi" w:cstheme="majorBidi"/>
          <w:sz w:val="24"/>
          <w:szCs w:val="24"/>
        </w:rPr>
        <w:t>).</w:t>
      </w:r>
    </w:p>
    <w:p w14:paraId="7B7542FD" w14:textId="77777777" w:rsidR="00B96F86" w:rsidRDefault="00B96F86" w:rsidP="002173CE">
      <w:pPr>
        <w:spacing w:line="480" w:lineRule="auto"/>
        <w:ind w:firstLine="720"/>
        <w:rPr>
          <w:rFonts w:asciiTheme="majorBidi" w:hAnsiTheme="majorBidi" w:cstheme="majorBidi"/>
          <w:sz w:val="24"/>
          <w:szCs w:val="24"/>
        </w:rPr>
      </w:pPr>
      <w:r>
        <w:rPr>
          <w:rFonts w:asciiTheme="majorBidi" w:hAnsiTheme="majorBidi" w:cstheme="majorBidi"/>
          <w:sz w:val="24"/>
          <w:szCs w:val="24"/>
        </w:rPr>
        <w:t>This report focuses on Toyota</w:t>
      </w:r>
      <w:r w:rsidR="002173CE">
        <w:rPr>
          <w:rFonts w:asciiTheme="majorBidi" w:hAnsiTheme="majorBidi" w:cstheme="majorBidi"/>
          <w:sz w:val="24"/>
          <w:szCs w:val="24"/>
        </w:rPr>
        <w:t>,</w:t>
      </w:r>
      <w:r>
        <w:rPr>
          <w:rFonts w:asciiTheme="majorBidi" w:hAnsiTheme="majorBidi" w:cstheme="majorBidi"/>
          <w:sz w:val="24"/>
          <w:szCs w:val="24"/>
        </w:rPr>
        <w:t xml:space="preserve"> and this company</w:t>
      </w:r>
      <w:r w:rsidRPr="00B96F86">
        <w:rPr>
          <w:rFonts w:asciiTheme="majorBidi" w:hAnsiTheme="majorBidi" w:cstheme="majorBidi"/>
          <w:sz w:val="24"/>
          <w:szCs w:val="24"/>
        </w:rPr>
        <w:t xml:space="preserve"> is known for the Toyota Way. The T</w:t>
      </w:r>
      <w:r w:rsidR="002173CE">
        <w:rPr>
          <w:rFonts w:asciiTheme="majorBidi" w:hAnsiTheme="majorBidi" w:cstheme="majorBidi"/>
          <w:sz w:val="24"/>
          <w:szCs w:val="24"/>
        </w:rPr>
        <w:t xml:space="preserve">oyota Way rests on two pillars: Respect for People and </w:t>
      </w:r>
      <w:r w:rsidRPr="00B96F86">
        <w:rPr>
          <w:rFonts w:asciiTheme="majorBidi" w:hAnsiTheme="majorBidi" w:cstheme="majorBidi"/>
          <w:sz w:val="24"/>
          <w:szCs w:val="24"/>
        </w:rPr>
        <w:t xml:space="preserve">Continuous Improvement. These pillars translate into core practices such as genchi genbutsu, kaizen, jidoka, and </w:t>
      </w:r>
      <w:r>
        <w:rPr>
          <w:rFonts w:asciiTheme="majorBidi" w:hAnsiTheme="majorBidi" w:cstheme="majorBidi"/>
          <w:sz w:val="24"/>
          <w:szCs w:val="24"/>
        </w:rPr>
        <w:t>just-in-time</w:t>
      </w:r>
      <w:r w:rsidR="002173CE">
        <w:rPr>
          <w:rFonts w:asciiTheme="majorBidi" w:hAnsiTheme="majorBidi" w:cstheme="majorBidi"/>
          <w:sz w:val="24"/>
          <w:szCs w:val="24"/>
        </w:rPr>
        <w:t xml:space="preserve"> (Vanichchinchai, 2023)</w:t>
      </w:r>
      <w:r w:rsidRPr="00B96F86">
        <w:rPr>
          <w:rFonts w:asciiTheme="majorBidi" w:hAnsiTheme="majorBidi" w:cstheme="majorBidi"/>
          <w:sz w:val="24"/>
          <w:szCs w:val="24"/>
        </w:rPr>
        <w:t>. They emphasise learning at the source, building quality into processes, and removing waste. Toyota codified these ideas in The Toyota Way 2001 and refreshed them through later updat</w:t>
      </w:r>
      <w:r w:rsidR="002173CE">
        <w:rPr>
          <w:rFonts w:asciiTheme="majorBidi" w:hAnsiTheme="majorBidi" w:cstheme="majorBidi"/>
          <w:sz w:val="24"/>
          <w:szCs w:val="24"/>
        </w:rPr>
        <w:t xml:space="preserve">es and codes of conduct (James, </w:t>
      </w:r>
      <w:r w:rsidR="002173CE" w:rsidRPr="008E4E37">
        <w:rPr>
          <w:rFonts w:asciiTheme="majorBidi" w:hAnsiTheme="majorBidi" w:cstheme="majorBidi"/>
          <w:sz w:val="24"/>
          <w:szCs w:val="24"/>
        </w:rPr>
        <w:t>2023</w:t>
      </w:r>
      <w:r w:rsidRPr="00B96F86">
        <w:rPr>
          <w:rFonts w:asciiTheme="majorBidi" w:hAnsiTheme="majorBidi" w:cstheme="majorBidi"/>
          <w:sz w:val="24"/>
          <w:szCs w:val="24"/>
        </w:rPr>
        <w:t>).</w:t>
      </w:r>
    </w:p>
    <w:p w14:paraId="5C97D892" w14:textId="77777777" w:rsidR="00DB69E1" w:rsidRDefault="00B96F86" w:rsidP="00B96F86">
      <w:pPr>
        <w:spacing w:line="480" w:lineRule="auto"/>
        <w:ind w:firstLine="720"/>
        <w:rPr>
          <w:rFonts w:asciiTheme="majorBidi" w:hAnsiTheme="majorBidi" w:cstheme="majorBidi"/>
          <w:sz w:val="24"/>
          <w:szCs w:val="24"/>
        </w:rPr>
      </w:pPr>
      <w:r w:rsidRPr="00B96F86">
        <w:rPr>
          <w:rFonts w:asciiTheme="majorBidi" w:hAnsiTheme="majorBidi" w:cstheme="majorBidi"/>
          <w:sz w:val="24"/>
          <w:szCs w:val="24"/>
        </w:rPr>
        <w:t>The aim is to assess how culture at Toyota links to structure and decision making, how it supports fit with the external environment, whether it acts as a barrier, and how it affects performance. The report maps as follows. First, it describes the organisational culture at Toyota. Second, it explains how culture shapes structure and decision processes. Third, it applies recognised frameworks to identify cultural types. Fourth, it evaluates how Toyota’s culture supports adaptation to market, regulatory, and global forces. Fifth, it considers when culture becomes a barrier. Sixth, it reviews performance impacts and proposes improvements. The conclusion distils key insights and practical recommendations.</w:t>
      </w:r>
    </w:p>
    <w:p w14:paraId="485C5233" w14:textId="77777777" w:rsidR="00367C88" w:rsidRDefault="00FF760C" w:rsidP="00DA216C">
      <w:pPr>
        <w:pStyle w:val="Heading1"/>
        <w:numPr>
          <w:ilvl w:val="0"/>
          <w:numId w:val="1"/>
        </w:numPr>
      </w:pPr>
      <w:bookmarkStart w:id="1" w:name="_Toc210852923"/>
      <w:r w:rsidRPr="00FF760C">
        <w:lastRenderedPageBreak/>
        <w:t>Organisational Culture of Toyota</w:t>
      </w:r>
      <w:bookmarkEnd w:id="1"/>
      <w:r w:rsidRPr="00FF760C">
        <w:t xml:space="preserve"> </w:t>
      </w:r>
    </w:p>
    <w:p w14:paraId="18CA3D5B" w14:textId="77777777" w:rsidR="00FA786E" w:rsidRDefault="00FA786E" w:rsidP="00BF1C97">
      <w:pPr>
        <w:spacing w:line="480" w:lineRule="auto"/>
        <w:ind w:firstLine="360"/>
        <w:rPr>
          <w:rFonts w:asciiTheme="majorBidi" w:hAnsiTheme="majorBidi" w:cstheme="majorBidi"/>
          <w:sz w:val="24"/>
          <w:szCs w:val="24"/>
        </w:rPr>
      </w:pPr>
      <w:r w:rsidRPr="00FA786E">
        <w:rPr>
          <w:rFonts w:asciiTheme="majorBidi" w:hAnsiTheme="majorBidi" w:cstheme="majorBidi"/>
          <w:sz w:val="24"/>
          <w:szCs w:val="24"/>
        </w:rPr>
        <w:t>Toyota’s culture embeds a set of core beliefs and routines that operate at all levels of the enterprise. It emphasises kaizen (continuous improvement), genchi genbutsu (go to the source to see reality), hansei (reflection and learning), jidoka (automation with human judgement), and just-in-time production. These principles form the practical backbone of the Toyota Production System (TPS) (</w:t>
      </w:r>
      <w:r w:rsidR="00BF1C97">
        <w:rPr>
          <w:rFonts w:asciiTheme="majorBidi" w:hAnsiTheme="majorBidi" w:cstheme="majorBidi"/>
          <w:sz w:val="24"/>
          <w:szCs w:val="24"/>
        </w:rPr>
        <w:t>Toyota Motor Corporation, 2025</w:t>
      </w:r>
      <w:r w:rsidRPr="00FA786E">
        <w:rPr>
          <w:rFonts w:asciiTheme="majorBidi" w:hAnsiTheme="majorBidi" w:cstheme="majorBidi"/>
          <w:sz w:val="24"/>
          <w:szCs w:val="24"/>
        </w:rPr>
        <w:t>). TPS rests on two pillars: jidoka and just-in-time. The purpose is to eliminate waste, reduce lead times, and build quality into processes (</w:t>
      </w:r>
      <w:r w:rsidR="00BF1C97">
        <w:rPr>
          <w:rFonts w:asciiTheme="majorBidi" w:hAnsiTheme="majorBidi" w:cstheme="majorBidi"/>
          <w:sz w:val="24"/>
          <w:szCs w:val="24"/>
        </w:rPr>
        <w:t>Ohno, 2019</w:t>
      </w:r>
      <w:r w:rsidRPr="00FA786E">
        <w:rPr>
          <w:rFonts w:asciiTheme="majorBidi" w:hAnsiTheme="majorBidi" w:cstheme="majorBidi"/>
          <w:sz w:val="24"/>
          <w:szCs w:val="24"/>
        </w:rPr>
        <w:t>).</w:t>
      </w:r>
    </w:p>
    <w:p w14:paraId="21A082D5" w14:textId="77777777" w:rsidR="00FA786E" w:rsidRDefault="00FA786E" w:rsidP="004F25E2">
      <w:pPr>
        <w:spacing w:line="480" w:lineRule="auto"/>
        <w:ind w:firstLine="360"/>
        <w:rPr>
          <w:rFonts w:asciiTheme="majorBidi" w:hAnsiTheme="majorBidi" w:cstheme="majorBidi"/>
          <w:sz w:val="24"/>
          <w:szCs w:val="24"/>
        </w:rPr>
      </w:pPr>
      <w:r w:rsidRPr="00FA786E">
        <w:rPr>
          <w:rFonts w:asciiTheme="majorBidi" w:hAnsiTheme="majorBidi" w:cstheme="majorBidi"/>
          <w:sz w:val="24"/>
          <w:szCs w:val="24"/>
        </w:rPr>
        <w:t>Toyota revised and reinforced these cultural principles in the Toyota Way 2020 update and its Code of Conduct. The update frames the essential values that guide behavior, such as integrity, respect, and teamwork</w:t>
      </w:r>
      <w:r w:rsidR="004F25E2">
        <w:rPr>
          <w:rFonts w:asciiTheme="majorBidi" w:hAnsiTheme="majorBidi" w:cstheme="majorBidi"/>
          <w:sz w:val="24"/>
          <w:szCs w:val="24"/>
        </w:rPr>
        <w:t>. It articulates</w:t>
      </w:r>
      <w:r w:rsidRPr="00FA786E">
        <w:rPr>
          <w:rFonts w:asciiTheme="majorBidi" w:hAnsiTheme="majorBidi" w:cstheme="majorBidi"/>
          <w:sz w:val="24"/>
          <w:szCs w:val="24"/>
        </w:rPr>
        <w:t xml:space="preserve"> a mindset of long-term thinking and stakeholder orientation (</w:t>
      </w:r>
      <w:r w:rsidR="004F25E2">
        <w:rPr>
          <w:rFonts w:asciiTheme="majorBidi" w:hAnsiTheme="majorBidi" w:cstheme="majorBidi"/>
          <w:sz w:val="24"/>
          <w:szCs w:val="24"/>
        </w:rPr>
        <w:t>Bonini et al., 2020</w:t>
      </w:r>
      <w:r w:rsidRPr="00FA786E">
        <w:rPr>
          <w:rFonts w:asciiTheme="majorBidi" w:hAnsiTheme="majorBidi" w:cstheme="majorBidi"/>
          <w:sz w:val="24"/>
          <w:szCs w:val="24"/>
        </w:rPr>
        <w:t>). Toyota positions itself as a corporate citizen trusted by stakeholders and aspires to “Producing Happiness for All” through mobility for all (</w:t>
      </w:r>
      <w:r w:rsidR="004F25E2" w:rsidRPr="00436A8F">
        <w:rPr>
          <w:rFonts w:asciiTheme="majorBidi" w:hAnsiTheme="majorBidi" w:cstheme="majorBidi"/>
          <w:sz w:val="24"/>
          <w:szCs w:val="24"/>
        </w:rPr>
        <w:t>To</w:t>
      </w:r>
      <w:r w:rsidR="004F25E2">
        <w:rPr>
          <w:rFonts w:asciiTheme="majorBidi" w:hAnsiTheme="majorBidi" w:cstheme="majorBidi"/>
          <w:sz w:val="24"/>
          <w:szCs w:val="24"/>
        </w:rPr>
        <w:t>yota Indus Motor Company, 2024</w:t>
      </w:r>
      <w:r w:rsidRPr="00FA786E">
        <w:rPr>
          <w:rFonts w:asciiTheme="majorBidi" w:hAnsiTheme="majorBidi" w:cstheme="majorBidi"/>
          <w:sz w:val="24"/>
          <w:szCs w:val="24"/>
        </w:rPr>
        <w:t>). These documents formalise how employees are expected to act under the two pillars while giving stronger emphasis to social and environmental responsibilities.</w:t>
      </w:r>
    </w:p>
    <w:p w14:paraId="25C7F6C1" w14:textId="77777777" w:rsidR="00FA786E" w:rsidRDefault="00FA786E" w:rsidP="004F25E2">
      <w:pPr>
        <w:spacing w:line="480" w:lineRule="auto"/>
        <w:ind w:firstLine="360"/>
        <w:rPr>
          <w:rFonts w:asciiTheme="majorBidi" w:hAnsiTheme="majorBidi" w:cstheme="majorBidi"/>
          <w:sz w:val="24"/>
          <w:szCs w:val="24"/>
        </w:rPr>
      </w:pPr>
      <w:r w:rsidRPr="00FA786E">
        <w:rPr>
          <w:rFonts w:asciiTheme="majorBidi" w:hAnsiTheme="majorBidi" w:cstheme="majorBidi"/>
          <w:sz w:val="24"/>
          <w:szCs w:val="24"/>
        </w:rPr>
        <w:t>Culture becomes visible through artefacts and routines. At Toyota plants, andon cords allow any worker to stop the line when they detect an abnormality, thereby embodying jidoka</w:t>
      </w:r>
      <w:r w:rsidR="004F25E2">
        <w:rPr>
          <w:rFonts w:asciiTheme="majorBidi" w:hAnsiTheme="majorBidi" w:cstheme="majorBidi"/>
          <w:sz w:val="24"/>
          <w:szCs w:val="24"/>
        </w:rPr>
        <w:t xml:space="preserve"> (Sordan and Chiabert,  2024)</w:t>
      </w:r>
      <w:r w:rsidRPr="00FA786E">
        <w:rPr>
          <w:rFonts w:asciiTheme="majorBidi" w:hAnsiTheme="majorBidi" w:cstheme="majorBidi"/>
          <w:sz w:val="24"/>
          <w:szCs w:val="24"/>
        </w:rPr>
        <w:t xml:space="preserve">. The use of A3 problem-solving </w:t>
      </w:r>
      <w:r w:rsidR="004F25E2">
        <w:rPr>
          <w:rFonts w:asciiTheme="majorBidi" w:hAnsiTheme="majorBidi" w:cstheme="majorBidi"/>
          <w:sz w:val="24"/>
          <w:szCs w:val="24"/>
        </w:rPr>
        <w:t>report</w:t>
      </w:r>
      <w:r w:rsidRPr="00FA786E">
        <w:rPr>
          <w:rFonts w:asciiTheme="majorBidi" w:hAnsiTheme="majorBidi" w:cstheme="majorBidi"/>
          <w:sz w:val="24"/>
          <w:szCs w:val="24"/>
        </w:rPr>
        <w:t xml:space="preserve"> structures how a problem is investigated, countermeasures are proposed, and learning is shared. Teams hold daily huddles or stand-up meetings to review metrics, quality issues, and improvement steps</w:t>
      </w:r>
      <w:r w:rsidR="004F25E2">
        <w:rPr>
          <w:rFonts w:asciiTheme="majorBidi" w:hAnsiTheme="majorBidi" w:cstheme="majorBidi"/>
          <w:sz w:val="24"/>
          <w:szCs w:val="24"/>
        </w:rPr>
        <w:t xml:space="preserve"> (Pannell, 2025)</w:t>
      </w:r>
      <w:r w:rsidRPr="00FA786E">
        <w:rPr>
          <w:rFonts w:asciiTheme="majorBidi" w:hAnsiTheme="majorBidi" w:cstheme="majorBidi"/>
          <w:sz w:val="24"/>
          <w:szCs w:val="24"/>
        </w:rPr>
        <w:t>. Toyota encourages suggestion systems in which frontline staff submit ideas frequently. These artefacts manifest the two pillars: respect for people (giving voice to workers) and continuous improveme</w:t>
      </w:r>
      <w:r w:rsidR="009E44C3">
        <w:rPr>
          <w:rFonts w:asciiTheme="majorBidi" w:hAnsiTheme="majorBidi" w:cstheme="majorBidi"/>
          <w:sz w:val="24"/>
          <w:szCs w:val="24"/>
        </w:rPr>
        <w:t>nt (structured problem solving) (Frederique, 2024).</w:t>
      </w:r>
    </w:p>
    <w:p w14:paraId="035207A2" w14:textId="77777777" w:rsidR="00FF760C" w:rsidRDefault="00FA786E" w:rsidP="00655758">
      <w:pPr>
        <w:spacing w:line="480" w:lineRule="auto"/>
        <w:ind w:firstLine="360"/>
        <w:rPr>
          <w:rFonts w:asciiTheme="majorBidi" w:hAnsiTheme="majorBidi" w:cstheme="majorBidi"/>
          <w:sz w:val="24"/>
          <w:szCs w:val="24"/>
        </w:rPr>
      </w:pPr>
      <w:r w:rsidRPr="00FA786E">
        <w:rPr>
          <w:rFonts w:asciiTheme="majorBidi" w:hAnsiTheme="majorBidi" w:cstheme="majorBidi"/>
          <w:sz w:val="24"/>
          <w:szCs w:val="24"/>
        </w:rPr>
        <w:lastRenderedPageBreak/>
        <w:t>To ground this culture in scale, one can note Toyota’s recent performance. In FY2023-2024, Toyota achieved record output and sales figures, confirming operational strength under its culture (</w:t>
      </w:r>
      <w:r w:rsidR="00655758">
        <w:rPr>
          <w:rFonts w:asciiTheme="majorBidi" w:hAnsiTheme="majorBidi" w:cstheme="majorBidi"/>
          <w:sz w:val="24"/>
          <w:szCs w:val="24"/>
        </w:rPr>
        <w:t>Toyota Motor Corporation, 2024</w:t>
      </w:r>
      <w:r w:rsidR="007F6E76">
        <w:rPr>
          <w:rFonts w:asciiTheme="majorBidi" w:hAnsiTheme="majorBidi" w:cstheme="majorBidi"/>
          <w:sz w:val="24"/>
          <w:szCs w:val="24"/>
        </w:rPr>
        <w:t>c</w:t>
      </w:r>
      <w:r w:rsidRPr="00FA786E">
        <w:rPr>
          <w:rFonts w:asciiTheme="majorBidi" w:hAnsiTheme="majorBidi" w:cstheme="majorBidi"/>
          <w:sz w:val="24"/>
          <w:szCs w:val="24"/>
        </w:rPr>
        <w:t>). Such size and success illustrate that Toyota’s cultural routines operate globally and across thousands of workers.</w:t>
      </w:r>
    </w:p>
    <w:tbl>
      <w:tblPr>
        <w:tblStyle w:val="GridTable4-Accent5"/>
        <w:tblW w:w="0" w:type="auto"/>
        <w:tblLook w:val="04A0" w:firstRow="1" w:lastRow="0" w:firstColumn="1" w:lastColumn="0" w:noHBand="0" w:noVBand="1"/>
      </w:tblPr>
      <w:tblGrid>
        <w:gridCol w:w="4585"/>
        <w:gridCol w:w="2520"/>
        <w:gridCol w:w="2245"/>
      </w:tblGrid>
      <w:tr w:rsidR="007C6504" w14:paraId="754F4BB7" w14:textId="77777777" w:rsidTr="007C650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85" w:type="dxa"/>
          </w:tcPr>
          <w:p w14:paraId="7CFB8A32" w14:textId="77777777" w:rsidR="007C6504" w:rsidRPr="007C6504" w:rsidRDefault="007C6504" w:rsidP="007C6504">
            <w:pPr>
              <w:spacing w:line="360" w:lineRule="auto"/>
              <w:rPr>
                <w:rFonts w:asciiTheme="majorBidi" w:hAnsiTheme="majorBidi" w:cstheme="majorBidi"/>
                <w:sz w:val="24"/>
                <w:szCs w:val="24"/>
              </w:rPr>
            </w:pPr>
            <w:r w:rsidRPr="007C6504">
              <w:rPr>
                <w:rFonts w:asciiTheme="majorBidi" w:hAnsiTheme="majorBidi" w:cstheme="majorBidi"/>
                <w:sz w:val="24"/>
                <w:szCs w:val="24"/>
              </w:rPr>
              <w:t>Metric</w:t>
            </w:r>
          </w:p>
        </w:tc>
        <w:tc>
          <w:tcPr>
            <w:tcW w:w="2520" w:type="dxa"/>
          </w:tcPr>
          <w:p w14:paraId="58F190C8" w14:textId="77777777" w:rsidR="007C6504" w:rsidRPr="007C6504" w:rsidRDefault="007C6504" w:rsidP="007C6504">
            <w:pPr>
              <w:spacing w:line="360" w:lineRule="auto"/>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sz w:val="24"/>
                <w:szCs w:val="24"/>
              </w:rPr>
            </w:pPr>
            <w:r w:rsidRPr="007C6504">
              <w:rPr>
                <w:rFonts w:asciiTheme="majorBidi" w:hAnsiTheme="majorBidi" w:cstheme="majorBidi"/>
                <w:sz w:val="24"/>
                <w:szCs w:val="24"/>
              </w:rPr>
              <w:t>Approximate Value</w:t>
            </w:r>
          </w:p>
        </w:tc>
        <w:tc>
          <w:tcPr>
            <w:tcW w:w="2245" w:type="dxa"/>
          </w:tcPr>
          <w:p w14:paraId="464C39B9" w14:textId="77777777" w:rsidR="007C6504" w:rsidRPr="007C6504" w:rsidRDefault="007C6504" w:rsidP="007C6504">
            <w:pPr>
              <w:spacing w:line="360" w:lineRule="auto"/>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sz w:val="24"/>
                <w:szCs w:val="24"/>
              </w:rPr>
            </w:pPr>
            <w:r w:rsidRPr="007C6504">
              <w:rPr>
                <w:rFonts w:asciiTheme="majorBidi" w:hAnsiTheme="majorBidi" w:cstheme="majorBidi"/>
                <w:sz w:val="24"/>
                <w:szCs w:val="24"/>
              </w:rPr>
              <w:t>Source</w:t>
            </w:r>
          </w:p>
        </w:tc>
      </w:tr>
      <w:tr w:rsidR="007C6504" w14:paraId="269D7757" w14:textId="77777777" w:rsidTr="007C65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85" w:type="dxa"/>
          </w:tcPr>
          <w:p w14:paraId="7E189FB1" w14:textId="77777777" w:rsidR="007C6504" w:rsidRPr="007C6504" w:rsidRDefault="007C6504" w:rsidP="007C6504">
            <w:pPr>
              <w:spacing w:line="360" w:lineRule="auto"/>
              <w:rPr>
                <w:rFonts w:asciiTheme="majorBidi" w:hAnsiTheme="majorBidi" w:cstheme="majorBidi"/>
                <w:sz w:val="24"/>
                <w:szCs w:val="24"/>
              </w:rPr>
            </w:pPr>
            <w:r w:rsidRPr="007C6504">
              <w:rPr>
                <w:rFonts w:asciiTheme="majorBidi" w:hAnsiTheme="majorBidi" w:cstheme="majorBidi"/>
                <w:sz w:val="24"/>
                <w:szCs w:val="24"/>
              </w:rPr>
              <w:t>Annual vehicle production (FY2023-24)</w:t>
            </w:r>
          </w:p>
        </w:tc>
        <w:tc>
          <w:tcPr>
            <w:tcW w:w="2520" w:type="dxa"/>
          </w:tcPr>
          <w:p w14:paraId="11B33F04" w14:textId="77777777" w:rsidR="007C6504" w:rsidRPr="007C6504" w:rsidRDefault="007C6504" w:rsidP="007C6504">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4"/>
                <w:szCs w:val="24"/>
              </w:rPr>
            </w:pPr>
            <w:r w:rsidRPr="007C6504">
              <w:rPr>
                <w:rFonts w:asciiTheme="majorBidi" w:hAnsiTheme="majorBidi" w:cstheme="majorBidi"/>
                <w:sz w:val="24"/>
                <w:szCs w:val="24"/>
              </w:rPr>
              <w:t>Record high</w:t>
            </w:r>
          </w:p>
        </w:tc>
        <w:tc>
          <w:tcPr>
            <w:tcW w:w="2245" w:type="dxa"/>
          </w:tcPr>
          <w:p w14:paraId="24853DB8" w14:textId="77777777" w:rsidR="007C6504" w:rsidRPr="007C6504" w:rsidRDefault="00655758" w:rsidP="007C6504">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4"/>
                <w:szCs w:val="24"/>
              </w:rPr>
            </w:pPr>
            <w:r>
              <w:rPr>
                <w:rFonts w:asciiTheme="majorBidi" w:hAnsiTheme="majorBidi" w:cstheme="majorBidi"/>
                <w:sz w:val="24"/>
                <w:szCs w:val="24"/>
              </w:rPr>
              <w:t xml:space="preserve">(Toyota Motor Corporation, </w:t>
            </w:r>
            <w:r w:rsidRPr="00436A8F">
              <w:rPr>
                <w:rFonts w:asciiTheme="majorBidi" w:hAnsiTheme="majorBidi" w:cstheme="majorBidi"/>
                <w:sz w:val="24"/>
                <w:szCs w:val="24"/>
              </w:rPr>
              <w:t>2024</w:t>
            </w:r>
            <w:r w:rsidR="007F6E76">
              <w:rPr>
                <w:rFonts w:asciiTheme="majorBidi" w:hAnsiTheme="majorBidi" w:cstheme="majorBidi"/>
                <w:sz w:val="24"/>
                <w:szCs w:val="24"/>
              </w:rPr>
              <w:t>c</w:t>
            </w:r>
            <w:r w:rsidRPr="00436A8F">
              <w:rPr>
                <w:rFonts w:asciiTheme="majorBidi" w:hAnsiTheme="majorBidi" w:cstheme="majorBidi"/>
                <w:sz w:val="24"/>
                <w:szCs w:val="24"/>
              </w:rPr>
              <w:t xml:space="preserve">) </w:t>
            </w:r>
          </w:p>
        </w:tc>
      </w:tr>
      <w:tr w:rsidR="007C6504" w14:paraId="07204A22" w14:textId="77777777" w:rsidTr="007C6504">
        <w:tc>
          <w:tcPr>
            <w:cnfStyle w:val="001000000000" w:firstRow="0" w:lastRow="0" w:firstColumn="1" w:lastColumn="0" w:oddVBand="0" w:evenVBand="0" w:oddHBand="0" w:evenHBand="0" w:firstRowFirstColumn="0" w:firstRowLastColumn="0" w:lastRowFirstColumn="0" w:lastRowLastColumn="0"/>
            <w:tcW w:w="4585" w:type="dxa"/>
          </w:tcPr>
          <w:p w14:paraId="01F800A1" w14:textId="77777777" w:rsidR="007C6504" w:rsidRPr="007C6504" w:rsidRDefault="007C6504" w:rsidP="007C6504">
            <w:pPr>
              <w:spacing w:line="360" w:lineRule="auto"/>
              <w:rPr>
                <w:rFonts w:asciiTheme="majorBidi" w:hAnsiTheme="majorBidi" w:cstheme="majorBidi"/>
                <w:sz w:val="24"/>
                <w:szCs w:val="24"/>
              </w:rPr>
            </w:pPr>
            <w:r w:rsidRPr="007C6504">
              <w:rPr>
                <w:rFonts w:asciiTheme="majorBidi" w:hAnsiTheme="majorBidi" w:cstheme="majorBidi"/>
                <w:sz w:val="24"/>
                <w:szCs w:val="24"/>
              </w:rPr>
              <w:t>Global sales (FY2023-24)</w:t>
            </w:r>
          </w:p>
        </w:tc>
        <w:tc>
          <w:tcPr>
            <w:tcW w:w="2520" w:type="dxa"/>
          </w:tcPr>
          <w:p w14:paraId="223CC08F" w14:textId="77777777" w:rsidR="007C6504" w:rsidRPr="007C6504" w:rsidRDefault="007C6504" w:rsidP="007C6504">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4"/>
                <w:szCs w:val="24"/>
              </w:rPr>
            </w:pPr>
            <w:r w:rsidRPr="007C6504">
              <w:rPr>
                <w:rFonts w:asciiTheme="majorBidi" w:hAnsiTheme="majorBidi" w:cstheme="majorBidi"/>
                <w:sz w:val="24"/>
                <w:szCs w:val="24"/>
              </w:rPr>
              <w:t>Highest ever</w:t>
            </w:r>
          </w:p>
        </w:tc>
        <w:tc>
          <w:tcPr>
            <w:tcW w:w="2245" w:type="dxa"/>
          </w:tcPr>
          <w:p w14:paraId="0FB3FDE7" w14:textId="77777777" w:rsidR="007C6504" w:rsidRPr="007C6504" w:rsidRDefault="00655758" w:rsidP="007C6504">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4"/>
                <w:szCs w:val="24"/>
              </w:rPr>
            </w:pPr>
            <w:r>
              <w:rPr>
                <w:rFonts w:asciiTheme="majorBidi" w:hAnsiTheme="majorBidi" w:cstheme="majorBidi"/>
                <w:sz w:val="24"/>
                <w:szCs w:val="24"/>
              </w:rPr>
              <w:t xml:space="preserve">Toyota Motor Corporation, </w:t>
            </w:r>
            <w:r w:rsidRPr="00436A8F">
              <w:rPr>
                <w:rFonts w:asciiTheme="majorBidi" w:hAnsiTheme="majorBidi" w:cstheme="majorBidi"/>
                <w:sz w:val="24"/>
                <w:szCs w:val="24"/>
              </w:rPr>
              <w:t>2024</w:t>
            </w:r>
            <w:r w:rsidR="007F6E76">
              <w:rPr>
                <w:rFonts w:asciiTheme="majorBidi" w:hAnsiTheme="majorBidi" w:cstheme="majorBidi"/>
                <w:sz w:val="24"/>
                <w:szCs w:val="24"/>
              </w:rPr>
              <w:t>c</w:t>
            </w:r>
            <w:r w:rsidRPr="00436A8F">
              <w:rPr>
                <w:rFonts w:asciiTheme="majorBidi" w:hAnsiTheme="majorBidi" w:cstheme="majorBidi"/>
                <w:sz w:val="24"/>
                <w:szCs w:val="24"/>
              </w:rPr>
              <w:t xml:space="preserve">) </w:t>
            </w:r>
          </w:p>
        </w:tc>
      </w:tr>
    </w:tbl>
    <w:p w14:paraId="7CC8AB34" w14:textId="77777777" w:rsidR="007C6504" w:rsidRDefault="007C6504" w:rsidP="00FA786E">
      <w:pPr>
        <w:spacing w:line="480" w:lineRule="auto"/>
        <w:rPr>
          <w:rFonts w:asciiTheme="majorBidi" w:hAnsiTheme="majorBidi" w:cstheme="majorBidi"/>
          <w:sz w:val="24"/>
          <w:szCs w:val="24"/>
        </w:rPr>
      </w:pPr>
    </w:p>
    <w:p w14:paraId="395CD437" w14:textId="77777777" w:rsidR="00FA786E" w:rsidRDefault="007C6504" w:rsidP="007C6504">
      <w:pPr>
        <w:spacing w:line="480" w:lineRule="auto"/>
        <w:ind w:firstLine="720"/>
        <w:rPr>
          <w:rFonts w:asciiTheme="majorBidi" w:hAnsiTheme="majorBidi" w:cstheme="majorBidi"/>
          <w:sz w:val="24"/>
          <w:szCs w:val="24"/>
        </w:rPr>
      </w:pPr>
      <w:r w:rsidRPr="007C6504">
        <w:rPr>
          <w:rFonts w:asciiTheme="majorBidi" w:hAnsiTheme="majorBidi" w:cstheme="majorBidi"/>
          <w:sz w:val="24"/>
          <w:szCs w:val="24"/>
        </w:rPr>
        <w:t xml:space="preserve">These figures show that Toyota’s culture is not symbolic only. It underpins real performance at </w:t>
      </w:r>
      <w:r w:rsidR="00655758">
        <w:rPr>
          <w:rFonts w:asciiTheme="majorBidi" w:hAnsiTheme="majorBidi" w:cstheme="majorBidi"/>
          <w:sz w:val="24"/>
          <w:szCs w:val="24"/>
        </w:rPr>
        <w:t xml:space="preserve">a </w:t>
      </w:r>
      <w:r w:rsidRPr="007C6504">
        <w:rPr>
          <w:rFonts w:asciiTheme="majorBidi" w:hAnsiTheme="majorBidi" w:cstheme="majorBidi"/>
          <w:sz w:val="24"/>
          <w:szCs w:val="24"/>
        </w:rPr>
        <w:t>large scale. The core beliefs, formal value articulation, and visible artefacts all align with the Toyota Way pillars. This alignment gives coherence and stability to cultural practice across time and geography.</w:t>
      </w:r>
    </w:p>
    <w:p w14:paraId="3946123B" w14:textId="77777777" w:rsidR="007C6504" w:rsidRPr="007C6504" w:rsidRDefault="007C6504" w:rsidP="007C6504">
      <w:pPr>
        <w:pStyle w:val="Heading1"/>
        <w:numPr>
          <w:ilvl w:val="0"/>
          <w:numId w:val="1"/>
        </w:numPr>
      </w:pPr>
      <w:bookmarkStart w:id="2" w:name="_Toc210852924"/>
      <w:r w:rsidRPr="007C6504">
        <w:t>Influence of Culture on Structure and Decision Making</w:t>
      </w:r>
      <w:bookmarkEnd w:id="2"/>
      <w:r w:rsidRPr="007C6504">
        <w:t xml:space="preserve"> </w:t>
      </w:r>
    </w:p>
    <w:p w14:paraId="50362984" w14:textId="77777777" w:rsidR="007C6504" w:rsidRDefault="007C6504" w:rsidP="00655758">
      <w:pPr>
        <w:spacing w:line="480" w:lineRule="auto"/>
        <w:ind w:firstLine="360"/>
        <w:rPr>
          <w:rFonts w:asciiTheme="majorBidi" w:hAnsiTheme="majorBidi" w:cstheme="majorBidi"/>
          <w:sz w:val="24"/>
          <w:szCs w:val="24"/>
        </w:rPr>
      </w:pPr>
      <w:r w:rsidRPr="007C6504">
        <w:rPr>
          <w:rFonts w:asciiTheme="majorBidi" w:hAnsiTheme="majorBidi" w:cstheme="majorBidi"/>
          <w:sz w:val="24"/>
          <w:szCs w:val="24"/>
        </w:rPr>
        <w:t xml:space="preserve">Toyota’s cultural principles exert </w:t>
      </w:r>
      <w:r w:rsidR="00655758">
        <w:rPr>
          <w:rFonts w:asciiTheme="majorBidi" w:hAnsiTheme="majorBidi" w:cstheme="majorBidi"/>
          <w:sz w:val="24"/>
          <w:szCs w:val="24"/>
        </w:rPr>
        <w:t>substantial</w:t>
      </w:r>
      <w:r w:rsidRPr="007C6504">
        <w:rPr>
          <w:rFonts w:asciiTheme="majorBidi" w:hAnsiTheme="majorBidi" w:cstheme="majorBidi"/>
          <w:sz w:val="24"/>
          <w:szCs w:val="24"/>
        </w:rPr>
        <w:t xml:space="preserve"> influence over its organisational structure. The company favours lean structures with minimal</w:t>
      </w:r>
      <w:r w:rsidR="00B94EB1">
        <w:rPr>
          <w:rFonts w:asciiTheme="majorBidi" w:hAnsiTheme="majorBidi" w:cstheme="majorBidi"/>
          <w:sz w:val="24"/>
          <w:szCs w:val="24"/>
        </w:rPr>
        <w:t xml:space="preserve"> layers in manufacturing plants (Sosnovskikh, </w:t>
      </w:r>
      <w:r w:rsidR="00B94EB1" w:rsidRPr="00436A8F">
        <w:rPr>
          <w:rFonts w:asciiTheme="majorBidi" w:hAnsiTheme="majorBidi" w:cstheme="majorBidi"/>
          <w:sz w:val="24"/>
          <w:szCs w:val="24"/>
        </w:rPr>
        <w:t>2016</w:t>
      </w:r>
      <w:r w:rsidR="00B94EB1">
        <w:rPr>
          <w:rFonts w:asciiTheme="majorBidi" w:hAnsiTheme="majorBidi" w:cstheme="majorBidi"/>
          <w:sz w:val="24"/>
          <w:szCs w:val="24"/>
        </w:rPr>
        <w:t>).</w:t>
      </w:r>
      <w:r w:rsidRPr="007C6504">
        <w:rPr>
          <w:rFonts w:asciiTheme="majorBidi" w:hAnsiTheme="majorBidi" w:cstheme="majorBidi"/>
          <w:sz w:val="24"/>
          <w:szCs w:val="24"/>
        </w:rPr>
        <w:t xml:space="preserve"> Teams on the production floor have autonomy to act, escalate issues, and drive improvements. Supervisors and managers act as coaches rather than controllers. This design reflects trust in frontline employees and aligns with the respect for people pillar</w:t>
      </w:r>
      <w:r w:rsidR="00B94EB1">
        <w:rPr>
          <w:rFonts w:asciiTheme="majorBidi" w:hAnsiTheme="majorBidi" w:cstheme="majorBidi"/>
          <w:sz w:val="24"/>
          <w:szCs w:val="24"/>
        </w:rPr>
        <w:t xml:space="preserve"> (Hino, 2024)</w:t>
      </w:r>
      <w:r w:rsidRPr="007C6504">
        <w:rPr>
          <w:rFonts w:asciiTheme="majorBidi" w:hAnsiTheme="majorBidi" w:cstheme="majorBidi"/>
          <w:sz w:val="24"/>
          <w:szCs w:val="24"/>
        </w:rPr>
        <w:t>. Toyota also cultivates close partnerships with suppliers, treating them as part of the extended production family rather than isolated vendors</w:t>
      </w:r>
      <w:r w:rsidR="00B94EB1">
        <w:rPr>
          <w:rFonts w:asciiTheme="majorBidi" w:hAnsiTheme="majorBidi" w:cstheme="majorBidi"/>
          <w:sz w:val="24"/>
          <w:szCs w:val="24"/>
        </w:rPr>
        <w:t xml:space="preserve"> (Aoki and Wilhelm, 2017)</w:t>
      </w:r>
      <w:r w:rsidRPr="007C6504">
        <w:rPr>
          <w:rFonts w:asciiTheme="majorBidi" w:hAnsiTheme="majorBidi" w:cstheme="majorBidi"/>
          <w:sz w:val="24"/>
          <w:szCs w:val="24"/>
        </w:rPr>
        <w:t>.</w:t>
      </w:r>
    </w:p>
    <w:p w14:paraId="48E37CC0" w14:textId="77777777" w:rsidR="007C6504" w:rsidRDefault="0041209C" w:rsidP="004D6A95">
      <w:pPr>
        <w:spacing w:line="480" w:lineRule="auto"/>
        <w:ind w:firstLine="360"/>
        <w:rPr>
          <w:rFonts w:asciiTheme="majorBidi" w:hAnsiTheme="majorBidi" w:cstheme="majorBidi"/>
          <w:sz w:val="24"/>
          <w:szCs w:val="24"/>
        </w:rPr>
      </w:pPr>
      <w:r>
        <w:rPr>
          <w:rFonts w:asciiTheme="majorBidi" w:hAnsiTheme="majorBidi" w:cstheme="majorBidi"/>
          <w:sz w:val="24"/>
          <w:szCs w:val="24"/>
        </w:rPr>
        <w:lastRenderedPageBreak/>
        <w:t>Decision-making</w:t>
      </w:r>
      <w:r w:rsidR="007C6504" w:rsidRPr="007C6504">
        <w:rPr>
          <w:rFonts w:asciiTheme="majorBidi" w:hAnsiTheme="majorBidi" w:cstheme="majorBidi"/>
          <w:sz w:val="24"/>
          <w:szCs w:val="24"/>
        </w:rPr>
        <w:t xml:space="preserve"> at Toyota typically follows routines such as nemawashi and ringi to build consensus before formal approval. Nemawashi entails informal consultations with relevant people early in the process, so objections are addressed in advance (</w:t>
      </w:r>
      <w:r>
        <w:rPr>
          <w:rFonts w:asciiTheme="majorBidi" w:hAnsiTheme="majorBidi" w:cstheme="majorBidi"/>
          <w:sz w:val="24"/>
          <w:szCs w:val="24"/>
        </w:rPr>
        <w:t xml:space="preserve">Clifford, 2024). </w:t>
      </w:r>
      <w:r w:rsidR="007C6504" w:rsidRPr="007C6504">
        <w:rPr>
          <w:rFonts w:asciiTheme="majorBidi" w:hAnsiTheme="majorBidi" w:cstheme="majorBidi"/>
          <w:sz w:val="24"/>
          <w:szCs w:val="24"/>
        </w:rPr>
        <w:t>It embodies respect for people and avoids confrontational surprises. Ringi complements this by circulating a ringi-sho document (a proposal) to stakeholders, gathering feedback and formal sign-offs across departments (</w:t>
      </w:r>
      <w:r w:rsidR="006A7420">
        <w:rPr>
          <w:rFonts w:asciiTheme="majorBidi" w:hAnsiTheme="majorBidi" w:cstheme="majorBidi"/>
          <w:sz w:val="24"/>
          <w:szCs w:val="24"/>
        </w:rPr>
        <w:t>Stamenkovic, 2011</w:t>
      </w:r>
      <w:r w:rsidR="007C6504" w:rsidRPr="007C6504">
        <w:rPr>
          <w:rFonts w:asciiTheme="majorBidi" w:hAnsiTheme="majorBidi" w:cstheme="majorBidi"/>
          <w:sz w:val="24"/>
          <w:szCs w:val="24"/>
        </w:rPr>
        <w:t>). These routines slow decisions but improve alignment and commitment.</w:t>
      </w:r>
    </w:p>
    <w:p w14:paraId="5A35BCBF" w14:textId="77777777" w:rsidR="007C6504" w:rsidRDefault="007C6504" w:rsidP="0041209C">
      <w:pPr>
        <w:spacing w:line="480" w:lineRule="auto"/>
        <w:ind w:firstLine="360"/>
        <w:rPr>
          <w:rFonts w:asciiTheme="majorBidi" w:hAnsiTheme="majorBidi" w:cstheme="majorBidi"/>
          <w:sz w:val="24"/>
          <w:szCs w:val="24"/>
        </w:rPr>
      </w:pPr>
      <w:r w:rsidRPr="007C6504">
        <w:rPr>
          <w:rFonts w:asciiTheme="majorBidi" w:hAnsiTheme="majorBidi" w:cstheme="majorBidi"/>
          <w:sz w:val="24"/>
          <w:szCs w:val="24"/>
        </w:rPr>
        <w:t xml:space="preserve">Toyota integrates these routines into its governance and cross-functional </w:t>
      </w:r>
      <w:r w:rsidR="0041209C">
        <w:rPr>
          <w:rFonts w:asciiTheme="majorBidi" w:hAnsiTheme="majorBidi" w:cstheme="majorBidi"/>
          <w:sz w:val="24"/>
          <w:szCs w:val="24"/>
        </w:rPr>
        <w:t>problem-solving</w:t>
      </w:r>
      <w:r w:rsidRPr="007C6504">
        <w:rPr>
          <w:rFonts w:asciiTheme="majorBidi" w:hAnsiTheme="majorBidi" w:cstheme="majorBidi"/>
          <w:sz w:val="24"/>
          <w:szCs w:val="24"/>
        </w:rPr>
        <w:t xml:space="preserve">. The A3 report is often used as the decision document in ringi cycles: it lays out </w:t>
      </w:r>
      <w:r w:rsidR="0041209C">
        <w:rPr>
          <w:rFonts w:asciiTheme="majorBidi" w:hAnsiTheme="majorBidi" w:cstheme="majorBidi"/>
          <w:sz w:val="24"/>
          <w:szCs w:val="24"/>
        </w:rPr>
        <w:t>the current state, root causes, countermeasures, target metrics, and follow-up</w:t>
      </w:r>
      <w:r w:rsidR="006A7420">
        <w:rPr>
          <w:rFonts w:asciiTheme="majorBidi" w:hAnsiTheme="majorBidi" w:cstheme="majorBidi"/>
          <w:sz w:val="24"/>
          <w:szCs w:val="24"/>
        </w:rPr>
        <w:t xml:space="preserve"> (Gnanaguru et al., 2011)</w:t>
      </w:r>
      <w:r w:rsidRPr="007C6504">
        <w:rPr>
          <w:rFonts w:asciiTheme="majorBidi" w:hAnsiTheme="majorBidi" w:cstheme="majorBidi"/>
          <w:sz w:val="24"/>
          <w:szCs w:val="24"/>
        </w:rPr>
        <w:t xml:space="preserve">. The </w:t>
      </w:r>
      <w:r w:rsidR="0041209C">
        <w:rPr>
          <w:rFonts w:asciiTheme="majorBidi" w:hAnsiTheme="majorBidi" w:cstheme="majorBidi"/>
          <w:sz w:val="24"/>
          <w:szCs w:val="24"/>
        </w:rPr>
        <w:t>Obeya</w:t>
      </w:r>
      <w:r w:rsidRPr="007C6504">
        <w:rPr>
          <w:rFonts w:asciiTheme="majorBidi" w:hAnsiTheme="majorBidi" w:cstheme="majorBidi"/>
          <w:sz w:val="24"/>
          <w:szCs w:val="24"/>
        </w:rPr>
        <w:t xml:space="preserve"> room (big room) brings leaders together to review strategy, project status, and metrics</w:t>
      </w:r>
      <w:r w:rsidR="006A7420">
        <w:rPr>
          <w:rFonts w:asciiTheme="majorBidi" w:hAnsiTheme="majorBidi" w:cstheme="majorBidi"/>
          <w:sz w:val="24"/>
          <w:szCs w:val="24"/>
        </w:rPr>
        <w:t xml:space="preserve"> (MacPherson, 2</w:t>
      </w:r>
      <w:r w:rsidR="006A7420" w:rsidRPr="0001126A">
        <w:rPr>
          <w:rFonts w:asciiTheme="majorBidi" w:hAnsiTheme="majorBidi" w:cstheme="majorBidi"/>
          <w:sz w:val="24"/>
          <w:szCs w:val="24"/>
        </w:rPr>
        <w:t>018</w:t>
      </w:r>
      <w:r w:rsidR="006A7420">
        <w:rPr>
          <w:rFonts w:asciiTheme="majorBidi" w:hAnsiTheme="majorBidi" w:cstheme="majorBidi"/>
          <w:sz w:val="24"/>
          <w:szCs w:val="24"/>
        </w:rPr>
        <w:t>)</w:t>
      </w:r>
      <w:r w:rsidRPr="007C6504">
        <w:rPr>
          <w:rFonts w:asciiTheme="majorBidi" w:hAnsiTheme="majorBidi" w:cstheme="majorBidi"/>
          <w:sz w:val="24"/>
          <w:szCs w:val="24"/>
        </w:rPr>
        <w:t>. Daily management systems use tiered review meetings (floor, line, plant, region) to monitor process stability, quality, and improvement steps.</w:t>
      </w:r>
    </w:p>
    <w:p w14:paraId="5A96D3E9" w14:textId="77777777" w:rsidR="007C6504" w:rsidRDefault="007C6504" w:rsidP="007C6504">
      <w:pPr>
        <w:spacing w:line="480" w:lineRule="auto"/>
        <w:ind w:firstLine="360"/>
        <w:rPr>
          <w:rFonts w:asciiTheme="majorBidi" w:hAnsiTheme="majorBidi" w:cstheme="majorBidi"/>
          <w:sz w:val="24"/>
          <w:szCs w:val="24"/>
        </w:rPr>
      </w:pPr>
      <w:r w:rsidRPr="007C6504">
        <w:rPr>
          <w:rFonts w:asciiTheme="majorBidi" w:hAnsiTheme="majorBidi" w:cstheme="majorBidi"/>
          <w:sz w:val="24"/>
          <w:szCs w:val="24"/>
        </w:rPr>
        <w:t xml:space="preserve">A worked example clarifies the flow. Suppose a defect emerges at a production line (gemba). The team pulls the andon cord to stop the line (jidoka). The team uses an A3 format to investigate </w:t>
      </w:r>
      <w:r w:rsidR="0041209C">
        <w:rPr>
          <w:rFonts w:asciiTheme="majorBidi" w:hAnsiTheme="majorBidi" w:cstheme="majorBidi"/>
          <w:sz w:val="24"/>
          <w:szCs w:val="24"/>
        </w:rPr>
        <w:t xml:space="preserve">the </w:t>
      </w:r>
      <w:r w:rsidRPr="007C6504">
        <w:rPr>
          <w:rFonts w:asciiTheme="majorBidi" w:hAnsiTheme="majorBidi" w:cstheme="majorBidi"/>
          <w:sz w:val="24"/>
          <w:szCs w:val="24"/>
        </w:rPr>
        <w:t>root cause. Before implementing a countermeasure, the team leader practices nemawashi by discussing with adjacent function leads (quality, maintenance, supply). They revise the A3. They then circulate the ringi-sho version to higher management and affected departments. Once approvals come, the countermeasure is deployed, and the team monitors metrics in daily management. If performance improves, they standardise the new method.</w:t>
      </w:r>
    </w:p>
    <w:p w14:paraId="674C7A64" w14:textId="77777777" w:rsidR="007C6504" w:rsidRDefault="007C6504" w:rsidP="007C6504">
      <w:pPr>
        <w:spacing w:line="480" w:lineRule="auto"/>
        <w:ind w:firstLine="360"/>
        <w:rPr>
          <w:rFonts w:asciiTheme="majorBidi" w:hAnsiTheme="majorBidi" w:cstheme="majorBidi"/>
          <w:sz w:val="24"/>
          <w:szCs w:val="24"/>
        </w:rPr>
      </w:pPr>
      <w:r w:rsidRPr="007C6504">
        <w:rPr>
          <w:rFonts w:asciiTheme="majorBidi" w:hAnsiTheme="majorBidi" w:cstheme="majorBidi"/>
          <w:sz w:val="24"/>
          <w:szCs w:val="24"/>
        </w:rPr>
        <w:t>These routines illustrate a tension between speed and alignment. Consensus building often slows radical shifts; however, it ensures that once decisions roll out, buy-in is strong and execution is smooth</w:t>
      </w:r>
      <w:r w:rsidR="006A7420">
        <w:rPr>
          <w:rFonts w:asciiTheme="majorBidi" w:hAnsiTheme="majorBidi" w:cstheme="majorBidi"/>
          <w:sz w:val="24"/>
          <w:szCs w:val="24"/>
        </w:rPr>
        <w:t xml:space="preserve"> (Applequist et al., 2017)</w:t>
      </w:r>
      <w:r w:rsidRPr="007C6504">
        <w:rPr>
          <w:rFonts w:asciiTheme="majorBidi" w:hAnsiTheme="majorBidi" w:cstheme="majorBidi"/>
          <w:sz w:val="24"/>
          <w:szCs w:val="24"/>
        </w:rPr>
        <w:t xml:space="preserve">. In stable or incremental change contexts, this </w:t>
      </w:r>
      <w:r w:rsidRPr="007C6504">
        <w:rPr>
          <w:rFonts w:asciiTheme="majorBidi" w:hAnsiTheme="majorBidi" w:cstheme="majorBidi"/>
          <w:sz w:val="24"/>
          <w:szCs w:val="24"/>
        </w:rPr>
        <w:lastRenderedPageBreak/>
        <w:t>cultural predisposition supports consistency and quality. But in environments demanding fast</w:t>
      </w:r>
      <w:r w:rsidR="0041209C">
        <w:rPr>
          <w:rFonts w:asciiTheme="majorBidi" w:hAnsiTheme="majorBidi" w:cstheme="majorBidi"/>
          <w:sz w:val="24"/>
          <w:szCs w:val="24"/>
        </w:rPr>
        <w:t>,</w:t>
      </w:r>
      <w:r w:rsidRPr="007C6504">
        <w:rPr>
          <w:rFonts w:asciiTheme="majorBidi" w:hAnsiTheme="majorBidi" w:cstheme="majorBidi"/>
          <w:sz w:val="24"/>
          <w:szCs w:val="24"/>
        </w:rPr>
        <w:t xml:space="preserve"> disruptive change, the decision pace may become a barrier. This trade-off lays the foundation for evaluating culture as a barrier later</w:t>
      </w:r>
      <w:r w:rsidR="006A7420">
        <w:rPr>
          <w:rFonts w:asciiTheme="majorBidi" w:hAnsiTheme="majorBidi" w:cstheme="majorBidi"/>
          <w:sz w:val="24"/>
          <w:szCs w:val="24"/>
        </w:rPr>
        <w:t xml:space="preserve"> (Kostal, 2025)</w:t>
      </w:r>
      <w:r w:rsidRPr="007C6504">
        <w:rPr>
          <w:rFonts w:asciiTheme="majorBidi" w:hAnsiTheme="majorBidi" w:cstheme="majorBidi"/>
          <w:sz w:val="24"/>
          <w:szCs w:val="24"/>
        </w:rPr>
        <w:t>.</w:t>
      </w:r>
    </w:p>
    <w:p w14:paraId="7C004BFB" w14:textId="77777777" w:rsidR="00950044" w:rsidRPr="00950044" w:rsidRDefault="00950044" w:rsidP="00950044">
      <w:pPr>
        <w:pStyle w:val="Heading1"/>
        <w:numPr>
          <w:ilvl w:val="0"/>
          <w:numId w:val="1"/>
        </w:numPr>
      </w:pPr>
      <w:bookmarkStart w:id="3" w:name="_Toc210852925"/>
      <w:r w:rsidRPr="00950044">
        <w:t>Identifying Cultural Types, Models</w:t>
      </w:r>
      <w:r>
        <w:t>,</w:t>
      </w:r>
      <w:r w:rsidRPr="00950044">
        <w:t xml:space="preserve"> and Frameworks</w:t>
      </w:r>
      <w:bookmarkEnd w:id="3"/>
      <w:r w:rsidRPr="00950044">
        <w:t xml:space="preserve"> </w:t>
      </w:r>
    </w:p>
    <w:p w14:paraId="326FCD7A" w14:textId="77777777" w:rsidR="00933B38" w:rsidRPr="00933B38" w:rsidRDefault="00933B38" w:rsidP="00933B38">
      <w:pPr>
        <w:pStyle w:val="Heading1"/>
        <w:numPr>
          <w:ilvl w:val="1"/>
          <w:numId w:val="1"/>
        </w:numPr>
      </w:pPr>
      <w:bookmarkStart w:id="4" w:name="_Toc210852926"/>
      <w:r w:rsidRPr="00933B38">
        <w:t>Schein’s Three Levels</w:t>
      </w:r>
      <w:bookmarkEnd w:id="4"/>
    </w:p>
    <w:p w14:paraId="062A8D60" w14:textId="77777777" w:rsidR="00933B38" w:rsidRDefault="00933B38" w:rsidP="00537C6B">
      <w:pPr>
        <w:spacing w:line="480" w:lineRule="auto"/>
        <w:ind w:firstLine="360"/>
        <w:rPr>
          <w:rFonts w:asciiTheme="majorBidi" w:hAnsiTheme="majorBidi" w:cstheme="majorBidi"/>
          <w:sz w:val="24"/>
          <w:szCs w:val="24"/>
        </w:rPr>
      </w:pPr>
      <w:r w:rsidRPr="00933B38">
        <w:rPr>
          <w:rFonts w:asciiTheme="majorBidi" w:hAnsiTheme="majorBidi" w:cstheme="majorBidi"/>
          <w:sz w:val="24"/>
          <w:szCs w:val="24"/>
        </w:rPr>
        <w:t>Schein’s model distinguishes three levels of culture, artefacts</w:t>
      </w:r>
      <w:r>
        <w:rPr>
          <w:rFonts w:asciiTheme="majorBidi" w:hAnsiTheme="majorBidi" w:cstheme="majorBidi"/>
          <w:sz w:val="24"/>
          <w:szCs w:val="24"/>
        </w:rPr>
        <w:t>,</w:t>
      </w:r>
      <w:r w:rsidRPr="00933B38">
        <w:rPr>
          <w:rFonts w:asciiTheme="majorBidi" w:hAnsiTheme="majorBidi" w:cstheme="majorBidi"/>
          <w:sz w:val="24"/>
          <w:szCs w:val="24"/>
        </w:rPr>
        <w:t xml:space="preserve"> and behaviours at the surface, espoused values, and basic underlying assumptions t</w:t>
      </w:r>
      <w:r w:rsidR="00AF045B">
        <w:rPr>
          <w:rFonts w:asciiTheme="majorBidi" w:hAnsiTheme="majorBidi" w:cstheme="majorBidi"/>
          <w:sz w:val="24"/>
          <w:szCs w:val="24"/>
        </w:rPr>
        <w:t xml:space="preserve">hat guide action (Schein, 2010). </w:t>
      </w:r>
      <w:r w:rsidRPr="00933B38">
        <w:rPr>
          <w:rFonts w:asciiTheme="majorBidi" w:hAnsiTheme="majorBidi" w:cstheme="majorBidi"/>
          <w:sz w:val="24"/>
          <w:szCs w:val="24"/>
        </w:rPr>
        <w:t xml:space="preserve">At Toyota, visible artefacts include the andon cord that empowers any operator to stop the line, visual controls that make abnormalities evident, standard work posted at workstations, and A3 problem solving that compresses the story of a problem, analysis, countermeasures, and </w:t>
      </w:r>
      <w:r>
        <w:rPr>
          <w:rFonts w:asciiTheme="majorBidi" w:hAnsiTheme="majorBidi" w:cstheme="majorBidi"/>
          <w:sz w:val="24"/>
          <w:szCs w:val="24"/>
        </w:rPr>
        <w:t>follow-up</w:t>
      </w:r>
      <w:r w:rsidRPr="00933B38">
        <w:rPr>
          <w:rFonts w:asciiTheme="majorBidi" w:hAnsiTheme="majorBidi" w:cstheme="majorBidi"/>
          <w:sz w:val="24"/>
          <w:szCs w:val="24"/>
        </w:rPr>
        <w:t xml:space="preserve"> onto a single page</w:t>
      </w:r>
      <w:r w:rsidR="00AF045B">
        <w:rPr>
          <w:rFonts w:asciiTheme="majorBidi" w:hAnsiTheme="majorBidi" w:cstheme="majorBidi"/>
          <w:sz w:val="24"/>
          <w:szCs w:val="24"/>
        </w:rPr>
        <w:t xml:space="preserve"> (</w:t>
      </w:r>
      <w:r w:rsidR="00AF045B" w:rsidRPr="005C28E3">
        <w:rPr>
          <w:rFonts w:asciiTheme="majorBidi" w:hAnsiTheme="majorBidi" w:cstheme="majorBidi"/>
          <w:sz w:val="24"/>
          <w:szCs w:val="24"/>
        </w:rPr>
        <w:t>Toyota (GB) P</w:t>
      </w:r>
      <w:r w:rsidR="00AF045B">
        <w:rPr>
          <w:rFonts w:asciiTheme="majorBidi" w:hAnsiTheme="majorBidi" w:cstheme="majorBidi"/>
          <w:sz w:val="24"/>
          <w:szCs w:val="24"/>
        </w:rPr>
        <w:t xml:space="preserve">LC, </w:t>
      </w:r>
      <w:r w:rsidR="00AF045B" w:rsidRPr="005C28E3">
        <w:rPr>
          <w:rFonts w:asciiTheme="majorBidi" w:hAnsiTheme="majorBidi" w:cstheme="majorBidi"/>
          <w:sz w:val="24"/>
          <w:szCs w:val="24"/>
        </w:rPr>
        <w:t>2016</w:t>
      </w:r>
      <w:r w:rsidR="00AF045B">
        <w:rPr>
          <w:rFonts w:asciiTheme="majorBidi" w:hAnsiTheme="majorBidi" w:cstheme="majorBidi"/>
          <w:sz w:val="24"/>
          <w:szCs w:val="24"/>
        </w:rPr>
        <w:t>)</w:t>
      </w:r>
      <w:r w:rsidRPr="00933B38">
        <w:rPr>
          <w:rFonts w:asciiTheme="majorBidi" w:hAnsiTheme="majorBidi" w:cstheme="majorBidi"/>
          <w:sz w:val="24"/>
          <w:szCs w:val="24"/>
        </w:rPr>
        <w:t>. These artefacts are anchored in the Toyota Production System, whose two pillars are jidoka and just in time, and whose aim is the systematic elimination of waste in order to improve flow, quality, and productivity (</w:t>
      </w:r>
      <w:r w:rsidR="00537C6B">
        <w:rPr>
          <w:rFonts w:asciiTheme="majorBidi" w:hAnsiTheme="majorBidi" w:cstheme="majorBidi"/>
          <w:sz w:val="24"/>
          <w:szCs w:val="24"/>
        </w:rPr>
        <w:t>Soliman, 2023</w:t>
      </w:r>
      <w:r w:rsidRPr="00933B38">
        <w:rPr>
          <w:rFonts w:asciiTheme="majorBidi" w:hAnsiTheme="majorBidi" w:cstheme="majorBidi"/>
          <w:sz w:val="24"/>
          <w:szCs w:val="24"/>
        </w:rPr>
        <w:t>). The company’s routines also display genchi genbutsu, kaizen, and hansei, which require managers and teams to go to the source, pursue daily improvement, and reflect after action to cap</w:t>
      </w:r>
      <w:r w:rsidR="00537C6B">
        <w:rPr>
          <w:rFonts w:asciiTheme="majorBidi" w:hAnsiTheme="majorBidi" w:cstheme="majorBidi"/>
          <w:sz w:val="24"/>
          <w:szCs w:val="24"/>
        </w:rPr>
        <w:t>ture learning for reuse (Womack, 2025</w:t>
      </w:r>
      <w:r w:rsidRPr="00933B38">
        <w:rPr>
          <w:rFonts w:asciiTheme="majorBidi" w:hAnsiTheme="majorBidi" w:cstheme="majorBidi"/>
          <w:sz w:val="24"/>
          <w:szCs w:val="24"/>
        </w:rPr>
        <w:t>).</w:t>
      </w:r>
    </w:p>
    <w:p w14:paraId="297E5D5D" w14:textId="77777777" w:rsidR="00933B38" w:rsidRDefault="00933B38" w:rsidP="00537C6B">
      <w:pPr>
        <w:spacing w:line="480" w:lineRule="auto"/>
        <w:ind w:firstLine="360"/>
        <w:rPr>
          <w:rFonts w:asciiTheme="majorBidi" w:hAnsiTheme="majorBidi" w:cstheme="majorBidi"/>
          <w:sz w:val="24"/>
          <w:szCs w:val="24"/>
        </w:rPr>
      </w:pPr>
      <w:r w:rsidRPr="00933B38">
        <w:rPr>
          <w:rFonts w:asciiTheme="majorBidi" w:hAnsiTheme="majorBidi" w:cstheme="majorBidi"/>
          <w:sz w:val="24"/>
          <w:szCs w:val="24"/>
        </w:rPr>
        <w:t>Espoused values are explicit in the Toyota Way, which places respect for people and continuous improvement at the centre of managerial behaviour, teamworking, and stakeholder relationships</w:t>
      </w:r>
      <w:r w:rsidR="00537C6B">
        <w:rPr>
          <w:rFonts w:asciiTheme="majorBidi" w:hAnsiTheme="majorBidi" w:cstheme="majorBidi"/>
          <w:sz w:val="24"/>
          <w:szCs w:val="24"/>
        </w:rPr>
        <w:t xml:space="preserve"> (Hino, 2024)</w:t>
      </w:r>
      <w:r w:rsidRPr="00933B38">
        <w:rPr>
          <w:rFonts w:asciiTheme="majorBidi" w:hAnsiTheme="majorBidi" w:cstheme="majorBidi"/>
          <w:sz w:val="24"/>
          <w:szCs w:val="24"/>
        </w:rPr>
        <w:t xml:space="preserve">. The 2020 update reiterates integrity, teamwork, and </w:t>
      </w:r>
      <w:r>
        <w:rPr>
          <w:rFonts w:asciiTheme="majorBidi" w:hAnsiTheme="majorBidi" w:cstheme="majorBidi"/>
          <w:sz w:val="24"/>
          <w:szCs w:val="24"/>
        </w:rPr>
        <w:t>long-term</w:t>
      </w:r>
      <w:r w:rsidRPr="00933B38">
        <w:rPr>
          <w:rFonts w:asciiTheme="majorBidi" w:hAnsiTheme="majorBidi" w:cstheme="majorBidi"/>
          <w:sz w:val="24"/>
          <w:szCs w:val="24"/>
        </w:rPr>
        <w:t xml:space="preserve"> thinking, and links these values to the organisation’s role as a trusted corporate citizen (</w:t>
      </w:r>
      <w:r w:rsidR="00537C6B">
        <w:rPr>
          <w:rFonts w:asciiTheme="majorBidi" w:hAnsiTheme="majorBidi" w:cstheme="majorBidi"/>
          <w:sz w:val="24"/>
          <w:szCs w:val="24"/>
        </w:rPr>
        <w:t>Toyota Motor Corporation, 2021</w:t>
      </w:r>
      <w:r w:rsidR="00BD3E42">
        <w:rPr>
          <w:rFonts w:asciiTheme="majorBidi" w:hAnsiTheme="majorBidi" w:cstheme="majorBidi"/>
          <w:sz w:val="24"/>
          <w:szCs w:val="24"/>
        </w:rPr>
        <w:t>a</w:t>
      </w:r>
      <w:r w:rsidRPr="00933B38">
        <w:rPr>
          <w:rFonts w:asciiTheme="majorBidi" w:hAnsiTheme="majorBidi" w:cstheme="majorBidi"/>
          <w:sz w:val="24"/>
          <w:szCs w:val="24"/>
        </w:rPr>
        <w:t>). These values translate into practical expectations, for example</w:t>
      </w:r>
      <w:r>
        <w:rPr>
          <w:rFonts w:asciiTheme="majorBidi" w:hAnsiTheme="majorBidi" w:cstheme="majorBidi"/>
          <w:sz w:val="24"/>
          <w:szCs w:val="24"/>
        </w:rPr>
        <w:t xml:space="preserve">, </w:t>
      </w:r>
      <w:r>
        <w:rPr>
          <w:rFonts w:asciiTheme="majorBidi" w:hAnsiTheme="majorBidi" w:cstheme="majorBidi"/>
          <w:sz w:val="24"/>
          <w:szCs w:val="24"/>
        </w:rPr>
        <w:lastRenderedPageBreak/>
        <w:t>inclusive problem solving, disciplined standardisation, and fact-based</w:t>
      </w:r>
      <w:r w:rsidRPr="00933B38">
        <w:rPr>
          <w:rFonts w:asciiTheme="majorBidi" w:hAnsiTheme="majorBidi" w:cstheme="majorBidi"/>
          <w:sz w:val="24"/>
          <w:szCs w:val="24"/>
        </w:rPr>
        <w:t xml:space="preserve"> decisions drawn from the gemba.</w:t>
      </w:r>
    </w:p>
    <w:p w14:paraId="6FD0892E" w14:textId="77777777" w:rsidR="00933B38" w:rsidRPr="00933B38" w:rsidRDefault="00933B38" w:rsidP="00537C6B">
      <w:pPr>
        <w:spacing w:line="480" w:lineRule="auto"/>
        <w:ind w:firstLine="360"/>
        <w:rPr>
          <w:rFonts w:asciiTheme="majorBidi" w:hAnsiTheme="majorBidi" w:cstheme="majorBidi"/>
          <w:sz w:val="24"/>
          <w:szCs w:val="24"/>
        </w:rPr>
      </w:pPr>
      <w:r w:rsidRPr="00933B38">
        <w:rPr>
          <w:rFonts w:asciiTheme="majorBidi" w:hAnsiTheme="majorBidi" w:cstheme="majorBidi"/>
          <w:sz w:val="24"/>
          <w:szCs w:val="24"/>
        </w:rPr>
        <w:t>Basic assumptions complete the diagnosis. Toyota assumes that problems are opportunities to learn, that waste must be identified and removed, and that value should flow to the customer without interruption. These assumptions produce specific performance effects</w:t>
      </w:r>
      <w:r w:rsidR="00537C6B">
        <w:rPr>
          <w:rFonts w:asciiTheme="majorBidi" w:hAnsiTheme="majorBidi" w:cstheme="majorBidi"/>
          <w:sz w:val="24"/>
          <w:szCs w:val="24"/>
        </w:rPr>
        <w:t xml:space="preserve"> (Lambert, 2025)</w:t>
      </w:r>
      <w:r w:rsidRPr="00933B38">
        <w:rPr>
          <w:rFonts w:asciiTheme="majorBidi" w:hAnsiTheme="majorBidi" w:cstheme="majorBidi"/>
          <w:sz w:val="24"/>
          <w:szCs w:val="24"/>
        </w:rPr>
        <w:t>. In the fiscal year ending March 2024, Toyota reported record global sales of 10.31 million vehicles and production of 9.97 million vehicles, outcomes that reflect stable execution under TPS disciplines, even as markets fluctuated (</w:t>
      </w:r>
      <w:r w:rsidR="00537C6B" w:rsidRPr="00825D1F">
        <w:rPr>
          <w:rFonts w:asciiTheme="majorBidi" w:hAnsiTheme="majorBidi" w:cstheme="majorBidi"/>
          <w:sz w:val="24"/>
          <w:szCs w:val="24"/>
        </w:rPr>
        <w:t xml:space="preserve">Toyota Motor </w:t>
      </w:r>
      <w:r w:rsidR="00537C6B">
        <w:rPr>
          <w:rFonts w:asciiTheme="majorBidi" w:hAnsiTheme="majorBidi" w:cstheme="majorBidi"/>
          <w:sz w:val="24"/>
          <w:szCs w:val="24"/>
        </w:rPr>
        <w:t>Corporation, 2024</w:t>
      </w:r>
      <w:r w:rsidR="007F6E76">
        <w:rPr>
          <w:rFonts w:asciiTheme="majorBidi" w:hAnsiTheme="majorBidi" w:cstheme="majorBidi"/>
          <w:sz w:val="24"/>
          <w:szCs w:val="24"/>
        </w:rPr>
        <w:t>c</w:t>
      </w:r>
      <w:r w:rsidRPr="00933B38">
        <w:rPr>
          <w:rFonts w:asciiTheme="majorBidi" w:hAnsiTheme="majorBidi" w:cstheme="majorBidi"/>
          <w:sz w:val="24"/>
          <w:szCs w:val="24"/>
        </w:rPr>
        <w:t>). Battery electric volumes were still modest at 116,654 units, while hybrids expanded rapidly, indicating a culture that prefers stepwise improvement paths backed by data from the shop floor and customers (</w:t>
      </w:r>
      <w:r w:rsidR="00537C6B">
        <w:rPr>
          <w:rFonts w:asciiTheme="majorBidi" w:hAnsiTheme="majorBidi" w:cstheme="majorBidi"/>
          <w:sz w:val="24"/>
          <w:szCs w:val="24"/>
        </w:rPr>
        <w:t>Toyota Motor Corporation, 2021</w:t>
      </w:r>
      <w:r w:rsidR="00BD3E42">
        <w:rPr>
          <w:rFonts w:asciiTheme="majorBidi" w:hAnsiTheme="majorBidi" w:cstheme="majorBidi"/>
          <w:sz w:val="24"/>
          <w:szCs w:val="24"/>
        </w:rPr>
        <w:t>c</w:t>
      </w:r>
      <w:r w:rsidRPr="00933B38">
        <w:rPr>
          <w:rFonts w:asciiTheme="majorBidi" w:hAnsiTheme="majorBidi" w:cstheme="majorBidi"/>
          <w:sz w:val="24"/>
          <w:szCs w:val="24"/>
        </w:rPr>
        <w:t>).</w:t>
      </w:r>
    </w:p>
    <w:p w14:paraId="2E2BA618" w14:textId="77777777" w:rsidR="00933B38" w:rsidRPr="00933B38" w:rsidRDefault="00933B38" w:rsidP="00933B38">
      <w:pPr>
        <w:pStyle w:val="Heading1"/>
        <w:numPr>
          <w:ilvl w:val="1"/>
          <w:numId w:val="1"/>
        </w:numPr>
      </w:pPr>
      <w:bookmarkStart w:id="5" w:name="_Toc210852927"/>
      <w:r w:rsidRPr="00933B38">
        <w:t>Hofstede’s Cultural Dimensions, National Context</w:t>
      </w:r>
      <w:bookmarkEnd w:id="5"/>
    </w:p>
    <w:p w14:paraId="5B8FAE46" w14:textId="77777777" w:rsidR="00933B38" w:rsidRDefault="00933B38" w:rsidP="00776CAB">
      <w:pPr>
        <w:spacing w:line="480" w:lineRule="auto"/>
        <w:ind w:firstLine="360"/>
        <w:rPr>
          <w:rFonts w:asciiTheme="majorBidi" w:hAnsiTheme="majorBidi" w:cstheme="majorBidi"/>
          <w:sz w:val="24"/>
          <w:szCs w:val="24"/>
        </w:rPr>
      </w:pPr>
      <w:r w:rsidRPr="00933B38">
        <w:rPr>
          <w:rFonts w:asciiTheme="majorBidi" w:hAnsiTheme="majorBidi" w:cstheme="majorBidi"/>
          <w:sz w:val="24"/>
          <w:szCs w:val="24"/>
        </w:rPr>
        <w:t xml:space="preserve">Hofstede’s framework helps explain how national context shapes organisational preferences. Japan scores high on uncertainty avoidance and </w:t>
      </w:r>
      <w:r w:rsidR="00776CAB">
        <w:rPr>
          <w:rFonts w:asciiTheme="majorBidi" w:hAnsiTheme="majorBidi" w:cstheme="majorBidi"/>
          <w:sz w:val="24"/>
          <w:szCs w:val="24"/>
        </w:rPr>
        <w:t>long-term</w:t>
      </w:r>
      <w:r w:rsidRPr="00933B38">
        <w:rPr>
          <w:rFonts w:asciiTheme="majorBidi" w:hAnsiTheme="majorBidi" w:cstheme="majorBidi"/>
          <w:sz w:val="24"/>
          <w:szCs w:val="24"/>
        </w:rPr>
        <w:t xml:space="preserve"> orientation, high on masculinity, and moderate on power distance in the Hofstede country comparison tool, patterns that encourage risk control, disciplined process, achievement focus, and deference to </w:t>
      </w:r>
      <w:r w:rsidR="00776CAB">
        <w:rPr>
          <w:rFonts w:asciiTheme="majorBidi" w:hAnsiTheme="majorBidi" w:cstheme="majorBidi"/>
          <w:sz w:val="24"/>
          <w:szCs w:val="24"/>
        </w:rPr>
        <w:t>role-based</w:t>
      </w:r>
      <w:r w:rsidRPr="00933B38">
        <w:rPr>
          <w:rFonts w:asciiTheme="majorBidi" w:hAnsiTheme="majorBidi" w:cstheme="majorBidi"/>
          <w:sz w:val="24"/>
          <w:szCs w:val="24"/>
        </w:rPr>
        <w:t xml:space="preserve"> authority, while still permitting </w:t>
      </w:r>
      <w:r w:rsidR="00776CAB">
        <w:rPr>
          <w:rFonts w:asciiTheme="majorBidi" w:hAnsiTheme="majorBidi" w:cstheme="majorBidi"/>
          <w:sz w:val="24"/>
          <w:szCs w:val="24"/>
        </w:rPr>
        <w:t>bottom-up</w:t>
      </w:r>
      <w:r w:rsidRPr="00933B38">
        <w:rPr>
          <w:rFonts w:asciiTheme="majorBidi" w:hAnsiTheme="majorBidi" w:cstheme="majorBidi"/>
          <w:sz w:val="24"/>
          <w:szCs w:val="24"/>
        </w:rPr>
        <w:t xml:space="preserve"> voice within agreed routines (</w:t>
      </w:r>
      <w:r w:rsidR="00537C6B">
        <w:rPr>
          <w:rFonts w:asciiTheme="majorBidi" w:hAnsiTheme="majorBidi" w:cstheme="majorBidi"/>
          <w:sz w:val="24"/>
          <w:szCs w:val="24"/>
        </w:rPr>
        <w:t xml:space="preserve">Hofstede, 1984; </w:t>
      </w:r>
      <w:r w:rsidR="00537C6B" w:rsidRPr="00825D1F">
        <w:rPr>
          <w:rFonts w:asciiTheme="majorBidi" w:hAnsiTheme="majorBidi" w:cstheme="majorBidi"/>
          <w:sz w:val="24"/>
          <w:szCs w:val="24"/>
        </w:rPr>
        <w:t>Akaliyski</w:t>
      </w:r>
      <w:r w:rsidR="00537C6B">
        <w:rPr>
          <w:rFonts w:asciiTheme="majorBidi" w:hAnsiTheme="majorBidi" w:cstheme="majorBidi"/>
          <w:sz w:val="24"/>
          <w:szCs w:val="24"/>
        </w:rPr>
        <w:t xml:space="preserve"> et al., 2021</w:t>
      </w:r>
      <w:r w:rsidRPr="00933B38">
        <w:rPr>
          <w:rFonts w:asciiTheme="majorBidi" w:hAnsiTheme="majorBidi" w:cstheme="majorBidi"/>
          <w:sz w:val="24"/>
          <w:szCs w:val="24"/>
        </w:rPr>
        <w:t xml:space="preserve">). Within Toyota, these national tendencies support consensus building, rigorous quality norms, and a preference for evidence gathered at the source before </w:t>
      </w:r>
      <w:r>
        <w:rPr>
          <w:rFonts w:asciiTheme="majorBidi" w:hAnsiTheme="majorBidi" w:cstheme="majorBidi"/>
          <w:sz w:val="24"/>
          <w:szCs w:val="24"/>
        </w:rPr>
        <w:t>significant</w:t>
      </w:r>
      <w:r w:rsidRPr="00933B38">
        <w:rPr>
          <w:rFonts w:asciiTheme="majorBidi" w:hAnsiTheme="majorBidi" w:cstheme="majorBidi"/>
          <w:sz w:val="24"/>
          <w:szCs w:val="24"/>
        </w:rPr>
        <w:t xml:space="preserve"> change. The same tendencies also sustain patience for incremental improvement at </w:t>
      </w:r>
      <w:r>
        <w:rPr>
          <w:rFonts w:asciiTheme="majorBidi" w:hAnsiTheme="majorBidi" w:cstheme="majorBidi"/>
          <w:sz w:val="24"/>
          <w:szCs w:val="24"/>
        </w:rPr>
        <w:t xml:space="preserve">a </w:t>
      </w:r>
      <w:r w:rsidRPr="00933B38">
        <w:rPr>
          <w:rFonts w:asciiTheme="majorBidi" w:hAnsiTheme="majorBidi" w:cstheme="majorBidi"/>
          <w:sz w:val="24"/>
          <w:szCs w:val="24"/>
        </w:rPr>
        <w:t>large scale</w:t>
      </w:r>
      <w:r w:rsidR="00F71672">
        <w:rPr>
          <w:rFonts w:asciiTheme="majorBidi" w:hAnsiTheme="majorBidi" w:cstheme="majorBidi"/>
          <w:sz w:val="24"/>
          <w:szCs w:val="24"/>
        </w:rPr>
        <w:t xml:space="preserve"> (Bonini et al., 2020)</w:t>
      </w:r>
      <w:r w:rsidRPr="00933B38">
        <w:rPr>
          <w:rFonts w:asciiTheme="majorBidi" w:hAnsiTheme="majorBidi" w:cstheme="majorBidi"/>
          <w:sz w:val="24"/>
          <w:szCs w:val="24"/>
        </w:rPr>
        <w:t>. In 2024, Toyota remained the world’s top seller with 10.8 million vehicles, and hybrid</w:t>
      </w:r>
      <w:r w:rsidR="00F71672">
        <w:rPr>
          <w:rFonts w:asciiTheme="majorBidi" w:hAnsiTheme="majorBidi" w:cstheme="majorBidi"/>
          <w:sz w:val="24"/>
          <w:szCs w:val="24"/>
        </w:rPr>
        <w:t>s accounted for about 40.8%</w:t>
      </w:r>
      <w:r w:rsidRPr="00933B38">
        <w:rPr>
          <w:rFonts w:asciiTheme="majorBidi" w:hAnsiTheme="majorBidi" w:cstheme="majorBidi"/>
          <w:sz w:val="24"/>
          <w:szCs w:val="24"/>
        </w:rPr>
        <w:t xml:space="preserve"> of parent brand sales, figures that align with a disciplined, </w:t>
      </w:r>
      <w:r>
        <w:rPr>
          <w:rFonts w:asciiTheme="majorBidi" w:hAnsiTheme="majorBidi" w:cstheme="majorBidi"/>
          <w:sz w:val="24"/>
          <w:szCs w:val="24"/>
        </w:rPr>
        <w:t>data-led</w:t>
      </w:r>
      <w:r w:rsidRPr="00933B38">
        <w:rPr>
          <w:rFonts w:asciiTheme="majorBidi" w:hAnsiTheme="majorBidi" w:cstheme="majorBidi"/>
          <w:sz w:val="24"/>
          <w:szCs w:val="24"/>
        </w:rPr>
        <w:t xml:space="preserve"> path to decarbonisation rather than rapid swings in strategy (</w:t>
      </w:r>
      <w:r w:rsidR="00124357">
        <w:rPr>
          <w:rFonts w:asciiTheme="majorBidi" w:hAnsiTheme="majorBidi" w:cstheme="majorBidi"/>
          <w:sz w:val="24"/>
          <w:szCs w:val="24"/>
        </w:rPr>
        <w:t>Business Recorder, 2025</w:t>
      </w:r>
      <w:r w:rsidRPr="00933B38">
        <w:rPr>
          <w:rFonts w:asciiTheme="majorBidi" w:hAnsiTheme="majorBidi" w:cstheme="majorBidi"/>
          <w:sz w:val="24"/>
          <w:szCs w:val="24"/>
        </w:rPr>
        <w:t>).</w:t>
      </w:r>
    </w:p>
    <w:p w14:paraId="321D9F2E" w14:textId="77777777" w:rsidR="00933B38" w:rsidRPr="00933B38" w:rsidRDefault="00933B38" w:rsidP="00933B38">
      <w:pPr>
        <w:pStyle w:val="Heading1"/>
        <w:numPr>
          <w:ilvl w:val="1"/>
          <w:numId w:val="1"/>
        </w:numPr>
      </w:pPr>
      <w:bookmarkStart w:id="6" w:name="_Toc210852928"/>
      <w:r w:rsidRPr="00933B38">
        <w:lastRenderedPageBreak/>
        <w:t>Handy’s Cultural Types</w:t>
      </w:r>
      <w:bookmarkEnd w:id="6"/>
    </w:p>
    <w:p w14:paraId="357062D5" w14:textId="77777777" w:rsidR="00933B38" w:rsidRPr="00933B38" w:rsidRDefault="00933B38" w:rsidP="00161C4C">
      <w:pPr>
        <w:spacing w:line="480" w:lineRule="auto"/>
        <w:ind w:firstLine="360"/>
        <w:rPr>
          <w:rFonts w:asciiTheme="majorBidi" w:hAnsiTheme="majorBidi" w:cstheme="majorBidi"/>
          <w:sz w:val="24"/>
          <w:szCs w:val="24"/>
        </w:rPr>
      </w:pPr>
      <w:r w:rsidRPr="00933B38">
        <w:rPr>
          <w:rFonts w:asciiTheme="majorBidi" w:hAnsiTheme="majorBidi" w:cstheme="majorBidi"/>
          <w:sz w:val="24"/>
          <w:szCs w:val="24"/>
        </w:rPr>
        <w:t>Handy identifies four types</w:t>
      </w:r>
      <w:r w:rsidR="00685541">
        <w:rPr>
          <w:rFonts w:asciiTheme="majorBidi" w:hAnsiTheme="majorBidi" w:cstheme="majorBidi"/>
          <w:sz w:val="24"/>
          <w:szCs w:val="24"/>
        </w:rPr>
        <w:t>, including</w:t>
      </w:r>
      <w:r w:rsidR="003F0640">
        <w:rPr>
          <w:rFonts w:asciiTheme="majorBidi" w:hAnsiTheme="majorBidi" w:cstheme="majorBidi"/>
          <w:sz w:val="24"/>
          <w:szCs w:val="24"/>
        </w:rPr>
        <w:t xml:space="preserve"> </w:t>
      </w:r>
      <w:r w:rsidRPr="00933B38">
        <w:rPr>
          <w:rFonts w:asciiTheme="majorBidi" w:hAnsiTheme="majorBidi" w:cstheme="majorBidi"/>
          <w:sz w:val="24"/>
          <w:szCs w:val="24"/>
        </w:rPr>
        <w:t>power, role, task, and person cultures, each suited to different coordination needs</w:t>
      </w:r>
      <w:r w:rsidR="009D1138">
        <w:rPr>
          <w:rFonts w:asciiTheme="majorBidi" w:hAnsiTheme="majorBidi" w:cstheme="majorBidi"/>
          <w:sz w:val="24"/>
          <w:szCs w:val="24"/>
        </w:rPr>
        <w:t xml:space="preserve"> (Handy, 1976)</w:t>
      </w:r>
      <w:r w:rsidRPr="00933B38">
        <w:rPr>
          <w:rFonts w:asciiTheme="majorBidi" w:hAnsiTheme="majorBidi" w:cstheme="majorBidi"/>
          <w:sz w:val="24"/>
          <w:szCs w:val="24"/>
        </w:rPr>
        <w:t xml:space="preserve">. Toyota exhibits a strong role culture in its reliance on standard work, compliance, and clearly defined responsibilities that stabilise </w:t>
      </w:r>
      <w:r>
        <w:rPr>
          <w:rFonts w:asciiTheme="majorBidi" w:hAnsiTheme="majorBidi" w:cstheme="majorBidi"/>
          <w:sz w:val="24"/>
          <w:szCs w:val="24"/>
        </w:rPr>
        <w:t>large-scale</w:t>
      </w:r>
      <w:r w:rsidRPr="00933B38">
        <w:rPr>
          <w:rFonts w:asciiTheme="majorBidi" w:hAnsiTheme="majorBidi" w:cstheme="majorBidi"/>
          <w:sz w:val="24"/>
          <w:szCs w:val="24"/>
        </w:rPr>
        <w:t xml:space="preserve"> production, supported by visual management and layered process audits</w:t>
      </w:r>
      <w:r w:rsidR="00685541">
        <w:rPr>
          <w:rFonts w:asciiTheme="majorBidi" w:hAnsiTheme="majorBidi" w:cstheme="majorBidi"/>
          <w:sz w:val="24"/>
          <w:szCs w:val="24"/>
        </w:rPr>
        <w:t xml:space="preserve"> (Sosnovskikh, 2016)</w:t>
      </w:r>
      <w:r w:rsidRPr="00933B38">
        <w:rPr>
          <w:rFonts w:asciiTheme="majorBidi" w:hAnsiTheme="majorBidi" w:cstheme="majorBidi"/>
          <w:sz w:val="24"/>
          <w:szCs w:val="24"/>
        </w:rPr>
        <w:t xml:space="preserve">. Alongside this, a distinctive task culture emerges in </w:t>
      </w:r>
      <w:r>
        <w:rPr>
          <w:rFonts w:asciiTheme="majorBidi" w:hAnsiTheme="majorBidi" w:cstheme="majorBidi"/>
          <w:sz w:val="24"/>
          <w:szCs w:val="24"/>
        </w:rPr>
        <w:t>problem-solving teams that run kaizen events, complete A3 reports, and meet in obeya rooms to accelerate cross-functional</w:t>
      </w:r>
      <w:r w:rsidRPr="00933B38">
        <w:rPr>
          <w:rFonts w:asciiTheme="majorBidi" w:hAnsiTheme="majorBidi" w:cstheme="majorBidi"/>
          <w:sz w:val="24"/>
          <w:szCs w:val="24"/>
        </w:rPr>
        <w:t xml:space="preserve"> alignment. Power culture appears limited on the shop floor because frontline empowerment, authority, and nemawashi practices diffuse decision influence to where value is created</w:t>
      </w:r>
      <w:r>
        <w:rPr>
          <w:rFonts w:asciiTheme="majorBidi" w:hAnsiTheme="majorBidi" w:cstheme="majorBidi"/>
          <w:sz w:val="24"/>
          <w:szCs w:val="24"/>
        </w:rPr>
        <w:t>. However,</w:t>
      </w:r>
      <w:r w:rsidRPr="00933B38">
        <w:rPr>
          <w:rFonts w:asciiTheme="majorBidi" w:hAnsiTheme="majorBidi" w:cstheme="majorBidi"/>
          <w:sz w:val="24"/>
          <w:szCs w:val="24"/>
        </w:rPr>
        <w:t xml:space="preserve"> strategic direction remains clearly set by senior leaders. This mixed profile reconciles reliability with innovation in process at the team level (</w:t>
      </w:r>
      <w:r w:rsidR="00161C4C">
        <w:rPr>
          <w:rFonts w:asciiTheme="majorBidi" w:hAnsiTheme="majorBidi" w:cstheme="majorBidi"/>
          <w:sz w:val="24"/>
          <w:szCs w:val="24"/>
        </w:rPr>
        <w:t>Minahal, 2024</w:t>
      </w:r>
      <w:r w:rsidRPr="00933B38">
        <w:rPr>
          <w:rFonts w:asciiTheme="majorBidi" w:hAnsiTheme="majorBidi" w:cstheme="majorBidi"/>
          <w:sz w:val="24"/>
          <w:szCs w:val="24"/>
        </w:rPr>
        <w:t>).</w:t>
      </w:r>
    </w:p>
    <w:p w14:paraId="338C44EB" w14:textId="77777777" w:rsidR="00933B38" w:rsidRPr="00933B38" w:rsidRDefault="00933B38" w:rsidP="00933B38">
      <w:pPr>
        <w:pStyle w:val="Heading1"/>
        <w:numPr>
          <w:ilvl w:val="1"/>
          <w:numId w:val="1"/>
        </w:numPr>
      </w:pPr>
      <w:bookmarkStart w:id="7" w:name="_Toc210852929"/>
      <w:r w:rsidRPr="00933B38">
        <w:t>Denison’s Traits</w:t>
      </w:r>
      <w:bookmarkEnd w:id="7"/>
    </w:p>
    <w:p w14:paraId="273CC669" w14:textId="77777777" w:rsidR="00933B38" w:rsidRPr="00933B38" w:rsidRDefault="00933B38" w:rsidP="00535B68">
      <w:pPr>
        <w:spacing w:line="480" w:lineRule="auto"/>
        <w:ind w:firstLine="360"/>
        <w:rPr>
          <w:rFonts w:asciiTheme="majorBidi" w:hAnsiTheme="majorBidi" w:cstheme="majorBidi"/>
          <w:sz w:val="24"/>
          <w:szCs w:val="24"/>
        </w:rPr>
      </w:pPr>
      <w:r w:rsidRPr="00933B38">
        <w:rPr>
          <w:rFonts w:asciiTheme="majorBidi" w:hAnsiTheme="majorBidi" w:cstheme="majorBidi"/>
          <w:sz w:val="24"/>
          <w:szCs w:val="24"/>
        </w:rPr>
        <w:t>Denison’s model highlights four traits</w:t>
      </w:r>
      <w:r>
        <w:rPr>
          <w:rFonts w:asciiTheme="majorBidi" w:hAnsiTheme="majorBidi" w:cstheme="majorBidi"/>
          <w:sz w:val="24"/>
          <w:szCs w:val="24"/>
        </w:rPr>
        <w:t>:</w:t>
      </w:r>
      <w:r w:rsidRPr="00933B38">
        <w:rPr>
          <w:rFonts w:asciiTheme="majorBidi" w:hAnsiTheme="majorBidi" w:cstheme="majorBidi"/>
          <w:sz w:val="24"/>
          <w:szCs w:val="24"/>
        </w:rPr>
        <w:t xml:space="preserve"> Mission, Involvement, Consistency, and Adaptability (</w:t>
      </w:r>
      <w:r w:rsidR="00535B68">
        <w:rPr>
          <w:rFonts w:asciiTheme="majorBidi" w:hAnsiTheme="majorBidi" w:cstheme="majorBidi"/>
          <w:sz w:val="24"/>
          <w:szCs w:val="24"/>
        </w:rPr>
        <w:t>Denison et al., 2014</w:t>
      </w:r>
      <w:r w:rsidRPr="00933B38">
        <w:rPr>
          <w:rFonts w:asciiTheme="majorBidi" w:hAnsiTheme="majorBidi" w:cstheme="majorBidi"/>
          <w:sz w:val="24"/>
          <w:szCs w:val="24"/>
        </w:rPr>
        <w:t>). Toyota scores strongly on Mission because TPS and the Toyota Way provide a clear purpose and operating philosophy. Involvement is visible in suggestion systems, team huddles, and andon authority that invite active participation</w:t>
      </w:r>
      <w:r w:rsidR="00535B68">
        <w:rPr>
          <w:rFonts w:asciiTheme="majorBidi" w:hAnsiTheme="majorBidi" w:cstheme="majorBidi"/>
          <w:sz w:val="24"/>
          <w:szCs w:val="24"/>
        </w:rPr>
        <w:t xml:space="preserve"> (Womack,</w:t>
      </w:r>
      <w:r w:rsidR="00535B68" w:rsidRPr="00F951A6">
        <w:rPr>
          <w:rFonts w:asciiTheme="majorBidi" w:hAnsiTheme="majorBidi" w:cstheme="majorBidi"/>
          <w:sz w:val="24"/>
          <w:szCs w:val="24"/>
        </w:rPr>
        <w:t xml:space="preserve"> 2025</w:t>
      </w:r>
      <w:r w:rsidR="00535B68">
        <w:rPr>
          <w:rFonts w:asciiTheme="majorBidi" w:hAnsiTheme="majorBidi" w:cstheme="majorBidi"/>
          <w:sz w:val="24"/>
          <w:szCs w:val="24"/>
        </w:rPr>
        <w:t>)</w:t>
      </w:r>
      <w:r w:rsidRPr="00933B38">
        <w:rPr>
          <w:rFonts w:asciiTheme="majorBidi" w:hAnsiTheme="majorBidi" w:cstheme="majorBidi"/>
          <w:sz w:val="24"/>
          <w:szCs w:val="24"/>
        </w:rPr>
        <w:t>. Consistency is high through standards, visual controls, and daily management that align behaviours across sites. Adaptability is expressed through kaizen and learning cycles, which enabled record fiscal year output after supply constraints eased, and rapid hybrid scaling as customer preferences shifted (</w:t>
      </w:r>
      <w:r w:rsidR="00535B68">
        <w:rPr>
          <w:rFonts w:asciiTheme="majorBidi" w:hAnsiTheme="majorBidi" w:cstheme="majorBidi"/>
          <w:sz w:val="24"/>
          <w:szCs w:val="24"/>
        </w:rPr>
        <w:t>Toyota Motor Corporation, 2024</w:t>
      </w:r>
      <w:r w:rsidR="007F6E76">
        <w:rPr>
          <w:rFonts w:asciiTheme="majorBidi" w:hAnsiTheme="majorBidi" w:cstheme="majorBidi"/>
          <w:sz w:val="24"/>
          <w:szCs w:val="24"/>
        </w:rPr>
        <w:t>b</w:t>
      </w:r>
      <w:r w:rsidRPr="00933B38">
        <w:rPr>
          <w:rFonts w:asciiTheme="majorBidi" w:hAnsiTheme="majorBidi" w:cstheme="majorBidi"/>
          <w:sz w:val="24"/>
          <w:szCs w:val="24"/>
        </w:rPr>
        <w:t xml:space="preserve">). Together, these traits depict a culture designed for disciplined improvement </w:t>
      </w:r>
      <w:r>
        <w:rPr>
          <w:rFonts w:asciiTheme="majorBidi" w:hAnsiTheme="majorBidi" w:cstheme="majorBidi"/>
          <w:sz w:val="24"/>
          <w:szCs w:val="24"/>
        </w:rPr>
        <w:t>on a</w:t>
      </w:r>
      <w:r w:rsidRPr="00933B38">
        <w:rPr>
          <w:rFonts w:asciiTheme="majorBidi" w:hAnsiTheme="majorBidi" w:cstheme="majorBidi"/>
          <w:sz w:val="24"/>
          <w:szCs w:val="24"/>
        </w:rPr>
        <w:t xml:space="preserve"> global scale.</w:t>
      </w:r>
    </w:p>
    <w:p w14:paraId="61947838" w14:textId="77777777" w:rsidR="00776CAB" w:rsidRPr="00776CAB" w:rsidRDefault="00776CAB" w:rsidP="00776CAB">
      <w:pPr>
        <w:pStyle w:val="Heading1"/>
        <w:numPr>
          <w:ilvl w:val="0"/>
          <w:numId w:val="1"/>
        </w:numPr>
      </w:pPr>
      <w:bookmarkStart w:id="8" w:name="_Toc210852930"/>
      <w:r w:rsidRPr="00776CAB">
        <w:t>Culture and th</w:t>
      </w:r>
      <w:r>
        <w:t>e External Environment</w:t>
      </w:r>
      <w:bookmarkEnd w:id="8"/>
    </w:p>
    <w:p w14:paraId="17D4E087" w14:textId="77777777" w:rsidR="00776CAB" w:rsidRPr="00776CAB" w:rsidRDefault="00776CAB" w:rsidP="00776CAB">
      <w:pPr>
        <w:spacing w:line="480" w:lineRule="auto"/>
        <w:rPr>
          <w:rFonts w:asciiTheme="majorBidi" w:hAnsiTheme="majorBidi" w:cstheme="majorBidi"/>
          <w:sz w:val="24"/>
          <w:szCs w:val="24"/>
        </w:rPr>
      </w:pPr>
    </w:p>
    <w:p w14:paraId="5CB648E6" w14:textId="77777777" w:rsidR="00776CAB" w:rsidRPr="00776CAB" w:rsidRDefault="00776CAB" w:rsidP="00C149A6">
      <w:pPr>
        <w:spacing w:line="480" w:lineRule="auto"/>
        <w:ind w:firstLine="720"/>
        <w:rPr>
          <w:rFonts w:asciiTheme="majorBidi" w:hAnsiTheme="majorBidi" w:cstheme="majorBidi"/>
          <w:sz w:val="24"/>
          <w:szCs w:val="24"/>
        </w:rPr>
      </w:pPr>
      <w:r w:rsidRPr="00776CAB">
        <w:rPr>
          <w:rFonts w:asciiTheme="majorBidi" w:hAnsiTheme="majorBidi" w:cstheme="majorBidi"/>
          <w:sz w:val="24"/>
          <w:szCs w:val="24"/>
        </w:rPr>
        <w:lastRenderedPageBreak/>
        <w:t>Toyota’s culture equips the firm to absorb shocks and reconfigure flows as conditions change, because TPS routines foster visibility, rapid problem solving, and disciplined collaboration across plants and suppliers</w:t>
      </w:r>
      <w:r w:rsidR="00CC3D9E">
        <w:rPr>
          <w:rFonts w:asciiTheme="majorBidi" w:hAnsiTheme="majorBidi" w:cstheme="majorBidi"/>
          <w:sz w:val="24"/>
          <w:szCs w:val="24"/>
        </w:rPr>
        <w:t xml:space="preserve"> (Womack, 2025)</w:t>
      </w:r>
      <w:r w:rsidRPr="00776CAB">
        <w:rPr>
          <w:rFonts w:asciiTheme="majorBidi" w:hAnsiTheme="majorBidi" w:cstheme="majorBidi"/>
          <w:sz w:val="24"/>
          <w:szCs w:val="24"/>
        </w:rPr>
        <w:t xml:space="preserve">. During recent supply disruptions, close supplier integration, structured learning at the source, and flexible capacity helped the company stabilise throughput and service levels, which reflects the resilience logic articulated in analyses of </w:t>
      </w:r>
      <w:r>
        <w:rPr>
          <w:rFonts w:asciiTheme="majorBidi" w:hAnsiTheme="majorBidi" w:cstheme="majorBidi"/>
          <w:sz w:val="24"/>
          <w:szCs w:val="24"/>
        </w:rPr>
        <w:t>just-in-time</w:t>
      </w:r>
      <w:r w:rsidRPr="00776CAB">
        <w:rPr>
          <w:rFonts w:asciiTheme="majorBidi" w:hAnsiTheme="majorBidi" w:cstheme="majorBidi"/>
          <w:sz w:val="24"/>
          <w:szCs w:val="24"/>
        </w:rPr>
        <w:t xml:space="preserve"> red</w:t>
      </w:r>
      <w:r w:rsidR="00C149A6">
        <w:rPr>
          <w:rFonts w:asciiTheme="majorBidi" w:hAnsiTheme="majorBidi" w:cstheme="majorBidi"/>
          <w:sz w:val="24"/>
          <w:szCs w:val="24"/>
        </w:rPr>
        <w:t>esign and TPS practice (</w:t>
      </w:r>
      <w:r w:rsidR="00C149A6" w:rsidRPr="00E44A89">
        <w:rPr>
          <w:rFonts w:asciiTheme="majorBidi" w:hAnsiTheme="majorBidi" w:cstheme="majorBidi"/>
          <w:sz w:val="24"/>
          <w:szCs w:val="24"/>
        </w:rPr>
        <w:t>Y</w:t>
      </w:r>
      <w:r w:rsidR="00C149A6">
        <w:rPr>
          <w:rFonts w:asciiTheme="majorBidi" w:hAnsiTheme="majorBidi" w:cstheme="majorBidi"/>
          <w:sz w:val="24"/>
          <w:szCs w:val="24"/>
        </w:rPr>
        <w:t xml:space="preserve">ang, </w:t>
      </w:r>
      <w:r w:rsidR="00C149A6" w:rsidRPr="00E44A89">
        <w:rPr>
          <w:rFonts w:asciiTheme="majorBidi" w:hAnsiTheme="majorBidi" w:cstheme="majorBidi"/>
          <w:sz w:val="24"/>
          <w:szCs w:val="24"/>
        </w:rPr>
        <w:t>2022</w:t>
      </w:r>
      <w:r w:rsidRPr="00776CAB">
        <w:rPr>
          <w:rFonts w:asciiTheme="majorBidi" w:hAnsiTheme="majorBidi" w:cstheme="majorBidi"/>
          <w:sz w:val="24"/>
          <w:szCs w:val="24"/>
        </w:rPr>
        <w:t xml:space="preserve">). </w:t>
      </w:r>
    </w:p>
    <w:p w14:paraId="58177FB0" w14:textId="77777777" w:rsidR="00776CAB" w:rsidRPr="00776CAB" w:rsidRDefault="00776CAB" w:rsidP="00CD16B1">
      <w:pPr>
        <w:spacing w:line="480" w:lineRule="auto"/>
        <w:ind w:firstLine="720"/>
        <w:rPr>
          <w:rFonts w:asciiTheme="majorBidi" w:hAnsiTheme="majorBidi" w:cstheme="majorBidi"/>
          <w:sz w:val="24"/>
          <w:szCs w:val="24"/>
        </w:rPr>
      </w:pPr>
      <w:r w:rsidRPr="00776CAB">
        <w:rPr>
          <w:rFonts w:asciiTheme="majorBidi" w:hAnsiTheme="majorBidi" w:cstheme="majorBidi"/>
          <w:sz w:val="24"/>
          <w:szCs w:val="24"/>
        </w:rPr>
        <w:t>Trade policy and regulatory shifts have tightened margins and complicated planning, and Toyota’s guidance has incorporated material tariff headwinds in the United States</w:t>
      </w:r>
      <w:r w:rsidR="00CD16B1">
        <w:rPr>
          <w:rFonts w:asciiTheme="majorBidi" w:hAnsiTheme="majorBidi" w:cstheme="majorBidi"/>
          <w:sz w:val="24"/>
          <w:szCs w:val="24"/>
        </w:rPr>
        <w:t xml:space="preserve"> (Swiecki and Dziczek,</w:t>
      </w:r>
      <w:r w:rsidR="00CD16B1" w:rsidRPr="00E44A89">
        <w:rPr>
          <w:rFonts w:asciiTheme="majorBidi" w:hAnsiTheme="majorBidi" w:cstheme="majorBidi"/>
          <w:sz w:val="24"/>
          <w:szCs w:val="24"/>
        </w:rPr>
        <w:t xml:space="preserve"> 2025</w:t>
      </w:r>
      <w:r w:rsidR="00CD16B1">
        <w:rPr>
          <w:rFonts w:asciiTheme="majorBidi" w:hAnsiTheme="majorBidi" w:cstheme="majorBidi"/>
          <w:sz w:val="24"/>
          <w:szCs w:val="24"/>
        </w:rPr>
        <w:t>)</w:t>
      </w:r>
      <w:r w:rsidRPr="00776CAB">
        <w:rPr>
          <w:rFonts w:asciiTheme="majorBidi" w:hAnsiTheme="majorBidi" w:cstheme="majorBidi"/>
          <w:sz w:val="24"/>
          <w:szCs w:val="24"/>
        </w:rPr>
        <w:t xml:space="preserve">. Management has framed responses through </w:t>
      </w:r>
      <w:r>
        <w:rPr>
          <w:rFonts w:asciiTheme="majorBidi" w:hAnsiTheme="majorBidi" w:cstheme="majorBidi"/>
          <w:sz w:val="24"/>
          <w:szCs w:val="24"/>
        </w:rPr>
        <w:t>long-term orientation, cost discipline, and mix management, consistent with cultural emphasis on prudent improvement and data-driven</w:t>
      </w:r>
      <w:r w:rsidRPr="00776CAB">
        <w:rPr>
          <w:rFonts w:asciiTheme="majorBidi" w:hAnsiTheme="majorBidi" w:cstheme="majorBidi"/>
          <w:sz w:val="24"/>
          <w:szCs w:val="24"/>
        </w:rPr>
        <w:t xml:space="preserve"> choices</w:t>
      </w:r>
      <w:r w:rsidR="00CD16B1">
        <w:rPr>
          <w:rFonts w:asciiTheme="majorBidi" w:hAnsiTheme="majorBidi" w:cstheme="majorBidi"/>
          <w:sz w:val="24"/>
          <w:szCs w:val="24"/>
        </w:rPr>
        <w:t>. At the same time,</w:t>
      </w:r>
      <w:r w:rsidRPr="00776CAB">
        <w:rPr>
          <w:rFonts w:asciiTheme="majorBidi" w:hAnsiTheme="majorBidi" w:cstheme="majorBidi"/>
          <w:sz w:val="24"/>
          <w:szCs w:val="24"/>
        </w:rPr>
        <w:t xml:space="preserve"> financial coverage has highlighted forecast downgrades tied to US levies (</w:t>
      </w:r>
      <w:r w:rsidR="00CD16B1">
        <w:rPr>
          <w:rFonts w:asciiTheme="majorBidi" w:hAnsiTheme="majorBidi" w:cstheme="majorBidi"/>
          <w:sz w:val="24"/>
          <w:szCs w:val="24"/>
        </w:rPr>
        <w:t>Nkomo, 2025</w:t>
      </w:r>
      <w:r w:rsidRPr="00776CAB">
        <w:rPr>
          <w:rFonts w:asciiTheme="majorBidi" w:hAnsiTheme="majorBidi" w:cstheme="majorBidi"/>
          <w:sz w:val="24"/>
          <w:szCs w:val="24"/>
        </w:rPr>
        <w:t xml:space="preserve">). </w:t>
      </w:r>
    </w:p>
    <w:p w14:paraId="188A5E81" w14:textId="77777777" w:rsidR="00776CAB" w:rsidRPr="00776CAB" w:rsidRDefault="00776CAB" w:rsidP="00CD16B1">
      <w:pPr>
        <w:spacing w:line="480" w:lineRule="auto"/>
        <w:ind w:firstLine="720"/>
        <w:rPr>
          <w:rFonts w:asciiTheme="majorBidi" w:hAnsiTheme="majorBidi" w:cstheme="majorBidi"/>
          <w:sz w:val="24"/>
          <w:szCs w:val="24"/>
        </w:rPr>
      </w:pPr>
      <w:r w:rsidRPr="00776CAB">
        <w:rPr>
          <w:rFonts w:asciiTheme="majorBidi" w:hAnsiTheme="majorBidi" w:cstheme="majorBidi"/>
          <w:sz w:val="24"/>
          <w:szCs w:val="24"/>
        </w:rPr>
        <w:t xml:space="preserve">Global replication of </w:t>
      </w:r>
      <w:r>
        <w:rPr>
          <w:rFonts w:asciiTheme="majorBidi" w:hAnsiTheme="majorBidi" w:cstheme="majorBidi"/>
          <w:sz w:val="24"/>
          <w:szCs w:val="24"/>
        </w:rPr>
        <w:t>everyday</w:t>
      </w:r>
      <w:r w:rsidRPr="00776CAB">
        <w:rPr>
          <w:rFonts w:asciiTheme="majorBidi" w:hAnsiTheme="majorBidi" w:cstheme="majorBidi"/>
          <w:sz w:val="24"/>
          <w:szCs w:val="24"/>
        </w:rPr>
        <w:t xml:space="preserve"> routines, such as standard work, visual management, and daily problem solving, enables rapid transfer of best practices across sites, which sustains consistency under demand and policy volatility</w:t>
      </w:r>
      <w:r w:rsidR="00CD16B1">
        <w:rPr>
          <w:rFonts w:asciiTheme="majorBidi" w:hAnsiTheme="majorBidi" w:cstheme="majorBidi"/>
          <w:sz w:val="24"/>
          <w:szCs w:val="24"/>
        </w:rPr>
        <w:t xml:space="preserve"> (Hyun, 2025)</w:t>
      </w:r>
      <w:r w:rsidRPr="00776CAB">
        <w:rPr>
          <w:rFonts w:asciiTheme="majorBidi" w:hAnsiTheme="majorBidi" w:cstheme="majorBidi"/>
          <w:sz w:val="24"/>
          <w:szCs w:val="24"/>
        </w:rPr>
        <w:t xml:space="preserve">. This global cultural architecture supports stable execution at scale, with recent company disclosures and independent reporting confirming record sales volumes in 2024 that were anchored by strong hybrid demand. Battery electric volumes remained small relative to total, which aligns with a paced, </w:t>
      </w:r>
      <w:r>
        <w:rPr>
          <w:rFonts w:asciiTheme="majorBidi" w:hAnsiTheme="majorBidi" w:cstheme="majorBidi"/>
          <w:sz w:val="24"/>
          <w:szCs w:val="24"/>
        </w:rPr>
        <w:t>evidence-led</w:t>
      </w:r>
      <w:r w:rsidRPr="00776CAB">
        <w:rPr>
          <w:rFonts w:asciiTheme="majorBidi" w:hAnsiTheme="majorBidi" w:cstheme="majorBidi"/>
          <w:sz w:val="24"/>
          <w:szCs w:val="24"/>
        </w:rPr>
        <w:t xml:space="preserve"> transition (</w:t>
      </w:r>
      <w:r w:rsidR="00CD16B1">
        <w:rPr>
          <w:rFonts w:asciiTheme="majorBidi" w:hAnsiTheme="majorBidi" w:cstheme="majorBidi"/>
          <w:sz w:val="24"/>
          <w:szCs w:val="24"/>
        </w:rPr>
        <w:t>Automotive News, 2025</w:t>
      </w:r>
      <w:r w:rsidRPr="00776CAB">
        <w:rPr>
          <w:rFonts w:asciiTheme="majorBidi" w:hAnsiTheme="majorBidi" w:cstheme="majorBidi"/>
          <w:sz w:val="24"/>
          <w:szCs w:val="24"/>
        </w:rPr>
        <w:t xml:space="preserve">). </w:t>
      </w:r>
    </w:p>
    <w:p w14:paraId="0F582CFE" w14:textId="77777777" w:rsidR="00776CAB" w:rsidRPr="00776CAB" w:rsidRDefault="00776CAB" w:rsidP="00B96D51">
      <w:pPr>
        <w:spacing w:line="480" w:lineRule="auto"/>
        <w:ind w:firstLine="720"/>
        <w:rPr>
          <w:rFonts w:asciiTheme="majorBidi" w:hAnsiTheme="majorBidi" w:cstheme="majorBidi"/>
          <w:sz w:val="24"/>
          <w:szCs w:val="24"/>
        </w:rPr>
      </w:pPr>
      <w:r w:rsidRPr="00776CAB">
        <w:rPr>
          <w:rFonts w:asciiTheme="majorBidi" w:hAnsiTheme="majorBidi" w:cstheme="majorBidi"/>
          <w:sz w:val="24"/>
          <w:szCs w:val="24"/>
        </w:rPr>
        <w:t xml:space="preserve">Critics argue that an incremental kaizen mindset can slow disruptive pivots required by full electrification, and recent commentary has contrasted Toyota’s stepwise approach with </w:t>
      </w:r>
      <w:r>
        <w:rPr>
          <w:rFonts w:asciiTheme="majorBidi" w:hAnsiTheme="majorBidi" w:cstheme="majorBidi"/>
          <w:sz w:val="24"/>
          <w:szCs w:val="24"/>
        </w:rPr>
        <w:t xml:space="preserve">faster-moving rivals in the </w:t>
      </w:r>
      <w:r w:rsidRPr="00776CAB">
        <w:rPr>
          <w:rFonts w:asciiTheme="majorBidi" w:hAnsiTheme="majorBidi" w:cstheme="majorBidi"/>
          <w:sz w:val="24"/>
          <w:szCs w:val="24"/>
        </w:rPr>
        <w:t>battery electric segments</w:t>
      </w:r>
      <w:r w:rsidR="00B96D51">
        <w:rPr>
          <w:rFonts w:asciiTheme="majorBidi" w:hAnsiTheme="majorBidi" w:cstheme="majorBidi"/>
          <w:sz w:val="24"/>
          <w:szCs w:val="24"/>
        </w:rPr>
        <w:t xml:space="preserve"> (Kareska, 2024)</w:t>
      </w:r>
      <w:r w:rsidRPr="00776CAB">
        <w:rPr>
          <w:rFonts w:asciiTheme="majorBidi" w:hAnsiTheme="majorBidi" w:cstheme="majorBidi"/>
          <w:sz w:val="24"/>
          <w:szCs w:val="24"/>
        </w:rPr>
        <w:t xml:space="preserve">. A balanced view recognises that the firm’s hybrid leadership reflects cultural strengths in continuous </w:t>
      </w:r>
      <w:r w:rsidRPr="00776CAB">
        <w:rPr>
          <w:rFonts w:asciiTheme="majorBidi" w:hAnsiTheme="majorBidi" w:cstheme="majorBidi"/>
          <w:sz w:val="24"/>
          <w:szCs w:val="24"/>
        </w:rPr>
        <w:lastRenderedPageBreak/>
        <w:t>improvement, while the battery electric race tests the limits of incrementalism under discont</w:t>
      </w:r>
      <w:r w:rsidR="00B96D51">
        <w:rPr>
          <w:rFonts w:asciiTheme="majorBidi" w:hAnsiTheme="majorBidi" w:cstheme="majorBidi"/>
          <w:sz w:val="24"/>
          <w:szCs w:val="24"/>
        </w:rPr>
        <w:t>inuous technological change (Modiri</w:t>
      </w:r>
      <w:r w:rsidR="00B96D51" w:rsidRPr="000A7294">
        <w:rPr>
          <w:rFonts w:asciiTheme="majorBidi" w:hAnsiTheme="majorBidi" w:cstheme="majorBidi"/>
          <w:sz w:val="24"/>
          <w:szCs w:val="24"/>
        </w:rPr>
        <w:t xml:space="preserve"> and </w:t>
      </w:r>
      <w:r w:rsidR="00B96D51">
        <w:rPr>
          <w:rFonts w:asciiTheme="majorBidi" w:hAnsiTheme="majorBidi" w:cstheme="majorBidi"/>
          <w:sz w:val="24"/>
          <w:szCs w:val="24"/>
        </w:rPr>
        <w:t>Olsson, 2020</w:t>
      </w:r>
      <w:r w:rsidRPr="00776CAB">
        <w:rPr>
          <w:rFonts w:asciiTheme="majorBidi" w:hAnsiTheme="majorBidi" w:cstheme="majorBidi"/>
          <w:sz w:val="24"/>
          <w:szCs w:val="24"/>
        </w:rPr>
        <w:t xml:space="preserve">). </w:t>
      </w:r>
    </w:p>
    <w:p w14:paraId="44C2D39B" w14:textId="77777777" w:rsidR="00776CAB" w:rsidRPr="00776CAB" w:rsidRDefault="00776CAB" w:rsidP="00776CAB">
      <w:pPr>
        <w:pStyle w:val="Heading1"/>
        <w:numPr>
          <w:ilvl w:val="0"/>
          <w:numId w:val="1"/>
        </w:numPr>
      </w:pPr>
      <w:bookmarkStart w:id="9" w:name="_Toc210852931"/>
      <w:r w:rsidRPr="00776CAB">
        <w:t>Is Or</w:t>
      </w:r>
      <w:r>
        <w:t>ganisational Culture a Barrier?</w:t>
      </w:r>
      <w:bookmarkEnd w:id="9"/>
    </w:p>
    <w:p w14:paraId="013CB828" w14:textId="77777777" w:rsidR="00776CAB" w:rsidRPr="00776CAB" w:rsidRDefault="00776CAB" w:rsidP="0002026D">
      <w:pPr>
        <w:spacing w:line="480" w:lineRule="auto"/>
        <w:ind w:firstLine="720"/>
        <w:rPr>
          <w:rFonts w:asciiTheme="majorBidi" w:hAnsiTheme="majorBidi" w:cstheme="majorBidi"/>
          <w:sz w:val="24"/>
          <w:szCs w:val="24"/>
        </w:rPr>
      </w:pPr>
      <w:r w:rsidRPr="00776CAB">
        <w:rPr>
          <w:rFonts w:asciiTheme="majorBidi" w:hAnsiTheme="majorBidi" w:cstheme="majorBidi"/>
          <w:sz w:val="24"/>
          <w:szCs w:val="24"/>
        </w:rPr>
        <w:t>Toyota’s culture delivers clear strengths that support effective functioning. Empirical literature associates lean and TPS with lower cycle times, reduced defects, and higher productivity, outcomes consistent with jidoka, just in time, standard work, and structured problem solving. These routines embed learning and discipline that scale across complex operations, which explains persistent advantages in quality and cost across multiple product generations (</w:t>
      </w:r>
      <w:r w:rsidR="0002026D" w:rsidRPr="000A7294">
        <w:rPr>
          <w:rFonts w:asciiTheme="majorBidi" w:hAnsiTheme="majorBidi" w:cstheme="majorBidi"/>
          <w:sz w:val="24"/>
          <w:szCs w:val="24"/>
        </w:rPr>
        <w:t>Yamamoto</w:t>
      </w:r>
      <w:r w:rsidR="0002026D">
        <w:rPr>
          <w:rFonts w:asciiTheme="majorBidi" w:hAnsiTheme="majorBidi" w:cstheme="majorBidi"/>
          <w:sz w:val="24"/>
          <w:szCs w:val="24"/>
        </w:rPr>
        <w:t xml:space="preserve"> et al., 2019</w:t>
      </w:r>
      <w:r w:rsidRPr="00776CAB">
        <w:rPr>
          <w:rFonts w:asciiTheme="majorBidi" w:hAnsiTheme="majorBidi" w:cstheme="majorBidi"/>
          <w:sz w:val="24"/>
          <w:szCs w:val="24"/>
        </w:rPr>
        <w:t xml:space="preserve">). </w:t>
      </w:r>
    </w:p>
    <w:p w14:paraId="117177A7" w14:textId="77777777" w:rsidR="00776CAB" w:rsidRPr="00776CAB" w:rsidRDefault="00776CAB" w:rsidP="0002026D">
      <w:pPr>
        <w:spacing w:line="480" w:lineRule="auto"/>
        <w:ind w:firstLine="720"/>
        <w:rPr>
          <w:rFonts w:asciiTheme="majorBidi" w:hAnsiTheme="majorBidi" w:cstheme="majorBidi"/>
          <w:sz w:val="24"/>
          <w:szCs w:val="24"/>
        </w:rPr>
      </w:pPr>
      <w:r w:rsidRPr="00776CAB">
        <w:rPr>
          <w:rFonts w:asciiTheme="majorBidi" w:hAnsiTheme="majorBidi" w:cstheme="majorBidi"/>
          <w:sz w:val="24"/>
          <w:szCs w:val="24"/>
        </w:rPr>
        <w:t xml:space="preserve">However, culture can impose costs when the environment demands rapid strategic shifts. </w:t>
      </w:r>
      <w:r>
        <w:rPr>
          <w:rFonts w:asciiTheme="majorBidi" w:hAnsiTheme="majorBidi" w:cstheme="majorBidi"/>
          <w:sz w:val="24"/>
          <w:szCs w:val="24"/>
        </w:rPr>
        <w:t>Consensus-building</w:t>
      </w:r>
      <w:r w:rsidRPr="00776CAB">
        <w:rPr>
          <w:rFonts w:asciiTheme="majorBidi" w:hAnsiTheme="majorBidi" w:cstheme="majorBidi"/>
          <w:sz w:val="24"/>
          <w:szCs w:val="24"/>
        </w:rPr>
        <w:t xml:space="preserve"> practices such as nemawashi and ringi create alignment and implementation quality, yet they lengthen decision lead time for unfamiliar technologies and architectures</w:t>
      </w:r>
      <w:r w:rsidR="0002026D">
        <w:rPr>
          <w:rFonts w:asciiTheme="majorBidi" w:hAnsiTheme="majorBidi" w:cstheme="majorBidi"/>
          <w:sz w:val="24"/>
          <w:szCs w:val="24"/>
        </w:rPr>
        <w:t xml:space="preserve"> (Sosnovskikh, </w:t>
      </w:r>
      <w:r w:rsidR="0002026D" w:rsidRPr="0042546D">
        <w:rPr>
          <w:rFonts w:asciiTheme="majorBidi" w:hAnsiTheme="majorBidi" w:cstheme="majorBidi"/>
          <w:sz w:val="24"/>
          <w:szCs w:val="24"/>
        </w:rPr>
        <w:t>2016</w:t>
      </w:r>
      <w:r w:rsidR="0002026D">
        <w:rPr>
          <w:rFonts w:asciiTheme="majorBidi" w:hAnsiTheme="majorBidi" w:cstheme="majorBidi"/>
          <w:sz w:val="24"/>
          <w:szCs w:val="24"/>
        </w:rPr>
        <w:t>)</w:t>
      </w:r>
      <w:r w:rsidRPr="00776CAB">
        <w:rPr>
          <w:rFonts w:asciiTheme="majorBidi" w:hAnsiTheme="majorBidi" w:cstheme="majorBidi"/>
          <w:sz w:val="24"/>
          <w:szCs w:val="24"/>
        </w:rPr>
        <w:t xml:space="preserve">. Commentators have linked these time costs to slower movement in fully electric platforms and </w:t>
      </w:r>
      <w:r>
        <w:rPr>
          <w:rFonts w:asciiTheme="majorBidi" w:hAnsiTheme="majorBidi" w:cstheme="majorBidi"/>
          <w:sz w:val="24"/>
          <w:szCs w:val="24"/>
        </w:rPr>
        <w:t>software-centric</w:t>
      </w:r>
      <w:r w:rsidRPr="00776CAB">
        <w:rPr>
          <w:rFonts w:asciiTheme="majorBidi" w:hAnsiTheme="majorBidi" w:cstheme="majorBidi"/>
          <w:sz w:val="24"/>
          <w:szCs w:val="24"/>
        </w:rPr>
        <w:t xml:space="preserve"> operating models, while Toyota’s own explainers emphasise consensus as a deliberate first step in decision making, which benefits stability but may constrain speed under high uncertainty (</w:t>
      </w:r>
      <w:r w:rsidR="0002026D">
        <w:rPr>
          <w:rFonts w:asciiTheme="majorBidi" w:hAnsiTheme="majorBidi" w:cstheme="majorBidi"/>
          <w:sz w:val="24"/>
          <w:szCs w:val="24"/>
        </w:rPr>
        <w:t>Hino, 2024</w:t>
      </w:r>
      <w:r w:rsidRPr="00776CAB">
        <w:rPr>
          <w:rFonts w:asciiTheme="majorBidi" w:hAnsiTheme="majorBidi" w:cstheme="majorBidi"/>
          <w:sz w:val="24"/>
          <w:szCs w:val="24"/>
        </w:rPr>
        <w:t xml:space="preserve">). </w:t>
      </w:r>
    </w:p>
    <w:p w14:paraId="49080016" w14:textId="77777777" w:rsidR="00776CAB" w:rsidRPr="00776CAB" w:rsidRDefault="00776CAB" w:rsidP="00776CAB">
      <w:pPr>
        <w:spacing w:line="480" w:lineRule="auto"/>
        <w:ind w:firstLine="720"/>
        <w:rPr>
          <w:rFonts w:asciiTheme="majorBidi" w:hAnsiTheme="majorBidi" w:cstheme="majorBidi"/>
          <w:sz w:val="24"/>
          <w:szCs w:val="24"/>
        </w:rPr>
      </w:pPr>
      <w:r w:rsidRPr="00776CAB">
        <w:rPr>
          <w:rFonts w:asciiTheme="majorBidi" w:hAnsiTheme="majorBidi" w:cstheme="majorBidi"/>
          <w:sz w:val="24"/>
          <w:szCs w:val="24"/>
        </w:rPr>
        <w:t xml:space="preserve">The </w:t>
      </w:r>
      <w:r>
        <w:rPr>
          <w:rFonts w:asciiTheme="majorBidi" w:hAnsiTheme="majorBidi" w:cstheme="majorBidi"/>
          <w:sz w:val="24"/>
          <w:szCs w:val="24"/>
        </w:rPr>
        <w:t>judgment</w:t>
      </w:r>
      <w:r w:rsidRPr="00776CAB">
        <w:rPr>
          <w:rFonts w:asciiTheme="majorBidi" w:hAnsiTheme="majorBidi" w:cstheme="majorBidi"/>
          <w:sz w:val="24"/>
          <w:szCs w:val="24"/>
        </w:rPr>
        <w:t xml:space="preserve"> is therefore conditional. In continuous improvement settings, the culture is an enabler of effectiveness through quality, waste reduction, and deep learning. In discontinuous change, where architectural commitments must be made under time pressure, the same cultural features can become a barrier unless leaders adapt decision cadences and governance for exploration work. This contingency frames the practical reforms proposed</w:t>
      </w:r>
      <w:r w:rsidR="0002026D">
        <w:rPr>
          <w:rFonts w:asciiTheme="majorBidi" w:hAnsiTheme="majorBidi" w:cstheme="majorBidi"/>
          <w:sz w:val="24"/>
          <w:szCs w:val="24"/>
        </w:rPr>
        <w:t xml:space="preserve"> later (Birkinshaw et al., 2016).</w:t>
      </w:r>
    </w:p>
    <w:p w14:paraId="52F816BB" w14:textId="77777777" w:rsidR="00776CAB" w:rsidRPr="00776CAB" w:rsidRDefault="00776CAB" w:rsidP="00776CAB">
      <w:pPr>
        <w:spacing w:line="480" w:lineRule="auto"/>
        <w:rPr>
          <w:rFonts w:asciiTheme="majorBidi" w:hAnsiTheme="majorBidi" w:cstheme="majorBidi"/>
          <w:sz w:val="24"/>
          <w:szCs w:val="24"/>
        </w:rPr>
      </w:pPr>
    </w:p>
    <w:p w14:paraId="128CF813" w14:textId="77777777" w:rsidR="00776CAB" w:rsidRPr="00776CAB" w:rsidRDefault="00776CAB" w:rsidP="00776CAB">
      <w:pPr>
        <w:pStyle w:val="Heading1"/>
        <w:numPr>
          <w:ilvl w:val="0"/>
          <w:numId w:val="1"/>
        </w:numPr>
      </w:pPr>
      <w:bookmarkStart w:id="10" w:name="_Toc210852932"/>
      <w:r w:rsidRPr="00776CAB">
        <w:t>I</w:t>
      </w:r>
      <w:r>
        <w:t>mpact</w:t>
      </w:r>
      <w:r w:rsidRPr="00776CAB">
        <w:t xml:space="preserve"> of Culture</w:t>
      </w:r>
      <w:r>
        <w:t xml:space="preserve"> on Organisational Performance</w:t>
      </w:r>
      <w:bookmarkEnd w:id="10"/>
    </w:p>
    <w:p w14:paraId="4515B935" w14:textId="77777777" w:rsidR="00776CAB" w:rsidRPr="00776CAB" w:rsidRDefault="00776CAB" w:rsidP="0002026D">
      <w:pPr>
        <w:spacing w:line="480" w:lineRule="auto"/>
        <w:ind w:firstLine="720"/>
        <w:rPr>
          <w:rFonts w:asciiTheme="majorBidi" w:hAnsiTheme="majorBidi" w:cstheme="majorBidi"/>
          <w:sz w:val="24"/>
          <w:szCs w:val="24"/>
        </w:rPr>
      </w:pPr>
      <w:r w:rsidRPr="00776CAB">
        <w:rPr>
          <w:rFonts w:asciiTheme="majorBidi" w:hAnsiTheme="majorBidi" w:cstheme="majorBidi"/>
          <w:sz w:val="24"/>
          <w:szCs w:val="24"/>
        </w:rPr>
        <w:t xml:space="preserve">A large body of </w:t>
      </w:r>
      <w:r>
        <w:rPr>
          <w:rFonts w:asciiTheme="majorBidi" w:hAnsiTheme="majorBidi" w:cstheme="majorBidi"/>
          <w:sz w:val="24"/>
          <w:szCs w:val="24"/>
        </w:rPr>
        <w:t>peer-reviewed work links lean and TPS to performance improvements in productivity, quality, delivery reliability, and environmental outcomes, using meta-analytic</w:t>
      </w:r>
      <w:r w:rsidRPr="00776CAB">
        <w:rPr>
          <w:rFonts w:asciiTheme="majorBidi" w:hAnsiTheme="majorBidi" w:cstheme="majorBidi"/>
          <w:sz w:val="24"/>
          <w:szCs w:val="24"/>
        </w:rPr>
        <w:t xml:space="preserve"> methods and case designs across sectors</w:t>
      </w:r>
      <w:r w:rsidR="0002026D">
        <w:rPr>
          <w:rFonts w:asciiTheme="majorBidi" w:hAnsiTheme="majorBidi" w:cstheme="majorBidi"/>
          <w:sz w:val="24"/>
          <w:szCs w:val="24"/>
        </w:rPr>
        <w:t xml:space="preserve"> (Antony et al., 2022; Fortuny-Santos et al., 2025)</w:t>
      </w:r>
      <w:r w:rsidRPr="00776CAB">
        <w:rPr>
          <w:rFonts w:asciiTheme="majorBidi" w:hAnsiTheme="majorBidi" w:cstheme="majorBidi"/>
          <w:sz w:val="24"/>
          <w:szCs w:val="24"/>
        </w:rPr>
        <w:t>. Studies report positive, moderate correlations between aggregate lean adoption and business performance, and document statistically significant reductions in cycle time, inventories, and defects when organisations institutionalise standard work, pull systems, and structured problem solving, which map directly to TPS routines (</w:t>
      </w:r>
      <w:r w:rsidR="0002026D">
        <w:rPr>
          <w:rFonts w:asciiTheme="majorBidi" w:hAnsiTheme="majorBidi" w:cstheme="majorBidi"/>
          <w:sz w:val="24"/>
          <w:szCs w:val="24"/>
        </w:rPr>
        <w:t xml:space="preserve">Ooi et al., 2023; Yilmaz, </w:t>
      </w:r>
      <w:r w:rsidR="0002026D" w:rsidRPr="0042546D">
        <w:rPr>
          <w:rFonts w:asciiTheme="majorBidi" w:hAnsiTheme="majorBidi" w:cstheme="majorBidi"/>
          <w:sz w:val="24"/>
          <w:szCs w:val="24"/>
        </w:rPr>
        <w:t>2025</w:t>
      </w:r>
      <w:r w:rsidRPr="00776CAB">
        <w:rPr>
          <w:rFonts w:asciiTheme="majorBidi" w:hAnsiTheme="majorBidi" w:cstheme="majorBidi"/>
          <w:sz w:val="24"/>
          <w:szCs w:val="24"/>
        </w:rPr>
        <w:t xml:space="preserve">). </w:t>
      </w:r>
    </w:p>
    <w:p w14:paraId="6D6F0AF5" w14:textId="77777777" w:rsidR="00776CAB" w:rsidRPr="00776CAB" w:rsidRDefault="00776CAB" w:rsidP="0033149E">
      <w:pPr>
        <w:spacing w:line="480" w:lineRule="auto"/>
        <w:ind w:firstLine="720"/>
        <w:rPr>
          <w:rFonts w:asciiTheme="majorBidi" w:hAnsiTheme="majorBidi" w:cstheme="majorBidi"/>
          <w:sz w:val="24"/>
          <w:szCs w:val="24"/>
        </w:rPr>
      </w:pPr>
      <w:r w:rsidRPr="00776CAB">
        <w:rPr>
          <w:rFonts w:asciiTheme="majorBidi" w:hAnsiTheme="majorBidi" w:cstheme="majorBidi"/>
          <w:sz w:val="24"/>
          <w:szCs w:val="24"/>
        </w:rPr>
        <w:t>Toyota’s recent results illustrate how culture supports performance at scale, even as exogenous shocks and competitive pressures introduce volatility</w:t>
      </w:r>
      <w:r w:rsidR="0033149E">
        <w:rPr>
          <w:rFonts w:asciiTheme="majorBidi" w:hAnsiTheme="majorBidi" w:cstheme="majorBidi"/>
          <w:sz w:val="24"/>
          <w:szCs w:val="24"/>
        </w:rPr>
        <w:t xml:space="preserve"> (Meyer, 2025)</w:t>
      </w:r>
      <w:r w:rsidRPr="00776CAB">
        <w:rPr>
          <w:rFonts w:asciiTheme="majorBidi" w:hAnsiTheme="majorBidi" w:cstheme="majorBidi"/>
          <w:sz w:val="24"/>
          <w:szCs w:val="24"/>
        </w:rPr>
        <w:t xml:space="preserve">. The company sustained the world’s </w:t>
      </w:r>
      <w:r>
        <w:rPr>
          <w:rFonts w:asciiTheme="majorBidi" w:hAnsiTheme="majorBidi" w:cstheme="majorBidi"/>
          <w:sz w:val="24"/>
          <w:szCs w:val="24"/>
        </w:rPr>
        <w:t>top-selling position in 2024 with 10.8 million vehicles, wh</w:t>
      </w:r>
      <w:r w:rsidR="0033149E">
        <w:rPr>
          <w:rFonts w:asciiTheme="majorBidi" w:hAnsiTheme="majorBidi" w:cstheme="majorBidi"/>
          <w:sz w:val="24"/>
          <w:szCs w:val="24"/>
        </w:rPr>
        <w:t xml:space="preserve">ile hybrids reached roughly 41% </w:t>
      </w:r>
      <w:r>
        <w:rPr>
          <w:rFonts w:asciiTheme="majorBidi" w:hAnsiTheme="majorBidi" w:cstheme="majorBidi"/>
          <w:sz w:val="24"/>
          <w:szCs w:val="24"/>
        </w:rPr>
        <w:t>of parent brand sales and battery electric vehicles accounted for a</w:t>
      </w:r>
      <w:r w:rsidR="0033149E">
        <w:rPr>
          <w:rFonts w:asciiTheme="majorBidi" w:hAnsiTheme="majorBidi" w:cstheme="majorBidi"/>
          <w:sz w:val="24"/>
          <w:szCs w:val="24"/>
        </w:rPr>
        <w:t>bout 1.4%</w:t>
      </w:r>
      <w:r>
        <w:rPr>
          <w:rFonts w:asciiTheme="majorBidi" w:hAnsiTheme="majorBidi" w:cstheme="majorBidi"/>
          <w:sz w:val="24"/>
          <w:szCs w:val="24"/>
        </w:rPr>
        <w:t>, a mix that reflects disciplined, data-driven</w:t>
      </w:r>
      <w:r w:rsidRPr="00776CAB">
        <w:rPr>
          <w:rFonts w:asciiTheme="majorBidi" w:hAnsiTheme="majorBidi" w:cstheme="majorBidi"/>
          <w:sz w:val="24"/>
          <w:szCs w:val="24"/>
        </w:rPr>
        <w:t xml:space="preserve"> allocation of capacity and product development resources (</w:t>
      </w:r>
      <w:r w:rsidR="0033149E">
        <w:rPr>
          <w:rFonts w:asciiTheme="majorBidi" w:hAnsiTheme="majorBidi" w:cstheme="majorBidi"/>
          <w:sz w:val="24"/>
          <w:szCs w:val="24"/>
        </w:rPr>
        <w:t>Argus Media, 2024</w:t>
      </w:r>
      <w:r w:rsidRPr="00776CAB">
        <w:rPr>
          <w:rFonts w:asciiTheme="majorBidi" w:hAnsiTheme="majorBidi" w:cstheme="majorBidi"/>
          <w:sz w:val="24"/>
          <w:szCs w:val="24"/>
        </w:rPr>
        <w:t xml:space="preserve">). </w:t>
      </w:r>
    </w:p>
    <w:p w14:paraId="580437A3" w14:textId="77777777" w:rsidR="00776CAB" w:rsidRPr="00776CAB" w:rsidRDefault="00776CAB" w:rsidP="00FB3C55">
      <w:pPr>
        <w:spacing w:line="480" w:lineRule="auto"/>
        <w:ind w:firstLine="720"/>
        <w:rPr>
          <w:rFonts w:asciiTheme="majorBidi" w:hAnsiTheme="majorBidi" w:cstheme="majorBidi"/>
          <w:sz w:val="24"/>
          <w:szCs w:val="24"/>
        </w:rPr>
      </w:pPr>
      <w:r w:rsidRPr="00776CAB">
        <w:rPr>
          <w:rFonts w:asciiTheme="majorBidi" w:hAnsiTheme="majorBidi" w:cstheme="majorBidi"/>
          <w:sz w:val="24"/>
          <w:szCs w:val="24"/>
        </w:rPr>
        <w:t>Financial prints underscore both the strength and the exposure. In the fiscal year ended March 2024, net profit doubled to 4.9 trillion yen on sales of 45 trillion yen, supported by volume recovery and currency effects</w:t>
      </w:r>
      <w:r w:rsidR="00FB3C55">
        <w:rPr>
          <w:rFonts w:asciiTheme="majorBidi" w:hAnsiTheme="majorBidi" w:cstheme="majorBidi"/>
          <w:sz w:val="24"/>
          <w:szCs w:val="24"/>
        </w:rPr>
        <w:t xml:space="preserve"> (Toyota Motor Corporation, </w:t>
      </w:r>
      <w:r w:rsidR="00FB3C55" w:rsidRPr="008F560B">
        <w:rPr>
          <w:rFonts w:asciiTheme="majorBidi" w:hAnsiTheme="majorBidi" w:cstheme="majorBidi"/>
          <w:sz w:val="24"/>
          <w:szCs w:val="24"/>
        </w:rPr>
        <w:t>2024</w:t>
      </w:r>
      <w:r w:rsidR="007F6E76">
        <w:rPr>
          <w:rFonts w:asciiTheme="majorBidi" w:hAnsiTheme="majorBidi" w:cstheme="majorBidi"/>
          <w:sz w:val="24"/>
          <w:szCs w:val="24"/>
        </w:rPr>
        <w:t>c</w:t>
      </w:r>
      <w:r w:rsidR="00FB3C55">
        <w:rPr>
          <w:rFonts w:asciiTheme="majorBidi" w:hAnsiTheme="majorBidi" w:cstheme="majorBidi"/>
          <w:sz w:val="24"/>
          <w:szCs w:val="24"/>
        </w:rPr>
        <w:t>)</w:t>
      </w:r>
      <w:r w:rsidRPr="00776CAB">
        <w:rPr>
          <w:rFonts w:asciiTheme="majorBidi" w:hAnsiTheme="majorBidi" w:cstheme="majorBidi"/>
          <w:sz w:val="24"/>
          <w:szCs w:val="24"/>
        </w:rPr>
        <w:t>. In the subsequent year, sales reached a record 48 trillion yen while quarterly profitability softened due to costs linked to certification remediation and external headwinds, and the company issued cautious guidance that incorporated tariff impacts (</w:t>
      </w:r>
      <w:r w:rsidR="00FB3C55" w:rsidRPr="008F560B">
        <w:rPr>
          <w:rFonts w:asciiTheme="majorBidi" w:hAnsiTheme="majorBidi" w:cstheme="majorBidi"/>
          <w:sz w:val="24"/>
          <w:szCs w:val="24"/>
        </w:rPr>
        <w:t>ETBrandEqu</w:t>
      </w:r>
      <w:r w:rsidR="00FB3C55">
        <w:rPr>
          <w:rFonts w:asciiTheme="majorBidi" w:hAnsiTheme="majorBidi" w:cstheme="majorBidi"/>
          <w:sz w:val="24"/>
          <w:szCs w:val="24"/>
        </w:rPr>
        <w:t xml:space="preserve">ity, 2025). </w:t>
      </w:r>
      <w:r w:rsidRPr="00776CAB">
        <w:rPr>
          <w:rFonts w:asciiTheme="majorBidi" w:hAnsiTheme="majorBidi" w:cstheme="majorBidi"/>
          <w:sz w:val="24"/>
          <w:szCs w:val="24"/>
        </w:rPr>
        <w:t xml:space="preserve">This pattern aligns with a </w:t>
      </w:r>
      <w:r w:rsidRPr="00776CAB">
        <w:rPr>
          <w:rFonts w:asciiTheme="majorBidi" w:hAnsiTheme="majorBidi" w:cstheme="majorBidi"/>
          <w:sz w:val="24"/>
          <w:szCs w:val="24"/>
        </w:rPr>
        <w:lastRenderedPageBreak/>
        <w:t xml:space="preserve">culture that protects operational stability and quality, yet faces margin compression when policy shocks lift input costs or constrain mix. </w:t>
      </w:r>
    </w:p>
    <w:p w14:paraId="34D751F1" w14:textId="77777777" w:rsidR="00776CAB" w:rsidRPr="00776CAB" w:rsidRDefault="00776CAB" w:rsidP="00801257">
      <w:pPr>
        <w:spacing w:line="480" w:lineRule="auto"/>
        <w:ind w:firstLine="720"/>
        <w:rPr>
          <w:rFonts w:asciiTheme="majorBidi" w:hAnsiTheme="majorBidi" w:cstheme="majorBidi"/>
          <w:sz w:val="24"/>
          <w:szCs w:val="24"/>
        </w:rPr>
      </w:pPr>
      <w:r w:rsidRPr="00776CAB">
        <w:rPr>
          <w:rFonts w:asciiTheme="majorBidi" w:hAnsiTheme="majorBidi" w:cstheme="majorBidi"/>
          <w:sz w:val="24"/>
          <w:szCs w:val="24"/>
        </w:rPr>
        <w:t>Culture remains a core enabler because the Toyota Way gives managers a shared logic for diagnosing problems, deploying countermeasures, and sustaining gains across plants and markets</w:t>
      </w:r>
      <w:r w:rsidR="00FB3C55">
        <w:rPr>
          <w:rFonts w:asciiTheme="majorBidi" w:hAnsiTheme="majorBidi" w:cstheme="majorBidi"/>
          <w:sz w:val="24"/>
          <w:szCs w:val="24"/>
        </w:rPr>
        <w:t xml:space="preserve"> (Frederique, 2024)</w:t>
      </w:r>
      <w:r w:rsidRPr="00776CAB">
        <w:rPr>
          <w:rFonts w:asciiTheme="majorBidi" w:hAnsiTheme="majorBidi" w:cstheme="majorBidi"/>
          <w:sz w:val="24"/>
          <w:szCs w:val="24"/>
        </w:rPr>
        <w:t xml:space="preserve">. Nevertheless, culture does not guarantee leadership in new technology domains. Battery electric and </w:t>
      </w:r>
      <w:r>
        <w:rPr>
          <w:rFonts w:asciiTheme="majorBidi" w:hAnsiTheme="majorBidi" w:cstheme="majorBidi"/>
          <w:sz w:val="24"/>
          <w:szCs w:val="24"/>
        </w:rPr>
        <w:t>software-defined vehicles demand faster architectural bets and digital skills that stretch consensus routines, which creates an execution gap that the firm must close to sustain long-term</w:t>
      </w:r>
      <w:r w:rsidRPr="00776CAB">
        <w:rPr>
          <w:rFonts w:asciiTheme="majorBidi" w:hAnsiTheme="majorBidi" w:cstheme="majorBidi"/>
          <w:sz w:val="24"/>
          <w:szCs w:val="24"/>
        </w:rPr>
        <w:t xml:space="preserve"> advantage (</w:t>
      </w:r>
      <w:r w:rsidR="002D0C6A">
        <w:rPr>
          <w:rFonts w:asciiTheme="majorBidi" w:hAnsiTheme="majorBidi" w:cstheme="majorBidi"/>
          <w:sz w:val="24"/>
          <w:szCs w:val="24"/>
        </w:rPr>
        <w:t>Toyota Motor Corporation, 2021</w:t>
      </w:r>
      <w:r w:rsidR="00BD3E42">
        <w:rPr>
          <w:rFonts w:asciiTheme="majorBidi" w:hAnsiTheme="majorBidi" w:cstheme="majorBidi"/>
          <w:sz w:val="24"/>
          <w:szCs w:val="24"/>
        </w:rPr>
        <w:t>b</w:t>
      </w:r>
      <w:r w:rsidRPr="00776CAB">
        <w:rPr>
          <w:rFonts w:asciiTheme="majorBidi" w:hAnsiTheme="majorBidi" w:cstheme="majorBidi"/>
          <w:sz w:val="24"/>
          <w:szCs w:val="24"/>
        </w:rPr>
        <w:t xml:space="preserve">). </w:t>
      </w:r>
    </w:p>
    <w:p w14:paraId="436F4957" w14:textId="77777777" w:rsidR="00776CAB" w:rsidRPr="00776CAB" w:rsidRDefault="00776CAB" w:rsidP="00776CAB">
      <w:pPr>
        <w:pStyle w:val="Heading1"/>
        <w:numPr>
          <w:ilvl w:val="0"/>
          <w:numId w:val="1"/>
        </w:numPr>
      </w:pPr>
      <w:bookmarkStart w:id="11" w:name="_Toc210852933"/>
      <w:r>
        <w:t>Recommendations</w:t>
      </w:r>
      <w:bookmarkEnd w:id="11"/>
    </w:p>
    <w:p w14:paraId="1F5D70B0" w14:textId="77777777" w:rsidR="00776CAB" w:rsidRPr="00776CAB" w:rsidRDefault="00776CAB" w:rsidP="00AF70AB">
      <w:pPr>
        <w:pStyle w:val="ListParagraph"/>
        <w:numPr>
          <w:ilvl w:val="0"/>
          <w:numId w:val="2"/>
        </w:numPr>
        <w:spacing w:line="480" w:lineRule="auto"/>
        <w:rPr>
          <w:rFonts w:asciiTheme="majorBidi" w:hAnsiTheme="majorBidi" w:cstheme="majorBidi"/>
          <w:sz w:val="24"/>
          <w:szCs w:val="24"/>
        </w:rPr>
      </w:pPr>
      <w:r w:rsidRPr="00776CAB">
        <w:rPr>
          <w:rFonts w:asciiTheme="majorBidi" w:hAnsiTheme="majorBidi" w:cstheme="majorBidi"/>
          <w:sz w:val="24"/>
          <w:szCs w:val="24"/>
        </w:rPr>
        <w:t xml:space="preserve">Establish a dual decision cadence that preserves nemawashi for operational change while introducing </w:t>
      </w:r>
      <w:r>
        <w:rPr>
          <w:rFonts w:asciiTheme="majorBidi" w:hAnsiTheme="majorBidi" w:cstheme="majorBidi"/>
          <w:sz w:val="24"/>
          <w:szCs w:val="24"/>
        </w:rPr>
        <w:t>time-boxed decision forums for disruptive bets, with decision-ready A3s due within ten days for strategic items, and track idea to green-light</w:t>
      </w:r>
      <w:r w:rsidRPr="00776CAB">
        <w:rPr>
          <w:rFonts w:asciiTheme="majorBidi" w:hAnsiTheme="majorBidi" w:cstheme="majorBidi"/>
          <w:sz w:val="24"/>
          <w:szCs w:val="24"/>
        </w:rPr>
        <w:t xml:space="preserve"> cycle time as the primary speed metric (</w:t>
      </w:r>
      <w:r w:rsidR="00AF70AB">
        <w:rPr>
          <w:rFonts w:asciiTheme="majorBidi" w:hAnsiTheme="majorBidi" w:cstheme="majorBidi"/>
          <w:sz w:val="24"/>
          <w:szCs w:val="24"/>
        </w:rPr>
        <w:t>Clifford, 2024</w:t>
      </w:r>
      <w:r w:rsidRPr="00776CAB">
        <w:rPr>
          <w:rFonts w:asciiTheme="majorBidi" w:hAnsiTheme="majorBidi" w:cstheme="majorBidi"/>
          <w:sz w:val="24"/>
          <w:szCs w:val="24"/>
        </w:rPr>
        <w:t xml:space="preserve">). </w:t>
      </w:r>
    </w:p>
    <w:p w14:paraId="5EB8E0DC" w14:textId="77777777" w:rsidR="00776CAB" w:rsidRPr="00776CAB" w:rsidRDefault="00776CAB" w:rsidP="00776CAB">
      <w:pPr>
        <w:pStyle w:val="ListParagraph"/>
        <w:numPr>
          <w:ilvl w:val="0"/>
          <w:numId w:val="2"/>
        </w:numPr>
        <w:spacing w:line="480" w:lineRule="auto"/>
        <w:rPr>
          <w:rFonts w:asciiTheme="majorBidi" w:hAnsiTheme="majorBidi" w:cstheme="majorBidi"/>
          <w:sz w:val="24"/>
          <w:szCs w:val="24"/>
        </w:rPr>
      </w:pPr>
      <w:r w:rsidRPr="00776CAB">
        <w:rPr>
          <w:rFonts w:asciiTheme="majorBidi" w:hAnsiTheme="majorBidi" w:cstheme="majorBidi"/>
          <w:sz w:val="24"/>
          <w:szCs w:val="24"/>
        </w:rPr>
        <w:t xml:space="preserve">Deploy a fast ringi variant for high uncertainty projects, limiting circulation rounds to two iterations and measuring approval lead time and </w:t>
      </w:r>
      <w:r>
        <w:rPr>
          <w:rFonts w:asciiTheme="majorBidi" w:hAnsiTheme="majorBidi" w:cstheme="majorBidi"/>
          <w:sz w:val="24"/>
          <w:szCs w:val="24"/>
        </w:rPr>
        <w:t>post-launch</w:t>
      </w:r>
      <w:r w:rsidRPr="00776CAB">
        <w:rPr>
          <w:rFonts w:asciiTheme="majorBidi" w:hAnsiTheme="majorBidi" w:cstheme="majorBidi"/>
          <w:sz w:val="24"/>
          <w:szCs w:val="24"/>
        </w:rPr>
        <w:t xml:space="preserve"> rework to verify </w:t>
      </w:r>
      <w:r w:rsidR="00801257">
        <w:rPr>
          <w:rFonts w:asciiTheme="majorBidi" w:hAnsiTheme="majorBidi" w:cstheme="majorBidi"/>
          <w:sz w:val="24"/>
          <w:szCs w:val="24"/>
        </w:rPr>
        <w:t xml:space="preserve">the </w:t>
      </w:r>
      <w:r w:rsidRPr="00776CAB">
        <w:rPr>
          <w:rFonts w:asciiTheme="majorBidi" w:hAnsiTheme="majorBidi" w:cstheme="majorBidi"/>
          <w:sz w:val="24"/>
          <w:szCs w:val="24"/>
        </w:rPr>
        <w:t>quality of speed.</w:t>
      </w:r>
    </w:p>
    <w:p w14:paraId="7597385A" w14:textId="77777777" w:rsidR="00776CAB" w:rsidRPr="00776CAB" w:rsidRDefault="00776CAB" w:rsidP="00776CAB">
      <w:pPr>
        <w:pStyle w:val="ListParagraph"/>
        <w:numPr>
          <w:ilvl w:val="0"/>
          <w:numId w:val="2"/>
        </w:numPr>
        <w:spacing w:line="480" w:lineRule="auto"/>
        <w:rPr>
          <w:rFonts w:asciiTheme="majorBidi" w:hAnsiTheme="majorBidi" w:cstheme="majorBidi"/>
          <w:sz w:val="24"/>
          <w:szCs w:val="24"/>
        </w:rPr>
      </w:pPr>
      <w:r w:rsidRPr="00776CAB">
        <w:rPr>
          <w:rFonts w:asciiTheme="majorBidi" w:hAnsiTheme="majorBidi" w:cstheme="majorBidi"/>
          <w:sz w:val="24"/>
          <w:szCs w:val="24"/>
        </w:rPr>
        <w:t xml:space="preserve">Build </w:t>
      </w:r>
      <w:r>
        <w:rPr>
          <w:rFonts w:asciiTheme="majorBidi" w:hAnsiTheme="majorBidi" w:cstheme="majorBidi"/>
          <w:sz w:val="24"/>
          <w:szCs w:val="24"/>
        </w:rPr>
        <w:t>product-oriented software and EV squads with end-to-end</w:t>
      </w:r>
      <w:r w:rsidRPr="00776CAB">
        <w:rPr>
          <w:rFonts w:asciiTheme="majorBidi" w:hAnsiTheme="majorBidi" w:cstheme="majorBidi"/>
          <w:sz w:val="24"/>
          <w:szCs w:val="24"/>
        </w:rPr>
        <w:t xml:space="preserve"> ownership mapped to Handy’s task culture, stand up digital obeya environments as Schein level one artefacts, and publish sprint throughput and release frequency to anchor behaviours.</w:t>
      </w:r>
    </w:p>
    <w:p w14:paraId="4559CC22" w14:textId="77777777" w:rsidR="00776CAB" w:rsidRPr="00776CAB" w:rsidRDefault="00776CAB" w:rsidP="00AF70AB">
      <w:pPr>
        <w:pStyle w:val="ListParagraph"/>
        <w:numPr>
          <w:ilvl w:val="0"/>
          <w:numId w:val="2"/>
        </w:numPr>
        <w:spacing w:line="480" w:lineRule="auto"/>
        <w:rPr>
          <w:rFonts w:asciiTheme="majorBidi" w:hAnsiTheme="majorBidi" w:cstheme="majorBidi"/>
          <w:sz w:val="24"/>
          <w:szCs w:val="24"/>
        </w:rPr>
      </w:pPr>
      <w:r w:rsidRPr="00776CAB">
        <w:rPr>
          <w:rFonts w:asciiTheme="majorBidi" w:hAnsiTheme="majorBidi" w:cstheme="majorBidi"/>
          <w:sz w:val="24"/>
          <w:szCs w:val="24"/>
        </w:rPr>
        <w:t>Set Denison Adaptability targets by site, increasing customer focus and organisational learning index scores by defined percentages year on year, and link manager evaluations to these gains (</w:t>
      </w:r>
      <w:r w:rsidR="00AF70AB" w:rsidRPr="00F951A6">
        <w:rPr>
          <w:rFonts w:asciiTheme="majorBidi" w:hAnsiTheme="majorBidi" w:cstheme="majorBidi"/>
          <w:sz w:val="24"/>
          <w:szCs w:val="24"/>
        </w:rPr>
        <w:t>Denison</w:t>
      </w:r>
      <w:r w:rsidR="00AF70AB">
        <w:rPr>
          <w:rFonts w:asciiTheme="majorBidi" w:hAnsiTheme="majorBidi" w:cstheme="majorBidi"/>
          <w:sz w:val="24"/>
          <w:szCs w:val="24"/>
        </w:rPr>
        <w:t xml:space="preserve"> et al., 2014</w:t>
      </w:r>
      <w:r w:rsidRPr="00776CAB">
        <w:rPr>
          <w:rFonts w:asciiTheme="majorBidi" w:hAnsiTheme="majorBidi" w:cstheme="majorBidi"/>
          <w:sz w:val="24"/>
          <w:szCs w:val="24"/>
        </w:rPr>
        <w:t xml:space="preserve">). </w:t>
      </w:r>
    </w:p>
    <w:p w14:paraId="20F8FC82" w14:textId="77777777" w:rsidR="00776CAB" w:rsidRPr="00776CAB" w:rsidRDefault="00776CAB" w:rsidP="00AF70AB">
      <w:pPr>
        <w:pStyle w:val="ListParagraph"/>
        <w:numPr>
          <w:ilvl w:val="0"/>
          <w:numId w:val="2"/>
        </w:numPr>
        <w:spacing w:line="480" w:lineRule="auto"/>
        <w:rPr>
          <w:rFonts w:asciiTheme="majorBidi" w:hAnsiTheme="majorBidi" w:cstheme="majorBidi"/>
          <w:sz w:val="24"/>
          <w:szCs w:val="24"/>
        </w:rPr>
      </w:pPr>
      <w:r w:rsidRPr="00776CAB">
        <w:rPr>
          <w:rFonts w:asciiTheme="majorBidi" w:hAnsiTheme="majorBidi" w:cstheme="majorBidi"/>
          <w:sz w:val="24"/>
          <w:szCs w:val="24"/>
        </w:rPr>
        <w:lastRenderedPageBreak/>
        <w:t>Refresh global culture training using Toyota Way 2020 as the anchor, emphasising ambidexterity that balances continuous improvement for the core with discovery for the new, and audit adoption rates and behavioural outcomes quarterly (</w:t>
      </w:r>
      <w:r w:rsidR="00AF70AB">
        <w:rPr>
          <w:rFonts w:asciiTheme="majorBidi" w:hAnsiTheme="majorBidi" w:cstheme="majorBidi"/>
          <w:sz w:val="24"/>
          <w:szCs w:val="24"/>
        </w:rPr>
        <w:t>Toyota Motor Corporation, 2024</w:t>
      </w:r>
      <w:r w:rsidR="007F6E76">
        <w:rPr>
          <w:rFonts w:asciiTheme="majorBidi" w:hAnsiTheme="majorBidi" w:cstheme="majorBidi"/>
          <w:sz w:val="24"/>
          <w:szCs w:val="24"/>
        </w:rPr>
        <w:t>b</w:t>
      </w:r>
      <w:r w:rsidRPr="00776CAB">
        <w:rPr>
          <w:rFonts w:asciiTheme="majorBidi" w:hAnsiTheme="majorBidi" w:cstheme="majorBidi"/>
          <w:sz w:val="24"/>
          <w:szCs w:val="24"/>
        </w:rPr>
        <w:t>).</w:t>
      </w:r>
    </w:p>
    <w:p w14:paraId="0AFBDDFF" w14:textId="77777777" w:rsidR="00776CAB" w:rsidRPr="00776CAB" w:rsidRDefault="00776CAB" w:rsidP="00776CAB">
      <w:pPr>
        <w:pStyle w:val="ListParagraph"/>
        <w:numPr>
          <w:ilvl w:val="0"/>
          <w:numId w:val="2"/>
        </w:numPr>
        <w:spacing w:line="480" w:lineRule="auto"/>
        <w:rPr>
          <w:rFonts w:asciiTheme="majorBidi" w:hAnsiTheme="majorBidi" w:cstheme="majorBidi"/>
          <w:sz w:val="24"/>
          <w:szCs w:val="24"/>
        </w:rPr>
      </w:pPr>
      <w:r w:rsidRPr="00776CAB">
        <w:rPr>
          <w:rFonts w:asciiTheme="majorBidi" w:hAnsiTheme="majorBidi" w:cstheme="majorBidi"/>
          <w:sz w:val="24"/>
          <w:szCs w:val="24"/>
        </w:rPr>
        <w:t>Create joint obeya rooms with battery, software, and semiconductor partners, share KPIs on lead time, first pass yield, and software release frequency, and run quarterly retrospectives to standardise what works.</w:t>
      </w:r>
    </w:p>
    <w:p w14:paraId="7B804026" w14:textId="77777777" w:rsidR="00776CAB" w:rsidRPr="00776CAB" w:rsidRDefault="00776CAB" w:rsidP="00776CAB">
      <w:pPr>
        <w:pStyle w:val="ListParagraph"/>
        <w:numPr>
          <w:ilvl w:val="0"/>
          <w:numId w:val="2"/>
        </w:numPr>
        <w:spacing w:line="480" w:lineRule="auto"/>
        <w:rPr>
          <w:rFonts w:asciiTheme="majorBidi" w:hAnsiTheme="majorBidi" w:cstheme="majorBidi"/>
          <w:sz w:val="24"/>
          <w:szCs w:val="24"/>
        </w:rPr>
      </w:pPr>
      <w:r w:rsidRPr="00776CAB">
        <w:rPr>
          <w:rFonts w:asciiTheme="majorBidi" w:hAnsiTheme="majorBidi" w:cstheme="majorBidi"/>
          <w:sz w:val="24"/>
          <w:szCs w:val="24"/>
        </w:rPr>
        <w:t xml:space="preserve">Publish </w:t>
      </w:r>
      <w:r>
        <w:rPr>
          <w:rFonts w:asciiTheme="majorBidi" w:hAnsiTheme="majorBidi" w:cstheme="majorBidi"/>
          <w:sz w:val="24"/>
          <w:szCs w:val="24"/>
        </w:rPr>
        <w:t>site-level</w:t>
      </w:r>
      <w:r w:rsidRPr="00776CAB">
        <w:rPr>
          <w:rFonts w:asciiTheme="majorBidi" w:hAnsiTheme="majorBidi" w:cstheme="majorBidi"/>
          <w:sz w:val="24"/>
          <w:szCs w:val="24"/>
        </w:rPr>
        <w:t xml:space="preserve"> kaizen dashboards that track defects per vehicle, engineering change lead time, employee suggestions implemented, and benefit realisation, and benchmark sites each quarter to accelerate transfer of best practices.</w:t>
      </w:r>
    </w:p>
    <w:p w14:paraId="0229DAB5" w14:textId="77777777" w:rsidR="00776CAB" w:rsidRPr="00776CAB" w:rsidRDefault="00776CAB" w:rsidP="00776CAB">
      <w:pPr>
        <w:pStyle w:val="Heading1"/>
        <w:numPr>
          <w:ilvl w:val="0"/>
          <w:numId w:val="1"/>
        </w:numPr>
      </w:pPr>
      <w:bookmarkStart w:id="12" w:name="_Toc210852934"/>
      <w:r w:rsidRPr="00776CAB">
        <w:t>Conclusion</w:t>
      </w:r>
      <w:bookmarkEnd w:id="12"/>
    </w:p>
    <w:p w14:paraId="1AB8109F" w14:textId="77777777" w:rsidR="007C6504" w:rsidRDefault="00776CAB" w:rsidP="00776CAB">
      <w:pPr>
        <w:spacing w:line="480" w:lineRule="auto"/>
        <w:ind w:firstLine="360"/>
        <w:rPr>
          <w:rFonts w:asciiTheme="majorBidi" w:hAnsiTheme="majorBidi" w:cstheme="majorBidi"/>
          <w:sz w:val="24"/>
          <w:szCs w:val="24"/>
        </w:rPr>
      </w:pPr>
      <w:r w:rsidRPr="00776CAB">
        <w:rPr>
          <w:rFonts w:asciiTheme="majorBidi" w:hAnsiTheme="majorBidi" w:cstheme="majorBidi"/>
          <w:sz w:val="24"/>
          <w:szCs w:val="24"/>
        </w:rPr>
        <w:t xml:space="preserve">Toyota’s culture constitutes a coherent system that shapes structure, decisions, and daily work through clear values, disciplined routines, and visible artefacts, and this system has underpinned resilience, quality, and scale in volatile conditions. The same cultural features that embed learning and alignment can impede rapid pivots when technologies and architectures shift abruptly, which is evident in the battery electric transition debate and in the company’s careful </w:t>
      </w:r>
      <w:r>
        <w:rPr>
          <w:rFonts w:asciiTheme="majorBidi" w:hAnsiTheme="majorBidi" w:cstheme="majorBidi"/>
          <w:sz w:val="24"/>
          <w:szCs w:val="24"/>
        </w:rPr>
        <w:t>tariff-adjusted</w:t>
      </w:r>
      <w:r w:rsidRPr="00776CAB">
        <w:rPr>
          <w:rFonts w:asciiTheme="majorBidi" w:hAnsiTheme="majorBidi" w:cstheme="majorBidi"/>
          <w:sz w:val="24"/>
          <w:szCs w:val="24"/>
        </w:rPr>
        <w:t xml:space="preserve"> guidance. The path forward lies in calibrated adaptation rather than wholesale replacement. Leadership should protect the strengths of TPS and the Toyota Way in operations, while instituting faster, </w:t>
      </w:r>
      <w:r>
        <w:rPr>
          <w:rFonts w:asciiTheme="majorBidi" w:hAnsiTheme="majorBidi" w:cstheme="majorBidi"/>
          <w:sz w:val="24"/>
          <w:szCs w:val="24"/>
        </w:rPr>
        <w:t>time-bound decision mechanisms, software-oriented</w:t>
      </w:r>
      <w:r w:rsidRPr="00776CAB">
        <w:rPr>
          <w:rFonts w:asciiTheme="majorBidi" w:hAnsiTheme="majorBidi" w:cstheme="majorBidi"/>
          <w:sz w:val="24"/>
          <w:szCs w:val="24"/>
        </w:rPr>
        <w:t xml:space="preserve"> teams, and explicit adaptability metrics for exploratory domains. Such targeted adjustments will preserve Toyota’s cumulative advantages and reduce the risk that cultural virtues become strategic constraints, thereby sustaining competitiveness and stakeholder value over the long term.</w:t>
      </w:r>
    </w:p>
    <w:p w14:paraId="22626674" w14:textId="77777777" w:rsidR="007F6E76" w:rsidRDefault="007F6E76" w:rsidP="007F6E76">
      <w:pPr>
        <w:spacing w:line="480" w:lineRule="auto"/>
        <w:rPr>
          <w:rFonts w:asciiTheme="majorBidi" w:hAnsiTheme="majorBidi" w:cstheme="majorBidi"/>
          <w:sz w:val="24"/>
          <w:szCs w:val="24"/>
        </w:rPr>
      </w:pPr>
      <w:r>
        <w:rPr>
          <w:rFonts w:asciiTheme="majorBidi" w:hAnsiTheme="majorBidi" w:cstheme="majorBidi"/>
          <w:sz w:val="24"/>
          <w:szCs w:val="24"/>
        </w:rPr>
        <w:br w:type="page"/>
      </w:r>
    </w:p>
    <w:p w14:paraId="34012D95" w14:textId="77777777" w:rsidR="007F6E76" w:rsidRDefault="007F6E76" w:rsidP="007F6E76">
      <w:pPr>
        <w:pStyle w:val="Heading1"/>
        <w:jc w:val="center"/>
      </w:pPr>
      <w:bookmarkStart w:id="13" w:name="_Toc210852935"/>
      <w:r>
        <w:lastRenderedPageBreak/>
        <w:t>References</w:t>
      </w:r>
      <w:bookmarkEnd w:id="13"/>
    </w:p>
    <w:p w14:paraId="2C3E84DF" w14:textId="77777777" w:rsidR="007F6E76" w:rsidRDefault="007F6E76" w:rsidP="007F6E76">
      <w:pPr>
        <w:spacing w:line="480" w:lineRule="auto"/>
        <w:ind w:left="720" w:hanging="720"/>
        <w:rPr>
          <w:rFonts w:asciiTheme="majorBidi" w:hAnsiTheme="majorBidi" w:cstheme="majorBidi"/>
          <w:sz w:val="24"/>
          <w:szCs w:val="24"/>
        </w:rPr>
      </w:pPr>
      <w:r w:rsidRPr="00825D1F">
        <w:rPr>
          <w:rFonts w:asciiTheme="majorBidi" w:hAnsiTheme="majorBidi" w:cstheme="majorBidi"/>
          <w:sz w:val="24"/>
          <w:szCs w:val="24"/>
        </w:rPr>
        <w:t xml:space="preserve">Akaliyski, P., Vignoles, V., Welzel, C. and Minkov, M., </w:t>
      </w:r>
      <w:r>
        <w:rPr>
          <w:rFonts w:asciiTheme="majorBidi" w:hAnsiTheme="majorBidi" w:cstheme="majorBidi"/>
          <w:sz w:val="24"/>
          <w:szCs w:val="24"/>
        </w:rPr>
        <w:t>(</w:t>
      </w:r>
      <w:r w:rsidRPr="00825D1F">
        <w:rPr>
          <w:rFonts w:asciiTheme="majorBidi" w:hAnsiTheme="majorBidi" w:cstheme="majorBidi"/>
          <w:sz w:val="24"/>
          <w:szCs w:val="24"/>
        </w:rPr>
        <w:t>2025</w:t>
      </w:r>
      <w:r>
        <w:rPr>
          <w:rFonts w:asciiTheme="majorBidi" w:hAnsiTheme="majorBidi" w:cstheme="majorBidi"/>
          <w:sz w:val="24"/>
          <w:szCs w:val="24"/>
        </w:rPr>
        <w:t>)</w:t>
      </w:r>
      <w:r w:rsidRPr="00825D1F">
        <w:rPr>
          <w:rFonts w:asciiTheme="majorBidi" w:hAnsiTheme="majorBidi" w:cstheme="majorBidi"/>
          <w:sz w:val="24"/>
          <w:szCs w:val="24"/>
        </w:rPr>
        <w:t>. Individualism-collectivism: reconstructing Hofstede’s dimension of cultural differences.</w:t>
      </w:r>
    </w:p>
    <w:p w14:paraId="757C2D62" w14:textId="77777777" w:rsidR="007F6E76" w:rsidRDefault="007F6E76" w:rsidP="007F6E76">
      <w:pPr>
        <w:spacing w:line="480" w:lineRule="auto"/>
        <w:ind w:left="720" w:hanging="720"/>
        <w:rPr>
          <w:rFonts w:asciiTheme="majorBidi" w:hAnsiTheme="majorBidi" w:cstheme="majorBidi"/>
          <w:sz w:val="24"/>
          <w:szCs w:val="24"/>
        </w:rPr>
      </w:pPr>
      <w:r w:rsidRPr="0042546D">
        <w:rPr>
          <w:rFonts w:asciiTheme="majorBidi" w:hAnsiTheme="majorBidi" w:cstheme="majorBidi"/>
          <w:sz w:val="24"/>
          <w:szCs w:val="24"/>
        </w:rPr>
        <w:t xml:space="preserve">Antony, J., Swarnakar, V., Cudney, E. and Pepper, M., </w:t>
      </w:r>
      <w:r>
        <w:rPr>
          <w:rFonts w:asciiTheme="majorBidi" w:hAnsiTheme="majorBidi" w:cstheme="majorBidi"/>
          <w:sz w:val="24"/>
          <w:szCs w:val="24"/>
        </w:rPr>
        <w:t>(2022)</w:t>
      </w:r>
      <w:r w:rsidRPr="0042546D">
        <w:rPr>
          <w:rFonts w:asciiTheme="majorBidi" w:hAnsiTheme="majorBidi" w:cstheme="majorBidi"/>
          <w:sz w:val="24"/>
          <w:szCs w:val="24"/>
        </w:rPr>
        <w:t>. A meta-analytic investigation of lean practices and their impact on organisational performance. </w:t>
      </w:r>
      <w:r w:rsidRPr="0042546D">
        <w:rPr>
          <w:rFonts w:asciiTheme="majorBidi" w:hAnsiTheme="majorBidi" w:cstheme="majorBidi"/>
          <w:i/>
          <w:iCs/>
          <w:sz w:val="24"/>
          <w:szCs w:val="24"/>
        </w:rPr>
        <w:t>Total Quality Management &amp; Business Excellence</w:t>
      </w:r>
      <w:r w:rsidRPr="0042546D">
        <w:rPr>
          <w:rFonts w:asciiTheme="majorBidi" w:hAnsiTheme="majorBidi" w:cstheme="majorBidi"/>
          <w:sz w:val="24"/>
          <w:szCs w:val="24"/>
        </w:rPr>
        <w:t>, </w:t>
      </w:r>
      <w:r w:rsidRPr="0042546D">
        <w:rPr>
          <w:rFonts w:asciiTheme="majorBidi" w:hAnsiTheme="majorBidi" w:cstheme="majorBidi"/>
          <w:i/>
          <w:iCs/>
          <w:sz w:val="24"/>
          <w:szCs w:val="24"/>
        </w:rPr>
        <w:t>33</w:t>
      </w:r>
      <w:r w:rsidRPr="0042546D">
        <w:rPr>
          <w:rFonts w:asciiTheme="majorBidi" w:hAnsiTheme="majorBidi" w:cstheme="majorBidi"/>
          <w:sz w:val="24"/>
          <w:szCs w:val="24"/>
        </w:rPr>
        <w:t>(15-16), pp.1799-1825.</w:t>
      </w:r>
    </w:p>
    <w:p w14:paraId="37E608A8" w14:textId="77777777" w:rsidR="007F6E76" w:rsidRDefault="007F6E76" w:rsidP="007F6E76">
      <w:pPr>
        <w:spacing w:line="480" w:lineRule="auto"/>
        <w:ind w:left="720" w:hanging="720"/>
        <w:rPr>
          <w:rFonts w:asciiTheme="majorBidi" w:hAnsiTheme="majorBidi" w:cstheme="majorBidi"/>
          <w:sz w:val="24"/>
          <w:szCs w:val="24"/>
        </w:rPr>
      </w:pPr>
      <w:r w:rsidRPr="00436A8F">
        <w:rPr>
          <w:rFonts w:asciiTheme="majorBidi" w:hAnsiTheme="majorBidi" w:cstheme="majorBidi"/>
          <w:sz w:val="24"/>
          <w:szCs w:val="24"/>
        </w:rPr>
        <w:t xml:space="preserve">Aoki, K. and Wilhelm, M., </w:t>
      </w:r>
      <w:r>
        <w:rPr>
          <w:rFonts w:asciiTheme="majorBidi" w:hAnsiTheme="majorBidi" w:cstheme="majorBidi"/>
          <w:sz w:val="24"/>
          <w:szCs w:val="24"/>
        </w:rPr>
        <w:t>(</w:t>
      </w:r>
      <w:r w:rsidRPr="00436A8F">
        <w:rPr>
          <w:rFonts w:asciiTheme="majorBidi" w:hAnsiTheme="majorBidi" w:cstheme="majorBidi"/>
          <w:sz w:val="24"/>
          <w:szCs w:val="24"/>
        </w:rPr>
        <w:t>2017</w:t>
      </w:r>
      <w:r>
        <w:rPr>
          <w:rFonts w:asciiTheme="majorBidi" w:hAnsiTheme="majorBidi" w:cstheme="majorBidi"/>
          <w:sz w:val="24"/>
          <w:szCs w:val="24"/>
        </w:rPr>
        <w:t>)</w:t>
      </w:r>
      <w:r w:rsidRPr="00436A8F">
        <w:rPr>
          <w:rFonts w:asciiTheme="majorBidi" w:hAnsiTheme="majorBidi" w:cstheme="majorBidi"/>
          <w:sz w:val="24"/>
          <w:szCs w:val="24"/>
        </w:rPr>
        <w:t>. The role of ambidexterity in managing buyer–supplier relationships: The Toyota case. </w:t>
      </w:r>
      <w:r w:rsidRPr="00436A8F">
        <w:rPr>
          <w:rFonts w:asciiTheme="majorBidi" w:hAnsiTheme="majorBidi" w:cstheme="majorBidi"/>
          <w:i/>
          <w:iCs/>
          <w:sz w:val="24"/>
          <w:szCs w:val="24"/>
        </w:rPr>
        <w:t>Organization Science</w:t>
      </w:r>
      <w:r w:rsidRPr="00436A8F">
        <w:rPr>
          <w:rFonts w:asciiTheme="majorBidi" w:hAnsiTheme="majorBidi" w:cstheme="majorBidi"/>
          <w:sz w:val="24"/>
          <w:szCs w:val="24"/>
        </w:rPr>
        <w:t>, </w:t>
      </w:r>
      <w:r w:rsidRPr="00436A8F">
        <w:rPr>
          <w:rFonts w:asciiTheme="majorBidi" w:hAnsiTheme="majorBidi" w:cstheme="majorBidi"/>
          <w:i/>
          <w:iCs/>
          <w:sz w:val="24"/>
          <w:szCs w:val="24"/>
        </w:rPr>
        <w:t>28</w:t>
      </w:r>
      <w:r w:rsidRPr="00436A8F">
        <w:rPr>
          <w:rFonts w:asciiTheme="majorBidi" w:hAnsiTheme="majorBidi" w:cstheme="majorBidi"/>
          <w:sz w:val="24"/>
          <w:szCs w:val="24"/>
        </w:rPr>
        <w:t>(6), pp.1080-1097.</w:t>
      </w:r>
    </w:p>
    <w:p w14:paraId="0EE6D8D8" w14:textId="77777777" w:rsidR="007F6E76" w:rsidRDefault="007F6E76" w:rsidP="007F6E76">
      <w:pPr>
        <w:spacing w:line="480" w:lineRule="auto"/>
        <w:ind w:left="720" w:hanging="720"/>
        <w:rPr>
          <w:rFonts w:asciiTheme="majorBidi" w:hAnsiTheme="majorBidi" w:cstheme="majorBidi"/>
          <w:sz w:val="24"/>
          <w:szCs w:val="24"/>
        </w:rPr>
      </w:pPr>
      <w:r w:rsidRPr="0001126A">
        <w:rPr>
          <w:rFonts w:asciiTheme="majorBidi" w:hAnsiTheme="majorBidi" w:cstheme="majorBidi"/>
          <w:sz w:val="24"/>
          <w:szCs w:val="24"/>
        </w:rPr>
        <w:t xml:space="preserve">Applequist, J., Miller-Day, M., Cronholm, P.F., Gabbay, R.A. and Bowen, D.S., </w:t>
      </w:r>
      <w:r>
        <w:rPr>
          <w:rFonts w:asciiTheme="majorBidi" w:hAnsiTheme="majorBidi" w:cstheme="majorBidi"/>
          <w:sz w:val="24"/>
          <w:szCs w:val="24"/>
        </w:rPr>
        <w:t>(</w:t>
      </w:r>
      <w:r w:rsidRPr="0001126A">
        <w:rPr>
          <w:rFonts w:asciiTheme="majorBidi" w:hAnsiTheme="majorBidi" w:cstheme="majorBidi"/>
          <w:sz w:val="24"/>
          <w:szCs w:val="24"/>
        </w:rPr>
        <w:t>2017</w:t>
      </w:r>
      <w:r>
        <w:rPr>
          <w:rFonts w:asciiTheme="majorBidi" w:hAnsiTheme="majorBidi" w:cstheme="majorBidi"/>
          <w:sz w:val="24"/>
          <w:szCs w:val="24"/>
        </w:rPr>
        <w:t>)</w:t>
      </w:r>
      <w:r w:rsidRPr="0001126A">
        <w:rPr>
          <w:rFonts w:asciiTheme="majorBidi" w:hAnsiTheme="majorBidi" w:cstheme="majorBidi"/>
          <w:sz w:val="24"/>
          <w:szCs w:val="24"/>
        </w:rPr>
        <w:t>. “In principle we have agreement, but in practice it is a bit more difficult”: Obtaining organizational buy-in to patient-centered medical home transformation. </w:t>
      </w:r>
      <w:r w:rsidRPr="0001126A">
        <w:rPr>
          <w:rFonts w:asciiTheme="majorBidi" w:hAnsiTheme="majorBidi" w:cstheme="majorBidi"/>
          <w:i/>
          <w:iCs/>
          <w:sz w:val="24"/>
          <w:szCs w:val="24"/>
        </w:rPr>
        <w:t>Qualitative Health Research</w:t>
      </w:r>
      <w:r w:rsidRPr="0001126A">
        <w:rPr>
          <w:rFonts w:asciiTheme="majorBidi" w:hAnsiTheme="majorBidi" w:cstheme="majorBidi"/>
          <w:sz w:val="24"/>
          <w:szCs w:val="24"/>
        </w:rPr>
        <w:t>, </w:t>
      </w:r>
      <w:r w:rsidRPr="0001126A">
        <w:rPr>
          <w:rFonts w:asciiTheme="majorBidi" w:hAnsiTheme="majorBidi" w:cstheme="majorBidi"/>
          <w:i/>
          <w:iCs/>
          <w:sz w:val="24"/>
          <w:szCs w:val="24"/>
        </w:rPr>
        <w:t>27</w:t>
      </w:r>
      <w:r w:rsidRPr="0001126A">
        <w:rPr>
          <w:rFonts w:asciiTheme="majorBidi" w:hAnsiTheme="majorBidi" w:cstheme="majorBidi"/>
          <w:sz w:val="24"/>
          <w:szCs w:val="24"/>
        </w:rPr>
        <w:t>(6), pp.909-922.</w:t>
      </w:r>
    </w:p>
    <w:p w14:paraId="491998B5" w14:textId="77777777" w:rsidR="007F6E76" w:rsidRDefault="007F6E76" w:rsidP="007F6E76">
      <w:pPr>
        <w:spacing w:line="480" w:lineRule="auto"/>
        <w:ind w:left="720" w:hanging="720"/>
        <w:rPr>
          <w:rFonts w:asciiTheme="majorBidi" w:hAnsiTheme="majorBidi" w:cstheme="majorBidi"/>
          <w:sz w:val="24"/>
          <w:szCs w:val="24"/>
        </w:rPr>
      </w:pPr>
      <w:r w:rsidRPr="008F560B">
        <w:rPr>
          <w:rFonts w:asciiTheme="majorBidi" w:hAnsiTheme="majorBidi" w:cstheme="majorBidi"/>
          <w:sz w:val="24"/>
          <w:szCs w:val="24"/>
        </w:rPr>
        <w:t xml:space="preserve">Argus Media (2024) ‘Hybrid vehicles spur Toyota’s record 2023-24 profit’, Argus Media, 8 May. Available at: </w:t>
      </w:r>
      <w:hyperlink r:id="rId11" w:tgtFrame="_new" w:history="1">
        <w:r w:rsidRPr="008F560B">
          <w:rPr>
            <w:rStyle w:val="Hyperlink"/>
            <w:rFonts w:asciiTheme="majorBidi" w:hAnsiTheme="majorBidi" w:cstheme="majorBidi"/>
            <w:sz w:val="24"/>
            <w:szCs w:val="24"/>
          </w:rPr>
          <w:t>https://www.argusmedia.com/en/news-and-insights/latest-market-news/2566493-hybrid-vehicles-spur-toyota-s-record-2023-24-profit</w:t>
        </w:r>
      </w:hyperlink>
    </w:p>
    <w:p w14:paraId="7604211B" w14:textId="77777777" w:rsidR="007F6E76" w:rsidRDefault="007F6E76" w:rsidP="007F6E76">
      <w:pPr>
        <w:spacing w:line="480" w:lineRule="auto"/>
        <w:ind w:left="720" w:hanging="720"/>
        <w:rPr>
          <w:rFonts w:asciiTheme="majorBidi" w:hAnsiTheme="majorBidi" w:cstheme="majorBidi"/>
          <w:sz w:val="24"/>
          <w:szCs w:val="24"/>
        </w:rPr>
      </w:pPr>
      <w:r w:rsidRPr="00E44A89">
        <w:rPr>
          <w:rFonts w:asciiTheme="majorBidi" w:hAnsiTheme="majorBidi" w:cstheme="majorBidi"/>
          <w:sz w:val="24"/>
          <w:szCs w:val="24"/>
        </w:rPr>
        <w:t xml:space="preserve">Automotive News (2025) ‘Toyota 2024 sales, production results’, </w:t>
      </w:r>
      <w:r w:rsidRPr="00E44A89">
        <w:rPr>
          <w:rFonts w:asciiTheme="majorBidi" w:hAnsiTheme="majorBidi" w:cstheme="majorBidi"/>
          <w:i/>
          <w:iCs/>
          <w:sz w:val="24"/>
          <w:szCs w:val="24"/>
        </w:rPr>
        <w:t>Automotive News</w:t>
      </w:r>
      <w:r w:rsidRPr="00E44A89">
        <w:rPr>
          <w:rFonts w:asciiTheme="majorBidi" w:hAnsiTheme="majorBidi" w:cstheme="majorBidi"/>
          <w:sz w:val="24"/>
          <w:szCs w:val="24"/>
        </w:rPr>
        <w:t xml:space="preserve">. Available at: </w:t>
      </w:r>
      <w:hyperlink r:id="rId12" w:tgtFrame="_new" w:history="1">
        <w:r w:rsidRPr="00E44A89">
          <w:rPr>
            <w:rStyle w:val="Hyperlink"/>
            <w:rFonts w:asciiTheme="majorBidi" w:hAnsiTheme="majorBidi" w:cstheme="majorBidi"/>
            <w:sz w:val="24"/>
            <w:szCs w:val="24"/>
          </w:rPr>
          <w:t>https://www.autonews.com/toyota/an-toyota-2024-sales-production-results/</w:t>
        </w:r>
      </w:hyperlink>
    </w:p>
    <w:p w14:paraId="17770258" w14:textId="77777777" w:rsidR="007F6E76" w:rsidRDefault="007F6E76" w:rsidP="007F6E76">
      <w:pPr>
        <w:spacing w:line="480" w:lineRule="auto"/>
        <w:ind w:left="720" w:hanging="720"/>
        <w:rPr>
          <w:rFonts w:asciiTheme="majorBidi" w:hAnsiTheme="majorBidi" w:cstheme="majorBidi"/>
          <w:sz w:val="24"/>
          <w:szCs w:val="24"/>
        </w:rPr>
      </w:pPr>
      <w:r w:rsidRPr="0042546D">
        <w:rPr>
          <w:rFonts w:asciiTheme="majorBidi" w:hAnsiTheme="majorBidi" w:cstheme="majorBidi"/>
          <w:sz w:val="24"/>
          <w:szCs w:val="24"/>
        </w:rPr>
        <w:t xml:space="preserve">Birkinshaw, J., Zimmermann, A. and Raisch, S., </w:t>
      </w:r>
      <w:r>
        <w:rPr>
          <w:rFonts w:asciiTheme="majorBidi" w:hAnsiTheme="majorBidi" w:cstheme="majorBidi"/>
          <w:sz w:val="24"/>
          <w:szCs w:val="24"/>
        </w:rPr>
        <w:t>(</w:t>
      </w:r>
      <w:r w:rsidRPr="0042546D">
        <w:rPr>
          <w:rFonts w:asciiTheme="majorBidi" w:hAnsiTheme="majorBidi" w:cstheme="majorBidi"/>
          <w:sz w:val="24"/>
          <w:szCs w:val="24"/>
        </w:rPr>
        <w:t>2016</w:t>
      </w:r>
      <w:r>
        <w:rPr>
          <w:rFonts w:asciiTheme="majorBidi" w:hAnsiTheme="majorBidi" w:cstheme="majorBidi"/>
          <w:sz w:val="24"/>
          <w:szCs w:val="24"/>
        </w:rPr>
        <w:t>)</w:t>
      </w:r>
      <w:r w:rsidRPr="0042546D">
        <w:rPr>
          <w:rFonts w:asciiTheme="majorBidi" w:hAnsiTheme="majorBidi" w:cstheme="majorBidi"/>
          <w:sz w:val="24"/>
          <w:szCs w:val="24"/>
        </w:rPr>
        <w:t>. How do firms adapt to discontinuous change? Bridging the dynamic capabilities and ambidexterity perspectives. </w:t>
      </w:r>
      <w:r w:rsidRPr="0042546D">
        <w:rPr>
          <w:rFonts w:asciiTheme="majorBidi" w:hAnsiTheme="majorBidi" w:cstheme="majorBidi"/>
          <w:i/>
          <w:iCs/>
          <w:sz w:val="24"/>
          <w:szCs w:val="24"/>
        </w:rPr>
        <w:t>California management review</w:t>
      </w:r>
      <w:r w:rsidRPr="0042546D">
        <w:rPr>
          <w:rFonts w:asciiTheme="majorBidi" w:hAnsiTheme="majorBidi" w:cstheme="majorBidi"/>
          <w:sz w:val="24"/>
          <w:szCs w:val="24"/>
        </w:rPr>
        <w:t>, </w:t>
      </w:r>
      <w:r w:rsidRPr="0042546D">
        <w:rPr>
          <w:rFonts w:asciiTheme="majorBidi" w:hAnsiTheme="majorBidi" w:cstheme="majorBidi"/>
          <w:i/>
          <w:iCs/>
          <w:sz w:val="24"/>
          <w:szCs w:val="24"/>
        </w:rPr>
        <w:t>58</w:t>
      </w:r>
      <w:r w:rsidRPr="0042546D">
        <w:rPr>
          <w:rFonts w:asciiTheme="majorBidi" w:hAnsiTheme="majorBidi" w:cstheme="majorBidi"/>
          <w:sz w:val="24"/>
          <w:szCs w:val="24"/>
        </w:rPr>
        <w:t>(4), pp.36-58.</w:t>
      </w:r>
    </w:p>
    <w:p w14:paraId="4BA1B56C" w14:textId="77777777" w:rsidR="007F6E76" w:rsidRDefault="007F6E76" w:rsidP="007F6E76">
      <w:pPr>
        <w:spacing w:line="480" w:lineRule="auto"/>
        <w:ind w:left="720" w:hanging="720"/>
        <w:rPr>
          <w:rFonts w:asciiTheme="majorBidi" w:hAnsiTheme="majorBidi" w:cstheme="majorBidi"/>
          <w:sz w:val="24"/>
          <w:szCs w:val="24"/>
        </w:rPr>
      </w:pPr>
      <w:r w:rsidRPr="00436A8F">
        <w:rPr>
          <w:rFonts w:asciiTheme="majorBidi" w:hAnsiTheme="majorBidi" w:cstheme="majorBidi"/>
          <w:sz w:val="24"/>
          <w:szCs w:val="24"/>
        </w:rPr>
        <w:lastRenderedPageBreak/>
        <w:t xml:space="preserve">Bonini, J.P., Godambe, S.A., Mangum, C.D., Heer, J., Black, S., Ranada, D., Berbano, A. and Stringer, K., </w:t>
      </w:r>
      <w:r>
        <w:rPr>
          <w:rFonts w:asciiTheme="majorBidi" w:hAnsiTheme="majorBidi" w:cstheme="majorBidi"/>
          <w:sz w:val="24"/>
          <w:szCs w:val="24"/>
        </w:rPr>
        <w:t>(</w:t>
      </w:r>
      <w:r w:rsidRPr="00436A8F">
        <w:rPr>
          <w:rFonts w:asciiTheme="majorBidi" w:hAnsiTheme="majorBidi" w:cstheme="majorBidi"/>
          <w:sz w:val="24"/>
          <w:szCs w:val="24"/>
        </w:rPr>
        <w:t>2020</w:t>
      </w:r>
      <w:r>
        <w:rPr>
          <w:rFonts w:asciiTheme="majorBidi" w:hAnsiTheme="majorBidi" w:cstheme="majorBidi"/>
          <w:sz w:val="24"/>
          <w:szCs w:val="24"/>
        </w:rPr>
        <w:t>)</w:t>
      </w:r>
      <w:r w:rsidRPr="00436A8F">
        <w:rPr>
          <w:rFonts w:asciiTheme="majorBidi" w:hAnsiTheme="majorBidi" w:cstheme="majorBidi"/>
          <w:sz w:val="24"/>
          <w:szCs w:val="24"/>
        </w:rPr>
        <w:t>. Building an engaging toyota production system culture to drive winning performance for our patients, caregivers, hospitals, and communities. In </w:t>
      </w:r>
      <w:r w:rsidRPr="00436A8F">
        <w:rPr>
          <w:rFonts w:asciiTheme="majorBidi" w:hAnsiTheme="majorBidi" w:cstheme="majorBidi"/>
          <w:i/>
          <w:iCs/>
          <w:sz w:val="24"/>
          <w:szCs w:val="24"/>
        </w:rPr>
        <w:t>Patient Safety and Quality Improvement in Healthcare: A Case-Based Approach</w:t>
      </w:r>
      <w:r w:rsidRPr="00436A8F">
        <w:rPr>
          <w:rFonts w:asciiTheme="majorBidi" w:hAnsiTheme="majorBidi" w:cstheme="majorBidi"/>
          <w:sz w:val="24"/>
          <w:szCs w:val="24"/>
        </w:rPr>
        <w:t> (pp. 69-115). Cham: Springer International Publishing.</w:t>
      </w:r>
    </w:p>
    <w:p w14:paraId="15B9C6B4" w14:textId="77777777" w:rsidR="007F6E76" w:rsidRDefault="007F6E76" w:rsidP="007F6E76">
      <w:pPr>
        <w:spacing w:line="480" w:lineRule="auto"/>
        <w:ind w:left="720" w:hanging="720"/>
        <w:rPr>
          <w:rFonts w:asciiTheme="majorBidi" w:hAnsiTheme="majorBidi" w:cstheme="majorBidi"/>
          <w:sz w:val="24"/>
          <w:szCs w:val="24"/>
        </w:rPr>
      </w:pPr>
      <w:r w:rsidRPr="00825D1F">
        <w:rPr>
          <w:rFonts w:asciiTheme="majorBidi" w:hAnsiTheme="majorBidi" w:cstheme="majorBidi"/>
          <w:sz w:val="24"/>
          <w:szCs w:val="24"/>
        </w:rPr>
        <w:t xml:space="preserve">Business Recorder (2025) ‘TOKYO: Toyota Motor sold 10.8 million vehicles in 2024, remaining the world’s top-selling automaker’, Business Recorder. Available at: </w:t>
      </w:r>
      <w:hyperlink r:id="rId13" w:tgtFrame="_new" w:history="1">
        <w:r w:rsidRPr="00825D1F">
          <w:rPr>
            <w:rStyle w:val="Hyperlink"/>
            <w:rFonts w:asciiTheme="majorBidi" w:hAnsiTheme="majorBidi" w:cstheme="majorBidi"/>
            <w:sz w:val="24"/>
            <w:szCs w:val="24"/>
          </w:rPr>
          <w:t>https://www.brecorder.com/news/40345471</w:t>
        </w:r>
      </w:hyperlink>
    </w:p>
    <w:p w14:paraId="1308B266" w14:textId="77777777" w:rsidR="007F6E76" w:rsidRDefault="007F6E76" w:rsidP="007F6E76">
      <w:pPr>
        <w:spacing w:line="480" w:lineRule="auto"/>
        <w:ind w:left="720" w:hanging="720"/>
        <w:rPr>
          <w:rFonts w:asciiTheme="majorBidi" w:hAnsiTheme="majorBidi" w:cstheme="majorBidi"/>
          <w:sz w:val="24"/>
          <w:szCs w:val="24"/>
        </w:rPr>
      </w:pPr>
      <w:r w:rsidRPr="008F560B">
        <w:rPr>
          <w:rFonts w:asciiTheme="majorBidi" w:hAnsiTheme="majorBidi" w:cstheme="majorBidi"/>
          <w:sz w:val="24"/>
          <w:szCs w:val="24"/>
        </w:rPr>
        <w:t xml:space="preserve">Clifford, J. (2024) ‘What is Nemawashi? Toyota Production System guide’, </w:t>
      </w:r>
      <w:r w:rsidRPr="008F560B">
        <w:rPr>
          <w:rFonts w:asciiTheme="majorBidi" w:hAnsiTheme="majorBidi" w:cstheme="majorBidi"/>
          <w:i/>
          <w:iCs/>
          <w:sz w:val="24"/>
          <w:szCs w:val="24"/>
        </w:rPr>
        <w:t>Toyota UK Magazine</w:t>
      </w:r>
      <w:r w:rsidRPr="008F560B">
        <w:rPr>
          <w:rFonts w:asciiTheme="majorBidi" w:hAnsiTheme="majorBidi" w:cstheme="majorBidi"/>
          <w:sz w:val="24"/>
          <w:szCs w:val="24"/>
        </w:rPr>
        <w:t xml:space="preserve">, 1 July. Available at: </w:t>
      </w:r>
      <w:hyperlink r:id="rId14" w:tgtFrame="_new" w:history="1">
        <w:r w:rsidRPr="008F560B">
          <w:rPr>
            <w:rStyle w:val="Hyperlink"/>
            <w:rFonts w:asciiTheme="majorBidi" w:hAnsiTheme="majorBidi" w:cstheme="majorBidi"/>
            <w:sz w:val="24"/>
            <w:szCs w:val="24"/>
          </w:rPr>
          <w:t>https://mag.toyota.co.uk/nemawashi-toyota-production-system/</w:t>
        </w:r>
      </w:hyperlink>
    </w:p>
    <w:p w14:paraId="4FB09FB6" w14:textId="77777777" w:rsidR="007F6E76" w:rsidRDefault="007F6E76" w:rsidP="007F6E76">
      <w:pPr>
        <w:spacing w:line="480" w:lineRule="auto"/>
        <w:ind w:left="720" w:hanging="720"/>
        <w:rPr>
          <w:rFonts w:asciiTheme="majorBidi" w:hAnsiTheme="majorBidi" w:cstheme="majorBidi"/>
          <w:sz w:val="24"/>
          <w:szCs w:val="24"/>
        </w:rPr>
      </w:pPr>
      <w:r w:rsidRPr="00F951A6">
        <w:rPr>
          <w:rFonts w:asciiTheme="majorBidi" w:hAnsiTheme="majorBidi" w:cstheme="majorBidi"/>
          <w:sz w:val="24"/>
          <w:szCs w:val="24"/>
        </w:rPr>
        <w:t xml:space="preserve">Denison, D., Nieminen, L. and Kotrba, L., </w:t>
      </w:r>
      <w:r>
        <w:rPr>
          <w:rFonts w:asciiTheme="majorBidi" w:hAnsiTheme="majorBidi" w:cstheme="majorBidi"/>
          <w:sz w:val="24"/>
          <w:szCs w:val="24"/>
        </w:rPr>
        <w:t>(</w:t>
      </w:r>
      <w:r w:rsidRPr="00F951A6">
        <w:rPr>
          <w:rFonts w:asciiTheme="majorBidi" w:hAnsiTheme="majorBidi" w:cstheme="majorBidi"/>
          <w:sz w:val="24"/>
          <w:szCs w:val="24"/>
        </w:rPr>
        <w:t>2014</w:t>
      </w:r>
      <w:r>
        <w:rPr>
          <w:rFonts w:asciiTheme="majorBidi" w:hAnsiTheme="majorBidi" w:cstheme="majorBidi"/>
          <w:sz w:val="24"/>
          <w:szCs w:val="24"/>
        </w:rPr>
        <w:t>)</w:t>
      </w:r>
      <w:r w:rsidRPr="00F951A6">
        <w:rPr>
          <w:rFonts w:asciiTheme="majorBidi" w:hAnsiTheme="majorBidi" w:cstheme="majorBidi"/>
          <w:sz w:val="24"/>
          <w:szCs w:val="24"/>
        </w:rPr>
        <w:t>. Diagnosing organizational cultures: A conceptual and empirical review of culture effectiveness surveys. </w:t>
      </w:r>
      <w:r w:rsidRPr="00F951A6">
        <w:rPr>
          <w:rFonts w:asciiTheme="majorBidi" w:hAnsiTheme="majorBidi" w:cstheme="majorBidi"/>
          <w:i/>
          <w:iCs/>
          <w:sz w:val="24"/>
          <w:szCs w:val="24"/>
        </w:rPr>
        <w:t>European Journal of Work and Organizational Psychology</w:t>
      </w:r>
      <w:r w:rsidRPr="00F951A6">
        <w:rPr>
          <w:rFonts w:asciiTheme="majorBidi" w:hAnsiTheme="majorBidi" w:cstheme="majorBidi"/>
          <w:sz w:val="24"/>
          <w:szCs w:val="24"/>
        </w:rPr>
        <w:t>, </w:t>
      </w:r>
      <w:r w:rsidRPr="00F951A6">
        <w:rPr>
          <w:rFonts w:asciiTheme="majorBidi" w:hAnsiTheme="majorBidi" w:cstheme="majorBidi"/>
          <w:i/>
          <w:iCs/>
          <w:sz w:val="24"/>
          <w:szCs w:val="24"/>
        </w:rPr>
        <w:t>23</w:t>
      </w:r>
      <w:r w:rsidRPr="00F951A6">
        <w:rPr>
          <w:rFonts w:asciiTheme="majorBidi" w:hAnsiTheme="majorBidi" w:cstheme="majorBidi"/>
          <w:sz w:val="24"/>
          <w:szCs w:val="24"/>
        </w:rPr>
        <w:t>(1), pp.145-161.</w:t>
      </w:r>
    </w:p>
    <w:p w14:paraId="45EBECD9" w14:textId="77777777" w:rsidR="007F6E76" w:rsidRDefault="007F6E76" w:rsidP="007F6E76">
      <w:pPr>
        <w:spacing w:line="480" w:lineRule="auto"/>
        <w:ind w:left="720" w:hanging="720"/>
        <w:rPr>
          <w:rFonts w:asciiTheme="majorBidi" w:hAnsiTheme="majorBidi" w:cstheme="majorBidi"/>
          <w:sz w:val="24"/>
          <w:szCs w:val="24"/>
        </w:rPr>
      </w:pPr>
      <w:r w:rsidRPr="008E4E37">
        <w:rPr>
          <w:rFonts w:asciiTheme="majorBidi" w:hAnsiTheme="majorBidi" w:cstheme="majorBidi"/>
          <w:sz w:val="24"/>
          <w:szCs w:val="24"/>
        </w:rPr>
        <w:t xml:space="preserve">Driskill, G., </w:t>
      </w:r>
      <w:r>
        <w:rPr>
          <w:rFonts w:asciiTheme="majorBidi" w:hAnsiTheme="majorBidi" w:cstheme="majorBidi"/>
          <w:sz w:val="24"/>
          <w:szCs w:val="24"/>
        </w:rPr>
        <w:t>(</w:t>
      </w:r>
      <w:r w:rsidRPr="008E4E37">
        <w:rPr>
          <w:rFonts w:asciiTheme="majorBidi" w:hAnsiTheme="majorBidi" w:cstheme="majorBidi"/>
          <w:sz w:val="24"/>
          <w:szCs w:val="24"/>
        </w:rPr>
        <w:t>2018</w:t>
      </w:r>
      <w:r>
        <w:rPr>
          <w:rFonts w:asciiTheme="majorBidi" w:hAnsiTheme="majorBidi" w:cstheme="majorBidi"/>
          <w:sz w:val="24"/>
          <w:szCs w:val="24"/>
        </w:rPr>
        <w:t>)</w:t>
      </w:r>
      <w:r w:rsidRPr="008E4E37">
        <w:rPr>
          <w:rFonts w:asciiTheme="majorBidi" w:hAnsiTheme="majorBidi" w:cstheme="majorBidi"/>
          <w:sz w:val="24"/>
          <w:szCs w:val="24"/>
        </w:rPr>
        <w:t>. </w:t>
      </w:r>
      <w:r w:rsidRPr="008E4E37">
        <w:rPr>
          <w:rFonts w:asciiTheme="majorBidi" w:hAnsiTheme="majorBidi" w:cstheme="majorBidi"/>
          <w:i/>
          <w:iCs/>
          <w:sz w:val="24"/>
          <w:szCs w:val="24"/>
        </w:rPr>
        <w:t>Organizational culture in action: A cultural analysis workbook</w:t>
      </w:r>
      <w:r w:rsidRPr="008E4E37">
        <w:rPr>
          <w:rFonts w:asciiTheme="majorBidi" w:hAnsiTheme="majorBidi" w:cstheme="majorBidi"/>
          <w:sz w:val="24"/>
          <w:szCs w:val="24"/>
        </w:rPr>
        <w:t>. Routledge.</w:t>
      </w:r>
    </w:p>
    <w:p w14:paraId="06EA119C" w14:textId="77777777" w:rsidR="007F6E76" w:rsidRDefault="007F6E76" w:rsidP="007F6E76">
      <w:pPr>
        <w:spacing w:line="480" w:lineRule="auto"/>
        <w:ind w:left="720" w:hanging="720"/>
        <w:rPr>
          <w:rFonts w:asciiTheme="majorBidi" w:hAnsiTheme="majorBidi" w:cstheme="majorBidi"/>
          <w:sz w:val="24"/>
          <w:szCs w:val="24"/>
        </w:rPr>
      </w:pPr>
      <w:r w:rsidRPr="008F560B">
        <w:rPr>
          <w:rFonts w:asciiTheme="majorBidi" w:hAnsiTheme="majorBidi" w:cstheme="majorBidi"/>
          <w:sz w:val="24"/>
          <w:szCs w:val="24"/>
        </w:rPr>
        <w:t xml:space="preserve">ETBrandEquity (2025) ‘Toyota reports booming sales but stays cautious on profit because of various costs’, </w:t>
      </w:r>
      <w:r w:rsidRPr="008F560B">
        <w:rPr>
          <w:rFonts w:asciiTheme="majorBidi" w:hAnsiTheme="majorBidi" w:cstheme="majorBidi"/>
          <w:i/>
          <w:iCs/>
          <w:sz w:val="24"/>
          <w:szCs w:val="24"/>
        </w:rPr>
        <w:t>ET Brand Equity</w:t>
      </w:r>
      <w:r w:rsidRPr="008F560B">
        <w:rPr>
          <w:rFonts w:asciiTheme="majorBidi" w:hAnsiTheme="majorBidi" w:cstheme="majorBidi"/>
          <w:sz w:val="24"/>
          <w:szCs w:val="24"/>
        </w:rPr>
        <w:t xml:space="preserve">, 9 May. Available at: </w:t>
      </w:r>
      <w:hyperlink r:id="rId15" w:tgtFrame="_new" w:history="1">
        <w:r w:rsidRPr="008F560B">
          <w:rPr>
            <w:rStyle w:val="Hyperlink"/>
            <w:rFonts w:asciiTheme="majorBidi" w:hAnsiTheme="majorBidi" w:cstheme="majorBidi"/>
            <w:sz w:val="24"/>
            <w:szCs w:val="24"/>
          </w:rPr>
          <w:t>https://brandequity.economictimes.indiatimes.com/news/business-of-brands/toyota-reports-booming-sales-but-stays-cautious-on-profit-because-of-various-costs/121020905</w:t>
        </w:r>
      </w:hyperlink>
    </w:p>
    <w:p w14:paraId="5CB239CE" w14:textId="77777777" w:rsidR="007F6E76" w:rsidRDefault="007F6E76" w:rsidP="007F6E76">
      <w:pPr>
        <w:spacing w:line="480" w:lineRule="auto"/>
        <w:ind w:left="720" w:hanging="720"/>
        <w:rPr>
          <w:rFonts w:asciiTheme="majorBidi" w:hAnsiTheme="majorBidi" w:cstheme="majorBidi"/>
          <w:sz w:val="24"/>
          <w:szCs w:val="24"/>
        </w:rPr>
      </w:pPr>
      <w:r w:rsidRPr="0042546D">
        <w:rPr>
          <w:rFonts w:asciiTheme="majorBidi" w:hAnsiTheme="majorBidi" w:cstheme="majorBidi"/>
          <w:sz w:val="24"/>
          <w:szCs w:val="24"/>
        </w:rPr>
        <w:t xml:space="preserve">Fortuny-Santos, J., Ruiz-de-Arbulo-López, P., Zubeltzu-Jaka, E. and Lujan-Blanco, I., </w:t>
      </w:r>
      <w:r>
        <w:rPr>
          <w:rFonts w:asciiTheme="majorBidi" w:hAnsiTheme="majorBidi" w:cstheme="majorBidi"/>
          <w:sz w:val="24"/>
          <w:szCs w:val="24"/>
        </w:rPr>
        <w:t>(</w:t>
      </w:r>
      <w:r w:rsidRPr="0042546D">
        <w:rPr>
          <w:rFonts w:asciiTheme="majorBidi" w:hAnsiTheme="majorBidi" w:cstheme="majorBidi"/>
          <w:sz w:val="24"/>
          <w:szCs w:val="24"/>
        </w:rPr>
        <w:t>2025</w:t>
      </w:r>
      <w:r>
        <w:rPr>
          <w:rFonts w:asciiTheme="majorBidi" w:hAnsiTheme="majorBidi" w:cstheme="majorBidi"/>
          <w:sz w:val="24"/>
          <w:szCs w:val="24"/>
        </w:rPr>
        <w:t>)</w:t>
      </w:r>
      <w:r w:rsidRPr="0042546D">
        <w:rPr>
          <w:rFonts w:asciiTheme="majorBidi" w:hAnsiTheme="majorBidi" w:cstheme="majorBidi"/>
          <w:sz w:val="24"/>
          <w:szCs w:val="24"/>
        </w:rPr>
        <w:t>. Lean manufacturing and environmental performance: a meta-analytic approach. </w:t>
      </w:r>
      <w:r w:rsidRPr="0042546D">
        <w:rPr>
          <w:rFonts w:asciiTheme="majorBidi" w:hAnsiTheme="majorBidi" w:cstheme="majorBidi"/>
          <w:i/>
          <w:iCs/>
          <w:sz w:val="24"/>
          <w:szCs w:val="24"/>
        </w:rPr>
        <w:t>International Journal of Lean Six Sigma</w:t>
      </w:r>
      <w:r w:rsidRPr="0042546D">
        <w:rPr>
          <w:rFonts w:asciiTheme="majorBidi" w:hAnsiTheme="majorBidi" w:cstheme="majorBidi"/>
          <w:sz w:val="24"/>
          <w:szCs w:val="24"/>
        </w:rPr>
        <w:t>, </w:t>
      </w:r>
      <w:r w:rsidRPr="0042546D">
        <w:rPr>
          <w:rFonts w:asciiTheme="majorBidi" w:hAnsiTheme="majorBidi" w:cstheme="majorBidi"/>
          <w:i/>
          <w:iCs/>
          <w:sz w:val="24"/>
          <w:szCs w:val="24"/>
        </w:rPr>
        <w:t>16</w:t>
      </w:r>
      <w:r w:rsidRPr="0042546D">
        <w:rPr>
          <w:rFonts w:asciiTheme="majorBidi" w:hAnsiTheme="majorBidi" w:cstheme="majorBidi"/>
          <w:sz w:val="24"/>
          <w:szCs w:val="24"/>
        </w:rPr>
        <w:t>(4), pp.848-889.</w:t>
      </w:r>
    </w:p>
    <w:p w14:paraId="3C606D27" w14:textId="77777777" w:rsidR="007F6E76" w:rsidRDefault="007F6E76" w:rsidP="007F6E76">
      <w:pPr>
        <w:spacing w:line="480" w:lineRule="auto"/>
        <w:ind w:left="720" w:hanging="720"/>
        <w:rPr>
          <w:rFonts w:asciiTheme="majorBidi" w:hAnsiTheme="majorBidi" w:cstheme="majorBidi"/>
          <w:sz w:val="24"/>
          <w:szCs w:val="24"/>
        </w:rPr>
      </w:pPr>
      <w:r w:rsidRPr="00436A8F">
        <w:rPr>
          <w:rFonts w:asciiTheme="majorBidi" w:hAnsiTheme="majorBidi" w:cstheme="majorBidi"/>
          <w:sz w:val="24"/>
          <w:szCs w:val="24"/>
        </w:rPr>
        <w:lastRenderedPageBreak/>
        <w:t xml:space="preserve">Frederique (2024) ‘The Toyota Way: The philosophy behind lean management’, Lean Six Sigma Belgium, 1 October. Available at: </w:t>
      </w:r>
      <w:hyperlink r:id="rId16" w:tgtFrame="_new" w:history="1">
        <w:r w:rsidRPr="00436A8F">
          <w:rPr>
            <w:rStyle w:val="Hyperlink"/>
            <w:rFonts w:asciiTheme="majorBidi" w:hAnsiTheme="majorBidi" w:cstheme="majorBidi"/>
            <w:sz w:val="24"/>
            <w:szCs w:val="24"/>
          </w:rPr>
          <w:t>https://be.leansixsigma.org/en/the-toyota-way-the-philosophy-behind-lean-management/</w:t>
        </w:r>
      </w:hyperlink>
    </w:p>
    <w:p w14:paraId="5A48386C" w14:textId="77777777" w:rsidR="007F6E76" w:rsidRDefault="007F6E76" w:rsidP="007F6E76">
      <w:pPr>
        <w:spacing w:line="480" w:lineRule="auto"/>
        <w:ind w:left="720" w:hanging="720"/>
        <w:rPr>
          <w:rFonts w:asciiTheme="majorBidi" w:hAnsiTheme="majorBidi" w:cstheme="majorBidi"/>
          <w:sz w:val="24"/>
          <w:szCs w:val="24"/>
        </w:rPr>
      </w:pPr>
      <w:r w:rsidRPr="0001126A">
        <w:rPr>
          <w:rFonts w:asciiTheme="majorBidi" w:hAnsiTheme="majorBidi" w:cstheme="majorBidi"/>
          <w:sz w:val="24"/>
          <w:szCs w:val="24"/>
        </w:rPr>
        <w:t xml:space="preserve">Gnanaguru, R., Puvaneswari, K., Mallick, J., Jegadheesan, C., Mohan Sivakumar, V. and Devadasan, S.R., </w:t>
      </w:r>
      <w:r>
        <w:rPr>
          <w:rFonts w:asciiTheme="majorBidi" w:hAnsiTheme="majorBidi" w:cstheme="majorBidi"/>
          <w:sz w:val="24"/>
          <w:szCs w:val="24"/>
        </w:rPr>
        <w:t>(</w:t>
      </w:r>
      <w:r w:rsidRPr="0001126A">
        <w:rPr>
          <w:rFonts w:asciiTheme="majorBidi" w:hAnsiTheme="majorBidi" w:cstheme="majorBidi"/>
          <w:sz w:val="24"/>
          <w:szCs w:val="24"/>
        </w:rPr>
        <w:t>2011</w:t>
      </w:r>
      <w:r>
        <w:rPr>
          <w:rFonts w:asciiTheme="majorBidi" w:hAnsiTheme="majorBidi" w:cstheme="majorBidi"/>
          <w:sz w:val="24"/>
          <w:szCs w:val="24"/>
        </w:rPr>
        <w:t>)</w:t>
      </w:r>
      <w:r w:rsidRPr="0001126A">
        <w:rPr>
          <w:rFonts w:asciiTheme="majorBidi" w:hAnsiTheme="majorBidi" w:cstheme="majorBidi"/>
          <w:sz w:val="24"/>
          <w:szCs w:val="24"/>
        </w:rPr>
        <w:t>. Toyota’s A3 reports for improving 6-S activities: an aeronautical industry case study. </w:t>
      </w:r>
      <w:r w:rsidRPr="0001126A">
        <w:rPr>
          <w:rFonts w:asciiTheme="majorBidi" w:hAnsiTheme="majorBidi" w:cstheme="majorBidi"/>
          <w:i/>
          <w:iCs/>
          <w:sz w:val="24"/>
          <w:szCs w:val="24"/>
        </w:rPr>
        <w:t>International Journal of Services and Operations Management</w:t>
      </w:r>
      <w:r w:rsidRPr="0001126A">
        <w:rPr>
          <w:rFonts w:asciiTheme="majorBidi" w:hAnsiTheme="majorBidi" w:cstheme="majorBidi"/>
          <w:sz w:val="24"/>
          <w:szCs w:val="24"/>
        </w:rPr>
        <w:t>, </w:t>
      </w:r>
      <w:r w:rsidRPr="0001126A">
        <w:rPr>
          <w:rFonts w:asciiTheme="majorBidi" w:hAnsiTheme="majorBidi" w:cstheme="majorBidi"/>
          <w:i/>
          <w:iCs/>
          <w:sz w:val="24"/>
          <w:szCs w:val="24"/>
        </w:rPr>
        <w:t>10</w:t>
      </w:r>
      <w:r w:rsidRPr="0001126A">
        <w:rPr>
          <w:rFonts w:asciiTheme="majorBidi" w:hAnsiTheme="majorBidi" w:cstheme="majorBidi"/>
          <w:sz w:val="24"/>
          <w:szCs w:val="24"/>
        </w:rPr>
        <w:t>(2), pp.239-254.</w:t>
      </w:r>
    </w:p>
    <w:p w14:paraId="1FA97D79" w14:textId="77777777" w:rsidR="007F6E76" w:rsidRDefault="007F6E76" w:rsidP="007F6E76">
      <w:pPr>
        <w:spacing w:line="480" w:lineRule="auto"/>
        <w:ind w:left="720" w:hanging="720"/>
        <w:rPr>
          <w:rFonts w:asciiTheme="majorBidi" w:hAnsiTheme="majorBidi" w:cstheme="majorBidi"/>
          <w:sz w:val="24"/>
          <w:szCs w:val="24"/>
        </w:rPr>
      </w:pPr>
      <w:r>
        <w:rPr>
          <w:rFonts w:asciiTheme="majorBidi" w:hAnsiTheme="majorBidi" w:cstheme="majorBidi"/>
          <w:sz w:val="24"/>
          <w:szCs w:val="24"/>
        </w:rPr>
        <w:t xml:space="preserve">Handy, C. (1976). </w:t>
      </w:r>
      <w:r w:rsidRPr="00445798">
        <w:rPr>
          <w:rFonts w:asciiTheme="majorBidi" w:hAnsiTheme="majorBidi" w:cstheme="majorBidi"/>
          <w:i/>
          <w:iCs/>
          <w:sz w:val="24"/>
          <w:szCs w:val="24"/>
        </w:rPr>
        <w:t>Understanding Organisations</w:t>
      </w:r>
      <w:r w:rsidRPr="00445798">
        <w:rPr>
          <w:rFonts w:asciiTheme="majorBidi" w:hAnsiTheme="majorBidi" w:cstheme="majorBidi"/>
          <w:sz w:val="24"/>
          <w:szCs w:val="24"/>
        </w:rPr>
        <w:t>. London: Penguin.</w:t>
      </w:r>
    </w:p>
    <w:p w14:paraId="443F568F" w14:textId="77777777" w:rsidR="007F6E76" w:rsidRDefault="007F6E76" w:rsidP="007F6E76">
      <w:pPr>
        <w:spacing w:line="480" w:lineRule="auto"/>
        <w:ind w:left="720" w:hanging="720"/>
        <w:rPr>
          <w:rFonts w:asciiTheme="majorBidi" w:hAnsiTheme="majorBidi" w:cstheme="majorBidi"/>
          <w:sz w:val="24"/>
          <w:szCs w:val="24"/>
        </w:rPr>
      </w:pPr>
      <w:r w:rsidRPr="00436A8F">
        <w:rPr>
          <w:rFonts w:asciiTheme="majorBidi" w:hAnsiTheme="majorBidi" w:cstheme="majorBidi"/>
          <w:sz w:val="24"/>
          <w:szCs w:val="24"/>
        </w:rPr>
        <w:t xml:space="preserve">Hino, S., </w:t>
      </w:r>
      <w:r>
        <w:rPr>
          <w:rFonts w:asciiTheme="majorBidi" w:hAnsiTheme="majorBidi" w:cstheme="majorBidi"/>
          <w:sz w:val="24"/>
          <w:szCs w:val="24"/>
        </w:rPr>
        <w:t>(</w:t>
      </w:r>
      <w:r w:rsidRPr="00436A8F">
        <w:rPr>
          <w:rFonts w:asciiTheme="majorBidi" w:hAnsiTheme="majorBidi" w:cstheme="majorBidi"/>
          <w:sz w:val="24"/>
          <w:szCs w:val="24"/>
        </w:rPr>
        <w:t>2024</w:t>
      </w:r>
      <w:r>
        <w:rPr>
          <w:rFonts w:asciiTheme="majorBidi" w:hAnsiTheme="majorBidi" w:cstheme="majorBidi"/>
          <w:sz w:val="24"/>
          <w:szCs w:val="24"/>
        </w:rPr>
        <w:t>)</w:t>
      </w:r>
      <w:r w:rsidRPr="00436A8F">
        <w:rPr>
          <w:rFonts w:asciiTheme="majorBidi" w:hAnsiTheme="majorBidi" w:cstheme="majorBidi"/>
          <w:sz w:val="24"/>
          <w:szCs w:val="24"/>
        </w:rPr>
        <w:t>. </w:t>
      </w:r>
      <w:r w:rsidRPr="00436A8F">
        <w:rPr>
          <w:rFonts w:asciiTheme="majorBidi" w:hAnsiTheme="majorBidi" w:cstheme="majorBidi"/>
          <w:i/>
          <w:iCs/>
          <w:sz w:val="24"/>
          <w:szCs w:val="24"/>
        </w:rPr>
        <w:t>Inside the mind of Toyota: Management principles for enduring growth</w:t>
      </w:r>
      <w:r w:rsidRPr="00436A8F">
        <w:rPr>
          <w:rFonts w:asciiTheme="majorBidi" w:hAnsiTheme="majorBidi" w:cstheme="majorBidi"/>
          <w:sz w:val="24"/>
          <w:szCs w:val="24"/>
        </w:rPr>
        <w:t>. CRC Press.</w:t>
      </w:r>
    </w:p>
    <w:p w14:paraId="4CE8905A" w14:textId="77777777" w:rsidR="007F6E76" w:rsidRDefault="007F6E76" w:rsidP="007F6E76">
      <w:pPr>
        <w:spacing w:line="480" w:lineRule="auto"/>
        <w:ind w:left="720" w:hanging="720"/>
        <w:rPr>
          <w:rFonts w:asciiTheme="majorBidi" w:hAnsiTheme="majorBidi" w:cstheme="majorBidi"/>
          <w:sz w:val="24"/>
          <w:szCs w:val="24"/>
        </w:rPr>
      </w:pPr>
      <w:r w:rsidRPr="00825D1F">
        <w:rPr>
          <w:rFonts w:asciiTheme="majorBidi" w:hAnsiTheme="majorBidi" w:cstheme="majorBidi"/>
          <w:sz w:val="24"/>
          <w:szCs w:val="24"/>
        </w:rPr>
        <w:t xml:space="preserve">Hofstede, G., </w:t>
      </w:r>
      <w:r>
        <w:rPr>
          <w:rFonts w:asciiTheme="majorBidi" w:hAnsiTheme="majorBidi" w:cstheme="majorBidi"/>
          <w:sz w:val="24"/>
          <w:szCs w:val="24"/>
        </w:rPr>
        <w:t>(</w:t>
      </w:r>
      <w:r w:rsidRPr="00825D1F">
        <w:rPr>
          <w:rFonts w:asciiTheme="majorBidi" w:hAnsiTheme="majorBidi" w:cstheme="majorBidi"/>
          <w:sz w:val="24"/>
          <w:szCs w:val="24"/>
        </w:rPr>
        <w:t>1984</w:t>
      </w:r>
      <w:r>
        <w:rPr>
          <w:rFonts w:asciiTheme="majorBidi" w:hAnsiTheme="majorBidi" w:cstheme="majorBidi"/>
          <w:sz w:val="24"/>
          <w:szCs w:val="24"/>
        </w:rPr>
        <w:t>)</w:t>
      </w:r>
      <w:r w:rsidRPr="00825D1F">
        <w:rPr>
          <w:rFonts w:asciiTheme="majorBidi" w:hAnsiTheme="majorBidi" w:cstheme="majorBidi"/>
          <w:sz w:val="24"/>
          <w:szCs w:val="24"/>
        </w:rPr>
        <w:t>. </w:t>
      </w:r>
      <w:r w:rsidRPr="00825D1F">
        <w:rPr>
          <w:rFonts w:asciiTheme="majorBidi" w:hAnsiTheme="majorBidi" w:cstheme="majorBidi"/>
          <w:i/>
          <w:iCs/>
          <w:sz w:val="24"/>
          <w:szCs w:val="24"/>
        </w:rPr>
        <w:t>Culture's consequences: International differences in work-related values</w:t>
      </w:r>
      <w:r w:rsidRPr="00825D1F">
        <w:rPr>
          <w:rFonts w:asciiTheme="majorBidi" w:hAnsiTheme="majorBidi" w:cstheme="majorBidi"/>
          <w:sz w:val="24"/>
          <w:szCs w:val="24"/>
        </w:rPr>
        <w:t> (Vol. 5). sage.</w:t>
      </w:r>
    </w:p>
    <w:p w14:paraId="10F6B5D3" w14:textId="77777777" w:rsidR="007F6E76" w:rsidRDefault="007F6E76" w:rsidP="007F6E76">
      <w:pPr>
        <w:spacing w:line="480" w:lineRule="auto"/>
        <w:ind w:left="720" w:hanging="720"/>
        <w:rPr>
          <w:rFonts w:asciiTheme="majorBidi" w:hAnsiTheme="majorBidi" w:cstheme="majorBidi"/>
          <w:sz w:val="24"/>
          <w:szCs w:val="24"/>
        </w:rPr>
      </w:pPr>
      <w:r w:rsidRPr="00E44A89">
        <w:rPr>
          <w:rFonts w:asciiTheme="majorBidi" w:hAnsiTheme="majorBidi" w:cstheme="majorBidi"/>
          <w:sz w:val="24"/>
          <w:szCs w:val="24"/>
        </w:rPr>
        <w:t xml:space="preserve">Hyun, J.H., </w:t>
      </w:r>
      <w:r>
        <w:rPr>
          <w:rFonts w:asciiTheme="majorBidi" w:hAnsiTheme="majorBidi" w:cstheme="majorBidi"/>
          <w:sz w:val="24"/>
          <w:szCs w:val="24"/>
        </w:rPr>
        <w:t>(</w:t>
      </w:r>
      <w:r w:rsidRPr="00E44A89">
        <w:rPr>
          <w:rFonts w:asciiTheme="majorBidi" w:hAnsiTheme="majorBidi" w:cstheme="majorBidi"/>
          <w:sz w:val="24"/>
          <w:szCs w:val="24"/>
        </w:rPr>
        <w:t>2025</w:t>
      </w:r>
      <w:r>
        <w:rPr>
          <w:rFonts w:asciiTheme="majorBidi" w:hAnsiTheme="majorBidi" w:cstheme="majorBidi"/>
          <w:sz w:val="24"/>
          <w:szCs w:val="24"/>
        </w:rPr>
        <w:t>)</w:t>
      </w:r>
      <w:r w:rsidRPr="00E44A89">
        <w:rPr>
          <w:rFonts w:asciiTheme="majorBidi" w:hAnsiTheme="majorBidi" w:cstheme="majorBidi"/>
          <w:sz w:val="24"/>
          <w:szCs w:val="24"/>
        </w:rPr>
        <w:t>. The Role of Transnational Strategies in Advancing Quality Management: A Case Study of Toyota Motor Corporation. </w:t>
      </w:r>
      <w:r w:rsidRPr="00E44A89">
        <w:rPr>
          <w:rFonts w:asciiTheme="majorBidi" w:hAnsiTheme="majorBidi" w:cstheme="majorBidi"/>
          <w:i/>
          <w:iCs/>
          <w:sz w:val="24"/>
          <w:szCs w:val="24"/>
        </w:rPr>
        <w:t>Journal of Korean Society for Quality Management</w:t>
      </w:r>
      <w:r w:rsidRPr="00E44A89">
        <w:rPr>
          <w:rFonts w:asciiTheme="majorBidi" w:hAnsiTheme="majorBidi" w:cstheme="majorBidi"/>
          <w:sz w:val="24"/>
          <w:szCs w:val="24"/>
        </w:rPr>
        <w:t>, </w:t>
      </w:r>
      <w:r w:rsidRPr="00E44A89">
        <w:rPr>
          <w:rFonts w:asciiTheme="majorBidi" w:hAnsiTheme="majorBidi" w:cstheme="majorBidi"/>
          <w:i/>
          <w:iCs/>
          <w:sz w:val="24"/>
          <w:szCs w:val="24"/>
        </w:rPr>
        <w:t>53</w:t>
      </w:r>
      <w:r w:rsidRPr="00E44A89">
        <w:rPr>
          <w:rFonts w:asciiTheme="majorBidi" w:hAnsiTheme="majorBidi" w:cstheme="majorBidi"/>
          <w:sz w:val="24"/>
          <w:szCs w:val="24"/>
        </w:rPr>
        <w:t>(1), pp.93-108.</w:t>
      </w:r>
    </w:p>
    <w:p w14:paraId="63AA0D0F" w14:textId="77777777" w:rsidR="007F6E76" w:rsidRDefault="007F6E76" w:rsidP="007F6E76">
      <w:pPr>
        <w:spacing w:line="480" w:lineRule="auto"/>
        <w:ind w:left="720" w:hanging="720"/>
        <w:rPr>
          <w:rFonts w:asciiTheme="majorBidi" w:hAnsiTheme="majorBidi" w:cstheme="majorBidi"/>
          <w:sz w:val="24"/>
          <w:szCs w:val="24"/>
        </w:rPr>
      </w:pPr>
      <w:r w:rsidRPr="008E4E37">
        <w:rPr>
          <w:rFonts w:asciiTheme="majorBidi" w:hAnsiTheme="majorBidi" w:cstheme="majorBidi"/>
          <w:sz w:val="24"/>
          <w:szCs w:val="24"/>
        </w:rPr>
        <w:t xml:space="preserve">James, D. (2023) ‘How Toyota boosts productivity through lean management’, ICE News, 20 November. Available at: </w:t>
      </w:r>
      <w:hyperlink r:id="rId17" w:tgtFrame="_new" w:history="1">
        <w:r w:rsidRPr="008E4E37">
          <w:rPr>
            <w:rStyle w:val="Hyperlink"/>
            <w:rFonts w:asciiTheme="majorBidi" w:hAnsiTheme="majorBidi" w:cstheme="majorBidi"/>
            <w:sz w:val="24"/>
            <w:szCs w:val="24"/>
          </w:rPr>
          <w:t>https://www.ice.org.uk/news-views-insights/inside-infrastructure/how-toyota-boosts-productivity-lean-management</w:t>
        </w:r>
      </w:hyperlink>
      <w:r>
        <w:rPr>
          <w:rFonts w:asciiTheme="majorBidi" w:hAnsiTheme="majorBidi" w:cstheme="majorBidi"/>
          <w:sz w:val="24"/>
          <w:szCs w:val="24"/>
        </w:rPr>
        <w:t>.</w:t>
      </w:r>
    </w:p>
    <w:p w14:paraId="0DC3D524" w14:textId="77777777" w:rsidR="007F6E76" w:rsidRDefault="007F6E76" w:rsidP="007F6E76">
      <w:pPr>
        <w:spacing w:line="480" w:lineRule="auto"/>
        <w:ind w:left="720" w:hanging="720"/>
        <w:rPr>
          <w:rFonts w:asciiTheme="majorBidi" w:hAnsiTheme="majorBidi" w:cstheme="majorBidi"/>
          <w:sz w:val="24"/>
          <w:szCs w:val="24"/>
        </w:rPr>
      </w:pPr>
      <w:r w:rsidRPr="00E44A89">
        <w:rPr>
          <w:rFonts w:asciiTheme="majorBidi" w:hAnsiTheme="majorBidi" w:cstheme="majorBidi"/>
          <w:sz w:val="24"/>
          <w:szCs w:val="24"/>
        </w:rPr>
        <w:t xml:space="preserve">Kareska, K., </w:t>
      </w:r>
      <w:r>
        <w:rPr>
          <w:rFonts w:asciiTheme="majorBidi" w:hAnsiTheme="majorBidi" w:cstheme="majorBidi"/>
          <w:sz w:val="24"/>
          <w:szCs w:val="24"/>
        </w:rPr>
        <w:t>(</w:t>
      </w:r>
      <w:r w:rsidRPr="00E44A89">
        <w:rPr>
          <w:rFonts w:asciiTheme="majorBidi" w:hAnsiTheme="majorBidi" w:cstheme="majorBidi"/>
          <w:sz w:val="24"/>
          <w:szCs w:val="24"/>
        </w:rPr>
        <w:t>2024</w:t>
      </w:r>
      <w:r>
        <w:rPr>
          <w:rFonts w:asciiTheme="majorBidi" w:hAnsiTheme="majorBidi" w:cstheme="majorBidi"/>
          <w:sz w:val="24"/>
          <w:szCs w:val="24"/>
        </w:rPr>
        <w:t>)</w:t>
      </w:r>
      <w:r w:rsidRPr="00E44A89">
        <w:rPr>
          <w:rFonts w:asciiTheme="majorBidi" w:hAnsiTheme="majorBidi" w:cstheme="majorBidi"/>
          <w:sz w:val="24"/>
          <w:szCs w:val="24"/>
        </w:rPr>
        <w:t>. Kaizen in manufacturing: transforming productivity and quality through continuous improvement. </w:t>
      </w:r>
      <w:r w:rsidRPr="00E44A89">
        <w:rPr>
          <w:rFonts w:asciiTheme="majorBidi" w:hAnsiTheme="majorBidi" w:cstheme="majorBidi"/>
          <w:i/>
          <w:iCs/>
          <w:sz w:val="24"/>
          <w:szCs w:val="24"/>
        </w:rPr>
        <w:t>Available at SSRN</w:t>
      </w:r>
      <w:r w:rsidRPr="00E44A89">
        <w:rPr>
          <w:rFonts w:asciiTheme="majorBidi" w:hAnsiTheme="majorBidi" w:cstheme="majorBidi"/>
          <w:sz w:val="24"/>
          <w:szCs w:val="24"/>
        </w:rPr>
        <w:t>, </w:t>
      </w:r>
      <w:r w:rsidRPr="00E44A89">
        <w:rPr>
          <w:rFonts w:asciiTheme="majorBidi" w:hAnsiTheme="majorBidi" w:cstheme="majorBidi"/>
          <w:i/>
          <w:iCs/>
          <w:sz w:val="24"/>
          <w:szCs w:val="24"/>
        </w:rPr>
        <w:t>4844999</w:t>
      </w:r>
      <w:r w:rsidRPr="00E44A89">
        <w:rPr>
          <w:rFonts w:asciiTheme="majorBidi" w:hAnsiTheme="majorBidi" w:cstheme="majorBidi"/>
          <w:sz w:val="24"/>
          <w:szCs w:val="24"/>
        </w:rPr>
        <w:t>.</w:t>
      </w:r>
    </w:p>
    <w:p w14:paraId="2CD46DA4" w14:textId="77777777" w:rsidR="007F6E76" w:rsidRDefault="007F6E76" w:rsidP="007F6E76">
      <w:pPr>
        <w:spacing w:line="480" w:lineRule="auto"/>
        <w:ind w:left="720" w:hanging="720"/>
        <w:rPr>
          <w:rFonts w:asciiTheme="majorBidi" w:hAnsiTheme="majorBidi" w:cstheme="majorBidi"/>
          <w:sz w:val="24"/>
          <w:szCs w:val="24"/>
        </w:rPr>
      </w:pPr>
      <w:r w:rsidRPr="0001126A">
        <w:rPr>
          <w:rFonts w:asciiTheme="majorBidi" w:hAnsiTheme="majorBidi" w:cstheme="majorBidi"/>
          <w:sz w:val="24"/>
          <w:szCs w:val="24"/>
        </w:rPr>
        <w:lastRenderedPageBreak/>
        <w:t xml:space="preserve">Kostal, V., </w:t>
      </w:r>
      <w:r>
        <w:rPr>
          <w:rFonts w:asciiTheme="majorBidi" w:hAnsiTheme="majorBidi" w:cstheme="majorBidi"/>
          <w:sz w:val="24"/>
          <w:szCs w:val="24"/>
        </w:rPr>
        <w:t>(</w:t>
      </w:r>
      <w:r w:rsidRPr="0001126A">
        <w:rPr>
          <w:rFonts w:asciiTheme="majorBidi" w:hAnsiTheme="majorBidi" w:cstheme="majorBidi"/>
          <w:sz w:val="24"/>
          <w:szCs w:val="24"/>
        </w:rPr>
        <w:t>2025</w:t>
      </w:r>
      <w:r>
        <w:rPr>
          <w:rFonts w:asciiTheme="majorBidi" w:hAnsiTheme="majorBidi" w:cstheme="majorBidi"/>
          <w:sz w:val="24"/>
          <w:szCs w:val="24"/>
        </w:rPr>
        <w:t>)</w:t>
      </w:r>
      <w:r w:rsidRPr="0001126A">
        <w:rPr>
          <w:rFonts w:asciiTheme="majorBidi" w:hAnsiTheme="majorBidi" w:cstheme="majorBidi"/>
          <w:sz w:val="24"/>
          <w:szCs w:val="24"/>
        </w:rPr>
        <w:t>. </w:t>
      </w:r>
      <w:r w:rsidRPr="0001126A">
        <w:rPr>
          <w:rFonts w:asciiTheme="majorBidi" w:hAnsiTheme="majorBidi" w:cstheme="majorBidi"/>
          <w:i/>
          <w:iCs/>
          <w:sz w:val="24"/>
          <w:szCs w:val="24"/>
        </w:rPr>
        <w:t>Restarting entrepreneurial culture, employee motivation, and organizational mindset during SME growth</w:t>
      </w:r>
      <w:r w:rsidRPr="0001126A">
        <w:rPr>
          <w:rFonts w:asciiTheme="majorBidi" w:hAnsiTheme="majorBidi" w:cstheme="majorBidi"/>
          <w:sz w:val="24"/>
          <w:szCs w:val="24"/>
        </w:rPr>
        <w:t> (Doctoral dissertation, Technische Universität Wien).</w:t>
      </w:r>
    </w:p>
    <w:p w14:paraId="6C7F02D1" w14:textId="77777777" w:rsidR="007F6E76" w:rsidRDefault="007F6E76" w:rsidP="007F6E76">
      <w:pPr>
        <w:spacing w:line="480" w:lineRule="auto"/>
        <w:ind w:left="720" w:hanging="720"/>
        <w:rPr>
          <w:rFonts w:asciiTheme="majorBidi" w:hAnsiTheme="majorBidi" w:cstheme="majorBidi"/>
          <w:sz w:val="24"/>
          <w:szCs w:val="24"/>
        </w:rPr>
      </w:pPr>
      <w:r>
        <w:rPr>
          <w:rFonts w:asciiTheme="majorBidi" w:hAnsiTheme="majorBidi" w:cstheme="majorBidi"/>
          <w:sz w:val="24"/>
          <w:szCs w:val="24"/>
        </w:rPr>
        <w:t>Lambert, M. (2025</w:t>
      </w:r>
      <w:r w:rsidRPr="00825D1F">
        <w:rPr>
          <w:rFonts w:asciiTheme="majorBidi" w:hAnsiTheme="majorBidi" w:cstheme="majorBidi"/>
          <w:sz w:val="24"/>
          <w:szCs w:val="24"/>
        </w:rPr>
        <w:t xml:space="preserve">) ‘Toyota Production System principles: How to eliminate waste in your logistics’, Toyota-Forklifts Blog. Available at: </w:t>
      </w:r>
      <w:hyperlink r:id="rId18" w:tgtFrame="_new" w:history="1">
        <w:r w:rsidRPr="00825D1F">
          <w:rPr>
            <w:rStyle w:val="Hyperlink"/>
            <w:rFonts w:asciiTheme="majorBidi" w:hAnsiTheme="majorBidi" w:cstheme="majorBidi"/>
            <w:sz w:val="24"/>
            <w:szCs w:val="24"/>
          </w:rPr>
          <w:t>https://blog.toyota-forklifts.eu/toyota-production-system-principles-how-to-eliminate-waste-in-your-logistics</w:t>
        </w:r>
      </w:hyperlink>
    </w:p>
    <w:p w14:paraId="5F9C0EC0" w14:textId="77777777" w:rsidR="007F6E76" w:rsidRDefault="007F6E76" w:rsidP="007F6E76">
      <w:pPr>
        <w:spacing w:line="480" w:lineRule="auto"/>
        <w:ind w:left="720" w:hanging="720"/>
        <w:rPr>
          <w:rFonts w:asciiTheme="majorBidi" w:hAnsiTheme="majorBidi" w:cstheme="majorBidi"/>
          <w:sz w:val="24"/>
          <w:szCs w:val="24"/>
        </w:rPr>
      </w:pPr>
      <w:r w:rsidRPr="0001126A">
        <w:rPr>
          <w:rFonts w:asciiTheme="majorBidi" w:hAnsiTheme="majorBidi" w:cstheme="majorBidi"/>
          <w:sz w:val="24"/>
          <w:szCs w:val="24"/>
        </w:rPr>
        <w:t xml:space="preserve">MacPherson, S. (2018) </w:t>
      </w:r>
      <w:r w:rsidRPr="0001126A">
        <w:rPr>
          <w:rFonts w:asciiTheme="majorBidi" w:hAnsiTheme="majorBidi" w:cstheme="majorBidi"/>
          <w:i/>
          <w:iCs/>
          <w:sz w:val="24"/>
          <w:szCs w:val="24"/>
        </w:rPr>
        <w:t>Toyota’s Obeya Management System: Overview of Hoshin Kanri</w:t>
      </w:r>
      <w:r w:rsidRPr="0001126A">
        <w:rPr>
          <w:rFonts w:asciiTheme="majorBidi" w:hAnsiTheme="majorBidi" w:cstheme="majorBidi"/>
          <w:sz w:val="24"/>
          <w:szCs w:val="24"/>
        </w:rPr>
        <w:t xml:space="preserve"> [PowerPoint]. Available at: </w:t>
      </w:r>
      <w:hyperlink r:id="rId19" w:tgtFrame="_new" w:history="1">
        <w:r w:rsidRPr="0001126A">
          <w:rPr>
            <w:rStyle w:val="Hyperlink"/>
            <w:rFonts w:asciiTheme="majorBidi" w:hAnsiTheme="majorBidi" w:cstheme="majorBidi"/>
            <w:sz w:val="24"/>
            <w:szCs w:val="24"/>
          </w:rPr>
          <w:t>https://polesante.hec.ca/wp-content/uploads/2018/05/Toyota-Obeya-Management-System-Overview-of-Hoshin-Kanri.pdf</w:t>
        </w:r>
      </w:hyperlink>
    </w:p>
    <w:p w14:paraId="00EEBB4A" w14:textId="77777777" w:rsidR="007F6E76" w:rsidRDefault="007F6E76" w:rsidP="007F6E76">
      <w:pPr>
        <w:spacing w:line="480" w:lineRule="auto"/>
        <w:ind w:left="720" w:hanging="720"/>
        <w:rPr>
          <w:rFonts w:asciiTheme="majorBidi" w:hAnsiTheme="majorBidi" w:cstheme="majorBidi"/>
          <w:sz w:val="24"/>
          <w:szCs w:val="24"/>
        </w:rPr>
      </w:pPr>
      <w:r w:rsidRPr="008F560B">
        <w:rPr>
          <w:rFonts w:asciiTheme="majorBidi" w:hAnsiTheme="majorBidi" w:cstheme="majorBidi"/>
          <w:sz w:val="24"/>
          <w:szCs w:val="24"/>
        </w:rPr>
        <w:t xml:space="preserve">Meyer, P. (2025) ‘Toyota’s organizational culture: characteristics analysis’, Panmore. Available at: </w:t>
      </w:r>
      <w:hyperlink r:id="rId20" w:tgtFrame="_new" w:history="1">
        <w:r w:rsidRPr="008F560B">
          <w:rPr>
            <w:rStyle w:val="Hyperlink"/>
            <w:rFonts w:asciiTheme="majorBidi" w:hAnsiTheme="majorBidi" w:cstheme="majorBidi"/>
            <w:sz w:val="24"/>
            <w:szCs w:val="24"/>
          </w:rPr>
          <w:t>https://panmore.com/toyota-organizational-culture-characteristics-analysis</w:t>
        </w:r>
      </w:hyperlink>
    </w:p>
    <w:p w14:paraId="6193A9B2" w14:textId="77777777" w:rsidR="007F6E76" w:rsidRDefault="007F6E76" w:rsidP="007F6E76">
      <w:pPr>
        <w:spacing w:line="480" w:lineRule="auto"/>
        <w:ind w:left="720" w:hanging="720"/>
        <w:rPr>
          <w:rFonts w:asciiTheme="majorBidi" w:hAnsiTheme="majorBidi" w:cstheme="majorBidi"/>
          <w:sz w:val="24"/>
          <w:szCs w:val="24"/>
        </w:rPr>
      </w:pPr>
      <w:r w:rsidRPr="00F951A6">
        <w:rPr>
          <w:rFonts w:asciiTheme="majorBidi" w:hAnsiTheme="majorBidi" w:cstheme="majorBidi"/>
          <w:sz w:val="24"/>
          <w:szCs w:val="24"/>
        </w:rPr>
        <w:t xml:space="preserve">Minahal (2024) ‘Reasons Why Toyota Vehicles Are Reliable’, Toyota Walton Motors Blog, 30 January. Available at: </w:t>
      </w:r>
      <w:hyperlink r:id="rId21" w:tgtFrame="_new" w:history="1">
        <w:r w:rsidRPr="00F951A6">
          <w:rPr>
            <w:rStyle w:val="Hyperlink"/>
            <w:rFonts w:asciiTheme="majorBidi" w:hAnsiTheme="majorBidi" w:cstheme="majorBidi"/>
            <w:sz w:val="24"/>
            <w:szCs w:val="24"/>
          </w:rPr>
          <w:t>https://blog.toyotawalton.com/reasons-why-toyota-vehicles-are-reliable/</w:t>
        </w:r>
      </w:hyperlink>
    </w:p>
    <w:p w14:paraId="78E20B1F" w14:textId="77777777" w:rsidR="007F6E76" w:rsidRDefault="007F6E76" w:rsidP="007F6E76">
      <w:pPr>
        <w:spacing w:line="480" w:lineRule="auto"/>
        <w:ind w:left="720" w:hanging="720"/>
        <w:rPr>
          <w:rFonts w:asciiTheme="majorBidi" w:hAnsiTheme="majorBidi" w:cstheme="majorBidi"/>
          <w:sz w:val="24"/>
          <w:szCs w:val="24"/>
        </w:rPr>
      </w:pPr>
      <w:r w:rsidRPr="000A7294">
        <w:rPr>
          <w:rFonts w:asciiTheme="majorBidi" w:hAnsiTheme="majorBidi" w:cstheme="majorBidi"/>
          <w:sz w:val="24"/>
          <w:szCs w:val="24"/>
        </w:rPr>
        <w:t xml:space="preserve">Modiri, Y. and Olsson, O., </w:t>
      </w:r>
      <w:r>
        <w:rPr>
          <w:rFonts w:asciiTheme="majorBidi" w:hAnsiTheme="majorBidi" w:cstheme="majorBidi"/>
          <w:sz w:val="24"/>
          <w:szCs w:val="24"/>
        </w:rPr>
        <w:t>(</w:t>
      </w:r>
      <w:r w:rsidRPr="000A7294">
        <w:rPr>
          <w:rFonts w:asciiTheme="majorBidi" w:hAnsiTheme="majorBidi" w:cstheme="majorBidi"/>
          <w:sz w:val="24"/>
          <w:szCs w:val="24"/>
        </w:rPr>
        <w:t>2020</w:t>
      </w:r>
      <w:r>
        <w:rPr>
          <w:rFonts w:asciiTheme="majorBidi" w:hAnsiTheme="majorBidi" w:cstheme="majorBidi"/>
          <w:sz w:val="24"/>
          <w:szCs w:val="24"/>
        </w:rPr>
        <w:t>)</w:t>
      </w:r>
      <w:r w:rsidRPr="000A7294">
        <w:rPr>
          <w:rFonts w:asciiTheme="majorBidi" w:hAnsiTheme="majorBidi" w:cstheme="majorBidi"/>
          <w:sz w:val="24"/>
          <w:szCs w:val="24"/>
        </w:rPr>
        <w:t>. The Dawn of a New Era: A Case Study of an Incumbent Car Manufacturer’s Transition to Electric Cars.</w:t>
      </w:r>
    </w:p>
    <w:p w14:paraId="12D19A6D" w14:textId="77777777" w:rsidR="007F6E76" w:rsidRDefault="007F6E76" w:rsidP="007F6E76">
      <w:pPr>
        <w:spacing w:line="480" w:lineRule="auto"/>
        <w:ind w:left="720" w:hanging="720"/>
        <w:rPr>
          <w:rFonts w:asciiTheme="majorBidi" w:hAnsiTheme="majorBidi" w:cstheme="majorBidi"/>
          <w:sz w:val="24"/>
          <w:szCs w:val="24"/>
        </w:rPr>
      </w:pPr>
      <w:r w:rsidRPr="008E4E37">
        <w:rPr>
          <w:rFonts w:asciiTheme="majorBidi" w:hAnsiTheme="majorBidi" w:cstheme="majorBidi"/>
          <w:sz w:val="24"/>
          <w:szCs w:val="24"/>
        </w:rPr>
        <w:t>Mullins, L.J. (2016). </w:t>
      </w:r>
      <w:r w:rsidRPr="008E4E37">
        <w:rPr>
          <w:rFonts w:asciiTheme="majorBidi" w:hAnsiTheme="majorBidi" w:cstheme="majorBidi"/>
          <w:i/>
          <w:iCs/>
          <w:sz w:val="24"/>
          <w:szCs w:val="24"/>
        </w:rPr>
        <w:t>Management &amp; Organisational Behaviour</w:t>
      </w:r>
      <w:r w:rsidRPr="008E4E37">
        <w:rPr>
          <w:rFonts w:asciiTheme="majorBidi" w:hAnsiTheme="majorBidi" w:cstheme="majorBidi"/>
          <w:sz w:val="24"/>
          <w:szCs w:val="24"/>
        </w:rPr>
        <w:t>. 11th ed. Harlow: Pearson.</w:t>
      </w:r>
    </w:p>
    <w:p w14:paraId="0E1E0C4F" w14:textId="77777777" w:rsidR="007F6E76" w:rsidRDefault="007F6E76" w:rsidP="007F6E76">
      <w:pPr>
        <w:spacing w:line="480" w:lineRule="auto"/>
        <w:ind w:left="720" w:hanging="720"/>
        <w:rPr>
          <w:rFonts w:asciiTheme="majorBidi" w:hAnsiTheme="majorBidi" w:cstheme="majorBidi"/>
          <w:sz w:val="24"/>
          <w:szCs w:val="24"/>
        </w:rPr>
      </w:pPr>
      <w:r>
        <w:rPr>
          <w:rFonts w:asciiTheme="majorBidi" w:hAnsiTheme="majorBidi" w:cstheme="majorBidi"/>
          <w:sz w:val="24"/>
          <w:szCs w:val="24"/>
        </w:rPr>
        <w:t>Nkomo, T. (2025</w:t>
      </w:r>
      <w:r w:rsidRPr="00E44A89">
        <w:rPr>
          <w:rFonts w:asciiTheme="majorBidi" w:hAnsiTheme="majorBidi" w:cstheme="majorBidi"/>
          <w:sz w:val="24"/>
          <w:szCs w:val="24"/>
        </w:rPr>
        <w:t>)</w:t>
      </w:r>
      <w:r>
        <w:rPr>
          <w:rFonts w:asciiTheme="majorBidi" w:hAnsiTheme="majorBidi" w:cstheme="majorBidi"/>
          <w:sz w:val="24"/>
          <w:szCs w:val="24"/>
        </w:rPr>
        <w:t>.</w:t>
      </w:r>
      <w:r w:rsidRPr="00E44A89">
        <w:rPr>
          <w:rFonts w:asciiTheme="majorBidi" w:hAnsiTheme="majorBidi" w:cstheme="majorBidi"/>
          <w:sz w:val="24"/>
          <w:szCs w:val="24"/>
        </w:rPr>
        <w:t xml:space="preserve"> </w:t>
      </w:r>
      <w:r w:rsidRPr="00E44A89">
        <w:rPr>
          <w:rFonts w:asciiTheme="majorBidi" w:hAnsiTheme="majorBidi" w:cstheme="majorBidi"/>
          <w:i/>
          <w:iCs/>
          <w:sz w:val="24"/>
          <w:szCs w:val="24"/>
        </w:rPr>
        <w:t>Analysis of Toyota</w:t>
      </w:r>
      <w:r w:rsidRPr="00E44A89">
        <w:rPr>
          <w:rFonts w:asciiTheme="majorBidi" w:hAnsiTheme="majorBidi" w:cstheme="majorBidi"/>
          <w:sz w:val="24"/>
          <w:szCs w:val="24"/>
        </w:rPr>
        <w:t xml:space="preserve"> [PDF]. Available at: </w:t>
      </w:r>
      <w:hyperlink r:id="rId22" w:tgtFrame="_new" w:history="1">
        <w:r w:rsidRPr="00E44A89">
          <w:rPr>
            <w:rStyle w:val="Hyperlink"/>
            <w:rFonts w:asciiTheme="majorBidi" w:hAnsiTheme="majorBidi" w:cstheme="majorBidi"/>
            <w:sz w:val="24"/>
            <w:szCs w:val="24"/>
          </w:rPr>
          <w:t>https://scholar.harvard.edu/files/tnkomo/files/analysis_of_toyota.pdf</w:t>
        </w:r>
      </w:hyperlink>
    </w:p>
    <w:p w14:paraId="31CAFBD5" w14:textId="77777777" w:rsidR="007F6E76" w:rsidRDefault="007F6E76" w:rsidP="007F6E76">
      <w:pPr>
        <w:spacing w:line="480" w:lineRule="auto"/>
        <w:ind w:left="720" w:hanging="720"/>
        <w:rPr>
          <w:rFonts w:asciiTheme="majorBidi" w:hAnsiTheme="majorBidi" w:cstheme="majorBidi"/>
          <w:sz w:val="24"/>
          <w:szCs w:val="24"/>
        </w:rPr>
      </w:pPr>
      <w:r w:rsidRPr="00436A8F">
        <w:rPr>
          <w:rFonts w:asciiTheme="majorBidi" w:hAnsiTheme="majorBidi" w:cstheme="majorBidi"/>
          <w:sz w:val="24"/>
          <w:szCs w:val="24"/>
        </w:rPr>
        <w:t xml:space="preserve">Ohno, T., </w:t>
      </w:r>
      <w:r>
        <w:rPr>
          <w:rFonts w:asciiTheme="majorBidi" w:hAnsiTheme="majorBidi" w:cstheme="majorBidi"/>
          <w:sz w:val="24"/>
          <w:szCs w:val="24"/>
        </w:rPr>
        <w:t>(</w:t>
      </w:r>
      <w:r w:rsidRPr="00436A8F">
        <w:rPr>
          <w:rFonts w:asciiTheme="majorBidi" w:hAnsiTheme="majorBidi" w:cstheme="majorBidi"/>
          <w:sz w:val="24"/>
          <w:szCs w:val="24"/>
        </w:rPr>
        <w:t>2019</w:t>
      </w:r>
      <w:r>
        <w:rPr>
          <w:rFonts w:asciiTheme="majorBidi" w:hAnsiTheme="majorBidi" w:cstheme="majorBidi"/>
          <w:sz w:val="24"/>
          <w:szCs w:val="24"/>
        </w:rPr>
        <w:t>)</w:t>
      </w:r>
      <w:r w:rsidRPr="00436A8F">
        <w:rPr>
          <w:rFonts w:asciiTheme="majorBidi" w:hAnsiTheme="majorBidi" w:cstheme="majorBidi"/>
          <w:sz w:val="24"/>
          <w:szCs w:val="24"/>
        </w:rPr>
        <w:t>. </w:t>
      </w:r>
      <w:r w:rsidRPr="00436A8F">
        <w:rPr>
          <w:rFonts w:asciiTheme="majorBidi" w:hAnsiTheme="majorBidi" w:cstheme="majorBidi"/>
          <w:i/>
          <w:iCs/>
          <w:sz w:val="24"/>
          <w:szCs w:val="24"/>
        </w:rPr>
        <w:t>Toyota production system: beyond large-scale production</w:t>
      </w:r>
      <w:r w:rsidRPr="00436A8F">
        <w:rPr>
          <w:rFonts w:asciiTheme="majorBidi" w:hAnsiTheme="majorBidi" w:cstheme="majorBidi"/>
          <w:sz w:val="24"/>
          <w:szCs w:val="24"/>
        </w:rPr>
        <w:t>. Productivity press.</w:t>
      </w:r>
    </w:p>
    <w:p w14:paraId="532BD8A5" w14:textId="77777777" w:rsidR="007F6E76" w:rsidRDefault="007F6E76" w:rsidP="007F6E76">
      <w:pPr>
        <w:spacing w:line="480" w:lineRule="auto"/>
        <w:ind w:left="720" w:hanging="720"/>
        <w:rPr>
          <w:rFonts w:asciiTheme="majorBidi" w:hAnsiTheme="majorBidi" w:cstheme="majorBidi"/>
          <w:sz w:val="24"/>
          <w:szCs w:val="24"/>
        </w:rPr>
      </w:pPr>
      <w:r w:rsidRPr="0042546D">
        <w:rPr>
          <w:rFonts w:asciiTheme="majorBidi" w:hAnsiTheme="majorBidi" w:cstheme="majorBidi"/>
          <w:sz w:val="24"/>
          <w:szCs w:val="24"/>
        </w:rPr>
        <w:lastRenderedPageBreak/>
        <w:t xml:space="preserve">Ooi, L.L., Teh, S.Y. and Cheang, P.Y.S., </w:t>
      </w:r>
      <w:r>
        <w:rPr>
          <w:rFonts w:asciiTheme="majorBidi" w:hAnsiTheme="majorBidi" w:cstheme="majorBidi"/>
          <w:sz w:val="24"/>
          <w:szCs w:val="24"/>
        </w:rPr>
        <w:t>(</w:t>
      </w:r>
      <w:r w:rsidRPr="0042546D">
        <w:rPr>
          <w:rFonts w:asciiTheme="majorBidi" w:hAnsiTheme="majorBidi" w:cstheme="majorBidi"/>
          <w:sz w:val="24"/>
          <w:szCs w:val="24"/>
        </w:rPr>
        <w:t>2023</w:t>
      </w:r>
      <w:r>
        <w:rPr>
          <w:rFonts w:asciiTheme="majorBidi" w:hAnsiTheme="majorBidi" w:cstheme="majorBidi"/>
          <w:sz w:val="24"/>
          <w:szCs w:val="24"/>
        </w:rPr>
        <w:t>)</w:t>
      </w:r>
      <w:r w:rsidRPr="0042546D">
        <w:rPr>
          <w:rFonts w:asciiTheme="majorBidi" w:hAnsiTheme="majorBidi" w:cstheme="majorBidi"/>
          <w:sz w:val="24"/>
          <w:szCs w:val="24"/>
        </w:rPr>
        <w:t>. The impact of lean production on sustainable organizational performance: the moderating effect of industry 4.0 technologies adoption. </w:t>
      </w:r>
      <w:r w:rsidRPr="0042546D">
        <w:rPr>
          <w:rFonts w:asciiTheme="majorBidi" w:hAnsiTheme="majorBidi" w:cstheme="majorBidi"/>
          <w:i/>
          <w:iCs/>
          <w:sz w:val="24"/>
          <w:szCs w:val="24"/>
        </w:rPr>
        <w:t>Management Research Review</w:t>
      </w:r>
      <w:r w:rsidRPr="0042546D">
        <w:rPr>
          <w:rFonts w:asciiTheme="majorBidi" w:hAnsiTheme="majorBidi" w:cstheme="majorBidi"/>
          <w:sz w:val="24"/>
          <w:szCs w:val="24"/>
        </w:rPr>
        <w:t>, </w:t>
      </w:r>
      <w:r w:rsidRPr="0042546D">
        <w:rPr>
          <w:rFonts w:asciiTheme="majorBidi" w:hAnsiTheme="majorBidi" w:cstheme="majorBidi"/>
          <w:i/>
          <w:iCs/>
          <w:sz w:val="24"/>
          <w:szCs w:val="24"/>
        </w:rPr>
        <w:t>46</w:t>
      </w:r>
      <w:r w:rsidRPr="0042546D">
        <w:rPr>
          <w:rFonts w:asciiTheme="majorBidi" w:hAnsiTheme="majorBidi" w:cstheme="majorBidi"/>
          <w:sz w:val="24"/>
          <w:szCs w:val="24"/>
        </w:rPr>
        <w:t>(12), pp.1802-1836.</w:t>
      </w:r>
    </w:p>
    <w:p w14:paraId="5423099B" w14:textId="77777777" w:rsidR="007F6E76" w:rsidRDefault="007F6E76" w:rsidP="007F6E76">
      <w:pPr>
        <w:spacing w:line="480" w:lineRule="auto"/>
        <w:ind w:left="720" w:hanging="720"/>
        <w:rPr>
          <w:rFonts w:asciiTheme="majorBidi" w:hAnsiTheme="majorBidi" w:cstheme="majorBidi"/>
          <w:sz w:val="24"/>
          <w:szCs w:val="24"/>
        </w:rPr>
      </w:pPr>
      <w:r w:rsidRPr="00436A8F">
        <w:rPr>
          <w:rFonts w:asciiTheme="majorBidi" w:hAnsiTheme="majorBidi" w:cstheme="majorBidi"/>
          <w:sz w:val="24"/>
          <w:szCs w:val="24"/>
        </w:rPr>
        <w:t xml:space="preserve">Pannell, R. (2025) ‘5 Benefits and Power of A3 Problem Solving’, LeanScape, 5 March. Available at: </w:t>
      </w:r>
      <w:hyperlink r:id="rId23" w:tgtFrame="_new" w:history="1">
        <w:r w:rsidRPr="00436A8F">
          <w:rPr>
            <w:rStyle w:val="Hyperlink"/>
            <w:rFonts w:asciiTheme="majorBidi" w:hAnsiTheme="majorBidi" w:cstheme="majorBidi"/>
            <w:sz w:val="24"/>
            <w:szCs w:val="24"/>
          </w:rPr>
          <w:t>https://leanscape.io/5-benefits-of-a3-problem-solving/</w:t>
        </w:r>
      </w:hyperlink>
    </w:p>
    <w:p w14:paraId="5F346D14" w14:textId="77777777" w:rsidR="007F6E76" w:rsidRDefault="007F6E76" w:rsidP="007F6E76">
      <w:pPr>
        <w:spacing w:line="480" w:lineRule="auto"/>
        <w:ind w:left="720" w:hanging="720"/>
        <w:rPr>
          <w:rFonts w:asciiTheme="majorBidi" w:hAnsiTheme="majorBidi" w:cstheme="majorBidi"/>
          <w:sz w:val="24"/>
          <w:szCs w:val="24"/>
        </w:rPr>
      </w:pPr>
      <w:r w:rsidRPr="005C28E3">
        <w:rPr>
          <w:rFonts w:asciiTheme="majorBidi" w:hAnsiTheme="majorBidi" w:cstheme="majorBidi"/>
          <w:sz w:val="24"/>
          <w:szCs w:val="24"/>
        </w:rPr>
        <w:t xml:space="preserve">Schein, E.H., </w:t>
      </w:r>
      <w:r>
        <w:rPr>
          <w:rFonts w:asciiTheme="majorBidi" w:hAnsiTheme="majorBidi" w:cstheme="majorBidi"/>
          <w:sz w:val="24"/>
          <w:szCs w:val="24"/>
        </w:rPr>
        <w:t>(</w:t>
      </w:r>
      <w:r w:rsidRPr="005C28E3">
        <w:rPr>
          <w:rFonts w:asciiTheme="majorBidi" w:hAnsiTheme="majorBidi" w:cstheme="majorBidi"/>
          <w:sz w:val="24"/>
          <w:szCs w:val="24"/>
        </w:rPr>
        <w:t>2010</w:t>
      </w:r>
      <w:r>
        <w:rPr>
          <w:rFonts w:asciiTheme="majorBidi" w:hAnsiTheme="majorBidi" w:cstheme="majorBidi"/>
          <w:sz w:val="24"/>
          <w:szCs w:val="24"/>
        </w:rPr>
        <w:t>)</w:t>
      </w:r>
      <w:r w:rsidRPr="005C28E3">
        <w:rPr>
          <w:rFonts w:asciiTheme="majorBidi" w:hAnsiTheme="majorBidi" w:cstheme="majorBidi"/>
          <w:sz w:val="24"/>
          <w:szCs w:val="24"/>
        </w:rPr>
        <w:t>. Organizational culture and leadership 4th Edition. </w:t>
      </w:r>
      <w:r w:rsidRPr="005C28E3">
        <w:rPr>
          <w:rFonts w:asciiTheme="majorBidi" w:hAnsiTheme="majorBidi" w:cstheme="majorBidi"/>
          <w:i/>
          <w:iCs/>
          <w:sz w:val="24"/>
          <w:szCs w:val="24"/>
        </w:rPr>
        <w:t>San Francisco</w:t>
      </w:r>
      <w:r w:rsidRPr="005C28E3">
        <w:rPr>
          <w:rFonts w:asciiTheme="majorBidi" w:hAnsiTheme="majorBidi" w:cstheme="majorBidi"/>
          <w:sz w:val="24"/>
          <w:szCs w:val="24"/>
        </w:rPr>
        <w:t>.</w:t>
      </w:r>
    </w:p>
    <w:p w14:paraId="79497613" w14:textId="77777777" w:rsidR="007F6E76" w:rsidRDefault="007F6E76" w:rsidP="007F6E76">
      <w:pPr>
        <w:spacing w:line="480" w:lineRule="auto"/>
        <w:ind w:left="720" w:hanging="720"/>
        <w:rPr>
          <w:rFonts w:asciiTheme="majorBidi" w:hAnsiTheme="majorBidi" w:cstheme="majorBidi"/>
          <w:sz w:val="24"/>
          <w:szCs w:val="24"/>
        </w:rPr>
      </w:pPr>
      <w:r w:rsidRPr="00825D1F">
        <w:rPr>
          <w:rFonts w:asciiTheme="majorBidi" w:hAnsiTheme="majorBidi" w:cstheme="majorBidi"/>
          <w:sz w:val="24"/>
          <w:szCs w:val="24"/>
        </w:rPr>
        <w:t xml:space="preserve">Soliman, M.H.A., </w:t>
      </w:r>
      <w:r>
        <w:rPr>
          <w:rFonts w:asciiTheme="majorBidi" w:hAnsiTheme="majorBidi" w:cstheme="majorBidi"/>
          <w:sz w:val="24"/>
          <w:szCs w:val="24"/>
        </w:rPr>
        <w:t>(</w:t>
      </w:r>
      <w:r w:rsidRPr="00825D1F">
        <w:rPr>
          <w:rFonts w:asciiTheme="majorBidi" w:hAnsiTheme="majorBidi" w:cstheme="majorBidi"/>
          <w:sz w:val="24"/>
          <w:szCs w:val="24"/>
        </w:rPr>
        <w:t>2023</w:t>
      </w:r>
      <w:r>
        <w:rPr>
          <w:rFonts w:asciiTheme="majorBidi" w:hAnsiTheme="majorBidi" w:cstheme="majorBidi"/>
          <w:sz w:val="24"/>
          <w:szCs w:val="24"/>
        </w:rPr>
        <w:t>)</w:t>
      </w:r>
      <w:r w:rsidRPr="00825D1F">
        <w:rPr>
          <w:rFonts w:asciiTheme="majorBidi" w:hAnsiTheme="majorBidi" w:cstheme="majorBidi"/>
          <w:sz w:val="24"/>
          <w:szCs w:val="24"/>
        </w:rPr>
        <w:t>. </w:t>
      </w:r>
      <w:r w:rsidRPr="00825D1F">
        <w:rPr>
          <w:rFonts w:asciiTheme="majorBidi" w:hAnsiTheme="majorBidi" w:cstheme="majorBidi"/>
          <w:i/>
          <w:iCs/>
          <w:sz w:val="24"/>
          <w:szCs w:val="24"/>
        </w:rPr>
        <w:t>A Complete Guide to Just-in-Time Production: Inside Toyota's Mind</w:t>
      </w:r>
      <w:r w:rsidRPr="00825D1F">
        <w:rPr>
          <w:rFonts w:asciiTheme="majorBidi" w:hAnsiTheme="majorBidi" w:cstheme="majorBidi"/>
          <w:sz w:val="24"/>
          <w:szCs w:val="24"/>
        </w:rPr>
        <w:t>. Mohammed Hamed Ahmed Soliman.</w:t>
      </w:r>
    </w:p>
    <w:p w14:paraId="1243A0A1" w14:textId="77777777" w:rsidR="007F6E76" w:rsidRDefault="007F6E76" w:rsidP="007F6E76">
      <w:pPr>
        <w:spacing w:line="480" w:lineRule="auto"/>
        <w:ind w:left="720" w:hanging="720"/>
        <w:rPr>
          <w:rFonts w:asciiTheme="majorBidi" w:hAnsiTheme="majorBidi" w:cstheme="majorBidi"/>
          <w:sz w:val="24"/>
          <w:szCs w:val="24"/>
        </w:rPr>
      </w:pPr>
      <w:r w:rsidRPr="00436A8F">
        <w:rPr>
          <w:rFonts w:asciiTheme="majorBidi" w:hAnsiTheme="majorBidi" w:cstheme="majorBidi"/>
          <w:sz w:val="24"/>
          <w:szCs w:val="24"/>
        </w:rPr>
        <w:t xml:space="preserve">Sordan, J.E. and Chiabert, P., </w:t>
      </w:r>
      <w:r>
        <w:rPr>
          <w:rFonts w:asciiTheme="majorBidi" w:hAnsiTheme="majorBidi" w:cstheme="majorBidi"/>
          <w:sz w:val="24"/>
          <w:szCs w:val="24"/>
        </w:rPr>
        <w:t>(</w:t>
      </w:r>
      <w:r w:rsidRPr="00436A8F">
        <w:rPr>
          <w:rFonts w:asciiTheme="majorBidi" w:hAnsiTheme="majorBidi" w:cstheme="majorBidi"/>
          <w:sz w:val="24"/>
          <w:szCs w:val="24"/>
        </w:rPr>
        <w:t>2024</w:t>
      </w:r>
      <w:r>
        <w:rPr>
          <w:rFonts w:asciiTheme="majorBidi" w:hAnsiTheme="majorBidi" w:cstheme="majorBidi"/>
          <w:sz w:val="24"/>
          <w:szCs w:val="24"/>
        </w:rPr>
        <w:t>)</w:t>
      </w:r>
      <w:r w:rsidRPr="00436A8F">
        <w:rPr>
          <w:rFonts w:asciiTheme="majorBidi" w:hAnsiTheme="majorBidi" w:cstheme="majorBidi"/>
          <w:sz w:val="24"/>
          <w:szCs w:val="24"/>
        </w:rPr>
        <w:t>. From Jidoka to Jidoka 4.0. In </w:t>
      </w:r>
      <w:r w:rsidRPr="00436A8F">
        <w:rPr>
          <w:rFonts w:asciiTheme="majorBidi" w:hAnsiTheme="majorBidi" w:cstheme="majorBidi"/>
          <w:i/>
          <w:iCs/>
          <w:sz w:val="24"/>
          <w:szCs w:val="24"/>
        </w:rPr>
        <w:t>Lean Manufacturing in Latin America: Concepts, Methodologies and Applications</w:t>
      </w:r>
      <w:r w:rsidRPr="00436A8F">
        <w:rPr>
          <w:rFonts w:asciiTheme="majorBidi" w:hAnsiTheme="majorBidi" w:cstheme="majorBidi"/>
          <w:sz w:val="24"/>
          <w:szCs w:val="24"/>
        </w:rPr>
        <w:t> (pp. 151-174). Cham: Springer Nature Switzerland.</w:t>
      </w:r>
    </w:p>
    <w:p w14:paraId="4775FF5A" w14:textId="77777777" w:rsidR="007F6E76" w:rsidRDefault="007F6E76" w:rsidP="007F6E76">
      <w:pPr>
        <w:spacing w:line="480" w:lineRule="auto"/>
        <w:ind w:left="720" w:hanging="720"/>
        <w:rPr>
          <w:rFonts w:asciiTheme="majorBidi" w:hAnsiTheme="majorBidi" w:cstheme="majorBidi"/>
          <w:sz w:val="24"/>
          <w:szCs w:val="24"/>
        </w:rPr>
      </w:pPr>
      <w:r w:rsidRPr="00436A8F">
        <w:rPr>
          <w:rFonts w:asciiTheme="majorBidi" w:hAnsiTheme="majorBidi" w:cstheme="majorBidi"/>
          <w:sz w:val="24"/>
          <w:szCs w:val="24"/>
        </w:rPr>
        <w:t xml:space="preserve">Sosnovskikh, S., </w:t>
      </w:r>
      <w:r>
        <w:rPr>
          <w:rFonts w:asciiTheme="majorBidi" w:hAnsiTheme="majorBidi" w:cstheme="majorBidi"/>
          <w:sz w:val="24"/>
          <w:szCs w:val="24"/>
        </w:rPr>
        <w:t>(</w:t>
      </w:r>
      <w:r w:rsidRPr="00436A8F">
        <w:rPr>
          <w:rFonts w:asciiTheme="majorBidi" w:hAnsiTheme="majorBidi" w:cstheme="majorBidi"/>
          <w:sz w:val="24"/>
          <w:szCs w:val="24"/>
        </w:rPr>
        <w:t>2016</w:t>
      </w:r>
      <w:r>
        <w:rPr>
          <w:rFonts w:asciiTheme="majorBidi" w:hAnsiTheme="majorBidi" w:cstheme="majorBidi"/>
          <w:sz w:val="24"/>
          <w:szCs w:val="24"/>
        </w:rPr>
        <w:t>)</w:t>
      </w:r>
      <w:r w:rsidRPr="00436A8F">
        <w:rPr>
          <w:rFonts w:asciiTheme="majorBidi" w:hAnsiTheme="majorBidi" w:cstheme="majorBidi"/>
          <w:sz w:val="24"/>
          <w:szCs w:val="24"/>
        </w:rPr>
        <w:t>. Toyota motor corporation: organizational culture. </w:t>
      </w:r>
      <w:r w:rsidRPr="00436A8F">
        <w:rPr>
          <w:rFonts w:asciiTheme="majorBidi" w:hAnsiTheme="majorBidi" w:cstheme="majorBidi"/>
          <w:i/>
          <w:iCs/>
          <w:sz w:val="24"/>
          <w:szCs w:val="24"/>
        </w:rPr>
        <w:t>Philosophy Study</w:t>
      </w:r>
      <w:r w:rsidRPr="00436A8F">
        <w:rPr>
          <w:rFonts w:asciiTheme="majorBidi" w:hAnsiTheme="majorBidi" w:cstheme="majorBidi"/>
          <w:sz w:val="24"/>
          <w:szCs w:val="24"/>
        </w:rPr>
        <w:t>, </w:t>
      </w:r>
      <w:r w:rsidRPr="00436A8F">
        <w:rPr>
          <w:rFonts w:asciiTheme="majorBidi" w:hAnsiTheme="majorBidi" w:cstheme="majorBidi"/>
          <w:i/>
          <w:iCs/>
          <w:sz w:val="24"/>
          <w:szCs w:val="24"/>
        </w:rPr>
        <w:t>6</w:t>
      </w:r>
      <w:r w:rsidRPr="00436A8F">
        <w:rPr>
          <w:rFonts w:asciiTheme="majorBidi" w:hAnsiTheme="majorBidi" w:cstheme="majorBidi"/>
          <w:sz w:val="24"/>
          <w:szCs w:val="24"/>
        </w:rPr>
        <w:t>(7), pp.442-454.</w:t>
      </w:r>
    </w:p>
    <w:p w14:paraId="14D208BF" w14:textId="77777777" w:rsidR="007F6E76" w:rsidRDefault="007F6E76" w:rsidP="007F6E76">
      <w:pPr>
        <w:spacing w:line="480" w:lineRule="auto"/>
        <w:ind w:left="720" w:hanging="720"/>
        <w:rPr>
          <w:rFonts w:asciiTheme="majorBidi" w:hAnsiTheme="majorBidi" w:cstheme="majorBidi"/>
          <w:sz w:val="24"/>
          <w:szCs w:val="24"/>
        </w:rPr>
      </w:pPr>
      <w:r w:rsidRPr="0001126A">
        <w:rPr>
          <w:rFonts w:asciiTheme="majorBidi" w:hAnsiTheme="majorBidi" w:cstheme="majorBidi"/>
          <w:sz w:val="24"/>
          <w:szCs w:val="24"/>
        </w:rPr>
        <w:t xml:space="preserve">Stamenkovic, S. (2011) ‘The Ringi system at Toyota’, stamenkovic.se, 11 March. Available at: </w:t>
      </w:r>
      <w:hyperlink r:id="rId24" w:tgtFrame="_new" w:history="1">
        <w:r w:rsidRPr="0001126A">
          <w:rPr>
            <w:rStyle w:val="Hyperlink"/>
            <w:rFonts w:asciiTheme="majorBidi" w:hAnsiTheme="majorBidi" w:cstheme="majorBidi"/>
            <w:sz w:val="24"/>
            <w:szCs w:val="24"/>
          </w:rPr>
          <w:t>https://stamenkovic.se/the-ringi-system-at-toyota/</w:t>
        </w:r>
      </w:hyperlink>
    </w:p>
    <w:p w14:paraId="58A65430" w14:textId="77777777" w:rsidR="007F6E76" w:rsidRDefault="007F6E76" w:rsidP="007F6E76">
      <w:pPr>
        <w:spacing w:line="480" w:lineRule="auto"/>
        <w:ind w:left="720" w:hanging="720"/>
        <w:rPr>
          <w:rFonts w:asciiTheme="majorBidi" w:hAnsiTheme="majorBidi" w:cstheme="majorBidi"/>
          <w:sz w:val="24"/>
          <w:szCs w:val="24"/>
        </w:rPr>
      </w:pPr>
      <w:r w:rsidRPr="00E44A89">
        <w:rPr>
          <w:rFonts w:asciiTheme="majorBidi" w:hAnsiTheme="majorBidi" w:cstheme="majorBidi"/>
          <w:sz w:val="24"/>
          <w:szCs w:val="24"/>
        </w:rPr>
        <w:t xml:space="preserve">Swiecki, B.F. and Dziczek, K., </w:t>
      </w:r>
      <w:r>
        <w:rPr>
          <w:rFonts w:asciiTheme="majorBidi" w:hAnsiTheme="majorBidi" w:cstheme="majorBidi"/>
          <w:sz w:val="24"/>
          <w:szCs w:val="24"/>
        </w:rPr>
        <w:t>(</w:t>
      </w:r>
      <w:r w:rsidRPr="00E44A89">
        <w:rPr>
          <w:rFonts w:asciiTheme="majorBidi" w:hAnsiTheme="majorBidi" w:cstheme="majorBidi"/>
          <w:sz w:val="24"/>
          <w:szCs w:val="24"/>
        </w:rPr>
        <w:t>2025</w:t>
      </w:r>
      <w:r>
        <w:rPr>
          <w:rFonts w:asciiTheme="majorBidi" w:hAnsiTheme="majorBidi" w:cstheme="majorBidi"/>
          <w:sz w:val="24"/>
          <w:szCs w:val="24"/>
        </w:rPr>
        <w:t>)</w:t>
      </w:r>
      <w:r w:rsidRPr="00E44A89">
        <w:rPr>
          <w:rFonts w:asciiTheme="majorBidi" w:hAnsiTheme="majorBidi" w:cstheme="majorBidi"/>
          <w:sz w:val="24"/>
          <w:szCs w:val="24"/>
        </w:rPr>
        <w:t>. The Impact of Global Shifts in the Automotive Industry in the United States. In </w:t>
      </w:r>
      <w:r w:rsidRPr="00E44A89">
        <w:rPr>
          <w:rFonts w:asciiTheme="majorBidi" w:hAnsiTheme="majorBidi" w:cstheme="majorBidi"/>
          <w:i/>
          <w:iCs/>
          <w:sz w:val="24"/>
          <w:szCs w:val="24"/>
        </w:rPr>
        <w:t>Global Shifts in the Automotive Sector: Markets, Firms and Technologies in the Age of Geopolitical Disruption</w:t>
      </w:r>
      <w:r w:rsidRPr="00E44A89">
        <w:rPr>
          <w:rFonts w:asciiTheme="majorBidi" w:hAnsiTheme="majorBidi" w:cstheme="majorBidi"/>
          <w:sz w:val="24"/>
          <w:szCs w:val="24"/>
        </w:rPr>
        <w:t> (pp. 257-288). Cham: Springer Nature Switzerland.</w:t>
      </w:r>
    </w:p>
    <w:p w14:paraId="7FF8963E" w14:textId="77777777" w:rsidR="007F6E76" w:rsidRDefault="007F6E76" w:rsidP="007F6E76">
      <w:pPr>
        <w:spacing w:line="480" w:lineRule="auto"/>
        <w:ind w:left="720" w:hanging="720"/>
        <w:rPr>
          <w:rFonts w:asciiTheme="majorBidi" w:hAnsiTheme="majorBidi" w:cstheme="majorBidi"/>
          <w:sz w:val="24"/>
          <w:szCs w:val="24"/>
        </w:rPr>
      </w:pPr>
      <w:r w:rsidRPr="005C28E3">
        <w:rPr>
          <w:rFonts w:asciiTheme="majorBidi" w:hAnsiTheme="majorBidi" w:cstheme="majorBidi"/>
          <w:sz w:val="24"/>
          <w:szCs w:val="24"/>
        </w:rPr>
        <w:t xml:space="preserve">Toyota (GB) PLC (2016) ‘Andon – Toyota Production System guide’, Toyota UK Magazine, 31 May. Available at: </w:t>
      </w:r>
      <w:hyperlink r:id="rId25" w:tgtFrame="_new" w:history="1">
        <w:r w:rsidRPr="005C28E3">
          <w:rPr>
            <w:rStyle w:val="Hyperlink"/>
            <w:rFonts w:asciiTheme="majorBidi" w:hAnsiTheme="majorBidi" w:cstheme="majorBidi"/>
            <w:sz w:val="24"/>
            <w:szCs w:val="24"/>
          </w:rPr>
          <w:t>https://mag.toyota.co.uk/andon-toyota-production-system/</w:t>
        </w:r>
      </w:hyperlink>
    </w:p>
    <w:p w14:paraId="7EA8BC6F" w14:textId="77777777" w:rsidR="007F6E76" w:rsidRDefault="007F6E76" w:rsidP="007F6E76">
      <w:pPr>
        <w:spacing w:line="480" w:lineRule="auto"/>
        <w:ind w:left="720" w:hanging="720"/>
        <w:rPr>
          <w:rFonts w:asciiTheme="majorBidi" w:hAnsiTheme="majorBidi" w:cstheme="majorBidi"/>
          <w:sz w:val="24"/>
          <w:szCs w:val="24"/>
        </w:rPr>
      </w:pPr>
      <w:r w:rsidRPr="00436A8F">
        <w:rPr>
          <w:rFonts w:asciiTheme="majorBidi" w:hAnsiTheme="majorBidi" w:cstheme="majorBidi"/>
          <w:sz w:val="24"/>
          <w:szCs w:val="24"/>
        </w:rPr>
        <w:lastRenderedPageBreak/>
        <w:t xml:space="preserve">Toyota Indus Motor Company (2024) </w:t>
      </w:r>
      <w:r w:rsidRPr="00436A8F">
        <w:rPr>
          <w:rFonts w:asciiTheme="majorBidi" w:hAnsiTheme="majorBidi" w:cstheme="majorBidi"/>
          <w:i/>
          <w:iCs/>
          <w:sz w:val="24"/>
          <w:szCs w:val="24"/>
        </w:rPr>
        <w:t>Annual Report 2024</w:t>
      </w:r>
      <w:r w:rsidRPr="00436A8F">
        <w:rPr>
          <w:rFonts w:asciiTheme="majorBidi" w:hAnsiTheme="majorBidi" w:cstheme="majorBidi"/>
          <w:sz w:val="24"/>
          <w:szCs w:val="24"/>
        </w:rPr>
        <w:t xml:space="preserve">. Available at: </w:t>
      </w:r>
      <w:hyperlink r:id="rId26" w:tgtFrame="_new" w:history="1">
        <w:r w:rsidRPr="00436A8F">
          <w:rPr>
            <w:rStyle w:val="Hyperlink"/>
            <w:rFonts w:asciiTheme="majorBidi" w:hAnsiTheme="majorBidi" w:cstheme="majorBidi"/>
            <w:sz w:val="24"/>
            <w:szCs w:val="24"/>
          </w:rPr>
          <w:t>https://toyota-indus.com/wp-content/uploads/2024/09/IMC-AR-2024-new.pdf</w:t>
        </w:r>
      </w:hyperlink>
    </w:p>
    <w:p w14:paraId="2A51EE87" w14:textId="77777777" w:rsidR="007F6E76" w:rsidRDefault="007F6E76" w:rsidP="007F6E76">
      <w:pPr>
        <w:spacing w:line="480" w:lineRule="auto"/>
        <w:ind w:left="720" w:hanging="720"/>
        <w:rPr>
          <w:rFonts w:asciiTheme="majorBidi" w:hAnsiTheme="majorBidi" w:cstheme="majorBidi"/>
          <w:sz w:val="24"/>
          <w:szCs w:val="24"/>
        </w:rPr>
      </w:pPr>
      <w:r>
        <w:rPr>
          <w:rFonts w:asciiTheme="majorBidi" w:hAnsiTheme="majorBidi" w:cstheme="majorBidi"/>
          <w:sz w:val="24"/>
          <w:szCs w:val="24"/>
        </w:rPr>
        <w:t>Toyota Motor Corporation (2021a</w:t>
      </w:r>
      <w:r w:rsidRPr="00825D1F">
        <w:rPr>
          <w:rFonts w:asciiTheme="majorBidi" w:hAnsiTheme="majorBidi" w:cstheme="majorBidi"/>
          <w:sz w:val="24"/>
          <w:szCs w:val="24"/>
        </w:rPr>
        <w:t xml:space="preserve">) ‘Toyota Way 2020 / Toyota Code of Conduct’, Toyota Global. Available at: </w:t>
      </w:r>
      <w:hyperlink r:id="rId27" w:tgtFrame="_new" w:history="1">
        <w:r w:rsidRPr="00825D1F">
          <w:rPr>
            <w:rStyle w:val="Hyperlink"/>
            <w:rFonts w:asciiTheme="majorBidi" w:hAnsiTheme="majorBidi" w:cstheme="majorBidi"/>
            <w:sz w:val="24"/>
            <w:szCs w:val="24"/>
          </w:rPr>
          <w:t>https://global.toyota/en/company/vision-and-philosophy/toyotaway_code-of-conduct/</w:t>
        </w:r>
      </w:hyperlink>
    </w:p>
    <w:p w14:paraId="243882CB" w14:textId="77777777" w:rsidR="007F6E76" w:rsidRDefault="007F6E76" w:rsidP="007F6E76">
      <w:pPr>
        <w:spacing w:line="480" w:lineRule="auto"/>
        <w:ind w:left="720" w:hanging="720"/>
        <w:rPr>
          <w:rFonts w:asciiTheme="majorBidi" w:hAnsiTheme="majorBidi" w:cstheme="majorBidi"/>
          <w:sz w:val="24"/>
          <w:szCs w:val="24"/>
        </w:rPr>
      </w:pPr>
      <w:r w:rsidRPr="008F560B">
        <w:rPr>
          <w:rFonts w:asciiTheme="majorBidi" w:hAnsiTheme="majorBidi" w:cstheme="majorBidi"/>
          <w:sz w:val="24"/>
          <w:szCs w:val="24"/>
        </w:rPr>
        <w:t>Toyota Motor Corporation (2021</w:t>
      </w:r>
      <w:r>
        <w:rPr>
          <w:rFonts w:asciiTheme="majorBidi" w:hAnsiTheme="majorBidi" w:cstheme="majorBidi"/>
          <w:sz w:val="24"/>
          <w:szCs w:val="24"/>
        </w:rPr>
        <w:t>b</w:t>
      </w:r>
      <w:r w:rsidRPr="008F560B">
        <w:rPr>
          <w:rFonts w:asciiTheme="majorBidi" w:hAnsiTheme="majorBidi" w:cstheme="majorBidi"/>
          <w:sz w:val="24"/>
          <w:szCs w:val="24"/>
        </w:rPr>
        <w:t xml:space="preserve">) ‘Toyota's Discerning Approach to Car-making and Challenges for the Future’, Global Newsroom. Available at: </w:t>
      </w:r>
      <w:hyperlink r:id="rId28" w:tgtFrame="_new" w:history="1">
        <w:r w:rsidRPr="008F560B">
          <w:rPr>
            <w:rStyle w:val="Hyperlink"/>
            <w:rFonts w:asciiTheme="majorBidi" w:hAnsiTheme="majorBidi" w:cstheme="majorBidi"/>
            <w:sz w:val="24"/>
            <w:szCs w:val="24"/>
          </w:rPr>
          <w:t>https://global.toyota/en/newsroom/corporate/35891478.html</w:t>
        </w:r>
      </w:hyperlink>
    </w:p>
    <w:p w14:paraId="26FE5FBE" w14:textId="77777777" w:rsidR="007F6E76" w:rsidRDefault="007F6E76" w:rsidP="007F6E76">
      <w:pPr>
        <w:spacing w:line="480" w:lineRule="auto"/>
        <w:ind w:left="720" w:hanging="720"/>
        <w:rPr>
          <w:rFonts w:asciiTheme="majorBidi" w:hAnsiTheme="majorBidi" w:cstheme="majorBidi"/>
          <w:sz w:val="24"/>
          <w:szCs w:val="24"/>
        </w:rPr>
      </w:pPr>
      <w:r w:rsidRPr="00825D1F">
        <w:rPr>
          <w:rFonts w:asciiTheme="majorBidi" w:hAnsiTheme="majorBidi" w:cstheme="majorBidi"/>
          <w:sz w:val="24"/>
          <w:szCs w:val="24"/>
        </w:rPr>
        <w:t>Toyota Motor Corporation (2021</w:t>
      </w:r>
      <w:r>
        <w:rPr>
          <w:rFonts w:asciiTheme="majorBidi" w:hAnsiTheme="majorBidi" w:cstheme="majorBidi"/>
          <w:sz w:val="24"/>
          <w:szCs w:val="24"/>
        </w:rPr>
        <w:t>c</w:t>
      </w:r>
      <w:r w:rsidRPr="00825D1F">
        <w:rPr>
          <w:rFonts w:asciiTheme="majorBidi" w:hAnsiTheme="majorBidi" w:cstheme="majorBidi"/>
          <w:sz w:val="24"/>
          <w:szCs w:val="24"/>
        </w:rPr>
        <w:t xml:space="preserve">) </w:t>
      </w:r>
      <w:r w:rsidRPr="00825D1F">
        <w:rPr>
          <w:rFonts w:asciiTheme="majorBidi" w:hAnsiTheme="majorBidi" w:cstheme="majorBidi"/>
          <w:i/>
          <w:iCs/>
          <w:sz w:val="24"/>
          <w:szCs w:val="24"/>
        </w:rPr>
        <w:t>Minutes from Media Briefing on Battery EV Strategies, 14 December</w:t>
      </w:r>
      <w:r w:rsidRPr="00825D1F">
        <w:rPr>
          <w:rFonts w:asciiTheme="majorBidi" w:hAnsiTheme="majorBidi" w:cstheme="majorBidi"/>
          <w:sz w:val="24"/>
          <w:szCs w:val="24"/>
        </w:rPr>
        <w:t xml:space="preserve"> [PDF]. Available at: </w:t>
      </w:r>
      <w:hyperlink r:id="rId29" w:tgtFrame="_new" w:history="1">
        <w:r w:rsidRPr="00825D1F">
          <w:rPr>
            <w:rStyle w:val="Hyperlink"/>
            <w:rFonts w:asciiTheme="majorBidi" w:hAnsiTheme="majorBidi" w:cstheme="majorBidi"/>
            <w:sz w:val="24"/>
            <w:szCs w:val="24"/>
          </w:rPr>
          <w:t>https://global.toyota/pages/news/images/2021/12/BEV/20211214_BEV_01_en.pdf</w:t>
        </w:r>
      </w:hyperlink>
    </w:p>
    <w:p w14:paraId="07ABC622" w14:textId="77777777" w:rsidR="007F6E76" w:rsidRDefault="007F6E76" w:rsidP="007F6E76">
      <w:pPr>
        <w:spacing w:line="480" w:lineRule="auto"/>
        <w:ind w:left="720" w:hanging="720"/>
        <w:rPr>
          <w:rFonts w:asciiTheme="majorBidi" w:hAnsiTheme="majorBidi" w:cstheme="majorBidi"/>
          <w:sz w:val="24"/>
          <w:szCs w:val="24"/>
        </w:rPr>
      </w:pPr>
      <w:r w:rsidRPr="008F560B">
        <w:rPr>
          <w:rFonts w:asciiTheme="majorBidi" w:hAnsiTheme="majorBidi" w:cstheme="majorBidi"/>
          <w:sz w:val="24"/>
          <w:szCs w:val="24"/>
        </w:rPr>
        <w:t>Toyota Motor Corporation (2024</w:t>
      </w:r>
      <w:r>
        <w:rPr>
          <w:rFonts w:asciiTheme="majorBidi" w:hAnsiTheme="majorBidi" w:cstheme="majorBidi"/>
          <w:sz w:val="24"/>
          <w:szCs w:val="24"/>
        </w:rPr>
        <w:t>a</w:t>
      </w:r>
      <w:r w:rsidRPr="008F560B">
        <w:rPr>
          <w:rFonts w:asciiTheme="majorBidi" w:hAnsiTheme="majorBidi" w:cstheme="majorBidi"/>
          <w:sz w:val="24"/>
          <w:szCs w:val="24"/>
        </w:rPr>
        <w:t xml:space="preserve">) ‘Sales, Production, and Export Results for August 2024’, Toyota. Available at: </w:t>
      </w:r>
      <w:hyperlink r:id="rId30" w:tgtFrame="_new" w:history="1">
        <w:r w:rsidRPr="008F560B">
          <w:rPr>
            <w:rStyle w:val="Hyperlink"/>
            <w:rFonts w:asciiTheme="majorBidi" w:hAnsiTheme="majorBidi" w:cstheme="majorBidi"/>
            <w:sz w:val="24"/>
            <w:szCs w:val="24"/>
          </w:rPr>
          <w:t>https://global.toyota/en/company/profile/production-sales-figures/202408.html</w:t>
        </w:r>
      </w:hyperlink>
    </w:p>
    <w:p w14:paraId="63DCAC1D" w14:textId="77777777" w:rsidR="007F6E76" w:rsidRDefault="007F6E76" w:rsidP="007F6E76">
      <w:pPr>
        <w:spacing w:line="480" w:lineRule="auto"/>
        <w:ind w:left="720" w:hanging="720"/>
        <w:rPr>
          <w:rFonts w:asciiTheme="majorBidi" w:hAnsiTheme="majorBidi" w:cstheme="majorBidi"/>
          <w:sz w:val="24"/>
          <w:szCs w:val="24"/>
        </w:rPr>
      </w:pPr>
      <w:r>
        <w:rPr>
          <w:rFonts w:asciiTheme="majorBidi" w:hAnsiTheme="majorBidi" w:cstheme="majorBidi"/>
          <w:sz w:val="24"/>
          <w:szCs w:val="24"/>
        </w:rPr>
        <w:t>Toyota Motor Corporation (2024b</w:t>
      </w:r>
      <w:r w:rsidRPr="00F951A6">
        <w:rPr>
          <w:rFonts w:asciiTheme="majorBidi" w:hAnsiTheme="majorBidi" w:cstheme="majorBidi"/>
          <w:sz w:val="24"/>
          <w:szCs w:val="24"/>
        </w:rPr>
        <w:t xml:space="preserve">) ‘Toyota Production System’, Toyota Global. Available at: </w:t>
      </w:r>
      <w:hyperlink r:id="rId31" w:tgtFrame="_new" w:history="1">
        <w:r w:rsidRPr="00F951A6">
          <w:rPr>
            <w:rStyle w:val="Hyperlink"/>
            <w:rFonts w:asciiTheme="majorBidi" w:hAnsiTheme="majorBidi" w:cstheme="majorBidi"/>
            <w:sz w:val="24"/>
            <w:szCs w:val="24"/>
          </w:rPr>
          <w:t>https://global.toyota/en/company/vision-and-philosophy/production-system/</w:t>
        </w:r>
      </w:hyperlink>
    </w:p>
    <w:p w14:paraId="23C3C35B" w14:textId="77777777" w:rsidR="007F6E76" w:rsidRDefault="007F6E76" w:rsidP="007F6E76">
      <w:pPr>
        <w:spacing w:line="480" w:lineRule="auto"/>
        <w:ind w:left="720" w:hanging="720"/>
        <w:rPr>
          <w:rFonts w:asciiTheme="majorBidi" w:hAnsiTheme="majorBidi" w:cstheme="majorBidi"/>
          <w:sz w:val="24"/>
          <w:szCs w:val="24"/>
        </w:rPr>
      </w:pPr>
      <w:r w:rsidRPr="008F560B">
        <w:rPr>
          <w:rFonts w:asciiTheme="majorBidi" w:hAnsiTheme="majorBidi" w:cstheme="majorBidi"/>
          <w:sz w:val="24"/>
          <w:szCs w:val="24"/>
        </w:rPr>
        <w:t>Toyota Motor Corporation (2024</w:t>
      </w:r>
      <w:r>
        <w:rPr>
          <w:rFonts w:asciiTheme="majorBidi" w:hAnsiTheme="majorBidi" w:cstheme="majorBidi"/>
          <w:sz w:val="24"/>
          <w:szCs w:val="24"/>
        </w:rPr>
        <w:t>c</w:t>
      </w:r>
      <w:r w:rsidRPr="008F560B">
        <w:rPr>
          <w:rFonts w:asciiTheme="majorBidi" w:hAnsiTheme="majorBidi" w:cstheme="majorBidi"/>
          <w:sz w:val="24"/>
          <w:szCs w:val="24"/>
        </w:rPr>
        <w:t xml:space="preserve">) </w:t>
      </w:r>
      <w:r w:rsidRPr="008F560B">
        <w:rPr>
          <w:rFonts w:asciiTheme="majorBidi" w:hAnsiTheme="majorBidi" w:cstheme="majorBidi"/>
          <w:i/>
          <w:iCs/>
          <w:sz w:val="24"/>
          <w:szCs w:val="24"/>
        </w:rPr>
        <w:t>FY2024 Financial Results Presentation</w:t>
      </w:r>
      <w:r w:rsidRPr="008F560B">
        <w:rPr>
          <w:rFonts w:asciiTheme="majorBidi" w:hAnsiTheme="majorBidi" w:cstheme="majorBidi"/>
          <w:sz w:val="24"/>
          <w:szCs w:val="24"/>
        </w:rPr>
        <w:t xml:space="preserve"> [PDF], 8 May. Available at: </w:t>
      </w:r>
      <w:hyperlink r:id="rId32" w:tgtFrame="_new" w:history="1">
        <w:r w:rsidRPr="008F560B">
          <w:rPr>
            <w:rStyle w:val="Hyperlink"/>
            <w:rFonts w:asciiTheme="majorBidi" w:hAnsiTheme="majorBidi" w:cstheme="majorBidi"/>
            <w:sz w:val="24"/>
            <w:szCs w:val="24"/>
          </w:rPr>
          <w:t>https://global.toyota/pages/global_toyota/ir/financial-results/2024_4q_presentation_2_en.pdf</w:t>
        </w:r>
      </w:hyperlink>
    </w:p>
    <w:p w14:paraId="282A4656" w14:textId="77777777" w:rsidR="007F6E76" w:rsidRDefault="007F6E76" w:rsidP="007F6E76">
      <w:pPr>
        <w:spacing w:line="480" w:lineRule="auto"/>
        <w:ind w:left="720" w:hanging="720"/>
        <w:rPr>
          <w:rFonts w:asciiTheme="majorBidi" w:hAnsiTheme="majorBidi" w:cstheme="majorBidi"/>
          <w:sz w:val="24"/>
          <w:szCs w:val="24"/>
        </w:rPr>
      </w:pPr>
      <w:r>
        <w:rPr>
          <w:rFonts w:asciiTheme="majorBidi" w:hAnsiTheme="majorBidi" w:cstheme="majorBidi"/>
          <w:sz w:val="24"/>
          <w:szCs w:val="24"/>
        </w:rPr>
        <w:t>Toyota Motor Corporation (2025</w:t>
      </w:r>
      <w:r w:rsidRPr="00A8075D">
        <w:rPr>
          <w:rFonts w:asciiTheme="majorBidi" w:hAnsiTheme="majorBidi" w:cstheme="majorBidi"/>
          <w:sz w:val="24"/>
          <w:szCs w:val="24"/>
        </w:rPr>
        <w:t xml:space="preserve">) ‘Toyota Production System’, Toyota Global. Available at: </w:t>
      </w:r>
      <w:hyperlink r:id="rId33" w:tgtFrame="_new" w:history="1">
        <w:r w:rsidRPr="00A8075D">
          <w:rPr>
            <w:rStyle w:val="Hyperlink"/>
            <w:rFonts w:asciiTheme="majorBidi" w:hAnsiTheme="majorBidi" w:cstheme="majorBidi"/>
            <w:sz w:val="24"/>
            <w:szCs w:val="24"/>
          </w:rPr>
          <w:t>https://global.toyota/en/company/vision-and-philosophy/production-system/</w:t>
        </w:r>
      </w:hyperlink>
      <w:r>
        <w:rPr>
          <w:rFonts w:asciiTheme="majorBidi" w:hAnsiTheme="majorBidi" w:cstheme="majorBidi"/>
          <w:sz w:val="24"/>
          <w:szCs w:val="24"/>
        </w:rPr>
        <w:t xml:space="preserve"> </w:t>
      </w:r>
    </w:p>
    <w:p w14:paraId="78D927A2" w14:textId="77777777" w:rsidR="007F6E76" w:rsidRDefault="007F6E76" w:rsidP="007F6E76">
      <w:pPr>
        <w:spacing w:line="480" w:lineRule="auto"/>
        <w:ind w:left="720" w:hanging="720"/>
        <w:rPr>
          <w:rFonts w:asciiTheme="majorBidi" w:hAnsiTheme="majorBidi" w:cstheme="majorBidi"/>
          <w:sz w:val="24"/>
          <w:szCs w:val="24"/>
        </w:rPr>
      </w:pPr>
      <w:r w:rsidRPr="008E4E37">
        <w:rPr>
          <w:rFonts w:asciiTheme="majorBidi" w:hAnsiTheme="majorBidi" w:cstheme="majorBidi"/>
          <w:sz w:val="24"/>
          <w:szCs w:val="24"/>
        </w:rPr>
        <w:lastRenderedPageBreak/>
        <w:t xml:space="preserve">Van Hulst, M., Metze, T., Dewulf, A., De Vries, J., Van Bommel, S. and Van Ostaijen, M., </w:t>
      </w:r>
      <w:r>
        <w:rPr>
          <w:rFonts w:asciiTheme="majorBidi" w:hAnsiTheme="majorBidi" w:cstheme="majorBidi"/>
          <w:sz w:val="24"/>
          <w:szCs w:val="24"/>
        </w:rPr>
        <w:t>(</w:t>
      </w:r>
      <w:r w:rsidRPr="008E4E37">
        <w:rPr>
          <w:rFonts w:asciiTheme="majorBidi" w:hAnsiTheme="majorBidi" w:cstheme="majorBidi"/>
          <w:sz w:val="24"/>
          <w:szCs w:val="24"/>
        </w:rPr>
        <w:t>2025</w:t>
      </w:r>
      <w:r>
        <w:rPr>
          <w:rFonts w:asciiTheme="majorBidi" w:hAnsiTheme="majorBidi" w:cstheme="majorBidi"/>
          <w:sz w:val="24"/>
          <w:szCs w:val="24"/>
        </w:rPr>
        <w:t>)</w:t>
      </w:r>
      <w:r w:rsidRPr="008E4E37">
        <w:rPr>
          <w:rFonts w:asciiTheme="majorBidi" w:hAnsiTheme="majorBidi" w:cstheme="majorBidi"/>
          <w:sz w:val="24"/>
          <w:szCs w:val="24"/>
        </w:rPr>
        <w:t>. Discourse, framing and narrative: three ways of doing critical, interpretive policy analysis. </w:t>
      </w:r>
      <w:r w:rsidRPr="008E4E37">
        <w:rPr>
          <w:rFonts w:asciiTheme="majorBidi" w:hAnsiTheme="majorBidi" w:cstheme="majorBidi"/>
          <w:i/>
          <w:iCs/>
          <w:sz w:val="24"/>
          <w:szCs w:val="24"/>
        </w:rPr>
        <w:t>Critical policy studies</w:t>
      </w:r>
      <w:r w:rsidRPr="008E4E37">
        <w:rPr>
          <w:rFonts w:asciiTheme="majorBidi" w:hAnsiTheme="majorBidi" w:cstheme="majorBidi"/>
          <w:sz w:val="24"/>
          <w:szCs w:val="24"/>
        </w:rPr>
        <w:t>, </w:t>
      </w:r>
      <w:r w:rsidRPr="008E4E37">
        <w:rPr>
          <w:rFonts w:asciiTheme="majorBidi" w:hAnsiTheme="majorBidi" w:cstheme="majorBidi"/>
          <w:i/>
          <w:iCs/>
          <w:sz w:val="24"/>
          <w:szCs w:val="24"/>
        </w:rPr>
        <w:t>19</w:t>
      </w:r>
      <w:r w:rsidRPr="008E4E37">
        <w:rPr>
          <w:rFonts w:asciiTheme="majorBidi" w:hAnsiTheme="majorBidi" w:cstheme="majorBidi"/>
          <w:sz w:val="24"/>
          <w:szCs w:val="24"/>
        </w:rPr>
        <w:t>(1), pp.74-96.</w:t>
      </w:r>
    </w:p>
    <w:p w14:paraId="3DD25C40" w14:textId="77777777" w:rsidR="007F6E76" w:rsidRDefault="007F6E76" w:rsidP="007F6E76">
      <w:pPr>
        <w:spacing w:line="480" w:lineRule="auto"/>
        <w:ind w:left="720" w:hanging="720"/>
        <w:rPr>
          <w:rFonts w:asciiTheme="majorBidi" w:hAnsiTheme="majorBidi" w:cstheme="majorBidi"/>
          <w:sz w:val="24"/>
          <w:szCs w:val="24"/>
        </w:rPr>
      </w:pPr>
      <w:r w:rsidRPr="008E4E37">
        <w:rPr>
          <w:rFonts w:asciiTheme="majorBidi" w:hAnsiTheme="majorBidi" w:cstheme="majorBidi"/>
          <w:sz w:val="24"/>
          <w:szCs w:val="24"/>
        </w:rPr>
        <w:t xml:space="preserve">Vanichchinchai, A., </w:t>
      </w:r>
      <w:r>
        <w:rPr>
          <w:rFonts w:asciiTheme="majorBidi" w:hAnsiTheme="majorBidi" w:cstheme="majorBidi"/>
          <w:sz w:val="24"/>
          <w:szCs w:val="24"/>
        </w:rPr>
        <w:t>(</w:t>
      </w:r>
      <w:r w:rsidRPr="008E4E37">
        <w:rPr>
          <w:rFonts w:asciiTheme="majorBidi" w:hAnsiTheme="majorBidi" w:cstheme="majorBidi"/>
          <w:sz w:val="24"/>
          <w:szCs w:val="24"/>
        </w:rPr>
        <w:t>2023</w:t>
      </w:r>
      <w:r>
        <w:rPr>
          <w:rFonts w:asciiTheme="majorBidi" w:hAnsiTheme="majorBidi" w:cstheme="majorBidi"/>
          <w:sz w:val="24"/>
          <w:szCs w:val="24"/>
        </w:rPr>
        <w:t>)</w:t>
      </w:r>
      <w:r w:rsidRPr="008E4E37">
        <w:rPr>
          <w:rFonts w:asciiTheme="majorBidi" w:hAnsiTheme="majorBidi" w:cstheme="majorBidi"/>
          <w:sz w:val="24"/>
          <w:szCs w:val="24"/>
        </w:rPr>
        <w:t>. The relationships between soft and hard factors of the Toyota way: a socio-technical perspective. </w:t>
      </w:r>
      <w:r w:rsidRPr="008E4E37">
        <w:rPr>
          <w:rFonts w:asciiTheme="majorBidi" w:hAnsiTheme="majorBidi" w:cstheme="majorBidi"/>
          <w:i/>
          <w:iCs/>
          <w:sz w:val="24"/>
          <w:szCs w:val="24"/>
        </w:rPr>
        <w:t>Operations Management Research</w:t>
      </w:r>
      <w:r w:rsidRPr="008E4E37">
        <w:rPr>
          <w:rFonts w:asciiTheme="majorBidi" w:hAnsiTheme="majorBidi" w:cstheme="majorBidi"/>
          <w:sz w:val="24"/>
          <w:szCs w:val="24"/>
        </w:rPr>
        <w:t>, </w:t>
      </w:r>
      <w:r w:rsidRPr="008E4E37">
        <w:rPr>
          <w:rFonts w:asciiTheme="majorBidi" w:hAnsiTheme="majorBidi" w:cstheme="majorBidi"/>
          <w:i/>
          <w:iCs/>
          <w:sz w:val="24"/>
          <w:szCs w:val="24"/>
        </w:rPr>
        <w:t>16</w:t>
      </w:r>
      <w:r w:rsidRPr="008E4E37">
        <w:rPr>
          <w:rFonts w:asciiTheme="majorBidi" w:hAnsiTheme="majorBidi" w:cstheme="majorBidi"/>
          <w:sz w:val="24"/>
          <w:szCs w:val="24"/>
        </w:rPr>
        <w:t>(2), pp.768-779.</w:t>
      </w:r>
    </w:p>
    <w:p w14:paraId="4A29DA64" w14:textId="77777777" w:rsidR="007F6E76" w:rsidRDefault="007F6E76" w:rsidP="007F6E76">
      <w:pPr>
        <w:spacing w:line="480" w:lineRule="auto"/>
        <w:ind w:left="720" w:hanging="720"/>
        <w:rPr>
          <w:rFonts w:asciiTheme="majorBidi" w:hAnsiTheme="majorBidi" w:cstheme="majorBidi"/>
          <w:sz w:val="24"/>
          <w:szCs w:val="24"/>
        </w:rPr>
      </w:pPr>
      <w:r w:rsidRPr="00825D1F">
        <w:rPr>
          <w:rFonts w:asciiTheme="majorBidi" w:hAnsiTheme="majorBidi" w:cstheme="majorBidi"/>
          <w:sz w:val="24"/>
          <w:szCs w:val="24"/>
        </w:rPr>
        <w:t xml:space="preserve">Womack, S.K., </w:t>
      </w:r>
      <w:r>
        <w:rPr>
          <w:rFonts w:asciiTheme="majorBidi" w:hAnsiTheme="majorBidi" w:cstheme="majorBidi"/>
          <w:sz w:val="24"/>
          <w:szCs w:val="24"/>
        </w:rPr>
        <w:t>(</w:t>
      </w:r>
      <w:r w:rsidRPr="00825D1F">
        <w:rPr>
          <w:rFonts w:asciiTheme="majorBidi" w:hAnsiTheme="majorBidi" w:cstheme="majorBidi"/>
          <w:sz w:val="24"/>
          <w:szCs w:val="24"/>
        </w:rPr>
        <w:t>2025</w:t>
      </w:r>
      <w:r>
        <w:rPr>
          <w:rFonts w:asciiTheme="majorBidi" w:hAnsiTheme="majorBidi" w:cstheme="majorBidi"/>
          <w:sz w:val="24"/>
          <w:szCs w:val="24"/>
        </w:rPr>
        <w:t>)</w:t>
      </w:r>
      <w:r w:rsidRPr="00825D1F">
        <w:rPr>
          <w:rFonts w:asciiTheme="majorBidi" w:hAnsiTheme="majorBidi" w:cstheme="majorBidi"/>
          <w:sz w:val="24"/>
          <w:szCs w:val="24"/>
        </w:rPr>
        <w:t>. </w:t>
      </w:r>
      <w:r w:rsidRPr="00825D1F">
        <w:rPr>
          <w:rFonts w:asciiTheme="majorBidi" w:hAnsiTheme="majorBidi" w:cstheme="majorBidi"/>
          <w:i/>
          <w:iCs/>
          <w:sz w:val="24"/>
          <w:szCs w:val="24"/>
        </w:rPr>
        <w:t>Toyota's Improvement Thinking from the Inside: From Personal Transformation to Organizational Transformation</w:t>
      </w:r>
      <w:r w:rsidRPr="00825D1F">
        <w:rPr>
          <w:rFonts w:asciiTheme="majorBidi" w:hAnsiTheme="majorBidi" w:cstheme="majorBidi"/>
          <w:sz w:val="24"/>
          <w:szCs w:val="24"/>
        </w:rPr>
        <w:t>. CRC Press.</w:t>
      </w:r>
    </w:p>
    <w:p w14:paraId="42AC11AF" w14:textId="77777777" w:rsidR="007F6E76" w:rsidRDefault="007F6E76" w:rsidP="007F6E76">
      <w:pPr>
        <w:spacing w:line="480" w:lineRule="auto"/>
        <w:ind w:left="720" w:hanging="720"/>
        <w:rPr>
          <w:rFonts w:asciiTheme="majorBidi" w:hAnsiTheme="majorBidi" w:cstheme="majorBidi"/>
          <w:sz w:val="24"/>
          <w:szCs w:val="24"/>
        </w:rPr>
      </w:pPr>
      <w:r w:rsidRPr="000A7294">
        <w:rPr>
          <w:rFonts w:asciiTheme="majorBidi" w:hAnsiTheme="majorBidi" w:cstheme="majorBidi"/>
          <w:sz w:val="24"/>
          <w:szCs w:val="24"/>
        </w:rPr>
        <w:t xml:space="preserve">Yamamoto, K., Milstead, M. and LIoyd, R., </w:t>
      </w:r>
      <w:r>
        <w:rPr>
          <w:rFonts w:asciiTheme="majorBidi" w:hAnsiTheme="majorBidi" w:cstheme="majorBidi"/>
          <w:sz w:val="24"/>
          <w:szCs w:val="24"/>
        </w:rPr>
        <w:t>(</w:t>
      </w:r>
      <w:r w:rsidRPr="000A7294">
        <w:rPr>
          <w:rFonts w:asciiTheme="majorBidi" w:hAnsiTheme="majorBidi" w:cstheme="majorBidi"/>
          <w:sz w:val="24"/>
          <w:szCs w:val="24"/>
        </w:rPr>
        <w:t>2019</w:t>
      </w:r>
      <w:r>
        <w:rPr>
          <w:rFonts w:asciiTheme="majorBidi" w:hAnsiTheme="majorBidi" w:cstheme="majorBidi"/>
          <w:sz w:val="24"/>
          <w:szCs w:val="24"/>
        </w:rPr>
        <w:t>)</w:t>
      </w:r>
      <w:r w:rsidRPr="000A7294">
        <w:rPr>
          <w:rFonts w:asciiTheme="majorBidi" w:hAnsiTheme="majorBidi" w:cstheme="majorBidi"/>
          <w:sz w:val="24"/>
          <w:szCs w:val="24"/>
        </w:rPr>
        <w:t>. A review of the development of lean manufacturing and related lean practices: The case of Toyota Production System and managerial thinking. </w:t>
      </w:r>
      <w:r w:rsidRPr="000A7294">
        <w:rPr>
          <w:rFonts w:asciiTheme="majorBidi" w:hAnsiTheme="majorBidi" w:cstheme="majorBidi"/>
          <w:i/>
          <w:iCs/>
          <w:sz w:val="24"/>
          <w:szCs w:val="24"/>
        </w:rPr>
        <w:t>International Management Review</w:t>
      </w:r>
      <w:r w:rsidRPr="000A7294">
        <w:rPr>
          <w:rFonts w:asciiTheme="majorBidi" w:hAnsiTheme="majorBidi" w:cstheme="majorBidi"/>
          <w:sz w:val="24"/>
          <w:szCs w:val="24"/>
        </w:rPr>
        <w:t>, </w:t>
      </w:r>
      <w:r w:rsidRPr="000A7294">
        <w:rPr>
          <w:rFonts w:asciiTheme="majorBidi" w:hAnsiTheme="majorBidi" w:cstheme="majorBidi"/>
          <w:i/>
          <w:iCs/>
          <w:sz w:val="24"/>
          <w:szCs w:val="24"/>
        </w:rPr>
        <w:t>15</w:t>
      </w:r>
      <w:r w:rsidRPr="000A7294">
        <w:rPr>
          <w:rFonts w:asciiTheme="majorBidi" w:hAnsiTheme="majorBidi" w:cstheme="majorBidi"/>
          <w:sz w:val="24"/>
          <w:szCs w:val="24"/>
        </w:rPr>
        <w:t>(2), pp.21-90.</w:t>
      </w:r>
    </w:p>
    <w:p w14:paraId="5E2F3ADE" w14:textId="77777777" w:rsidR="007F6E76" w:rsidRDefault="007F6E76" w:rsidP="007F6E76">
      <w:pPr>
        <w:spacing w:line="480" w:lineRule="auto"/>
        <w:ind w:left="720" w:hanging="720"/>
        <w:rPr>
          <w:rFonts w:asciiTheme="majorBidi" w:hAnsiTheme="majorBidi" w:cstheme="majorBidi"/>
          <w:sz w:val="24"/>
          <w:szCs w:val="24"/>
        </w:rPr>
      </w:pPr>
      <w:r w:rsidRPr="00E44A89">
        <w:rPr>
          <w:rFonts w:asciiTheme="majorBidi" w:hAnsiTheme="majorBidi" w:cstheme="majorBidi"/>
          <w:sz w:val="24"/>
          <w:szCs w:val="24"/>
        </w:rPr>
        <w:t xml:space="preserve">Yang, S., </w:t>
      </w:r>
      <w:r>
        <w:rPr>
          <w:rFonts w:asciiTheme="majorBidi" w:hAnsiTheme="majorBidi" w:cstheme="majorBidi"/>
          <w:sz w:val="24"/>
          <w:szCs w:val="24"/>
        </w:rPr>
        <w:t>(</w:t>
      </w:r>
      <w:r w:rsidRPr="00E44A89">
        <w:rPr>
          <w:rFonts w:asciiTheme="majorBidi" w:hAnsiTheme="majorBidi" w:cstheme="majorBidi"/>
          <w:sz w:val="24"/>
          <w:szCs w:val="24"/>
        </w:rPr>
        <w:t>2022</w:t>
      </w:r>
      <w:r>
        <w:rPr>
          <w:rFonts w:asciiTheme="majorBidi" w:hAnsiTheme="majorBidi" w:cstheme="majorBidi"/>
          <w:sz w:val="24"/>
          <w:szCs w:val="24"/>
        </w:rPr>
        <w:t>)</w:t>
      </w:r>
      <w:r w:rsidRPr="00E44A89">
        <w:rPr>
          <w:rFonts w:asciiTheme="majorBidi" w:hAnsiTheme="majorBidi" w:cstheme="majorBidi"/>
          <w:sz w:val="24"/>
          <w:szCs w:val="24"/>
        </w:rPr>
        <w:t>. Analysis for supply chain management: evidence from Toyota. </w:t>
      </w:r>
      <w:r w:rsidRPr="00E44A89">
        <w:rPr>
          <w:rFonts w:asciiTheme="majorBidi" w:hAnsiTheme="majorBidi" w:cstheme="majorBidi"/>
          <w:i/>
          <w:iCs/>
          <w:sz w:val="24"/>
          <w:szCs w:val="24"/>
        </w:rPr>
        <w:t>BCP Business and Management</w:t>
      </w:r>
      <w:r w:rsidRPr="00E44A89">
        <w:rPr>
          <w:rFonts w:asciiTheme="majorBidi" w:hAnsiTheme="majorBidi" w:cstheme="majorBidi"/>
          <w:sz w:val="24"/>
          <w:szCs w:val="24"/>
        </w:rPr>
        <w:t>, </w:t>
      </w:r>
      <w:r w:rsidRPr="00E44A89">
        <w:rPr>
          <w:rFonts w:asciiTheme="majorBidi" w:hAnsiTheme="majorBidi" w:cstheme="majorBidi"/>
          <w:i/>
          <w:iCs/>
          <w:sz w:val="24"/>
          <w:szCs w:val="24"/>
        </w:rPr>
        <w:t>34</w:t>
      </w:r>
      <w:r w:rsidRPr="00E44A89">
        <w:rPr>
          <w:rFonts w:asciiTheme="majorBidi" w:hAnsiTheme="majorBidi" w:cstheme="majorBidi"/>
          <w:sz w:val="24"/>
          <w:szCs w:val="24"/>
        </w:rPr>
        <w:t>, pp.1204-1209.</w:t>
      </w:r>
    </w:p>
    <w:p w14:paraId="54F23DC0" w14:textId="77777777" w:rsidR="007F6E76" w:rsidRDefault="007F6E76" w:rsidP="007F6E76">
      <w:pPr>
        <w:spacing w:line="480" w:lineRule="auto"/>
        <w:ind w:left="720" w:hanging="720"/>
        <w:rPr>
          <w:rFonts w:asciiTheme="majorBidi" w:hAnsiTheme="majorBidi" w:cstheme="majorBidi"/>
          <w:sz w:val="24"/>
          <w:szCs w:val="24"/>
        </w:rPr>
      </w:pPr>
      <w:r w:rsidRPr="0042546D">
        <w:rPr>
          <w:rFonts w:asciiTheme="majorBidi" w:hAnsiTheme="majorBidi" w:cstheme="majorBidi"/>
          <w:sz w:val="24"/>
          <w:szCs w:val="24"/>
        </w:rPr>
        <w:t xml:space="preserve">Yilmaz, M., </w:t>
      </w:r>
      <w:r>
        <w:rPr>
          <w:rFonts w:asciiTheme="majorBidi" w:hAnsiTheme="majorBidi" w:cstheme="majorBidi"/>
          <w:sz w:val="24"/>
          <w:szCs w:val="24"/>
        </w:rPr>
        <w:t>(</w:t>
      </w:r>
      <w:r w:rsidRPr="0042546D">
        <w:rPr>
          <w:rFonts w:asciiTheme="majorBidi" w:hAnsiTheme="majorBidi" w:cstheme="majorBidi"/>
          <w:sz w:val="24"/>
          <w:szCs w:val="24"/>
        </w:rPr>
        <w:t>2025</w:t>
      </w:r>
      <w:r>
        <w:rPr>
          <w:rFonts w:asciiTheme="majorBidi" w:hAnsiTheme="majorBidi" w:cstheme="majorBidi"/>
          <w:sz w:val="24"/>
          <w:szCs w:val="24"/>
        </w:rPr>
        <w:t>)</w:t>
      </w:r>
      <w:r w:rsidRPr="0042546D">
        <w:rPr>
          <w:rFonts w:asciiTheme="majorBidi" w:hAnsiTheme="majorBidi" w:cstheme="majorBidi"/>
          <w:sz w:val="24"/>
          <w:szCs w:val="24"/>
        </w:rPr>
        <w:t>. The moderating role of organizational culture in the effect of lean production on operational performance. </w:t>
      </w:r>
      <w:r w:rsidRPr="0042546D">
        <w:rPr>
          <w:rFonts w:asciiTheme="majorBidi" w:hAnsiTheme="majorBidi" w:cstheme="majorBidi"/>
          <w:i/>
          <w:iCs/>
          <w:sz w:val="24"/>
          <w:szCs w:val="24"/>
        </w:rPr>
        <w:t>International Journal of Lean Six Sigma</w:t>
      </w:r>
      <w:r w:rsidRPr="0042546D">
        <w:rPr>
          <w:rFonts w:asciiTheme="majorBidi" w:hAnsiTheme="majorBidi" w:cstheme="majorBidi"/>
          <w:sz w:val="24"/>
          <w:szCs w:val="24"/>
        </w:rPr>
        <w:t>.</w:t>
      </w:r>
    </w:p>
    <w:p w14:paraId="6C37C630" w14:textId="77777777" w:rsidR="007F6E76" w:rsidRPr="007F6E76" w:rsidRDefault="007F6E76" w:rsidP="007F6E76"/>
    <w:p w14:paraId="32BB1EAB" w14:textId="77777777" w:rsidR="007F6E76" w:rsidRPr="00550313" w:rsidRDefault="007F6E76" w:rsidP="007F6E76">
      <w:pPr>
        <w:spacing w:line="480" w:lineRule="auto"/>
        <w:rPr>
          <w:rFonts w:asciiTheme="majorBidi" w:hAnsiTheme="majorBidi" w:cstheme="majorBidi"/>
          <w:sz w:val="24"/>
          <w:szCs w:val="24"/>
        </w:rPr>
      </w:pPr>
    </w:p>
    <w:sectPr w:rsidR="007F6E76" w:rsidRPr="00550313" w:rsidSect="00C940A1">
      <w:headerReference w:type="default" r:id="rId34"/>
      <w:pgSz w:w="12240" w:h="15840" w:code="1"/>
      <w:pgMar w:top="1440" w:right="1440" w:bottom="1440" w:left="1440" w:header="734" w:footer="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CEC12E" w14:textId="77777777" w:rsidR="00E8079B" w:rsidRDefault="00E8079B" w:rsidP="00262552">
      <w:pPr>
        <w:spacing w:after="0" w:line="240" w:lineRule="auto"/>
      </w:pPr>
      <w:r>
        <w:separator/>
      </w:r>
    </w:p>
  </w:endnote>
  <w:endnote w:type="continuationSeparator" w:id="0">
    <w:p w14:paraId="75EC5882" w14:textId="77777777" w:rsidR="00E8079B" w:rsidRDefault="00E8079B" w:rsidP="002625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999A1F" w14:textId="77777777" w:rsidR="00E8079B" w:rsidRDefault="00E8079B" w:rsidP="00262552">
      <w:pPr>
        <w:spacing w:after="0" w:line="240" w:lineRule="auto"/>
      </w:pPr>
      <w:r>
        <w:separator/>
      </w:r>
    </w:p>
  </w:footnote>
  <w:footnote w:type="continuationSeparator" w:id="0">
    <w:p w14:paraId="681E1B40" w14:textId="77777777" w:rsidR="00E8079B" w:rsidRDefault="00E8079B" w:rsidP="002625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1529099497"/>
      <w:docPartObj>
        <w:docPartGallery w:val="Page Numbers (Top of Page)"/>
        <w:docPartUnique/>
      </w:docPartObj>
    </w:sdtPr>
    <w:sdtEndPr>
      <w:rPr>
        <w:rFonts w:asciiTheme="majorBidi" w:hAnsiTheme="majorBidi" w:cstheme="majorBidi"/>
        <w:noProof/>
        <w:sz w:val="24"/>
        <w:szCs w:val="24"/>
      </w:rPr>
    </w:sdtEndPr>
    <w:sdtContent>
      <w:p w14:paraId="19E8050D" w14:textId="77777777" w:rsidR="00262552" w:rsidRPr="00262552" w:rsidRDefault="00262552">
        <w:pPr>
          <w:pStyle w:val="Header"/>
          <w:jc w:val="right"/>
          <w:rPr>
            <w:rFonts w:asciiTheme="majorBidi" w:hAnsiTheme="majorBidi" w:cstheme="majorBidi"/>
            <w:sz w:val="24"/>
            <w:szCs w:val="24"/>
          </w:rPr>
        </w:pPr>
        <w:r w:rsidRPr="00262552">
          <w:rPr>
            <w:rFonts w:asciiTheme="majorBidi" w:hAnsiTheme="majorBidi" w:cstheme="majorBidi"/>
            <w:noProof w:val="0"/>
            <w:sz w:val="24"/>
            <w:szCs w:val="24"/>
          </w:rPr>
          <w:fldChar w:fldCharType="begin"/>
        </w:r>
        <w:r w:rsidRPr="00262552">
          <w:rPr>
            <w:rFonts w:asciiTheme="majorBidi" w:hAnsiTheme="majorBidi" w:cstheme="majorBidi"/>
            <w:sz w:val="24"/>
            <w:szCs w:val="24"/>
          </w:rPr>
          <w:instrText xml:space="preserve"> PAGE   \* MERGEFORMAT </w:instrText>
        </w:r>
        <w:r w:rsidRPr="00262552">
          <w:rPr>
            <w:rFonts w:asciiTheme="majorBidi" w:hAnsiTheme="majorBidi" w:cstheme="majorBidi"/>
            <w:noProof w:val="0"/>
            <w:sz w:val="24"/>
            <w:szCs w:val="24"/>
          </w:rPr>
          <w:fldChar w:fldCharType="separate"/>
        </w:r>
        <w:r w:rsidR="007C71F4">
          <w:rPr>
            <w:rFonts w:asciiTheme="majorBidi" w:hAnsiTheme="majorBidi" w:cstheme="majorBidi"/>
            <w:sz w:val="24"/>
            <w:szCs w:val="24"/>
          </w:rPr>
          <w:t>20</w:t>
        </w:r>
        <w:r w:rsidRPr="00262552">
          <w:rPr>
            <w:rFonts w:asciiTheme="majorBidi" w:hAnsiTheme="majorBidi" w:cstheme="majorBidi"/>
            <w:sz w:val="24"/>
            <w:szCs w:val="24"/>
          </w:rPr>
          <w:fldChar w:fldCharType="end"/>
        </w:r>
      </w:p>
    </w:sdtContent>
  </w:sdt>
  <w:p w14:paraId="751682CF" w14:textId="77777777" w:rsidR="00262552" w:rsidRDefault="002625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8F77D9"/>
    <w:multiLevelType w:val="hybridMultilevel"/>
    <w:tmpl w:val="386E39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31033BA"/>
    <w:multiLevelType w:val="multilevel"/>
    <w:tmpl w:val="1C1CD1E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244223849">
    <w:abstractNumId w:val="1"/>
  </w:num>
  <w:num w:numId="2" w16cid:durableId="2083046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3B77"/>
    <w:rsid w:val="0002026D"/>
    <w:rsid w:val="00124357"/>
    <w:rsid w:val="00160E74"/>
    <w:rsid w:val="00161C4C"/>
    <w:rsid w:val="001F7260"/>
    <w:rsid w:val="002173CE"/>
    <w:rsid w:val="00262552"/>
    <w:rsid w:val="00272414"/>
    <w:rsid w:val="002D0C6A"/>
    <w:rsid w:val="0033149E"/>
    <w:rsid w:val="00367C88"/>
    <w:rsid w:val="00383B81"/>
    <w:rsid w:val="003F0640"/>
    <w:rsid w:val="0041209C"/>
    <w:rsid w:val="004B250A"/>
    <w:rsid w:val="004C5450"/>
    <w:rsid w:val="004D6A95"/>
    <w:rsid w:val="004F25E2"/>
    <w:rsid w:val="00535B68"/>
    <w:rsid w:val="00537C6B"/>
    <w:rsid w:val="00550313"/>
    <w:rsid w:val="00655758"/>
    <w:rsid w:val="00685541"/>
    <w:rsid w:val="006A7420"/>
    <w:rsid w:val="00776CAB"/>
    <w:rsid w:val="007C6504"/>
    <w:rsid w:val="007C71F4"/>
    <w:rsid w:val="007D5289"/>
    <w:rsid w:val="007F6E76"/>
    <w:rsid w:val="00801257"/>
    <w:rsid w:val="00866FBC"/>
    <w:rsid w:val="00913D9C"/>
    <w:rsid w:val="009231ED"/>
    <w:rsid w:val="00933B38"/>
    <w:rsid w:val="00950044"/>
    <w:rsid w:val="009D1138"/>
    <w:rsid w:val="009E44C3"/>
    <w:rsid w:val="009E7548"/>
    <w:rsid w:val="00A14F4C"/>
    <w:rsid w:val="00A674F6"/>
    <w:rsid w:val="00A9315F"/>
    <w:rsid w:val="00AF045B"/>
    <w:rsid w:val="00AF70AB"/>
    <w:rsid w:val="00B94EB1"/>
    <w:rsid w:val="00B96D51"/>
    <w:rsid w:val="00B96F86"/>
    <w:rsid w:val="00BC1ECA"/>
    <w:rsid w:val="00BD3E42"/>
    <w:rsid w:val="00BF1C97"/>
    <w:rsid w:val="00C149A6"/>
    <w:rsid w:val="00C17027"/>
    <w:rsid w:val="00C940A1"/>
    <w:rsid w:val="00CC3D9E"/>
    <w:rsid w:val="00CD16B1"/>
    <w:rsid w:val="00D52180"/>
    <w:rsid w:val="00D63B77"/>
    <w:rsid w:val="00DA216C"/>
    <w:rsid w:val="00DB69E1"/>
    <w:rsid w:val="00E8079B"/>
    <w:rsid w:val="00F16628"/>
    <w:rsid w:val="00F71672"/>
    <w:rsid w:val="00FA786E"/>
    <w:rsid w:val="00FB3C55"/>
    <w:rsid w:val="00FF760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2CD449"/>
  <w15:chartTrackingRefBased/>
  <w15:docId w15:val="{0AEB1936-E825-41C2-B37E-BF350A7FCF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lang w:val="en-GB" w:bidi="ur-PK"/>
    </w:rPr>
  </w:style>
  <w:style w:type="paragraph" w:styleId="Heading1">
    <w:name w:val="heading 1"/>
    <w:basedOn w:val="Normal"/>
    <w:next w:val="Normal"/>
    <w:link w:val="Heading1Char"/>
    <w:uiPriority w:val="9"/>
    <w:qFormat/>
    <w:rsid w:val="00DB69E1"/>
    <w:pPr>
      <w:keepNext/>
      <w:keepLines/>
      <w:spacing w:before="240" w:after="0" w:line="480" w:lineRule="auto"/>
      <w:outlineLvl w:val="0"/>
    </w:pPr>
    <w:rPr>
      <w:rFonts w:asciiTheme="majorBidi" w:eastAsiaTheme="majorEastAsia" w:hAnsiTheme="majorBidi"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69E1"/>
    <w:rPr>
      <w:rFonts w:asciiTheme="majorBidi" w:eastAsiaTheme="majorEastAsia" w:hAnsiTheme="majorBidi" w:cstheme="majorBidi"/>
      <w:b/>
      <w:noProof/>
      <w:sz w:val="24"/>
      <w:szCs w:val="32"/>
      <w:lang w:val="en-GB" w:bidi="ur-PK"/>
    </w:rPr>
  </w:style>
  <w:style w:type="paragraph" w:styleId="Header">
    <w:name w:val="header"/>
    <w:basedOn w:val="Normal"/>
    <w:link w:val="HeaderChar"/>
    <w:uiPriority w:val="99"/>
    <w:unhideWhenUsed/>
    <w:rsid w:val="002625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2552"/>
    <w:rPr>
      <w:noProof/>
      <w:lang w:val="en-GB" w:bidi="ur-PK"/>
    </w:rPr>
  </w:style>
  <w:style w:type="paragraph" w:styleId="Footer">
    <w:name w:val="footer"/>
    <w:basedOn w:val="Normal"/>
    <w:link w:val="FooterChar"/>
    <w:uiPriority w:val="99"/>
    <w:unhideWhenUsed/>
    <w:rsid w:val="002625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2552"/>
    <w:rPr>
      <w:noProof/>
      <w:lang w:val="en-GB" w:bidi="ur-PK"/>
    </w:rPr>
  </w:style>
  <w:style w:type="table" w:styleId="TableGrid">
    <w:name w:val="Table Grid"/>
    <w:basedOn w:val="TableNormal"/>
    <w:uiPriority w:val="39"/>
    <w:rsid w:val="007C65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7C6504"/>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4-Accent5">
    <w:name w:val="Grid Table 4 Accent 5"/>
    <w:basedOn w:val="TableNormal"/>
    <w:uiPriority w:val="49"/>
    <w:rsid w:val="007C6504"/>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ListParagraph">
    <w:name w:val="List Paragraph"/>
    <w:basedOn w:val="Normal"/>
    <w:uiPriority w:val="34"/>
    <w:qFormat/>
    <w:rsid w:val="00950044"/>
    <w:pPr>
      <w:ind w:left="720"/>
      <w:contextualSpacing/>
    </w:pPr>
  </w:style>
  <w:style w:type="character" w:styleId="Hyperlink">
    <w:name w:val="Hyperlink"/>
    <w:basedOn w:val="DefaultParagraphFont"/>
    <w:uiPriority w:val="99"/>
    <w:unhideWhenUsed/>
    <w:rsid w:val="007F6E76"/>
    <w:rPr>
      <w:color w:val="0563C1" w:themeColor="hyperlink"/>
      <w:u w:val="single"/>
    </w:rPr>
  </w:style>
  <w:style w:type="paragraph" w:styleId="TOCHeading">
    <w:name w:val="TOC Heading"/>
    <w:basedOn w:val="Heading1"/>
    <w:next w:val="Normal"/>
    <w:uiPriority w:val="39"/>
    <w:unhideWhenUsed/>
    <w:qFormat/>
    <w:rsid w:val="007C71F4"/>
    <w:pPr>
      <w:spacing w:line="259" w:lineRule="auto"/>
      <w:outlineLvl w:val="9"/>
    </w:pPr>
    <w:rPr>
      <w:rFonts w:asciiTheme="majorHAnsi" w:hAnsiTheme="majorHAnsi"/>
      <w:b w:val="0"/>
      <w:noProof w:val="0"/>
      <w:color w:val="2E74B5" w:themeColor="accent1" w:themeShade="BF"/>
      <w:sz w:val="32"/>
      <w:lang w:val="en-US" w:bidi="ar-SA"/>
    </w:rPr>
  </w:style>
  <w:style w:type="paragraph" w:styleId="TOC1">
    <w:name w:val="toc 1"/>
    <w:basedOn w:val="Normal"/>
    <w:next w:val="Normal"/>
    <w:autoRedefine/>
    <w:uiPriority w:val="39"/>
    <w:unhideWhenUsed/>
    <w:rsid w:val="007C71F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ecorder.com/news/40345471" TargetMode="External"/><Relationship Id="rId18" Type="http://schemas.openxmlformats.org/officeDocument/2006/relationships/hyperlink" Target="https://blog.toyota-forklifts.eu/toyota-production-system-principles-how-to-eliminate-waste-in-your-logistics?utm_source=chatgpt.com" TargetMode="External"/><Relationship Id="rId26" Type="http://schemas.openxmlformats.org/officeDocument/2006/relationships/hyperlink" Target="https://toyota-indus.com/wp-content/uploads/2024/09/IMC-AR-2024-new.pdf" TargetMode="External"/><Relationship Id="rId3" Type="http://schemas.openxmlformats.org/officeDocument/2006/relationships/customXml" Target="../customXml/item3.xml"/><Relationship Id="rId21" Type="http://schemas.openxmlformats.org/officeDocument/2006/relationships/hyperlink" Target="https://blog.toyotawalton.com/reasons-why-toyota-vehicles-are-reliable/?utm_source=chatgpt.com" TargetMode="External"/><Relationship Id="rId34"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www.autonews.com/toyota/an-toyota-2024-sales-production-results/" TargetMode="External"/><Relationship Id="rId17" Type="http://schemas.openxmlformats.org/officeDocument/2006/relationships/hyperlink" Target="https://www.ice.org.uk/news-views-insights/inside-infrastructure/how-toyota-boosts-productivity-lean-management?utm_source=chatgpt.com" TargetMode="External"/><Relationship Id="rId25" Type="http://schemas.openxmlformats.org/officeDocument/2006/relationships/hyperlink" Target="https://mag.toyota.co.uk/andon-toyota-production-system/?utm_source=chatgpt.com" TargetMode="External"/><Relationship Id="rId33" Type="http://schemas.openxmlformats.org/officeDocument/2006/relationships/hyperlink" Target="https://global.toyota/en/company/vision-and-philosophy/production-system/?utm_source=chatgpt.com" TargetMode="External"/><Relationship Id="rId2" Type="http://schemas.openxmlformats.org/officeDocument/2006/relationships/customXml" Target="../customXml/item2.xml"/><Relationship Id="rId16" Type="http://schemas.openxmlformats.org/officeDocument/2006/relationships/hyperlink" Target="https://be.leansixsigma.org/en/the-toyota-way-the-philosophy-behind-lean-management/?utm_source=chatgpt.com" TargetMode="External"/><Relationship Id="rId20" Type="http://schemas.openxmlformats.org/officeDocument/2006/relationships/hyperlink" Target="https://panmore.com/toyota-organizational-culture-characteristics-analysis?utm_source=chatgpt.com" TargetMode="External"/><Relationship Id="rId29" Type="http://schemas.openxmlformats.org/officeDocument/2006/relationships/hyperlink" Target="https://global.toyota/pages/news/images/2021/12/BEV/20211214_BEV_01_en.pdf?utm_source=chatgpt.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rgusmedia.com/en/news-and-insights/latest-market-news/2566493-hybrid-vehicles-spur-toyota-s-record-2023-24-profit?utm_source=chatgpt.com" TargetMode="External"/><Relationship Id="rId24" Type="http://schemas.openxmlformats.org/officeDocument/2006/relationships/hyperlink" Target="https://stamenkovic.se/the-ringi-system-at-toyota/?utm_source=chatgpt.com" TargetMode="External"/><Relationship Id="rId32" Type="http://schemas.openxmlformats.org/officeDocument/2006/relationships/hyperlink" Target="https://global.toyota/pages/global_toyota/ir/financial-results/2024_4q_presentation_2_en.pdf?utm_source=chatgpt.com" TargetMode="External"/><Relationship Id="rId5" Type="http://schemas.openxmlformats.org/officeDocument/2006/relationships/numbering" Target="numbering.xml"/><Relationship Id="rId15" Type="http://schemas.openxmlformats.org/officeDocument/2006/relationships/hyperlink" Target="https://brandequity.economictimes.indiatimes.com/news/business-of-brands/toyota-reports-booming-sales-but-stays-cautious-on-profit-because-of-various-costs/121020905?utm_source=chatgpt.com" TargetMode="External"/><Relationship Id="rId23" Type="http://schemas.openxmlformats.org/officeDocument/2006/relationships/hyperlink" Target="https://leanscape.io/5-benefits-of-a3-problem-solving/?utm_source=chatgpt.com" TargetMode="External"/><Relationship Id="rId28" Type="http://schemas.openxmlformats.org/officeDocument/2006/relationships/hyperlink" Target="https://global.toyota/en/newsroom/corporate/35891478.html?utm_source=chatgpt.com"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polesante.hec.ca/wp-content/uploads/2018/05/Toyota-Obeya-Management-System-Overview-of-Hoshin-Kanri.pdf?utm_source=chatgpt.com" TargetMode="External"/><Relationship Id="rId31" Type="http://schemas.openxmlformats.org/officeDocument/2006/relationships/hyperlink" Target="https://global.toyota/en/company/vision-and-philosophy/production-system/?utm_source=chatgpt.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ag.toyota.co.uk/nemawashi-toyota-production-system/?utm_source=chatgpt.com" TargetMode="External"/><Relationship Id="rId22" Type="http://schemas.openxmlformats.org/officeDocument/2006/relationships/hyperlink" Target="https://scholar.harvard.edu/files/tnkomo/files/analysis_of_toyota.pdf" TargetMode="External"/><Relationship Id="rId27" Type="http://schemas.openxmlformats.org/officeDocument/2006/relationships/hyperlink" Target="https://global.toyota/en/company/vision-and-philosophy/toyotaway_code-of-conduct/?utm_source=chatgpt.com" TargetMode="External"/><Relationship Id="rId30" Type="http://schemas.openxmlformats.org/officeDocument/2006/relationships/hyperlink" Target="https://global.toyota/en/company/profile/production-sales-figures/202408.html?utm_source=chatgpt.com" TargetMode="External"/><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77BF7F1F3F93E4997B21D6B9868348F" ma:contentTypeVersion="8" ma:contentTypeDescription="Create a new document." ma:contentTypeScope="" ma:versionID="090ab1e519bd76058ee26b87009291d4">
  <xsd:schema xmlns:xsd="http://www.w3.org/2001/XMLSchema" xmlns:xs="http://www.w3.org/2001/XMLSchema" xmlns:p="http://schemas.microsoft.com/office/2006/metadata/properties" xmlns:ns3="a7bdb143-267e-438d-bcbf-e88b565c1722" xmlns:ns4="8425509b-c587-4994-9466-01f6efb644d9" targetNamespace="http://schemas.microsoft.com/office/2006/metadata/properties" ma:root="true" ma:fieldsID="0ae66de9148fe08dee403c60ba2798c7" ns3:_="" ns4:_="">
    <xsd:import namespace="a7bdb143-267e-438d-bcbf-e88b565c1722"/>
    <xsd:import namespace="8425509b-c587-4994-9466-01f6efb644d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7bdb143-267e-438d-bcbf-e88b565c17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425509b-c587-4994-9466-01f6efb644d9"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7bdb143-267e-438d-bcbf-e88b565c1722" xsi:nil="true"/>
  </documentManagement>
</p:properties>
</file>

<file path=customXml/itemProps1.xml><?xml version="1.0" encoding="utf-8"?>
<ds:datastoreItem xmlns:ds="http://schemas.openxmlformats.org/officeDocument/2006/customXml" ds:itemID="{0F2707E8-5996-469D-9170-5210729D0B8B}">
  <ds:schemaRefs>
    <ds:schemaRef ds:uri="http://schemas.openxmlformats.org/officeDocument/2006/bibliography"/>
  </ds:schemaRefs>
</ds:datastoreItem>
</file>

<file path=customXml/itemProps2.xml><?xml version="1.0" encoding="utf-8"?>
<ds:datastoreItem xmlns:ds="http://schemas.openxmlformats.org/officeDocument/2006/customXml" ds:itemID="{CFA3D1B3-B0CA-4B8B-A365-C59A76B74E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7bdb143-267e-438d-bcbf-e88b565c1722"/>
    <ds:schemaRef ds:uri="8425509b-c587-4994-9466-01f6efb644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7B27007-3949-4B5A-A638-808FCEA591D5}">
  <ds:schemaRefs>
    <ds:schemaRef ds:uri="http://schemas.microsoft.com/sharepoint/v3/contenttype/forms"/>
  </ds:schemaRefs>
</ds:datastoreItem>
</file>

<file path=customXml/itemProps4.xml><?xml version="1.0" encoding="utf-8"?>
<ds:datastoreItem xmlns:ds="http://schemas.openxmlformats.org/officeDocument/2006/customXml" ds:itemID="{27B0A1BE-6E84-42AA-8067-12A2854C24D0}">
  <ds:schemaRefs>
    <ds:schemaRef ds:uri="http://schemas.microsoft.com/office/2006/metadata/properties"/>
    <ds:schemaRef ds:uri="http://schemas.microsoft.com/office/infopath/2007/PartnerControls"/>
    <ds:schemaRef ds:uri="a7bdb143-267e-438d-bcbf-e88b565c1722"/>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21</Pages>
  <Words>5376</Words>
  <Characters>30648</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Jarrai Bangura (2316525)</cp:lastModifiedBy>
  <cp:revision>2</cp:revision>
  <dcterms:created xsi:type="dcterms:W3CDTF">2025-11-02T23:30:00Z</dcterms:created>
  <dcterms:modified xsi:type="dcterms:W3CDTF">2025-11-02T23:30:00Z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508cf8cd-13be-4bc2-a134-cf7a5fd1a15b</vt:lpwstr>
  </property>
  <property fmtid="{D5CDD505-2E9C-101B-9397-08002B2CF9AE}" pid="3" name="ContentTypeId">
    <vt:lpwstr>0x010100B77BF7F1F3F93E4997B21D6B9868348F</vt:lpwstr>
  </property>
</Properties>
</file>