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1305544"/>
        <w:docPartObj>
          <w:docPartGallery w:val="Cover Pages"/>
          <w:docPartUnique/>
        </w:docPartObj>
      </w:sdtPr>
      <w:sdtContent>
        <w:p w14:paraId="079F29B2" w14:textId="77777777" w:rsidR="00D60699" w:rsidRPr="00B026BD" w:rsidRDefault="00D60699" w:rsidP="00D60699">
          <w:pPr>
            <w:spacing w:line="360" w:lineRule="auto"/>
            <w:jc w:val="center"/>
            <w:rPr>
              <w:rFonts w:ascii="Arial" w:hAnsi="Arial" w:cs="Arial"/>
              <w:b/>
              <w:color w:val="000000" w:themeColor="text1"/>
              <w:sz w:val="28"/>
              <w:szCs w:val="28"/>
            </w:rPr>
          </w:pPr>
          <w:r w:rsidRPr="00B026BD">
            <w:rPr>
              <w:noProof/>
              <w:color w:val="000000" w:themeColor="text1"/>
              <w:lang w:eastAsia="en-GB"/>
            </w:rPr>
            <w:drawing>
              <wp:inline distT="0" distB="0" distL="0" distR="0" wp14:anchorId="516B1E0C" wp14:editId="156C9E2F">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000F4BE3" w14:textId="77777777" w:rsidR="00D60699" w:rsidRDefault="00D60699" w:rsidP="00D60699">
          <w:pPr>
            <w:autoSpaceDE w:val="0"/>
            <w:autoSpaceDN w:val="0"/>
            <w:adjustRightInd w:val="0"/>
            <w:spacing w:line="360" w:lineRule="auto"/>
            <w:jc w:val="center"/>
            <w:rPr>
              <w:rFonts w:ascii="Arial" w:hAnsi="Arial" w:cs="Arial"/>
              <w:b/>
              <w:color w:val="000000" w:themeColor="text1"/>
              <w:sz w:val="32"/>
              <w:szCs w:val="32"/>
              <w:lang w:eastAsia="en-GB"/>
            </w:rPr>
          </w:pPr>
        </w:p>
        <w:p w14:paraId="367AA44D" w14:textId="77777777" w:rsidR="00D60699" w:rsidRPr="00234BB4" w:rsidRDefault="00D60699" w:rsidP="00D60699">
          <w:pPr>
            <w:autoSpaceDE w:val="0"/>
            <w:autoSpaceDN w:val="0"/>
            <w:adjustRightInd w:val="0"/>
            <w:spacing w:line="360" w:lineRule="auto"/>
            <w:rPr>
              <w:rFonts w:cstheme="minorHAnsi"/>
              <w:b/>
              <w:color w:val="000000" w:themeColor="text1"/>
              <w:sz w:val="32"/>
              <w:szCs w:val="32"/>
              <w:lang w:eastAsia="en-GB"/>
            </w:rPr>
          </w:pPr>
        </w:p>
        <w:p w14:paraId="19FDF531" w14:textId="77777777" w:rsidR="00D60699" w:rsidRPr="00234BB4" w:rsidRDefault="00D60699" w:rsidP="00D60699">
          <w:pPr>
            <w:spacing w:line="360" w:lineRule="auto"/>
            <w:jc w:val="center"/>
            <w:rPr>
              <w:rFonts w:cstheme="minorHAnsi"/>
              <w:b/>
              <w:color w:val="000000" w:themeColor="text1"/>
              <w:sz w:val="32"/>
              <w:szCs w:val="32"/>
            </w:rPr>
          </w:pPr>
          <w:r w:rsidRPr="00234BB4">
            <w:rPr>
              <w:rFonts w:cstheme="minorHAnsi"/>
              <w:b/>
              <w:color w:val="000000" w:themeColor="text1"/>
              <w:sz w:val="32"/>
              <w:szCs w:val="32"/>
            </w:rPr>
            <w:t xml:space="preserve">Academic Discipline of </w:t>
          </w:r>
          <w:r>
            <w:rPr>
              <w:rFonts w:cstheme="minorHAnsi"/>
              <w:b/>
              <w:color w:val="000000" w:themeColor="text1"/>
              <w:sz w:val="32"/>
              <w:szCs w:val="32"/>
            </w:rPr>
            <w:t>Psychology &amp; Counselling</w:t>
          </w:r>
        </w:p>
        <w:p w14:paraId="3EB41CC3" w14:textId="77777777" w:rsidR="00D60699" w:rsidRPr="00234BB4" w:rsidRDefault="00D60699" w:rsidP="00D60699">
          <w:pPr>
            <w:autoSpaceDE w:val="0"/>
            <w:autoSpaceDN w:val="0"/>
            <w:adjustRightInd w:val="0"/>
            <w:spacing w:line="360" w:lineRule="auto"/>
            <w:jc w:val="center"/>
            <w:rPr>
              <w:rFonts w:cstheme="minorHAnsi"/>
              <w:b/>
              <w:color w:val="000000" w:themeColor="text1"/>
              <w:sz w:val="32"/>
              <w:szCs w:val="32"/>
              <w:lang w:eastAsia="en-GB"/>
            </w:rPr>
          </w:pPr>
          <w:proofErr w:type="spellStart"/>
          <w:r w:rsidRPr="00234BB4">
            <w:rPr>
              <w:rFonts w:cstheme="minorHAnsi"/>
              <w:b/>
              <w:color w:val="000000" w:themeColor="text1"/>
              <w:sz w:val="32"/>
              <w:szCs w:val="32"/>
              <w:lang w:eastAsia="en-GB"/>
            </w:rPr>
            <w:t>MArts</w:t>
          </w:r>
          <w:proofErr w:type="spellEnd"/>
          <w:r w:rsidRPr="00234BB4">
            <w:rPr>
              <w:rFonts w:cstheme="minorHAnsi"/>
              <w:b/>
              <w:color w:val="000000" w:themeColor="text1"/>
              <w:sz w:val="32"/>
              <w:szCs w:val="32"/>
              <w:lang w:eastAsia="en-GB"/>
            </w:rPr>
            <w:t>/BA Humanistic Counselling Practice</w:t>
          </w:r>
        </w:p>
        <w:p w14:paraId="1EC03504" w14:textId="77777777" w:rsidR="00D60699" w:rsidRPr="00234BB4" w:rsidRDefault="00D60699" w:rsidP="00D60699">
          <w:pPr>
            <w:jc w:val="center"/>
            <w:rPr>
              <w:rFonts w:cstheme="minorHAnsi"/>
              <w:b/>
              <w:color w:val="000000" w:themeColor="text1"/>
              <w:sz w:val="32"/>
              <w:szCs w:val="32"/>
            </w:rPr>
          </w:pPr>
        </w:p>
        <w:p w14:paraId="4EBE9B91" w14:textId="77777777" w:rsidR="00D60699" w:rsidRPr="00234BB4" w:rsidRDefault="00D60699" w:rsidP="00D60699">
          <w:pPr>
            <w:jc w:val="center"/>
            <w:rPr>
              <w:rFonts w:cstheme="minorHAnsi"/>
              <w:b/>
              <w:color w:val="000000" w:themeColor="text1"/>
              <w:sz w:val="32"/>
              <w:szCs w:val="32"/>
            </w:rPr>
          </w:pPr>
        </w:p>
        <w:p w14:paraId="0162DD9A" w14:textId="7F2E46F1" w:rsidR="00D60699" w:rsidRPr="00234BB4" w:rsidRDefault="00D60699" w:rsidP="00D60699">
          <w:pPr>
            <w:jc w:val="center"/>
            <w:rPr>
              <w:rFonts w:cstheme="minorHAnsi"/>
              <w:b/>
              <w:color w:val="000000" w:themeColor="text1"/>
              <w:sz w:val="32"/>
              <w:szCs w:val="32"/>
            </w:rPr>
          </w:pPr>
          <w:r w:rsidRPr="00234BB4">
            <w:rPr>
              <w:rFonts w:cstheme="minorHAnsi"/>
              <w:b/>
              <w:color w:val="000000" w:themeColor="text1"/>
              <w:sz w:val="32"/>
              <w:szCs w:val="32"/>
            </w:rPr>
            <w:t xml:space="preserve">Module: </w:t>
          </w:r>
          <w:r>
            <w:rPr>
              <w:rFonts w:cstheme="minorHAnsi"/>
              <w:b/>
              <w:color w:val="000000" w:themeColor="text1"/>
              <w:sz w:val="32"/>
              <w:szCs w:val="32"/>
            </w:rPr>
            <w:t>Therapeutic Practice</w:t>
          </w:r>
        </w:p>
        <w:p w14:paraId="48DBFAD7" w14:textId="05B11885" w:rsidR="00D60699" w:rsidRPr="00234BB4" w:rsidRDefault="00D60699" w:rsidP="00C06D12">
          <w:pPr>
            <w:ind w:left="3600" w:firstLine="720"/>
            <w:rPr>
              <w:rFonts w:cstheme="minorHAnsi"/>
              <w:b/>
              <w:color w:val="000000" w:themeColor="text1"/>
              <w:sz w:val="32"/>
              <w:szCs w:val="32"/>
            </w:rPr>
          </w:pPr>
          <w:r>
            <w:rPr>
              <w:rFonts w:cstheme="minorHAnsi"/>
              <w:b/>
              <w:color w:val="000000" w:themeColor="text1"/>
              <w:sz w:val="32"/>
              <w:szCs w:val="32"/>
            </w:rPr>
            <w:t>ECHC500</w:t>
          </w:r>
          <w:r>
            <w:rPr>
              <w:rFonts w:cstheme="minorHAnsi"/>
              <w:b/>
              <w:color w:val="000000" w:themeColor="text1"/>
              <w:sz w:val="32"/>
              <w:szCs w:val="32"/>
            </w:rPr>
            <w:t>2</w:t>
          </w:r>
        </w:p>
        <w:p w14:paraId="3A32F627" w14:textId="77777777" w:rsidR="00D60699" w:rsidRPr="00234BB4" w:rsidRDefault="00D60699" w:rsidP="00D60699">
          <w:pPr>
            <w:jc w:val="center"/>
            <w:rPr>
              <w:rFonts w:cstheme="minorHAnsi"/>
              <w:b/>
              <w:color w:val="000000" w:themeColor="text1"/>
              <w:sz w:val="32"/>
              <w:szCs w:val="32"/>
            </w:rPr>
          </w:pPr>
        </w:p>
        <w:p w14:paraId="501A18A0" w14:textId="026B17AB" w:rsidR="00D60699" w:rsidRPr="00234BB4" w:rsidRDefault="00D60699" w:rsidP="00D60699">
          <w:pPr>
            <w:jc w:val="center"/>
            <w:rPr>
              <w:rFonts w:cstheme="minorHAnsi"/>
              <w:b/>
              <w:color w:val="000000" w:themeColor="text1"/>
              <w:sz w:val="32"/>
              <w:szCs w:val="32"/>
            </w:rPr>
          </w:pPr>
          <w:r w:rsidRPr="00234BB4">
            <w:rPr>
              <w:rFonts w:cstheme="minorHAnsi"/>
              <w:b/>
              <w:color w:val="000000" w:themeColor="text1"/>
              <w:sz w:val="32"/>
              <w:szCs w:val="32"/>
            </w:rPr>
            <w:t xml:space="preserve">Assessment Component: </w:t>
          </w:r>
          <w:r>
            <w:rPr>
              <w:rFonts w:cstheme="minorHAnsi"/>
              <w:b/>
              <w:color w:val="000000" w:themeColor="text1"/>
              <w:sz w:val="32"/>
              <w:szCs w:val="32"/>
            </w:rPr>
            <w:t>Two</w:t>
          </w:r>
        </w:p>
        <w:p w14:paraId="142F7F87" w14:textId="77777777" w:rsidR="00D60699" w:rsidRPr="00234BB4" w:rsidRDefault="00D60699" w:rsidP="00D60699">
          <w:pPr>
            <w:jc w:val="center"/>
            <w:rPr>
              <w:rFonts w:cstheme="minorHAnsi"/>
              <w:b/>
              <w:color w:val="000000" w:themeColor="text1"/>
              <w:sz w:val="32"/>
              <w:szCs w:val="32"/>
            </w:rPr>
          </w:pPr>
        </w:p>
        <w:p w14:paraId="7D3C29DE" w14:textId="77777777" w:rsidR="00D60699" w:rsidRDefault="00D60699" w:rsidP="00D60699">
          <w:pPr>
            <w:jc w:val="center"/>
            <w:rPr>
              <w:rFonts w:cstheme="minorHAnsi"/>
              <w:b/>
              <w:color w:val="000000" w:themeColor="text1"/>
              <w:sz w:val="32"/>
              <w:szCs w:val="32"/>
            </w:rPr>
          </w:pPr>
        </w:p>
        <w:p w14:paraId="081F22F6" w14:textId="77777777" w:rsidR="00D60699" w:rsidRDefault="00D60699" w:rsidP="00D60699">
          <w:pPr>
            <w:jc w:val="center"/>
            <w:rPr>
              <w:rFonts w:cstheme="minorHAnsi"/>
              <w:b/>
              <w:color w:val="000000" w:themeColor="text1"/>
              <w:sz w:val="32"/>
              <w:szCs w:val="32"/>
            </w:rPr>
          </w:pPr>
          <w:r>
            <w:rPr>
              <w:rFonts w:cstheme="minorHAnsi"/>
              <w:b/>
              <w:color w:val="000000" w:themeColor="text1"/>
              <w:sz w:val="32"/>
              <w:szCs w:val="32"/>
            </w:rPr>
            <w:t xml:space="preserve">Student name: Danielle </w:t>
          </w:r>
          <w:proofErr w:type="spellStart"/>
          <w:r>
            <w:rPr>
              <w:rFonts w:cstheme="minorHAnsi"/>
              <w:b/>
              <w:color w:val="000000" w:themeColor="text1"/>
              <w:sz w:val="32"/>
              <w:szCs w:val="32"/>
            </w:rPr>
            <w:t>Bastier</w:t>
          </w:r>
          <w:proofErr w:type="spellEnd"/>
        </w:p>
        <w:p w14:paraId="2D8CEDD7" w14:textId="77777777" w:rsidR="00D60699" w:rsidRPr="00234BB4" w:rsidRDefault="00D60699" w:rsidP="00D60699">
          <w:pPr>
            <w:jc w:val="center"/>
            <w:rPr>
              <w:rFonts w:cstheme="minorHAnsi"/>
              <w:b/>
              <w:color w:val="000000" w:themeColor="text1"/>
              <w:sz w:val="32"/>
              <w:szCs w:val="32"/>
            </w:rPr>
          </w:pPr>
        </w:p>
        <w:p w14:paraId="128D2CF8" w14:textId="77777777" w:rsidR="00D60699" w:rsidRPr="00234BB4" w:rsidRDefault="00D60699" w:rsidP="00D60699">
          <w:pPr>
            <w:jc w:val="center"/>
            <w:rPr>
              <w:rFonts w:cstheme="minorHAnsi"/>
              <w:b/>
              <w:color w:val="000000" w:themeColor="text1"/>
              <w:sz w:val="32"/>
              <w:szCs w:val="32"/>
            </w:rPr>
          </w:pPr>
          <w:r w:rsidRPr="00234BB4">
            <w:rPr>
              <w:rFonts w:cstheme="minorHAnsi"/>
              <w:b/>
              <w:color w:val="000000" w:themeColor="text1"/>
              <w:sz w:val="32"/>
              <w:szCs w:val="32"/>
            </w:rPr>
            <w:t>Student Number: 1150159</w:t>
          </w:r>
        </w:p>
        <w:p w14:paraId="055B19EF" w14:textId="77777777" w:rsidR="00D60699" w:rsidRPr="00234BB4" w:rsidRDefault="00D60699" w:rsidP="0013789F">
          <w:pPr>
            <w:rPr>
              <w:rFonts w:cstheme="minorHAnsi"/>
              <w:b/>
              <w:color w:val="000000" w:themeColor="text1"/>
              <w:sz w:val="32"/>
              <w:szCs w:val="32"/>
            </w:rPr>
          </w:pPr>
        </w:p>
        <w:p w14:paraId="12FE97CE" w14:textId="77777777" w:rsidR="00D60699" w:rsidRPr="00234BB4" w:rsidRDefault="00D60699" w:rsidP="00D60699">
          <w:pPr>
            <w:jc w:val="center"/>
            <w:rPr>
              <w:rFonts w:cstheme="minorHAnsi"/>
              <w:b/>
              <w:color w:val="000000" w:themeColor="text1"/>
              <w:sz w:val="32"/>
              <w:szCs w:val="32"/>
            </w:rPr>
          </w:pPr>
        </w:p>
        <w:p w14:paraId="4C12733B" w14:textId="0F37842E" w:rsidR="00D60699" w:rsidRDefault="00D60699" w:rsidP="00D60699">
          <w:pPr>
            <w:jc w:val="center"/>
            <w:rPr>
              <w:rFonts w:cstheme="minorHAnsi"/>
              <w:b/>
              <w:color w:val="000000" w:themeColor="text1"/>
              <w:sz w:val="32"/>
              <w:szCs w:val="32"/>
            </w:rPr>
          </w:pPr>
          <w:r w:rsidRPr="00234BB4">
            <w:rPr>
              <w:rFonts w:cstheme="minorHAnsi"/>
              <w:b/>
              <w:color w:val="000000" w:themeColor="text1"/>
              <w:sz w:val="32"/>
              <w:szCs w:val="32"/>
            </w:rPr>
            <w:t>Assessment Title:</w:t>
          </w:r>
        </w:p>
        <w:p w14:paraId="5FD6A3CA" w14:textId="77777777" w:rsidR="00D60699" w:rsidRPr="00234BB4" w:rsidRDefault="00D60699" w:rsidP="00D60699">
          <w:pPr>
            <w:jc w:val="center"/>
            <w:rPr>
              <w:rFonts w:cstheme="minorHAnsi"/>
              <w:b/>
              <w:color w:val="000000" w:themeColor="text1"/>
              <w:sz w:val="32"/>
              <w:szCs w:val="32"/>
            </w:rPr>
          </w:pPr>
        </w:p>
        <w:p w14:paraId="2203B6D4" w14:textId="77777777" w:rsidR="00D60699" w:rsidRDefault="00D60699" w:rsidP="00D60699">
          <w:pPr>
            <w:pStyle w:val="NormalWeb"/>
            <w:jc w:val="center"/>
            <w:rPr>
              <w:rFonts w:asciiTheme="minorHAnsi" w:hAnsiTheme="minorHAnsi" w:cstheme="minorHAnsi"/>
            </w:rPr>
          </w:pPr>
          <w:r w:rsidRPr="00D60699">
            <w:rPr>
              <w:rFonts w:asciiTheme="minorHAnsi" w:hAnsiTheme="minorHAnsi" w:cstheme="minorHAnsi"/>
            </w:rPr>
            <w:t>Within your chosen Theoretical approach provide evidence of:</w:t>
          </w:r>
        </w:p>
        <w:p w14:paraId="3266E333" w14:textId="77777777" w:rsidR="0013789F" w:rsidRDefault="00D60699" w:rsidP="00D60699">
          <w:pPr>
            <w:pStyle w:val="NormalWeb"/>
            <w:jc w:val="center"/>
            <w:rPr>
              <w:rFonts w:asciiTheme="minorHAnsi" w:hAnsiTheme="minorHAnsi" w:cstheme="minorHAnsi"/>
            </w:rPr>
          </w:pPr>
          <w:r w:rsidRPr="00D60699">
            <w:rPr>
              <w:rFonts w:asciiTheme="minorHAnsi" w:hAnsiTheme="minorHAnsi" w:cstheme="minorHAnsi"/>
            </w:rPr>
            <w:br/>
            <w:t>1: Client contract/boundary positioning</w:t>
          </w:r>
        </w:p>
        <w:p w14:paraId="3026E39C" w14:textId="6CC1B4A7" w:rsidR="0013789F" w:rsidRDefault="0013789F" w:rsidP="0013789F">
          <w:pPr>
            <w:pStyle w:val="NormalWeb"/>
            <w:jc w:val="center"/>
            <w:rPr>
              <w:rFonts w:asciiTheme="minorHAnsi" w:hAnsiTheme="minorHAnsi" w:cstheme="minorHAnsi"/>
            </w:rPr>
          </w:pPr>
          <w:r>
            <w:rPr>
              <w:rFonts w:asciiTheme="minorHAnsi" w:hAnsiTheme="minorHAnsi" w:cstheme="minorHAnsi"/>
            </w:rPr>
            <w:t>2. Overview of the therapeutic relationship</w:t>
          </w:r>
        </w:p>
        <w:p w14:paraId="24B40FFD" w14:textId="5E3C519E" w:rsidR="0013789F" w:rsidRDefault="0013789F" w:rsidP="0013789F">
          <w:pPr>
            <w:pStyle w:val="NormalWeb"/>
            <w:jc w:val="center"/>
            <w:rPr>
              <w:rFonts w:asciiTheme="minorHAnsi" w:hAnsiTheme="minorHAnsi" w:cstheme="minorHAnsi"/>
            </w:rPr>
          </w:pPr>
          <w:r>
            <w:rPr>
              <w:rFonts w:asciiTheme="minorHAnsi" w:hAnsiTheme="minorHAnsi" w:cstheme="minorHAnsi"/>
            </w:rPr>
            <w:t>3. Assessment and case formulation</w:t>
          </w:r>
        </w:p>
        <w:p w14:paraId="4D753661" w14:textId="6DCCC619" w:rsidR="0013789F" w:rsidRPr="00D60699" w:rsidRDefault="0013789F" w:rsidP="0013789F">
          <w:pPr>
            <w:pStyle w:val="NormalWeb"/>
            <w:jc w:val="center"/>
            <w:rPr>
              <w:rFonts w:asciiTheme="minorHAnsi" w:hAnsiTheme="minorHAnsi" w:cstheme="minorHAnsi"/>
            </w:rPr>
          </w:pPr>
          <w:r>
            <w:rPr>
              <w:rFonts w:asciiTheme="minorHAnsi" w:hAnsiTheme="minorHAnsi" w:cstheme="minorHAnsi"/>
            </w:rPr>
            <w:t>4. Process notes</w:t>
          </w:r>
        </w:p>
        <w:p w14:paraId="5C69C51B" w14:textId="0C22E990" w:rsidR="00D60699" w:rsidRPr="00D60699" w:rsidRDefault="00D60699" w:rsidP="00D60699">
          <w:pPr>
            <w:pStyle w:val="NormalWeb"/>
            <w:jc w:val="center"/>
            <w:rPr>
              <w:rFonts w:asciiTheme="minorHAnsi" w:hAnsiTheme="minorHAnsi" w:cstheme="minorHAnsi"/>
            </w:rPr>
          </w:pPr>
          <w:r w:rsidRPr="00D60699">
            <w:rPr>
              <w:rFonts w:asciiTheme="minorHAnsi" w:hAnsiTheme="minorHAnsi" w:cstheme="minorHAnsi"/>
            </w:rPr>
            <w:br/>
          </w:r>
        </w:p>
        <w:p w14:paraId="05D690D0" w14:textId="77777777" w:rsidR="0013789F" w:rsidRDefault="0013789F"/>
        <w:p w14:paraId="332171B5" w14:textId="1DF578D4" w:rsidR="0013789F" w:rsidRDefault="0013789F" w:rsidP="0013789F">
          <w:pPr>
            <w:jc w:val="center"/>
            <w:rPr>
              <w:u w:val="single"/>
            </w:rPr>
          </w:pPr>
          <w:r w:rsidRPr="0013789F">
            <w:rPr>
              <w:u w:val="single"/>
            </w:rPr>
            <w:lastRenderedPageBreak/>
            <w:t>Contents</w:t>
          </w:r>
        </w:p>
        <w:p w14:paraId="6D292552" w14:textId="77777777" w:rsidR="0013789F" w:rsidRDefault="0013789F" w:rsidP="0013789F">
          <w:pPr>
            <w:jc w:val="center"/>
            <w:rPr>
              <w:u w:val="single"/>
            </w:rPr>
          </w:pPr>
        </w:p>
        <w:p w14:paraId="577E7F2D" w14:textId="2AE1D3FD" w:rsidR="0013789F" w:rsidRDefault="0013789F" w:rsidP="0013789F">
          <w:pPr>
            <w:jc w:val="center"/>
            <w:rPr>
              <w:u w:val="single"/>
            </w:rPr>
          </w:pPr>
        </w:p>
        <w:p w14:paraId="348E674E" w14:textId="77777777" w:rsidR="0013789F" w:rsidRDefault="0013789F" w:rsidP="0013789F">
          <w:pPr>
            <w:jc w:val="center"/>
            <w:rPr>
              <w:u w:val="single"/>
            </w:rPr>
          </w:pPr>
        </w:p>
        <w:p w14:paraId="6DA9906F" w14:textId="1D16EE1C" w:rsidR="0013789F" w:rsidRDefault="0013789F">
          <w:pPr>
            <w:rPr>
              <w:u w:val="single"/>
            </w:rPr>
          </w:pPr>
        </w:p>
        <w:p w14:paraId="13B95E59" w14:textId="40F4BA81" w:rsidR="0013789F" w:rsidRPr="0013789F" w:rsidRDefault="0013789F">
          <w:pPr>
            <w:rPr>
              <w:u w:val="single"/>
            </w:rPr>
          </w:pPr>
          <w:r w:rsidRPr="00D60699">
            <w:rPr>
              <w:rFonts w:cstheme="minorHAnsi"/>
            </w:rPr>
            <w:t>Client contract/boundary positioning</w:t>
          </w:r>
          <w:r>
            <w:rPr>
              <w:rFonts w:cstheme="minorHAnsi"/>
            </w:rPr>
            <w:tab/>
          </w:r>
          <w:r>
            <w:rPr>
              <w:rFonts w:cstheme="minorHAnsi"/>
            </w:rPr>
            <w:tab/>
          </w:r>
          <w:r>
            <w:rPr>
              <w:rFonts w:cstheme="minorHAnsi"/>
            </w:rPr>
            <w:tab/>
          </w:r>
          <w:r>
            <w:rPr>
              <w:rFonts w:cstheme="minorHAnsi"/>
            </w:rPr>
            <w:tab/>
            <w:t xml:space="preserve">Page. 2 – 5 </w:t>
          </w:r>
        </w:p>
        <w:p w14:paraId="530F16A7" w14:textId="77777777" w:rsidR="0013789F" w:rsidRDefault="0013789F" w:rsidP="0013789F">
          <w:pPr>
            <w:pStyle w:val="NormalWeb"/>
            <w:rPr>
              <w:rFonts w:asciiTheme="minorHAnsi" w:hAnsiTheme="minorHAnsi" w:cstheme="minorHAnsi"/>
            </w:rPr>
          </w:pPr>
        </w:p>
        <w:p w14:paraId="3AE539C9" w14:textId="65414734" w:rsidR="0013789F" w:rsidRDefault="0013789F" w:rsidP="0013789F">
          <w:pPr>
            <w:pStyle w:val="NormalWeb"/>
            <w:rPr>
              <w:rFonts w:asciiTheme="minorHAnsi" w:hAnsiTheme="minorHAnsi" w:cstheme="minorHAnsi"/>
            </w:rPr>
          </w:pPr>
          <w:r>
            <w:rPr>
              <w:rFonts w:asciiTheme="minorHAnsi" w:hAnsiTheme="minorHAnsi" w:cstheme="minorHAnsi"/>
            </w:rPr>
            <w:t>Overview of the therapeutic relationship</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Page. 6 – 9</w:t>
          </w:r>
        </w:p>
        <w:p w14:paraId="5CA60279" w14:textId="77777777" w:rsidR="0013789F" w:rsidRDefault="0013789F" w:rsidP="0013789F">
          <w:pPr>
            <w:pStyle w:val="NormalWeb"/>
            <w:rPr>
              <w:rFonts w:asciiTheme="minorHAnsi" w:hAnsiTheme="minorHAnsi" w:cstheme="minorHAnsi"/>
            </w:rPr>
          </w:pPr>
        </w:p>
        <w:p w14:paraId="06E6A013" w14:textId="5B4F1854" w:rsidR="0013789F" w:rsidRDefault="0013789F" w:rsidP="0013789F">
          <w:pPr>
            <w:pStyle w:val="NormalWeb"/>
            <w:rPr>
              <w:rFonts w:asciiTheme="minorHAnsi" w:hAnsiTheme="minorHAnsi" w:cstheme="minorHAnsi"/>
            </w:rPr>
          </w:pPr>
          <w:r>
            <w:rPr>
              <w:rFonts w:asciiTheme="minorHAnsi" w:hAnsiTheme="minorHAnsi" w:cstheme="minorHAnsi"/>
            </w:rPr>
            <w:t>Assessment and case formulation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Page. 10 – 13 </w:t>
          </w:r>
        </w:p>
        <w:p w14:paraId="5C7CEDE4" w14:textId="77777777" w:rsidR="0013789F" w:rsidRDefault="0013789F" w:rsidP="0013789F">
          <w:pPr>
            <w:pStyle w:val="NormalWeb"/>
            <w:rPr>
              <w:rFonts w:asciiTheme="minorHAnsi" w:hAnsiTheme="minorHAnsi" w:cstheme="minorHAnsi"/>
            </w:rPr>
          </w:pPr>
        </w:p>
        <w:p w14:paraId="68D15BF8" w14:textId="09E3A9D1" w:rsidR="0013789F" w:rsidRPr="0013789F" w:rsidRDefault="0013789F" w:rsidP="0013789F">
          <w:pPr>
            <w:pStyle w:val="NormalWeb"/>
            <w:rPr>
              <w:rFonts w:asciiTheme="minorHAnsi" w:hAnsiTheme="minorHAnsi" w:cstheme="minorHAnsi"/>
            </w:rPr>
          </w:pPr>
          <w:r>
            <w:rPr>
              <w:rFonts w:asciiTheme="minorHAnsi" w:hAnsiTheme="minorHAnsi" w:cstheme="minorHAnsi"/>
            </w:rPr>
            <w:t>Process note</w:t>
          </w:r>
          <w:r>
            <w:rPr>
              <w:rFonts w:asciiTheme="minorHAnsi" w:hAnsiTheme="minorHAnsi" w:cstheme="minorHAnsi"/>
            </w:rPr>
            <w:t>s</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Page 14 – 1</w:t>
          </w:r>
          <w:r w:rsidR="00C30622">
            <w:rPr>
              <w:rFonts w:asciiTheme="minorHAnsi" w:hAnsiTheme="minorHAnsi" w:cstheme="minorHAnsi"/>
            </w:rPr>
            <w:t>7</w:t>
          </w:r>
        </w:p>
        <w:p w14:paraId="26DD392E" w14:textId="77777777" w:rsidR="0013789F" w:rsidRDefault="0013789F" w:rsidP="0013789F"/>
        <w:p w14:paraId="388310DC" w14:textId="77777777" w:rsidR="0013789F" w:rsidRDefault="0013789F">
          <w:r>
            <w:br w:type="page"/>
          </w:r>
          <w:bookmarkStart w:id="0" w:name="_GoBack"/>
          <w:bookmarkEnd w:id="0"/>
        </w:p>
        <w:p w14:paraId="3C796136" w14:textId="0FE753B5" w:rsidR="0013789F" w:rsidRDefault="00D60699" w:rsidP="0013789F"/>
      </w:sdtContent>
    </w:sdt>
    <w:p w14:paraId="2F869AD2" w14:textId="32B3A387" w:rsidR="00D60699" w:rsidRDefault="0013789F" w:rsidP="0013789F">
      <w:pPr>
        <w:jc w:val="center"/>
        <w:rPr>
          <w:u w:val="single"/>
        </w:rPr>
      </w:pPr>
      <w:r w:rsidRPr="0013789F">
        <w:rPr>
          <w:rFonts w:cstheme="minorHAnsi"/>
          <w:u w:val="single"/>
        </w:rPr>
        <w:t>Client contract/boundary positioning</w:t>
      </w:r>
    </w:p>
    <w:p w14:paraId="30953328" w14:textId="66D85973" w:rsidR="0013789F" w:rsidRDefault="0013789F" w:rsidP="0013789F">
      <w:pPr>
        <w:rPr>
          <w:u w:val="single"/>
        </w:rPr>
      </w:pPr>
    </w:p>
    <w:p w14:paraId="14EC7B67" w14:textId="77777777" w:rsidR="0013789F" w:rsidRPr="0013789F" w:rsidRDefault="0013789F" w:rsidP="0013789F">
      <w:pPr>
        <w:rPr>
          <w:u w:val="single"/>
        </w:rPr>
      </w:pPr>
    </w:p>
    <w:p w14:paraId="64738F30" w14:textId="5E0E9A3E" w:rsidR="00F8076A" w:rsidRDefault="00D60699" w:rsidP="00A65C0C">
      <w:pPr>
        <w:spacing w:line="480" w:lineRule="auto"/>
        <w:jc w:val="both"/>
      </w:pPr>
      <w:r>
        <w:t xml:space="preserve">     </w:t>
      </w:r>
      <w:r w:rsidR="00F8076A" w:rsidRPr="00417FC4">
        <w:t xml:space="preserve">Within the theoretic approach of Person-Centred Therapy, the </w:t>
      </w:r>
      <w:r w:rsidR="00637690" w:rsidRPr="00417FC4">
        <w:t xml:space="preserve">role and function of the </w:t>
      </w:r>
      <w:r w:rsidR="00F8076A" w:rsidRPr="00417FC4">
        <w:t>client contract will be discussed; specifically, in relation to boundary positioning and what place the contract has within person-centred counselling</w:t>
      </w:r>
      <w:r w:rsidR="00637690" w:rsidRPr="00417FC4">
        <w:t xml:space="preserve">. How </w:t>
      </w:r>
      <w:r w:rsidR="00F8076A" w:rsidRPr="00417FC4">
        <w:t>this</w:t>
      </w:r>
      <w:r w:rsidR="00637690" w:rsidRPr="00417FC4">
        <w:t xml:space="preserve"> contract</w:t>
      </w:r>
      <w:r w:rsidR="00F8076A" w:rsidRPr="00417FC4">
        <w:t xml:space="preserve"> works within </w:t>
      </w:r>
      <w:r w:rsidR="00637690" w:rsidRPr="00417FC4">
        <w:t xml:space="preserve">a </w:t>
      </w:r>
      <w:r w:rsidR="00F8076A" w:rsidRPr="00417FC4">
        <w:t>placement</w:t>
      </w:r>
      <w:r w:rsidR="00637690" w:rsidRPr="00417FC4">
        <w:t xml:space="preserve"> at Swansea Mind will also be discussed</w:t>
      </w:r>
      <w:r w:rsidR="00F8076A" w:rsidRPr="00417FC4">
        <w:t>.</w:t>
      </w:r>
    </w:p>
    <w:p w14:paraId="5D947FA2" w14:textId="24F15D78" w:rsidR="00AB1D45" w:rsidRDefault="00AB1D45" w:rsidP="00A65C0C">
      <w:pPr>
        <w:spacing w:line="480" w:lineRule="auto"/>
        <w:jc w:val="both"/>
      </w:pPr>
    </w:p>
    <w:p w14:paraId="20B2209D" w14:textId="2EC46365" w:rsidR="00417FC4" w:rsidRDefault="00D60699" w:rsidP="00A65C0C">
      <w:pPr>
        <w:spacing w:line="480" w:lineRule="auto"/>
        <w:jc w:val="both"/>
      </w:pPr>
      <w:r>
        <w:t xml:space="preserve">     </w:t>
      </w:r>
      <w:r w:rsidR="00EA512F">
        <w:t>The truth of p</w:t>
      </w:r>
      <w:r w:rsidR="00AB1D45">
        <w:t>erson-</w:t>
      </w:r>
      <w:r w:rsidR="00EA512F">
        <w:t>c</w:t>
      </w:r>
      <w:r w:rsidR="00AB1D45">
        <w:t>entre</w:t>
      </w:r>
      <w:r w:rsidR="00EA512F">
        <w:t>d counselling, in its purest Rogerian form, is that the client knows best. Rogers</w:t>
      </w:r>
      <w:r w:rsidR="00417FC4">
        <w:t xml:space="preserve"> (1951)</w:t>
      </w:r>
      <w:r w:rsidR="00EA512F">
        <w:t xml:space="preserve"> started calling his way of working </w:t>
      </w:r>
      <w:r w:rsidR="00EA512F" w:rsidRPr="00A6497C">
        <w:rPr>
          <w:i/>
          <w:iCs/>
        </w:rPr>
        <w:t>non-</w:t>
      </w:r>
      <w:r w:rsidR="007E43C0" w:rsidRPr="00A6497C">
        <w:rPr>
          <w:i/>
          <w:iCs/>
        </w:rPr>
        <w:t>directive</w:t>
      </w:r>
      <w:r w:rsidR="007E43C0">
        <w:t xml:space="preserve"> and</w:t>
      </w:r>
      <w:r w:rsidR="00EA512F">
        <w:t xml:space="preserve"> placed greater emphasis on the client’s own experience of their world rather than as an expert or guide on another’s life</w:t>
      </w:r>
      <w:r w:rsidR="00417FC4">
        <w:t xml:space="preserve"> (Rogers, 1951, p.5)</w:t>
      </w:r>
      <w:r w:rsidR="00EA512F">
        <w:t xml:space="preserve">. </w:t>
      </w:r>
      <w:r w:rsidR="00355CD5">
        <w:t xml:space="preserve">In a chaotic world, </w:t>
      </w:r>
      <w:r w:rsidR="00EF0BFE">
        <w:t>a</w:t>
      </w:r>
      <w:r w:rsidR="00355CD5">
        <w:t xml:space="preserve"> contract </w:t>
      </w:r>
      <w:r w:rsidR="00417FC4">
        <w:t>may be</w:t>
      </w:r>
      <w:r w:rsidR="00355CD5">
        <w:t xml:space="preserve"> used to</w:t>
      </w:r>
      <w:r w:rsidR="007E43C0">
        <w:t xml:space="preserve"> negot</w:t>
      </w:r>
      <w:r w:rsidR="00355CD5">
        <w:t>iate</w:t>
      </w:r>
      <w:r w:rsidR="007E43C0">
        <w:t xml:space="preserve"> boundaries for therapy</w:t>
      </w:r>
      <w:r w:rsidR="00355CD5">
        <w:t xml:space="preserve"> with the client</w:t>
      </w:r>
      <w:r w:rsidR="00417FC4">
        <w:t xml:space="preserve">, and this can used as a </w:t>
      </w:r>
      <w:proofErr w:type="gramStart"/>
      <w:r w:rsidR="00417FC4">
        <w:t xml:space="preserve">framework </w:t>
      </w:r>
      <w:r w:rsidR="00AC25F4">
        <w:t xml:space="preserve"> in</w:t>
      </w:r>
      <w:proofErr w:type="gramEnd"/>
      <w:r w:rsidR="00AC25F4">
        <w:t xml:space="preserve"> which </w:t>
      </w:r>
      <w:r w:rsidR="00417FC4">
        <w:t>the activity can safely take place</w:t>
      </w:r>
      <w:r w:rsidR="003F2F59">
        <w:t xml:space="preserve"> </w:t>
      </w:r>
      <w:r w:rsidR="003F2F59">
        <w:t>(Mearns &amp; Thorne, 2007, p.1)</w:t>
      </w:r>
      <w:r w:rsidR="003F2F59">
        <w:t>.</w:t>
      </w:r>
    </w:p>
    <w:p w14:paraId="118AE1D4" w14:textId="77777777" w:rsidR="007E43C0" w:rsidRDefault="007E43C0" w:rsidP="00A65C0C">
      <w:pPr>
        <w:spacing w:line="480" w:lineRule="auto"/>
        <w:jc w:val="both"/>
      </w:pPr>
    </w:p>
    <w:p w14:paraId="454C2068" w14:textId="3C0DB5EF" w:rsidR="007E43C0" w:rsidRDefault="00D60699" w:rsidP="00A65C0C">
      <w:pPr>
        <w:spacing w:line="480" w:lineRule="auto"/>
        <w:jc w:val="both"/>
      </w:pPr>
      <w:r>
        <w:t xml:space="preserve">     </w:t>
      </w:r>
      <w:r w:rsidR="00355CD5">
        <w:t>It has been suggested that a</w:t>
      </w:r>
      <w:r w:rsidR="007E43C0">
        <w:t xml:space="preserve"> useful way of approaching boundaries of responsibilities, is to start from the position that the counsellor is responsible for the methods of counselling used and the client is responsible for the outcome. Taking ownership of these responsibilities from the beginning can ensure that boundary roles are clear. There are no legal obligations to make these roles clear in writing and in many situations an oral agreement will be sufficient. (Bond, 2015, p.279)</w:t>
      </w:r>
      <w:r w:rsidR="00F6201A">
        <w:t xml:space="preserve">. </w:t>
      </w:r>
      <w:r w:rsidR="00A6497C">
        <w:t>In most humanistic approaches, there may be a relaxing of certain boundaries for the sake of authenticity and congruence, when compared say to the standard classical stance of psychoanalysis (Feltham, 2010, p.18).</w:t>
      </w:r>
      <w:r w:rsidR="00A03893">
        <w:t xml:space="preserve"> </w:t>
      </w:r>
      <w:r w:rsidR="00A03893">
        <w:t>Respect for client boundaries therefore recognises client autonomy.</w:t>
      </w:r>
      <w:r w:rsidR="00A03893">
        <w:t xml:space="preserve"> All knowledge and expertise may be offered by the </w:t>
      </w:r>
      <w:r w:rsidR="008B62D2">
        <w:t>counsellor</w:t>
      </w:r>
      <w:r w:rsidR="00A7184D">
        <w:t>,</w:t>
      </w:r>
      <w:r w:rsidR="00A03893">
        <w:t xml:space="preserve"> </w:t>
      </w:r>
      <w:r w:rsidR="00A03893">
        <w:lastRenderedPageBreak/>
        <w:t>but it is the client who decides what information to use and what experiences to have (</w:t>
      </w:r>
      <w:proofErr w:type="spellStart"/>
      <w:r w:rsidR="00A03893">
        <w:t>Bohart</w:t>
      </w:r>
      <w:proofErr w:type="spellEnd"/>
      <w:r w:rsidR="00A03893">
        <w:t xml:space="preserve">, 2014). </w:t>
      </w:r>
    </w:p>
    <w:p w14:paraId="179FDB60" w14:textId="6AAFB72E" w:rsidR="00637690" w:rsidRDefault="00637690" w:rsidP="00A65C0C">
      <w:pPr>
        <w:spacing w:line="480" w:lineRule="auto"/>
        <w:jc w:val="both"/>
      </w:pPr>
    </w:p>
    <w:p w14:paraId="72136096" w14:textId="3F25ED03" w:rsidR="00637690" w:rsidRDefault="00D60699" w:rsidP="00A65C0C">
      <w:pPr>
        <w:spacing w:line="480" w:lineRule="auto"/>
        <w:jc w:val="both"/>
      </w:pPr>
      <w:r>
        <w:t xml:space="preserve">     </w:t>
      </w:r>
      <w:r w:rsidR="00DE11B4">
        <w:t>In order to put the client in the greatest possible control of their life</w:t>
      </w:r>
      <w:r w:rsidR="006E2EE8">
        <w:t>, it is crucial</w:t>
      </w:r>
      <w:r w:rsidR="00DE11B4">
        <w:t xml:space="preserve"> to recognise the </w:t>
      </w:r>
      <w:r w:rsidR="006E2EE8">
        <w:t xml:space="preserve">importance of </w:t>
      </w:r>
      <w:r w:rsidR="00DE11B4">
        <w:t xml:space="preserve">privacy and confidentiality </w:t>
      </w:r>
      <w:r w:rsidR="006E2EE8">
        <w:t>within</w:t>
      </w:r>
      <w:r w:rsidR="00DE11B4">
        <w:t xml:space="preserve"> counselling (Bond, 2015, p. 90). The nature of therapy makes confidentiality a particularly sensitive issue and law and legislation now provide </w:t>
      </w:r>
      <w:r w:rsidR="008B62D2">
        <w:t>counsellors</w:t>
      </w:r>
      <w:r w:rsidR="00DE11B4">
        <w:t xml:space="preserve"> with legal obligations, particularly the Human Rights Act 1998 and The Data Protection Act 2018</w:t>
      </w:r>
      <w:r w:rsidR="006E2EE8">
        <w:t xml:space="preserve">, which saw the implementation of the General Data Protection Regulation (GDPR) (Bond </w:t>
      </w:r>
      <w:r w:rsidR="00061871">
        <w:t>and</w:t>
      </w:r>
      <w:r w:rsidR="006E2EE8">
        <w:t xml:space="preserve"> Mitchells, 2009, p.14). </w:t>
      </w:r>
      <w:r w:rsidR="00AC0872">
        <w:t xml:space="preserve">The BACP Ethical Framework is typical in linking contracting to respect for client autonomy, therefore making clear the importance of the </w:t>
      </w:r>
      <w:r w:rsidR="00880F2A">
        <w:t>ethical</w:t>
      </w:r>
      <w:r w:rsidR="00AC0872">
        <w:t xml:space="preserve"> obligation, as well as legal. (BACP, 2018).</w:t>
      </w:r>
    </w:p>
    <w:p w14:paraId="580A9582" w14:textId="29168773" w:rsidR="00AC0872" w:rsidRDefault="00AC0872" w:rsidP="00A65C0C">
      <w:pPr>
        <w:spacing w:line="480" w:lineRule="auto"/>
        <w:jc w:val="both"/>
      </w:pPr>
    </w:p>
    <w:p w14:paraId="60571DD8" w14:textId="26058D0D" w:rsidR="00AC0872" w:rsidRDefault="00D60699" w:rsidP="00A65C0C">
      <w:pPr>
        <w:spacing w:line="480" w:lineRule="auto"/>
        <w:jc w:val="both"/>
      </w:pPr>
      <w:r>
        <w:t xml:space="preserve">     </w:t>
      </w:r>
      <w:r w:rsidR="00AC0872">
        <w:t xml:space="preserve">A client </w:t>
      </w:r>
      <w:r w:rsidR="002D1C27">
        <w:t>may</w:t>
      </w:r>
      <w:r w:rsidR="00AC0872">
        <w:t xml:space="preserve"> consent to treatment once they have been informed and have understood the methods used, any risks or benefits, and any relevant alternatives. It must be guaranteed that a client consented without coercion, based on the information provided</w:t>
      </w:r>
      <w:r w:rsidR="00AC25F4">
        <w:t xml:space="preserve"> </w:t>
      </w:r>
      <w:r w:rsidR="00AC25F4">
        <w:t>(Bond, 2015, p.98)</w:t>
      </w:r>
      <w:r w:rsidR="00AC0872">
        <w:t xml:space="preserve">. However, in Person-Centred counselling, where the client is an active participant, consent is the absolute minimum standard of practice. The ethical emphasis of explicit contracting at the start of the counselling relationship is sometimes at odds with the level of distress and urgency of the client attending, and it can be difficult to enter meaningful negotiations; </w:t>
      </w:r>
      <w:r w:rsidR="00745BD1">
        <w:t>therefore,</w:t>
      </w:r>
      <w:r w:rsidR="00AC0872">
        <w:t xml:space="preserve"> impacting client autonomy (Bond, 2015, p.9</w:t>
      </w:r>
      <w:r w:rsidR="00AC25F4">
        <w:t>9</w:t>
      </w:r>
      <w:r w:rsidR="00AC0872">
        <w:t xml:space="preserve">). </w:t>
      </w:r>
      <w:r w:rsidR="002D1C27">
        <w:t xml:space="preserve">A ‘contract’ may also imply an exchange of monies which may be more suitable to private practice (Green, 2010, </w:t>
      </w:r>
      <w:r w:rsidR="00EF0BFE">
        <w:t>19).</w:t>
      </w:r>
    </w:p>
    <w:p w14:paraId="32C6824D" w14:textId="0481913A" w:rsidR="00E536D9" w:rsidRDefault="00E536D9" w:rsidP="00A65C0C">
      <w:pPr>
        <w:spacing w:line="480" w:lineRule="auto"/>
        <w:jc w:val="both"/>
      </w:pPr>
    </w:p>
    <w:p w14:paraId="4F4F8734" w14:textId="3902C635" w:rsidR="00880F2A" w:rsidRDefault="00880F2A" w:rsidP="00A65C0C">
      <w:pPr>
        <w:spacing w:line="480" w:lineRule="auto"/>
        <w:jc w:val="both"/>
      </w:pPr>
    </w:p>
    <w:p w14:paraId="3A7AC3CF" w14:textId="3C3A25A4" w:rsidR="00880F2A" w:rsidRDefault="00D60699" w:rsidP="00A65C0C">
      <w:pPr>
        <w:spacing w:line="480" w:lineRule="auto"/>
        <w:jc w:val="both"/>
      </w:pPr>
      <w:r>
        <w:lastRenderedPageBreak/>
        <w:t xml:space="preserve">     </w:t>
      </w:r>
      <w:r w:rsidR="00880F2A">
        <w:t>When working within an agency, it is common</w:t>
      </w:r>
      <w:r w:rsidR="00A65C0C">
        <w:t>place</w:t>
      </w:r>
      <w:r w:rsidR="00880F2A">
        <w:t xml:space="preserve"> to follow specific policies and procedures</w:t>
      </w:r>
      <w:r w:rsidR="00A65C0C">
        <w:t xml:space="preserve"> related to agency practice. Within a voluntary placement at Swansea Mind, the client</w:t>
      </w:r>
      <w:r w:rsidR="008B62D2">
        <w:t>-</w:t>
      </w:r>
      <w:r w:rsidR="00A65C0C">
        <w:t xml:space="preserve">counsellor contract states clearly the role of confidentiality within the therapy relationship (Swansea Mind, </w:t>
      </w:r>
      <w:r w:rsidR="00061871">
        <w:t>no date</w:t>
      </w:r>
      <w:r w:rsidR="00A65C0C">
        <w:t xml:space="preserve">). Confidentiality can only be broken when it crosses certain boundaries; and even then, the issue </w:t>
      </w:r>
      <w:r w:rsidR="00417FC4">
        <w:t>may</w:t>
      </w:r>
      <w:r w:rsidR="00A65C0C">
        <w:t xml:space="preserve"> be fully discussed with the client first, maintaining client autonomy and control. </w:t>
      </w:r>
      <w:r w:rsidR="00417FC4">
        <w:t>Although this cannot always be the case (Bond, 2015, p.44).</w:t>
      </w:r>
    </w:p>
    <w:p w14:paraId="3FFECA6F" w14:textId="77777777" w:rsidR="00A6497C" w:rsidRDefault="00A6497C" w:rsidP="00A6497C">
      <w:pPr>
        <w:spacing w:line="480" w:lineRule="auto"/>
        <w:jc w:val="both"/>
      </w:pPr>
    </w:p>
    <w:p w14:paraId="56F60191" w14:textId="46B13B10" w:rsidR="00A6497C" w:rsidRDefault="00D60699" w:rsidP="00A6497C">
      <w:pPr>
        <w:spacing w:line="480" w:lineRule="auto"/>
        <w:jc w:val="both"/>
      </w:pPr>
      <w:r>
        <w:t xml:space="preserve">     </w:t>
      </w:r>
      <w:r w:rsidR="00A6497C">
        <w:t>The person-centred counsellor will be keen to avoid too much rigidity and not want to promote feelings of powerlessness or rejection</w:t>
      </w:r>
      <w:r w:rsidR="00AC25F4">
        <w:t>. Therefore,</w:t>
      </w:r>
      <w:r w:rsidR="00A6497C">
        <w:t xml:space="preserve"> it is </w:t>
      </w:r>
      <w:r w:rsidR="00AC25F4">
        <w:t xml:space="preserve">suggested that it is </w:t>
      </w:r>
      <w:r w:rsidR="00A6497C">
        <w:t xml:space="preserve">the client and not the counsellor who will have the deciding say as to whether they wish to continue with therapy. </w:t>
      </w:r>
      <w:r w:rsidR="00AC25F4">
        <w:t>I</w:t>
      </w:r>
      <w:r w:rsidR="00A6497C">
        <w:t xml:space="preserve">f the counsellor feels that the relationship is unproductive, or that little more will be achieved, then the counsellor will discuss this fully with the client (Mearns &amp; Thorne, 2007, p.168). </w:t>
      </w:r>
      <w:r w:rsidR="00A6497C">
        <w:t xml:space="preserve">Swansea Mind’s contract on the other hand clearly states that the counsellor has the right to end the counselling if they feel that the </w:t>
      </w:r>
      <w:r w:rsidR="00BE3B50">
        <w:t>work that</w:t>
      </w:r>
      <w:r w:rsidR="00A6497C">
        <w:t xml:space="preserve"> they are doing together is not beneficial to the client and does not state that a discussion will take place with the client beforehand. </w:t>
      </w:r>
      <w:r w:rsidR="00417FC4">
        <w:t xml:space="preserve">It </w:t>
      </w:r>
      <w:r w:rsidR="00AC25F4">
        <w:t>may</w:t>
      </w:r>
      <w:r w:rsidR="00417FC4">
        <w:t xml:space="preserve"> be argued that this process does not mesh </w:t>
      </w:r>
      <w:r w:rsidR="00A6497C">
        <w:t>with the modality of counselling being offered as a person-centred counsellor (</w:t>
      </w:r>
      <w:r w:rsidR="00061871">
        <w:t>Swansea Mind, no date</w:t>
      </w:r>
      <w:r w:rsidR="00A6497C">
        <w:t xml:space="preserve">). </w:t>
      </w:r>
    </w:p>
    <w:p w14:paraId="6C67F1AE" w14:textId="6AAF7ED8" w:rsidR="003F2F59" w:rsidRDefault="003F2F59" w:rsidP="00A6497C">
      <w:pPr>
        <w:spacing w:line="480" w:lineRule="auto"/>
        <w:jc w:val="both"/>
      </w:pPr>
    </w:p>
    <w:p w14:paraId="69A20E31" w14:textId="2D94714F" w:rsidR="003F2F59" w:rsidRDefault="00D60699" w:rsidP="00A6497C">
      <w:pPr>
        <w:spacing w:line="480" w:lineRule="auto"/>
        <w:jc w:val="both"/>
      </w:pPr>
      <w:r>
        <w:t xml:space="preserve">     </w:t>
      </w:r>
      <w:r w:rsidR="003F2F59">
        <w:t xml:space="preserve">It has been discussed that some boundaries drawn around the therapeutic relationship include concerns with time, place, confidentiality and privacy and how the client has autonomy in the person-centred approach whenever logistically possible. These boundaries are contracted verbally and in writing and continue as a living agreement with room for </w:t>
      </w:r>
      <w:r w:rsidR="003F2F59">
        <w:lastRenderedPageBreak/>
        <w:t>discussion. Swansea Mind contract is less client-directed in writing, but the counsellor could verbally contract with the client to make agreements to suit the working relationship.</w:t>
      </w:r>
    </w:p>
    <w:p w14:paraId="10817601" w14:textId="77777777" w:rsidR="0013789F" w:rsidRDefault="0013789F" w:rsidP="00D60699"/>
    <w:p w14:paraId="6B447F9A" w14:textId="77777777" w:rsidR="0013789F" w:rsidRDefault="0013789F" w:rsidP="00D60699"/>
    <w:p w14:paraId="5BEA52FC" w14:textId="77777777" w:rsidR="0013789F" w:rsidRDefault="0013789F" w:rsidP="00D60699"/>
    <w:p w14:paraId="5822E932" w14:textId="77777777" w:rsidR="0013789F" w:rsidRDefault="0013789F" w:rsidP="00D60699"/>
    <w:p w14:paraId="47C67756" w14:textId="77777777" w:rsidR="0013789F" w:rsidRDefault="0013789F" w:rsidP="00D60699"/>
    <w:p w14:paraId="6EC173D3" w14:textId="77777777" w:rsidR="0013789F" w:rsidRDefault="0013789F" w:rsidP="00D60699"/>
    <w:p w14:paraId="38B2D241" w14:textId="77777777" w:rsidR="0013789F" w:rsidRDefault="0013789F" w:rsidP="00D60699">
      <w:pPr>
        <w:rPr>
          <w:rFonts w:cstheme="minorHAnsi"/>
          <w:color w:val="000000" w:themeColor="text1"/>
          <w:u w:val="single"/>
        </w:rPr>
      </w:pPr>
    </w:p>
    <w:p w14:paraId="05D47DCE" w14:textId="77777777" w:rsidR="0013789F" w:rsidRDefault="0013789F" w:rsidP="00D60699">
      <w:pPr>
        <w:rPr>
          <w:rFonts w:cstheme="minorHAnsi"/>
          <w:color w:val="000000" w:themeColor="text1"/>
          <w:u w:val="single"/>
        </w:rPr>
      </w:pPr>
    </w:p>
    <w:p w14:paraId="29DA50AD" w14:textId="77777777" w:rsidR="0013789F" w:rsidRDefault="0013789F" w:rsidP="00D60699">
      <w:pPr>
        <w:rPr>
          <w:rFonts w:cstheme="minorHAnsi"/>
          <w:color w:val="000000" w:themeColor="text1"/>
          <w:u w:val="single"/>
        </w:rPr>
      </w:pPr>
    </w:p>
    <w:p w14:paraId="2F4FEB41" w14:textId="7C438793" w:rsidR="00D60699" w:rsidRPr="0013789F" w:rsidRDefault="00D60699" w:rsidP="00D60699">
      <w:r w:rsidRPr="00530827">
        <w:rPr>
          <w:rFonts w:cstheme="minorHAnsi"/>
          <w:color w:val="000000" w:themeColor="text1"/>
          <w:u w:val="single"/>
        </w:rPr>
        <w:t>References</w:t>
      </w:r>
    </w:p>
    <w:p w14:paraId="2800F807" w14:textId="77777777" w:rsidR="00D60699" w:rsidRDefault="00D60699" w:rsidP="00D60699">
      <w:pPr>
        <w:pStyle w:val="NormalWeb"/>
        <w:rPr>
          <w:rFonts w:asciiTheme="minorHAnsi" w:hAnsiTheme="minorHAnsi" w:cstheme="minorHAnsi"/>
          <w:color w:val="000000" w:themeColor="text1"/>
        </w:rPr>
      </w:pPr>
      <w:proofErr w:type="spellStart"/>
      <w:r w:rsidRPr="00530827">
        <w:rPr>
          <w:rFonts w:asciiTheme="minorHAnsi" w:hAnsiTheme="minorHAnsi" w:cstheme="minorHAnsi"/>
          <w:color w:val="000000" w:themeColor="text1"/>
        </w:rPr>
        <w:t>Bohart</w:t>
      </w:r>
      <w:proofErr w:type="spellEnd"/>
      <w:r>
        <w:rPr>
          <w:rFonts w:asciiTheme="minorHAnsi" w:hAnsiTheme="minorHAnsi" w:cstheme="minorHAnsi"/>
          <w:color w:val="000000" w:themeColor="text1"/>
        </w:rPr>
        <w:t>, A.</w:t>
      </w:r>
      <w:r w:rsidRPr="00530827">
        <w:rPr>
          <w:rFonts w:asciiTheme="minorHAnsi" w:hAnsiTheme="minorHAnsi" w:cstheme="minorHAnsi"/>
          <w:color w:val="000000" w:themeColor="text1"/>
        </w:rPr>
        <w:t xml:space="preserve"> (2012) </w:t>
      </w:r>
      <w:r>
        <w:rPr>
          <w:rFonts w:asciiTheme="minorHAnsi" w:hAnsiTheme="minorHAnsi" w:cstheme="minorHAnsi"/>
          <w:color w:val="000000" w:themeColor="text1"/>
        </w:rPr>
        <w:t>‘</w:t>
      </w:r>
      <w:r w:rsidRPr="00530827">
        <w:rPr>
          <w:rFonts w:asciiTheme="minorHAnsi" w:hAnsiTheme="minorHAnsi" w:cstheme="minorHAnsi"/>
          <w:color w:val="000000" w:themeColor="text1"/>
        </w:rPr>
        <w:t>Can you be integrative and a person-centred therapist at the same time?</w:t>
      </w:r>
      <w:r>
        <w:rPr>
          <w:rFonts w:asciiTheme="minorHAnsi" w:hAnsiTheme="minorHAnsi" w:cstheme="minorHAnsi"/>
          <w:color w:val="000000" w:themeColor="text1"/>
        </w:rPr>
        <w:t>’</w:t>
      </w:r>
      <w:r w:rsidRPr="00530827">
        <w:rPr>
          <w:rFonts w:asciiTheme="minorHAnsi" w:hAnsiTheme="minorHAnsi" w:cstheme="minorHAnsi"/>
          <w:color w:val="000000" w:themeColor="text1"/>
        </w:rPr>
        <w:t xml:space="preserve"> </w:t>
      </w:r>
      <w:r w:rsidRPr="00530827">
        <w:rPr>
          <w:rFonts w:asciiTheme="minorHAnsi" w:hAnsiTheme="minorHAnsi" w:cstheme="minorHAnsi"/>
          <w:i/>
          <w:iCs/>
          <w:color w:val="000000" w:themeColor="text1"/>
        </w:rPr>
        <w:t>Person-Centred &amp; Experiential Psychotherapies</w:t>
      </w:r>
      <w:r w:rsidRPr="00530827">
        <w:rPr>
          <w:rFonts w:asciiTheme="minorHAnsi" w:hAnsiTheme="minorHAnsi" w:cstheme="minorHAnsi"/>
          <w:color w:val="000000" w:themeColor="text1"/>
        </w:rPr>
        <w:t>, 11</w:t>
      </w:r>
      <w:r>
        <w:rPr>
          <w:rFonts w:asciiTheme="minorHAnsi" w:hAnsiTheme="minorHAnsi" w:cstheme="minorHAnsi"/>
          <w:color w:val="000000" w:themeColor="text1"/>
        </w:rPr>
        <w:t>(1)</w:t>
      </w:r>
      <w:r w:rsidRPr="00530827">
        <w:rPr>
          <w:rFonts w:asciiTheme="minorHAnsi" w:hAnsiTheme="minorHAnsi" w:cstheme="minorHAnsi"/>
          <w:color w:val="000000" w:themeColor="text1"/>
        </w:rPr>
        <w:t>,</w:t>
      </w:r>
      <w:r>
        <w:rPr>
          <w:rFonts w:asciiTheme="minorHAnsi" w:hAnsiTheme="minorHAnsi" w:cstheme="minorHAnsi"/>
          <w:color w:val="000000" w:themeColor="text1"/>
        </w:rPr>
        <w:t xml:space="preserve"> pp.</w:t>
      </w:r>
      <w:r w:rsidRPr="00530827">
        <w:rPr>
          <w:rFonts w:asciiTheme="minorHAnsi" w:hAnsiTheme="minorHAnsi" w:cstheme="minorHAnsi"/>
          <w:color w:val="000000" w:themeColor="text1"/>
        </w:rPr>
        <w:t xml:space="preserve"> 1-13</w:t>
      </w:r>
      <w:r>
        <w:rPr>
          <w:rFonts w:asciiTheme="minorHAnsi" w:hAnsiTheme="minorHAnsi" w:cstheme="minorHAnsi"/>
          <w:color w:val="000000" w:themeColor="text1"/>
        </w:rPr>
        <w:t>.</w:t>
      </w:r>
      <w:r w:rsidRPr="00530827">
        <w:rPr>
          <w:rFonts w:asciiTheme="minorHAnsi" w:hAnsiTheme="minorHAnsi" w:cstheme="minorHAnsi"/>
          <w:color w:val="000000" w:themeColor="text1"/>
        </w:rPr>
        <w:t xml:space="preserve"> DOI:10.1080/14779757.2011.639461</w:t>
      </w:r>
      <w:r>
        <w:rPr>
          <w:rFonts w:asciiTheme="minorHAnsi" w:hAnsiTheme="minorHAnsi" w:cstheme="minorHAnsi"/>
          <w:color w:val="000000" w:themeColor="text1"/>
        </w:rPr>
        <w:t>.</w:t>
      </w:r>
    </w:p>
    <w:p w14:paraId="4837EF19" w14:textId="77777777" w:rsidR="00D60699" w:rsidRPr="00471FF4" w:rsidRDefault="00D60699" w:rsidP="00D60699">
      <w:pPr>
        <w:rPr>
          <w:rFonts w:eastAsia="Times New Roman" w:cstheme="minorHAnsi"/>
          <w:lang w:eastAsia="en-GB"/>
        </w:rPr>
      </w:pPr>
      <w:r w:rsidRPr="00565210">
        <w:rPr>
          <w:rFonts w:eastAsia="Times New Roman" w:cstheme="minorHAnsi"/>
          <w:color w:val="1F1F20"/>
          <w:shd w:val="clear" w:color="auto" w:fill="FFFFFF"/>
          <w:lang w:eastAsia="en-GB"/>
        </w:rPr>
        <w:t>BACP</w:t>
      </w:r>
      <w:r w:rsidRPr="00592F47">
        <w:rPr>
          <w:rFonts w:eastAsia="Times New Roman" w:cstheme="minorHAnsi"/>
          <w:color w:val="1F1F20"/>
          <w:shd w:val="clear" w:color="auto" w:fill="FFFFFF"/>
          <w:lang w:eastAsia="en-GB"/>
        </w:rPr>
        <w:t>, 2018,</w:t>
      </w:r>
      <w:r w:rsidRPr="00565210">
        <w:rPr>
          <w:rFonts w:eastAsia="Times New Roman" w:cstheme="minorHAnsi"/>
          <w:color w:val="1F1F20"/>
          <w:shd w:val="clear" w:color="auto" w:fill="FFFFFF"/>
          <w:lang w:eastAsia="en-GB"/>
        </w:rPr>
        <w:t xml:space="preserve"> </w:t>
      </w:r>
      <w:r w:rsidRPr="00565210">
        <w:rPr>
          <w:rFonts w:eastAsia="Times New Roman" w:cstheme="minorHAnsi"/>
          <w:i/>
          <w:iCs/>
          <w:color w:val="1F1F20"/>
          <w:shd w:val="clear" w:color="auto" w:fill="FFFFFF"/>
          <w:lang w:eastAsia="en-GB"/>
        </w:rPr>
        <w:t>Ethical Framework for the counselling professions</w:t>
      </w:r>
      <w:r w:rsidRPr="00565210">
        <w:rPr>
          <w:rFonts w:eastAsia="Times New Roman" w:cstheme="minorHAnsi"/>
          <w:color w:val="1F1F20"/>
          <w:shd w:val="clear" w:color="auto" w:fill="FFFFFF"/>
          <w:lang w:eastAsia="en-GB"/>
        </w:rPr>
        <w:t xml:space="preserve">. Lutterworth: BACP; </w:t>
      </w:r>
    </w:p>
    <w:p w14:paraId="24DC61A8" w14:textId="77777777" w:rsidR="00D60699" w:rsidRPr="00530827" w:rsidRDefault="00D60699" w:rsidP="00D60699">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Bond, T. (2015) </w:t>
      </w:r>
      <w:r w:rsidRPr="00530827">
        <w:rPr>
          <w:rFonts w:asciiTheme="minorHAnsi" w:hAnsiTheme="minorHAnsi" w:cstheme="minorHAnsi"/>
          <w:i/>
          <w:iCs/>
          <w:color w:val="000000" w:themeColor="text1"/>
        </w:rPr>
        <w:t>Standard and ethics for counselling in action</w:t>
      </w:r>
      <w:r>
        <w:rPr>
          <w:rFonts w:asciiTheme="minorHAnsi" w:hAnsiTheme="minorHAnsi" w:cstheme="minorHAnsi"/>
          <w:color w:val="000000" w:themeColor="text1"/>
        </w:rPr>
        <w:t>. 4</w:t>
      </w:r>
      <w:r w:rsidRPr="00530827">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Ed. London: Sage.</w:t>
      </w:r>
    </w:p>
    <w:p w14:paraId="359B4020" w14:textId="77777777" w:rsidR="00D60699" w:rsidRDefault="00D60699" w:rsidP="00D60699">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Bond, T and </w:t>
      </w:r>
      <w:proofErr w:type="spellStart"/>
      <w:r>
        <w:rPr>
          <w:rFonts w:asciiTheme="minorHAnsi" w:hAnsiTheme="minorHAnsi" w:cstheme="minorHAnsi"/>
          <w:color w:val="000000" w:themeColor="text1"/>
        </w:rPr>
        <w:t>Mitchels</w:t>
      </w:r>
      <w:proofErr w:type="spellEnd"/>
      <w:r>
        <w:rPr>
          <w:rFonts w:asciiTheme="minorHAnsi" w:hAnsiTheme="minorHAnsi" w:cstheme="minorHAnsi"/>
          <w:color w:val="000000" w:themeColor="text1"/>
        </w:rPr>
        <w:t xml:space="preserve">, B. (2009) </w:t>
      </w:r>
      <w:r w:rsidRPr="00530827">
        <w:rPr>
          <w:rFonts w:asciiTheme="minorHAnsi" w:hAnsiTheme="minorHAnsi" w:cstheme="minorHAnsi"/>
          <w:i/>
          <w:iCs/>
          <w:color w:val="000000" w:themeColor="text1"/>
        </w:rPr>
        <w:t>Confidentiality &amp; record keeping in counselling and psychotherapy</w:t>
      </w:r>
      <w:r>
        <w:rPr>
          <w:rFonts w:asciiTheme="minorHAnsi" w:hAnsiTheme="minorHAnsi" w:cstheme="minorHAnsi"/>
          <w:color w:val="000000" w:themeColor="text1"/>
        </w:rPr>
        <w:t>. London: Sage.</w:t>
      </w:r>
    </w:p>
    <w:p w14:paraId="1FF7DA27" w14:textId="77777777" w:rsidR="00D60699" w:rsidRPr="00C53EA4" w:rsidRDefault="00D60699" w:rsidP="00D60699">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Feltham, C. (2010) </w:t>
      </w:r>
      <w:r>
        <w:rPr>
          <w:rFonts w:asciiTheme="minorHAnsi" w:hAnsiTheme="minorHAnsi" w:cstheme="minorHAnsi"/>
          <w:i/>
          <w:iCs/>
          <w:color w:val="000000" w:themeColor="text1"/>
        </w:rPr>
        <w:t xml:space="preserve">Critical thinking in counselling and psychotherapy. </w:t>
      </w:r>
      <w:r>
        <w:rPr>
          <w:rFonts w:asciiTheme="minorHAnsi" w:hAnsiTheme="minorHAnsi" w:cstheme="minorHAnsi"/>
          <w:color w:val="000000" w:themeColor="text1"/>
        </w:rPr>
        <w:t>London: Sage.</w:t>
      </w:r>
    </w:p>
    <w:p w14:paraId="0278CB6F" w14:textId="77777777" w:rsidR="00D60699" w:rsidRDefault="00D60699" w:rsidP="00D60699">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Feltham, C. et al. (2017) </w:t>
      </w:r>
      <w:r w:rsidRPr="00530827">
        <w:rPr>
          <w:rFonts w:asciiTheme="minorHAnsi" w:hAnsiTheme="minorHAnsi" w:cstheme="minorHAnsi"/>
          <w:i/>
          <w:iCs/>
          <w:color w:val="000000" w:themeColor="text1"/>
        </w:rPr>
        <w:t>Counselling and Psychotherapy</w:t>
      </w:r>
      <w:r>
        <w:rPr>
          <w:rFonts w:asciiTheme="minorHAnsi" w:hAnsiTheme="minorHAnsi" w:cstheme="minorHAnsi"/>
          <w:color w:val="000000" w:themeColor="text1"/>
        </w:rPr>
        <w:t>. 4</w:t>
      </w:r>
      <w:r w:rsidRPr="00530827">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Ed. London: Sage.</w:t>
      </w:r>
    </w:p>
    <w:p w14:paraId="6F211CD1" w14:textId="77777777" w:rsidR="00D60699" w:rsidRDefault="00D60699" w:rsidP="00D60699">
      <w:r>
        <w:t xml:space="preserve">Green, J. (2010) </w:t>
      </w:r>
      <w:r w:rsidRPr="00471FF4">
        <w:rPr>
          <w:i/>
          <w:iCs/>
        </w:rPr>
        <w:t>Creating the therapeutic relationship in counselling and psychotherapy.</w:t>
      </w:r>
      <w:r>
        <w:t xml:space="preserve"> Exeter: Learning Matters. </w:t>
      </w:r>
    </w:p>
    <w:p w14:paraId="645B604F" w14:textId="77777777" w:rsidR="00D60699" w:rsidRPr="001710CB" w:rsidRDefault="00D60699" w:rsidP="00D60699"/>
    <w:p w14:paraId="208A9423" w14:textId="77777777" w:rsidR="00D60699" w:rsidRDefault="00D60699" w:rsidP="00D60699">
      <w:pPr>
        <w:rPr>
          <w:rFonts w:cstheme="minorHAnsi"/>
          <w:color w:val="000000" w:themeColor="text1"/>
        </w:rPr>
      </w:pPr>
      <w:r>
        <w:t xml:space="preserve">Mearns, D and Thorne, B. (2007) </w:t>
      </w:r>
      <w:r w:rsidRPr="00530827">
        <w:rPr>
          <w:i/>
          <w:iCs/>
        </w:rPr>
        <w:t>Person-centred counselling in action</w:t>
      </w:r>
      <w:r>
        <w:t>. 3</w:t>
      </w:r>
      <w:r w:rsidRPr="00530827">
        <w:rPr>
          <w:vertAlign w:val="superscript"/>
        </w:rPr>
        <w:t>rd</w:t>
      </w:r>
      <w:r>
        <w:t xml:space="preserve"> Ed. </w:t>
      </w:r>
      <w:r>
        <w:rPr>
          <w:rFonts w:cstheme="minorHAnsi"/>
          <w:color w:val="000000" w:themeColor="text1"/>
        </w:rPr>
        <w:t>London: Sage.</w:t>
      </w:r>
    </w:p>
    <w:p w14:paraId="7F61C998" w14:textId="77777777" w:rsidR="00D60699" w:rsidRDefault="00D60699" w:rsidP="00D60699">
      <w:pPr>
        <w:rPr>
          <w:rFonts w:cstheme="minorHAnsi"/>
          <w:color w:val="000000" w:themeColor="text1"/>
        </w:rPr>
      </w:pPr>
    </w:p>
    <w:p w14:paraId="657FC5FA" w14:textId="77777777" w:rsidR="00D60699" w:rsidRDefault="00D60699" w:rsidP="00D60699">
      <w:pPr>
        <w:rPr>
          <w:rFonts w:cstheme="minorHAnsi"/>
          <w:color w:val="000000" w:themeColor="text1"/>
        </w:rPr>
      </w:pPr>
      <w:r>
        <w:rPr>
          <w:rFonts w:cstheme="minorHAnsi"/>
          <w:color w:val="000000" w:themeColor="text1"/>
        </w:rPr>
        <w:t xml:space="preserve">Rogers, C. (1951) </w:t>
      </w:r>
      <w:r w:rsidRPr="00530827">
        <w:rPr>
          <w:rFonts w:cstheme="minorHAnsi"/>
          <w:i/>
          <w:iCs/>
          <w:color w:val="000000" w:themeColor="text1"/>
        </w:rPr>
        <w:t>Client-centred therapy</w:t>
      </w:r>
      <w:r>
        <w:rPr>
          <w:rFonts w:cstheme="minorHAnsi"/>
          <w:color w:val="000000" w:themeColor="text1"/>
        </w:rPr>
        <w:t>. Croydon: CPI Group.</w:t>
      </w:r>
    </w:p>
    <w:p w14:paraId="71DAE81A" w14:textId="77777777" w:rsidR="00D60699" w:rsidRDefault="00D60699" w:rsidP="00D60699">
      <w:pPr>
        <w:rPr>
          <w:rFonts w:cstheme="minorHAnsi"/>
          <w:color w:val="000000" w:themeColor="text1"/>
        </w:rPr>
      </w:pPr>
    </w:p>
    <w:p w14:paraId="760716F1" w14:textId="77777777" w:rsidR="00D60699" w:rsidRPr="00471FF4" w:rsidRDefault="00D60699" w:rsidP="00D60699">
      <w:pPr>
        <w:rPr>
          <w:rFonts w:cstheme="minorHAnsi"/>
          <w:color w:val="000000" w:themeColor="text1"/>
        </w:rPr>
      </w:pPr>
      <w:r>
        <w:rPr>
          <w:rFonts w:cstheme="minorHAnsi"/>
          <w:color w:val="000000" w:themeColor="text1"/>
        </w:rPr>
        <w:t xml:space="preserve">Swansea Mind (no date) </w:t>
      </w:r>
      <w:r>
        <w:rPr>
          <w:rFonts w:cstheme="minorHAnsi"/>
          <w:i/>
          <w:iCs/>
          <w:color w:val="000000" w:themeColor="text1"/>
        </w:rPr>
        <w:t xml:space="preserve">Swansea mind client contract. </w:t>
      </w:r>
      <w:r>
        <w:rPr>
          <w:rFonts w:cstheme="minorHAnsi"/>
          <w:color w:val="000000" w:themeColor="text1"/>
        </w:rPr>
        <w:t xml:space="preserve">Unpublished. </w:t>
      </w:r>
    </w:p>
    <w:p w14:paraId="512584FA" w14:textId="0908122A" w:rsidR="00D60699" w:rsidRDefault="00D60699" w:rsidP="00A6497C">
      <w:pPr>
        <w:spacing w:line="480" w:lineRule="auto"/>
        <w:jc w:val="both"/>
      </w:pPr>
    </w:p>
    <w:p w14:paraId="15AD9D6B" w14:textId="407CC246" w:rsidR="00D60699" w:rsidRDefault="00D60699" w:rsidP="00A6497C">
      <w:pPr>
        <w:spacing w:line="480" w:lineRule="auto"/>
        <w:jc w:val="both"/>
      </w:pPr>
    </w:p>
    <w:p w14:paraId="0D35DE4F" w14:textId="669E3F3C" w:rsidR="00D60699" w:rsidRDefault="00D60699" w:rsidP="00A6497C">
      <w:pPr>
        <w:spacing w:line="480" w:lineRule="auto"/>
        <w:jc w:val="both"/>
      </w:pPr>
    </w:p>
    <w:p w14:paraId="5FECC606" w14:textId="1975BD3B" w:rsidR="00D60699" w:rsidRDefault="00D60699" w:rsidP="00A6497C">
      <w:pPr>
        <w:spacing w:line="480" w:lineRule="auto"/>
        <w:jc w:val="both"/>
      </w:pPr>
    </w:p>
    <w:p w14:paraId="29DBF5EB" w14:textId="77777777" w:rsidR="0013789F" w:rsidRDefault="0013789F" w:rsidP="0013789F">
      <w:pPr>
        <w:pStyle w:val="NormalWeb"/>
        <w:rPr>
          <w:rFonts w:asciiTheme="minorHAnsi" w:hAnsiTheme="minorHAnsi" w:cstheme="minorHAnsi"/>
          <w:u w:val="single"/>
        </w:rPr>
      </w:pPr>
    </w:p>
    <w:p w14:paraId="7EFB060A" w14:textId="4DBDA347" w:rsidR="0013789F" w:rsidRPr="0013789F" w:rsidRDefault="0013789F" w:rsidP="0013789F">
      <w:pPr>
        <w:pStyle w:val="NormalWeb"/>
        <w:jc w:val="center"/>
        <w:rPr>
          <w:rFonts w:asciiTheme="minorHAnsi" w:hAnsiTheme="minorHAnsi" w:cstheme="minorHAnsi"/>
          <w:u w:val="single"/>
        </w:rPr>
      </w:pPr>
      <w:r w:rsidRPr="0013789F">
        <w:rPr>
          <w:rFonts w:asciiTheme="minorHAnsi" w:hAnsiTheme="minorHAnsi" w:cstheme="minorHAnsi"/>
          <w:u w:val="single"/>
        </w:rPr>
        <w:lastRenderedPageBreak/>
        <w:t>Overview of the therapeutic relationship</w:t>
      </w:r>
    </w:p>
    <w:p w14:paraId="561307FA" w14:textId="77777777" w:rsidR="00D60699" w:rsidRDefault="00D60699" w:rsidP="00A65C0C">
      <w:pPr>
        <w:spacing w:line="480" w:lineRule="auto"/>
        <w:jc w:val="both"/>
      </w:pPr>
    </w:p>
    <w:p w14:paraId="114549F9" w14:textId="1D5BCC0B" w:rsidR="004425D7" w:rsidRDefault="00D60699" w:rsidP="00A65C0C">
      <w:pPr>
        <w:spacing w:line="480" w:lineRule="auto"/>
        <w:jc w:val="both"/>
      </w:pPr>
      <w:r>
        <w:t xml:space="preserve">     </w:t>
      </w:r>
      <w:r w:rsidR="00184B7E">
        <w:t>At the centre of good counselling practice is the quality of the therapeutic relationship; the relationship between the counsellor and the client</w:t>
      </w:r>
      <w:r w:rsidR="004425D7">
        <w:t>. This relationship is often the link that binds therapeutic approaches together; a common language for therapists to communicate (</w:t>
      </w:r>
      <w:proofErr w:type="spellStart"/>
      <w:r w:rsidR="004425D7">
        <w:t>Markin</w:t>
      </w:r>
      <w:proofErr w:type="spellEnd"/>
      <w:r w:rsidR="004425D7">
        <w:t>, 2014). Each orientation, however, has something unique to offer when it comes to creating and maintaining that therapeutic relationship (Green, 2010, p.4).</w:t>
      </w:r>
      <w:r w:rsidR="006B70C6">
        <w:t xml:space="preserve"> An overview of the therapeutic relationship wi</w:t>
      </w:r>
      <w:r w:rsidR="008B62D2">
        <w:t>ll</w:t>
      </w:r>
      <w:r w:rsidR="006B70C6">
        <w:t xml:space="preserve"> be discussed within person-centred counselling and how change occurs within that approach. </w:t>
      </w:r>
    </w:p>
    <w:p w14:paraId="59065049" w14:textId="77777777" w:rsidR="00FD2119" w:rsidRDefault="00FD2119" w:rsidP="00A65C0C">
      <w:pPr>
        <w:spacing w:line="480" w:lineRule="auto"/>
        <w:jc w:val="both"/>
      </w:pPr>
    </w:p>
    <w:p w14:paraId="1E70141C" w14:textId="25ABFB8C" w:rsidR="008B62D2" w:rsidRDefault="00D60699" w:rsidP="00A03893">
      <w:pPr>
        <w:spacing w:line="480" w:lineRule="auto"/>
        <w:jc w:val="both"/>
      </w:pPr>
      <w:r>
        <w:t xml:space="preserve">     </w:t>
      </w:r>
      <w:r w:rsidR="004425D7">
        <w:t xml:space="preserve">From the person-centred tradition, the six necessary conditions for therapeutic change are used as the basis for </w:t>
      </w:r>
      <w:r w:rsidR="00B21BBA">
        <w:t>change and</w:t>
      </w:r>
      <w:r w:rsidR="004425D7">
        <w:t xml:space="preserve"> help keep this approach separate from other traditions. </w:t>
      </w:r>
      <w:r w:rsidR="00B21BBA">
        <w:t xml:space="preserve">Three of them, which Rogers referred to as the </w:t>
      </w:r>
      <w:r w:rsidR="00B21BBA" w:rsidRPr="00B21BBA">
        <w:rPr>
          <w:i/>
          <w:iCs/>
        </w:rPr>
        <w:t>core conditions</w:t>
      </w:r>
      <w:r w:rsidR="00B21BBA">
        <w:t xml:space="preserve">, relate to the attitude of the </w:t>
      </w:r>
      <w:r w:rsidR="008B62D2">
        <w:t>counsellor</w:t>
      </w:r>
      <w:r w:rsidR="00B21BBA">
        <w:t xml:space="preserve"> and their ‘way of being’</w:t>
      </w:r>
      <w:r>
        <w:t xml:space="preserve"> and </w:t>
      </w:r>
      <w:r w:rsidR="00AC25F4">
        <w:t xml:space="preserve">are </w:t>
      </w:r>
      <w:r>
        <w:t>sufficient and necessary for change to occur</w:t>
      </w:r>
      <w:r w:rsidR="0018574B">
        <w:t xml:space="preserve"> (Green, 2010, p.10).</w:t>
      </w:r>
      <w:r w:rsidR="00B53144">
        <w:t xml:space="preserve"> </w:t>
      </w:r>
      <w:r>
        <w:t>The other necessary conditions relate to the client and the</w:t>
      </w:r>
      <w:r w:rsidR="00AC25F4">
        <w:t>ir</w:t>
      </w:r>
      <w:r>
        <w:t xml:space="preserve"> ability to relate and connect to both the counsellor and their internal frame of reference. </w:t>
      </w:r>
      <w:r w:rsidR="008B62D2">
        <w:t>Unlike psychodynamic practitioners, in person-centred therapy the value placed on any particular experience is up to the client, not the counsellor or the theory. Whereas psychodynamic theorists view transference as a way a client transfers strong feeling from past relationships, person-centred theorists would not deny the immediacy of the client’s experience (Feltham et al, 201</w:t>
      </w:r>
      <w:r w:rsidR="00984E0E">
        <w:t>7</w:t>
      </w:r>
      <w:r w:rsidR="008B62D2">
        <w:t xml:space="preserve">, p.67). </w:t>
      </w:r>
    </w:p>
    <w:p w14:paraId="03F64C60" w14:textId="77777777" w:rsidR="008B62D2" w:rsidRDefault="008B62D2" w:rsidP="00A03893">
      <w:pPr>
        <w:spacing w:line="480" w:lineRule="auto"/>
        <w:jc w:val="both"/>
      </w:pPr>
    </w:p>
    <w:p w14:paraId="1ACDE7DD" w14:textId="3578844C" w:rsidR="00A03893" w:rsidRDefault="00D60699" w:rsidP="00A03893">
      <w:pPr>
        <w:spacing w:line="480" w:lineRule="auto"/>
        <w:jc w:val="both"/>
      </w:pPr>
      <w:r>
        <w:t xml:space="preserve">     </w:t>
      </w:r>
      <w:r w:rsidR="000056E1">
        <w:t xml:space="preserve">Roger’s (1957, 1959) first therapeutic condition, namely psychological contact, was proposed as a pre-requisite </w:t>
      </w:r>
      <w:r w:rsidR="00AC25F4">
        <w:t>to</w:t>
      </w:r>
      <w:r w:rsidR="000056E1">
        <w:t xml:space="preserve"> the other core conditions. Without being able to make </w:t>
      </w:r>
      <w:r w:rsidR="000056E1">
        <w:lastRenderedPageBreak/>
        <w:t xml:space="preserve">psychological contact, a therapeutic relationship could not be formed (Rogers cited in Sanders, 2012, p.201). </w:t>
      </w:r>
      <w:r>
        <w:t>It can be determined that Rogers was saying that the relationship is used by the person to enhance and clarify the life he is living, rather than it be the only factor for change (</w:t>
      </w:r>
      <w:proofErr w:type="spellStart"/>
      <w:r>
        <w:t>Bohart</w:t>
      </w:r>
      <w:proofErr w:type="spellEnd"/>
      <w:r>
        <w:t xml:space="preserve">, 2012). </w:t>
      </w:r>
      <w:r w:rsidR="000056E1">
        <w:t xml:space="preserve">Moving away from the classical person-centred tradition, Prouty (2007) contributed a </w:t>
      </w:r>
      <w:r w:rsidR="00076577">
        <w:t>ground-breaking</w:t>
      </w:r>
      <w:r w:rsidR="000056E1">
        <w:t xml:space="preserve"> approach to psychological helping, called ‘pre-therapy’ which used methods to prepare otherwise unresponsive people for therapy (</w:t>
      </w:r>
      <w:r w:rsidR="00887B6C">
        <w:t xml:space="preserve">Prouty cited in </w:t>
      </w:r>
      <w:r w:rsidR="000056E1">
        <w:t xml:space="preserve">Sanders, 2012, p.202). </w:t>
      </w:r>
    </w:p>
    <w:p w14:paraId="6E3FA65A" w14:textId="77777777" w:rsidR="00A03893" w:rsidRDefault="00A03893" w:rsidP="00A65C0C">
      <w:pPr>
        <w:spacing w:line="480" w:lineRule="auto"/>
        <w:jc w:val="both"/>
      </w:pPr>
    </w:p>
    <w:p w14:paraId="1B0B3512" w14:textId="3FF667B0" w:rsidR="00FA3FD1" w:rsidRDefault="00D60699" w:rsidP="00A65C0C">
      <w:pPr>
        <w:spacing w:line="480" w:lineRule="auto"/>
        <w:jc w:val="both"/>
      </w:pPr>
      <w:r>
        <w:t xml:space="preserve">     </w:t>
      </w:r>
      <w:r w:rsidR="00505DD4">
        <w:t xml:space="preserve">Rogers </w:t>
      </w:r>
      <w:r w:rsidR="00505DD4">
        <w:t xml:space="preserve">(1961) </w:t>
      </w:r>
      <w:r w:rsidR="00505DD4">
        <w:t xml:space="preserve">view of human nature clashed with Freudian concepts of the id-dominated people. </w:t>
      </w:r>
      <w:r w:rsidR="00505DD4">
        <w:t>He s</w:t>
      </w:r>
      <w:r w:rsidR="00417FC4">
        <w:t>aid that the actualising tendency is the most basic motivating force within people</w:t>
      </w:r>
      <w:r w:rsidR="00505DD4">
        <w:t xml:space="preserve">, whereas psychoanalytic approaches mainly view the relationship as a product of transference, keeping the </w:t>
      </w:r>
      <w:r w:rsidR="008B62D2">
        <w:t>counsellor</w:t>
      </w:r>
      <w:r w:rsidR="00505DD4">
        <w:t xml:space="preserve"> in the driving seat</w:t>
      </w:r>
      <w:r w:rsidR="00310515">
        <w:t xml:space="preserve"> (</w:t>
      </w:r>
      <w:r w:rsidR="00887B6C">
        <w:t xml:space="preserve">Rogers cited in </w:t>
      </w:r>
      <w:r w:rsidR="00CF46E2">
        <w:t>Lees-Oakes, 2014).</w:t>
      </w:r>
      <w:r w:rsidR="00A15B00">
        <w:t xml:space="preserve"> </w:t>
      </w:r>
      <w:r w:rsidR="006B70C6">
        <w:t xml:space="preserve">Our understanding of what it means to be human may seem relatively abstract but therapeutic practice will always be based on certain assumptions of what it means to be human, where the </w:t>
      </w:r>
      <w:r w:rsidR="008B62D2">
        <w:t>client-counsellor</w:t>
      </w:r>
      <w:r w:rsidR="006B70C6">
        <w:t xml:space="preserve"> relationship becomes a cauldron</w:t>
      </w:r>
      <w:r w:rsidR="008213A0">
        <w:t xml:space="preserve"> in which integral actualising can take place (Mearns and Cooper, 2005, p.6).</w:t>
      </w:r>
      <w:r>
        <w:t xml:space="preserve"> </w:t>
      </w:r>
    </w:p>
    <w:p w14:paraId="1F2C7D46" w14:textId="77777777" w:rsidR="00C170E0" w:rsidRDefault="00C170E0" w:rsidP="00A65C0C">
      <w:pPr>
        <w:spacing w:line="480" w:lineRule="auto"/>
        <w:jc w:val="both"/>
      </w:pPr>
    </w:p>
    <w:p w14:paraId="39B848BF" w14:textId="6B7827EF" w:rsidR="00A03893" w:rsidRDefault="00B21BBA" w:rsidP="00A65C0C">
      <w:pPr>
        <w:spacing w:line="480" w:lineRule="auto"/>
        <w:jc w:val="both"/>
      </w:pPr>
      <w:r>
        <w:t xml:space="preserve"> </w:t>
      </w:r>
      <w:r w:rsidR="00D60699">
        <w:t xml:space="preserve">     </w:t>
      </w:r>
      <w:r w:rsidR="00BE3B50">
        <w:t xml:space="preserve">Counsellors </w:t>
      </w:r>
      <w:r w:rsidR="00D60699">
        <w:t xml:space="preserve">may </w:t>
      </w:r>
      <w:r w:rsidR="00A03893">
        <w:t xml:space="preserve">do well to </w:t>
      </w:r>
      <w:r w:rsidR="00BE3B50">
        <w:t>ask themselves where they sit on the socio-economic ladder</w:t>
      </w:r>
      <w:r w:rsidR="00DA6BF7">
        <w:t xml:space="preserve"> and how this affects the client relationship. Whether in private practice or the voluntary sector, it is likely that the counsellor will be middle class rather than working class. We will see that counselling thrives in the current socio economic conditions; a competitive, economic environment that does not prioritize welfare and altruism and a counsellor would do well to reflect on their own attitudes and whether they, from their middle-class vantage </w:t>
      </w:r>
      <w:r w:rsidR="00DA6BF7">
        <w:lastRenderedPageBreak/>
        <w:t xml:space="preserve">point, are more likely to feel hopeful and resourceful than those who are sat elsewhere?  (Feltham, 2010, p.118-9). </w:t>
      </w:r>
    </w:p>
    <w:p w14:paraId="76E88127" w14:textId="50AFB96A" w:rsidR="005F3836" w:rsidRDefault="005F3836" w:rsidP="00A65C0C">
      <w:pPr>
        <w:spacing w:line="480" w:lineRule="auto"/>
        <w:jc w:val="both"/>
      </w:pPr>
    </w:p>
    <w:p w14:paraId="4611BB96" w14:textId="697C501B" w:rsidR="00D60699" w:rsidRDefault="00D60699" w:rsidP="00A65C0C">
      <w:pPr>
        <w:spacing w:line="480" w:lineRule="auto"/>
        <w:jc w:val="both"/>
      </w:pPr>
      <w:r>
        <w:t xml:space="preserve">     </w:t>
      </w:r>
      <w:r w:rsidR="005F3836">
        <w:t xml:space="preserve">The person-centred counsellor has faith in the inner wisdom and potential for each client and offers a relationship where that potential can be realised, and wisdom released. </w:t>
      </w:r>
      <w:r>
        <w:t>Our relationship transcends itself and becomes a part of something larger (Rogers, 1980, p.129). In</w:t>
      </w:r>
      <w:r w:rsidR="005F3836">
        <w:t xml:space="preserve"> a world full of helpers</w:t>
      </w:r>
      <w:r>
        <w:t xml:space="preserve"> however</w:t>
      </w:r>
      <w:r w:rsidR="005F3836">
        <w:t>, selflessness can sometimes be a strategy employed to avoid confronting themselves. A person-centred counsellor who is self-rejecting and not able to listen to or care for the self may struggle to offer such a relationship required for therapeutic processing. A counsellor can only offer empathic understanding to a client if they can also offer themselves the same, unconditional, affirming acceptance (Mearns and Thorne, 2007, p.44-45). In a society that profits from self-loathing and a multi-billion-pound beauty industry that thrives even in economic decline, self-acceptance and self-love is seen as a form of rebellion. Self-acceptance will require spending time with like-minded others, those who are understanding and empathically attuned to the inner world of others, including a supervisor and a personal therapist (Mearns and Thorne, 2007, p.48).</w:t>
      </w:r>
    </w:p>
    <w:p w14:paraId="611A1C4F" w14:textId="77777777" w:rsidR="00D60699" w:rsidRDefault="00D60699" w:rsidP="00A65C0C">
      <w:pPr>
        <w:spacing w:line="480" w:lineRule="auto"/>
        <w:jc w:val="both"/>
      </w:pPr>
    </w:p>
    <w:p w14:paraId="27B02B9D" w14:textId="0D6B729B" w:rsidR="00D60699" w:rsidRDefault="00D60699" w:rsidP="00A65C0C">
      <w:pPr>
        <w:spacing w:line="480" w:lineRule="auto"/>
        <w:jc w:val="both"/>
      </w:pPr>
      <w:r>
        <w:t xml:space="preserve">     As has been discussed, our ability to focus on what is happening in the present moment, can sharpen our clinical skills. When the social and cultural context of the relationship is taken into account, a relationship can be offered that meets the client where they are, as psychological contact is crucial to the formation of any therapeutic relationship. </w:t>
      </w:r>
    </w:p>
    <w:p w14:paraId="367C70AF" w14:textId="77777777" w:rsidR="00A03893" w:rsidRDefault="00A03893" w:rsidP="00A65C0C">
      <w:pPr>
        <w:spacing w:line="480" w:lineRule="auto"/>
        <w:jc w:val="both"/>
      </w:pPr>
    </w:p>
    <w:p w14:paraId="4C1D305F" w14:textId="6DCB9768" w:rsidR="00F03E2F" w:rsidRDefault="00355CD5" w:rsidP="00A65C0C">
      <w:pPr>
        <w:spacing w:line="480" w:lineRule="auto"/>
        <w:jc w:val="both"/>
      </w:pPr>
      <w:r>
        <w:t xml:space="preserve">  </w:t>
      </w:r>
    </w:p>
    <w:p w14:paraId="19BAEEEC" w14:textId="336C802B" w:rsidR="00F03E2F" w:rsidRDefault="00F03E2F" w:rsidP="00A65C0C">
      <w:pPr>
        <w:spacing w:line="480" w:lineRule="auto"/>
        <w:jc w:val="both"/>
      </w:pPr>
    </w:p>
    <w:p w14:paraId="411BE357" w14:textId="66FBAC95" w:rsidR="00984E0E" w:rsidRPr="00984E0E" w:rsidRDefault="00984E0E" w:rsidP="00984E0E">
      <w:pPr>
        <w:pStyle w:val="NormalWeb"/>
        <w:rPr>
          <w:rFonts w:asciiTheme="minorHAnsi" w:hAnsiTheme="minorHAnsi" w:cstheme="minorHAnsi"/>
          <w:color w:val="000000" w:themeColor="text1"/>
          <w:u w:val="single"/>
        </w:rPr>
      </w:pPr>
      <w:r w:rsidRPr="00984E0E">
        <w:rPr>
          <w:rFonts w:asciiTheme="minorHAnsi" w:hAnsiTheme="minorHAnsi" w:cstheme="minorHAnsi"/>
          <w:color w:val="000000" w:themeColor="text1"/>
          <w:u w:val="single"/>
        </w:rPr>
        <w:lastRenderedPageBreak/>
        <w:t>References</w:t>
      </w:r>
    </w:p>
    <w:p w14:paraId="73CA8704" w14:textId="7C36104A" w:rsidR="00984E0E" w:rsidRPr="00773C71" w:rsidRDefault="00984E0E" w:rsidP="00984E0E">
      <w:pPr>
        <w:pStyle w:val="NormalWeb"/>
        <w:rPr>
          <w:rFonts w:asciiTheme="minorHAnsi" w:hAnsiTheme="minorHAnsi" w:cstheme="minorHAnsi"/>
          <w:color w:val="000000" w:themeColor="text1"/>
        </w:rPr>
      </w:pPr>
      <w:proofErr w:type="spellStart"/>
      <w:r w:rsidRPr="00530827">
        <w:rPr>
          <w:rFonts w:asciiTheme="minorHAnsi" w:hAnsiTheme="minorHAnsi" w:cstheme="minorHAnsi"/>
          <w:color w:val="000000" w:themeColor="text1"/>
        </w:rPr>
        <w:t>Bohart</w:t>
      </w:r>
      <w:proofErr w:type="spellEnd"/>
      <w:r>
        <w:rPr>
          <w:rFonts w:asciiTheme="minorHAnsi" w:hAnsiTheme="minorHAnsi" w:cstheme="minorHAnsi"/>
          <w:color w:val="000000" w:themeColor="text1"/>
        </w:rPr>
        <w:t>, A.</w:t>
      </w:r>
      <w:r w:rsidRPr="00530827">
        <w:rPr>
          <w:rFonts w:asciiTheme="minorHAnsi" w:hAnsiTheme="minorHAnsi" w:cstheme="minorHAnsi"/>
          <w:color w:val="000000" w:themeColor="text1"/>
        </w:rPr>
        <w:t xml:space="preserve"> (2012) </w:t>
      </w:r>
      <w:r>
        <w:rPr>
          <w:rFonts w:asciiTheme="minorHAnsi" w:hAnsiTheme="minorHAnsi" w:cstheme="minorHAnsi"/>
          <w:color w:val="000000" w:themeColor="text1"/>
        </w:rPr>
        <w:t>‘</w:t>
      </w:r>
      <w:r w:rsidRPr="00530827">
        <w:rPr>
          <w:rFonts w:asciiTheme="minorHAnsi" w:hAnsiTheme="minorHAnsi" w:cstheme="minorHAnsi"/>
          <w:color w:val="000000" w:themeColor="text1"/>
        </w:rPr>
        <w:t>Can you be integrative and a person-centred therapist at the same time?</w:t>
      </w:r>
      <w:r>
        <w:rPr>
          <w:rFonts w:asciiTheme="minorHAnsi" w:hAnsiTheme="minorHAnsi" w:cstheme="minorHAnsi"/>
          <w:color w:val="000000" w:themeColor="text1"/>
        </w:rPr>
        <w:t>’</w:t>
      </w:r>
      <w:r w:rsidRPr="00530827">
        <w:rPr>
          <w:rFonts w:asciiTheme="minorHAnsi" w:hAnsiTheme="minorHAnsi" w:cstheme="minorHAnsi"/>
          <w:color w:val="000000" w:themeColor="text1"/>
        </w:rPr>
        <w:t xml:space="preserve"> </w:t>
      </w:r>
      <w:r w:rsidRPr="00530827">
        <w:rPr>
          <w:rFonts w:asciiTheme="minorHAnsi" w:hAnsiTheme="minorHAnsi" w:cstheme="minorHAnsi"/>
          <w:i/>
          <w:iCs/>
          <w:color w:val="000000" w:themeColor="text1"/>
        </w:rPr>
        <w:t>Person-Centred &amp; Experiential Psychotherapies</w:t>
      </w:r>
      <w:r w:rsidRPr="00530827">
        <w:rPr>
          <w:rFonts w:asciiTheme="minorHAnsi" w:hAnsiTheme="minorHAnsi" w:cstheme="minorHAnsi"/>
          <w:color w:val="000000" w:themeColor="text1"/>
        </w:rPr>
        <w:t>, 11</w:t>
      </w:r>
      <w:r>
        <w:rPr>
          <w:rFonts w:asciiTheme="minorHAnsi" w:hAnsiTheme="minorHAnsi" w:cstheme="minorHAnsi"/>
          <w:color w:val="000000" w:themeColor="text1"/>
        </w:rPr>
        <w:t>(1)</w:t>
      </w:r>
      <w:r w:rsidRPr="00530827">
        <w:rPr>
          <w:rFonts w:asciiTheme="minorHAnsi" w:hAnsiTheme="minorHAnsi" w:cstheme="minorHAnsi"/>
          <w:color w:val="000000" w:themeColor="text1"/>
        </w:rPr>
        <w:t>,</w:t>
      </w:r>
      <w:r>
        <w:rPr>
          <w:rFonts w:asciiTheme="minorHAnsi" w:hAnsiTheme="minorHAnsi" w:cstheme="minorHAnsi"/>
          <w:color w:val="000000" w:themeColor="text1"/>
        </w:rPr>
        <w:t xml:space="preserve"> pp.</w:t>
      </w:r>
      <w:r w:rsidRPr="00530827">
        <w:rPr>
          <w:rFonts w:asciiTheme="minorHAnsi" w:hAnsiTheme="minorHAnsi" w:cstheme="minorHAnsi"/>
          <w:color w:val="000000" w:themeColor="text1"/>
        </w:rPr>
        <w:t xml:space="preserve"> 1-13</w:t>
      </w:r>
      <w:r>
        <w:rPr>
          <w:rFonts w:asciiTheme="minorHAnsi" w:hAnsiTheme="minorHAnsi" w:cstheme="minorHAnsi"/>
          <w:color w:val="000000" w:themeColor="text1"/>
        </w:rPr>
        <w:t>.</w:t>
      </w:r>
      <w:r w:rsidRPr="00530827">
        <w:rPr>
          <w:rFonts w:asciiTheme="minorHAnsi" w:hAnsiTheme="minorHAnsi" w:cstheme="minorHAnsi"/>
          <w:color w:val="000000" w:themeColor="text1"/>
        </w:rPr>
        <w:t xml:space="preserve"> DOI:10.1080/14779757.2011.639461</w:t>
      </w:r>
      <w:r>
        <w:rPr>
          <w:rFonts w:asciiTheme="minorHAnsi" w:hAnsiTheme="minorHAnsi" w:cstheme="minorHAnsi"/>
          <w:color w:val="000000" w:themeColor="text1"/>
        </w:rPr>
        <w:t>.</w:t>
      </w:r>
    </w:p>
    <w:p w14:paraId="3BAA8E2D" w14:textId="77777777" w:rsidR="00984E0E" w:rsidRPr="001A7242" w:rsidRDefault="00984E0E" w:rsidP="00984E0E">
      <w:r>
        <w:t xml:space="preserve">Green, J. (2010) </w:t>
      </w:r>
      <w:r w:rsidRPr="00471FF4">
        <w:rPr>
          <w:i/>
          <w:iCs/>
        </w:rPr>
        <w:t>Creating the therapeutic relationship in counselling and psychotherapy.</w:t>
      </w:r>
      <w:r>
        <w:t xml:space="preserve"> Exeter: Learning Matters.</w:t>
      </w:r>
    </w:p>
    <w:p w14:paraId="191D3994" w14:textId="77777777" w:rsidR="00984E0E" w:rsidRDefault="00984E0E" w:rsidP="00984E0E"/>
    <w:p w14:paraId="78761FF0" w14:textId="2311C818" w:rsidR="00984E0E" w:rsidRDefault="00984E0E" w:rsidP="00984E0E">
      <w:pPr>
        <w:rPr>
          <w:rFonts w:cstheme="minorHAnsi"/>
          <w:color w:val="000000" w:themeColor="text1"/>
        </w:rPr>
      </w:pPr>
      <w:r>
        <w:t xml:space="preserve">Feltham, C. (2010) </w:t>
      </w:r>
      <w:r>
        <w:rPr>
          <w:rFonts w:cstheme="minorHAnsi"/>
          <w:i/>
          <w:iCs/>
          <w:color w:val="000000" w:themeColor="text1"/>
        </w:rPr>
        <w:t xml:space="preserve">Critical thinking in counselling and psychotherapy. </w:t>
      </w:r>
      <w:r>
        <w:rPr>
          <w:rFonts w:cstheme="minorHAnsi"/>
          <w:color w:val="000000" w:themeColor="text1"/>
        </w:rPr>
        <w:t>London: Sage.</w:t>
      </w:r>
    </w:p>
    <w:p w14:paraId="2C3C33F9" w14:textId="0FF0C712" w:rsidR="00984E0E" w:rsidRPr="00984E0E" w:rsidRDefault="00984E0E" w:rsidP="00984E0E">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Feltham, C. et al. (2017) </w:t>
      </w:r>
      <w:r w:rsidRPr="00530827">
        <w:rPr>
          <w:rFonts w:asciiTheme="minorHAnsi" w:hAnsiTheme="minorHAnsi" w:cstheme="minorHAnsi"/>
          <w:i/>
          <w:iCs/>
          <w:color w:val="000000" w:themeColor="text1"/>
        </w:rPr>
        <w:t>Counselling and Psychotherapy</w:t>
      </w:r>
      <w:r>
        <w:rPr>
          <w:rFonts w:asciiTheme="minorHAnsi" w:hAnsiTheme="minorHAnsi" w:cstheme="minorHAnsi"/>
          <w:color w:val="000000" w:themeColor="text1"/>
        </w:rPr>
        <w:t>. 4</w:t>
      </w:r>
      <w:r w:rsidRPr="00530827">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Ed. London: Sage.</w:t>
      </w:r>
    </w:p>
    <w:p w14:paraId="1CA2B139" w14:textId="77777777" w:rsidR="00984E0E" w:rsidRDefault="00984E0E" w:rsidP="00984E0E">
      <w:r>
        <w:t xml:space="preserve">Lees-Oakes, R and Kelly, K. (2014) ‘Counselling theories, strengths and limitations’ </w:t>
      </w:r>
      <w:r w:rsidRPr="00073356">
        <w:rPr>
          <w:i/>
          <w:iCs/>
        </w:rPr>
        <w:t>Counselling tutor podcast</w:t>
      </w:r>
      <w:r>
        <w:rPr>
          <w:i/>
          <w:iCs/>
        </w:rPr>
        <w:t xml:space="preserve">. </w:t>
      </w:r>
      <w:r>
        <w:t xml:space="preserve">Available at: </w:t>
      </w:r>
      <w:r w:rsidRPr="00471FF4">
        <w:t>https://www.youtube.com/watch?v=lwu0mpA2ml0</w:t>
      </w:r>
      <w:r>
        <w:t xml:space="preserve"> (Accessed 3</w:t>
      </w:r>
      <w:r w:rsidRPr="00073356">
        <w:rPr>
          <w:vertAlign w:val="superscript"/>
        </w:rPr>
        <w:t>rd</w:t>
      </w:r>
      <w:r>
        <w:t xml:space="preserve"> March 2020). </w:t>
      </w:r>
    </w:p>
    <w:p w14:paraId="2875A26A" w14:textId="77777777" w:rsidR="00984E0E" w:rsidRDefault="00984E0E" w:rsidP="00984E0E"/>
    <w:p w14:paraId="43E473A8" w14:textId="3569F1A4" w:rsidR="00984E0E" w:rsidRDefault="00984E0E" w:rsidP="00984E0E">
      <w:r>
        <w:t xml:space="preserve">Mearns, D and Cooper, M. (2005) </w:t>
      </w:r>
      <w:r w:rsidRPr="00DB670E">
        <w:rPr>
          <w:i/>
          <w:iCs/>
        </w:rPr>
        <w:t>Working at relational depth in counselling and psychotherapy</w:t>
      </w:r>
      <w:r>
        <w:t xml:space="preserve">. London: Sage. </w:t>
      </w:r>
    </w:p>
    <w:p w14:paraId="3C67F3AD" w14:textId="7AFBF82E" w:rsidR="00984E0E" w:rsidRDefault="00984E0E" w:rsidP="00984E0E"/>
    <w:p w14:paraId="2F6CEFBA" w14:textId="01358585" w:rsidR="00984E0E" w:rsidRPr="00073356" w:rsidRDefault="00984E0E" w:rsidP="00984E0E">
      <w:r>
        <w:t xml:space="preserve">Mearns, D and Thorne, B. (2007) </w:t>
      </w:r>
      <w:r w:rsidRPr="00530827">
        <w:rPr>
          <w:i/>
          <w:iCs/>
        </w:rPr>
        <w:t>Person-centred counselling in action</w:t>
      </w:r>
      <w:r>
        <w:t>. 3</w:t>
      </w:r>
      <w:r w:rsidRPr="00530827">
        <w:rPr>
          <w:vertAlign w:val="superscript"/>
        </w:rPr>
        <w:t>rd</w:t>
      </w:r>
      <w:r>
        <w:t xml:space="preserve"> Ed. </w:t>
      </w:r>
      <w:r>
        <w:rPr>
          <w:rFonts w:cstheme="minorHAnsi"/>
          <w:color w:val="000000" w:themeColor="text1"/>
        </w:rPr>
        <w:t>London: Sage.</w:t>
      </w:r>
    </w:p>
    <w:p w14:paraId="2E35C1E2" w14:textId="77777777" w:rsidR="00984E0E" w:rsidRDefault="00984E0E" w:rsidP="00984E0E"/>
    <w:p w14:paraId="5F5BCA60" w14:textId="77777777" w:rsidR="00984E0E" w:rsidRPr="00471FF4" w:rsidRDefault="00984E0E" w:rsidP="00984E0E">
      <w:proofErr w:type="spellStart"/>
      <w:r>
        <w:t>Markin</w:t>
      </w:r>
      <w:proofErr w:type="spellEnd"/>
      <w:r>
        <w:t xml:space="preserve">, R. (2014) ‘Toward a common identity for relationally oriented clinicians: a place to hang one’s hat’ </w:t>
      </w:r>
      <w:proofErr w:type="spellStart"/>
      <w:r>
        <w:rPr>
          <w:i/>
          <w:iCs/>
        </w:rPr>
        <w:t>Psychotherpay</w:t>
      </w:r>
      <w:proofErr w:type="spellEnd"/>
      <w:r>
        <w:rPr>
          <w:i/>
          <w:iCs/>
        </w:rPr>
        <w:t xml:space="preserve"> </w:t>
      </w:r>
      <w:r>
        <w:t xml:space="preserve">51 (3), pp. 327-333. </w:t>
      </w:r>
    </w:p>
    <w:p w14:paraId="5F6FA575" w14:textId="77777777" w:rsidR="00984E0E" w:rsidRDefault="00984E0E" w:rsidP="00984E0E"/>
    <w:p w14:paraId="592B5883" w14:textId="77777777" w:rsidR="00984E0E" w:rsidRDefault="00984E0E" w:rsidP="00984E0E">
      <w:r>
        <w:t xml:space="preserve">Rogers, C. (2011 [1961]) </w:t>
      </w:r>
      <w:r w:rsidRPr="00471FF4">
        <w:rPr>
          <w:i/>
          <w:iCs/>
        </w:rPr>
        <w:t>On becoming a person: A therapists view of psychotherapy</w:t>
      </w:r>
      <w:r>
        <w:t xml:space="preserve">. Kindle edition. London: Constable &amp; Robinson. </w:t>
      </w:r>
    </w:p>
    <w:p w14:paraId="6EEF7FB7" w14:textId="77777777" w:rsidR="00984E0E" w:rsidRDefault="00984E0E" w:rsidP="00984E0E"/>
    <w:p w14:paraId="223C3A76" w14:textId="37388FC8" w:rsidR="00984E0E" w:rsidRPr="006F32F6" w:rsidRDefault="00984E0E" w:rsidP="00984E0E">
      <w:pPr>
        <w:rPr>
          <w:rFonts w:cstheme="minorHAnsi"/>
          <w:i/>
          <w:iCs/>
          <w:color w:val="000000" w:themeColor="text1"/>
        </w:rPr>
      </w:pPr>
      <w:r>
        <w:rPr>
          <w:rFonts w:cstheme="minorHAnsi"/>
          <w:color w:val="000000" w:themeColor="text1"/>
        </w:rPr>
        <w:t xml:space="preserve">Rogers, C. (1980) </w:t>
      </w:r>
      <w:r>
        <w:rPr>
          <w:rFonts w:cstheme="minorHAnsi"/>
          <w:i/>
          <w:iCs/>
          <w:color w:val="000000" w:themeColor="text1"/>
        </w:rPr>
        <w:t xml:space="preserve">Away of being. </w:t>
      </w:r>
      <w:r w:rsidRPr="00471FF4">
        <w:rPr>
          <w:rFonts w:cstheme="minorHAnsi"/>
          <w:color w:val="000000" w:themeColor="text1"/>
        </w:rPr>
        <w:t>Boston: Houghton Mifflin Company</w:t>
      </w:r>
      <w:r>
        <w:rPr>
          <w:rFonts w:cstheme="minorHAnsi"/>
          <w:i/>
          <w:iCs/>
          <w:color w:val="000000" w:themeColor="text1"/>
        </w:rPr>
        <w:t>.</w:t>
      </w:r>
    </w:p>
    <w:p w14:paraId="7B9B8DD1" w14:textId="77777777" w:rsidR="00984E0E" w:rsidRDefault="00984E0E" w:rsidP="00984E0E"/>
    <w:p w14:paraId="199C79AC" w14:textId="77777777" w:rsidR="00984E0E" w:rsidRDefault="00984E0E" w:rsidP="00984E0E">
      <w:r>
        <w:t xml:space="preserve">Sanders, P. (2012) </w:t>
      </w:r>
      <w:r w:rsidRPr="00471FF4">
        <w:rPr>
          <w:i/>
          <w:iCs/>
        </w:rPr>
        <w:t>The tribes of the person-centred nation</w:t>
      </w:r>
      <w:r>
        <w:t>. 2</w:t>
      </w:r>
      <w:r w:rsidRPr="00471FF4">
        <w:rPr>
          <w:vertAlign w:val="superscript"/>
        </w:rPr>
        <w:t>nd</w:t>
      </w:r>
      <w:r>
        <w:t xml:space="preserve"> Ed. Ross-on-Wye: PCCS Books.</w:t>
      </w:r>
    </w:p>
    <w:p w14:paraId="56D9CDBE" w14:textId="77777777" w:rsidR="00AB1C9A" w:rsidRDefault="00AB1C9A"/>
    <w:p w14:paraId="0D3E9D5F" w14:textId="77777777" w:rsidR="00AB1C9A" w:rsidRDefault="00AB1C9A">
      <w:r>
        <w:br w:type="page"/>
      </w:r>
    </w:p>
    <w:p w14:paraId="2CA37862" w14:textId="04F3B45B" w:rsidR="00AB1C9A" w:rsidRPr="0013789F" w:rsidRDefault="0013789F" w:rsidP="0013789F">
      <w:pPr>
        <w:pStyle w:val="NormalWeb"/>
        <w:jc w:val="center"/>
        <w:rPr>
          <w:rFonts w:asciiTheme="minorHAnsi" w:hAnsiTheme="minorHAnsi" w:cstheme="minorHAnsi"/>
          <w:u w:val="single"/>
        </w:rPr>
      </w:pPr>
      <w:r w:rsidRPr="0013789F">
        <w:rPr>
          <w:rFonts w:asciiTheme="minorHAnsi" w:hAnsiTheme="minorHAnsi" w:cstheme="minorHAnsi"/>
          <w:u w:val="single"/>
        </w:rPr>
        <w:lastRenderedPageBreak/>
        <w:t>Assessment and case formulation</w:t>
      </w:r>
    </w:p>
    <w:p w14:paraId="164E00A0" w14:textId="77777777" w:rsidR="00AB1C9A" w:rsidRPr="00234BB4" w:rsidRDefault="00AB1C9A" w:rsidP="00AB1C9A">
      <w:pPr>
        <w:jc w:val="center"/>
        <w:rPr>
          <w:rFonts w:cstheme="minorHAnsi"/>
          <w:b/>
          <w:color w:val="000000" w:themeColor="text1"/>
          <w:sz w:val="32"/>
          <w:szCs w:val="32"/>
        </w:rPr>
      </w:pPr>
    </w:p>
    <w:p w14:paraId="26AFEDA2" w14:textId="30DC5A5E" w:rsidR="00D60699" w:rsidRDefault="00D60699" w:rsidP="0013789F"/>
    <w:p w14:paraId="5DAF57A3" w14:textId="23DCAB13" w:rsidR="009C7B28" w:rsidRDefault="00AB1C9A" w:rsidP="00A65C0C">
      <w:pPr>
        <w:spacing w:line="480" w:lineRule="auto"/>
        <w:jc w:val="both"/>
      </w:pPr>
      <w:r>
        <w:t xml:space="preserve">     </w:t>
      </w:r>
      <w:r w:rsidR="00A7184D">
        <w:t xml:space="preserve">The place of assessment and case formulation within person-centred therapy will be discussed, </w:t>
      </w:r>
      <w:r w:rsidR="0075690F">
        <w:t>relating this to a placement at Swansea Mind. T</w:t>
      </w:r>
      <w:r w:rsidR="00A7184D">
        <w:t>he way in which assessments and case formulation are carried out</w:t>
      </w:r>
      <w:r w:rsidR="0075690F">
        <w:t xml:space="preserve"> will also be considered,</w:t>
      </w:r>
      <w:r w:rsidR="00A7184D">
        <w:t xml:space="preserve"> so as to avoid causing undue harm to the clien</w:t>
      </w:r>
      <w:r w:rsidR="0075690F">
        <w:t xml:space="preserve">t. </w:t>
      </w:r>
      <w:r w:rsidR="009C7B28">
        <w:t xml:space="preserve">Very often, counsellors are unhappy about making judgements about their clients and are often concerned about whether they need, or even have a right, to make assessments pre-therapy. On the other hand, some </w:t>
      </w:r>
      <w:r w:rsidR="008B62D2">
        <w:t>counsellors</w:t>
      </w:r>
      <w:r w:rsidR="009C7B28">
        <w:t xml:space="preserve"> believe that assessment is the right thing to do. (Bager-Charleson, 2011, p.vi). </w:t>
      </w:r>
    </w:p>
    <w:p w14:paraId="37EF1A53" w14:textId="02D9E1F6" w:rsidR="004C5539" w:rsidRDefault="004C5539" w:rsidP="00A65C0C">
      <w:pPr>
        <w:spacing w:line="480" w:lineRule="auto"/>
        <w:jc w:val="both"/>
      </w:pPr>
    </w:p>
    <w:p w14:paraId="7BBE57E1" w14:textId="545CFF33" w:rsidR="00C170E0" w:rsidRDefault="00AB1C9A" w:rsidP="00A65C0C">
      <w:pPr>
        <w:spacing w:line="480" w:lineRule="auto"/>
        <w:jc w:val="both"/>
      </w:pPr>
      <w:r>
        <w:t xml:space="preserve">     </w:t>
      </w:r>
      <w:r w:rsidR="00C170E0">
        <w:t>For a therapeutic relationship to be established, Rogers (195</w:t>
      </w:r>
      <w:r w:rsidR="000056E1">
        <w:t>7</w:t>
      </w:r>
      <w:r w:rsidR="00C170E0">
        <w:t>) stressed the importance of being able to make psychological contact</w:t>
      </w:r>
      <w:r w:rsidR="008B62D2">
        <w:t xml:space="preserve">, also known as a therapeutic alliance. </w:t>
      </w:r>
      <w:r w:rsidR="00612560">
        <w:t>This measure would need to be carried out at the beginning</w:t>
      </w:r>
      <w:r w:rsidR="0075690F">
        <w:t xml:space="preserve"> of therapy</w:t>
      </w:r>
      <w:r w:rsidR="00612560">
        <w:t>, when the client is assessed for suitability for therapy</w:t>
      </w:r>
      <w:r w:rsidR="008B62D2">
        <w:t xml:space="preserve">, when the newness and intensity of the first meeting highlight ways of relating with others. </w:t>
      </w:r>
      <w:r w:rsidR="00612560">
        <w:t xml:space="preserve">Are the counsellor and the client able to form human to human contact in a room together? </w:t>
      </w:r>
      <w:r w:rsidR="0075690F">
        <w:t>This would be essential for a therapeutic relationship to be established</w:t>
      </w:r>
      <w:r w:rsidR="008B62D2">
        <w:t xml:space="preserve"> (</w:t>
      </w:r>
      <w:r w:rsidR="00577BC4">
        <w:t xml:space="preserve">Rogers cited in </w:t>
      </w:r>
      <w:r w:rsidR="008B62D2">
        <w:t>Feltham et al., 201</w:t>
      </w:r>
      <w:r w:rsidR="00577BC4">
        <w:t>7</w:t>
      </w:r>
      <w:r w:rsidR="008B62D2">
        <w:t>, p.75).</w:t>
      </w:r>
      <w:r w:rsidR="00612560">
        <w:t xml:space="preserve"> If a </w:t>
      </w:r>
      <w:r w:rsidR="008B62D2">
        <w:t>counsellor</w:t>
      </w:r>
      <w:r w:rsidR="00612560">
        <w:t xml:space="preserve"> is unable to make contact due to </w:t>
      </w:r>
      <w:r w:rsidR="0075690F">
        <w:t xml:space="preserve">instances such as </w:t>
      </w:r>
      <w:r w:rsidR="00612560">
        <w:t xml:space="preserve">substance misuse, hearing voices or delusionary visions, not being present or </w:t>
      </w:r>
      <w:r w:rsidR="008B62D2">
        <w:t>aware of their</w:t>
      </w:r>
      <w:r w:rsidR="00612560">
        <w:t xml:space="preserve"> reality</w:t>
      </w:r>
      <w:r w:rsidR="0075690F">
        <w:t>,</w:t>
      </w:r>
      <w:r w:rsidR="00612560">
        <w:t xml:space="preserve"> then a referral would </w:t>
      </w:r>
      <w:r w:rsidR="0075690F">
        <w:t>likely</w:t>
      </w:r>
      <w:r w:rsidR="00612560">
        <w:t xml:space="preserve"> be </w:t>
      </w:r>
      <w:r w:rsidR="008B62D2">
        <w:t>considered</w:t>
      </w:r>
      <w:r w:rsidR="00612560">
        <w:t xml:space="preserve"> (Lees-Oakes, 201</w:t>
      </w:r>
      <w:r w:rsidR="00577BC4">
        <w:t>4</w:t>
      </w:r>
      <w:r w:rsidR="00612560">
        <w:t>).</w:t>
      </w:r>
    </w:p>
    <w:p w14:paraId="7733A131" w14:textId="2C9A7194" w:rsidR="009873C0" w:rsidRDefault="009873C0" w:rsidP="00A65C0C">
      <w:pPr>
        <w:spacing w:line="480" w:lineRule="auto"/>
        <w:jc w:val="both"/>
      </w:pPr>
    </w:p>
    <w:p w14:paraId="32ACF225" w14:textId="77777777" w:rsidR="0084286C" w:rsidRDefault="00AB1C9A" w:rsidP="00A65C0C">
      <w:pPr>
        <w:spacing w:line="480" w:lineRule="auto"/>
        <w:jc w:val="both"/>
      </w:pPr>
      <w:r>
        <w:t xml:space="preserve">     </w:t>
      </w:r>
      <w:r w:rsidR="009873C0">
        <w:t xml:space="preserve">Although the idea of assessing someone may not sit comfortably with everyone, all </w:t>
      </w:r>
      <w:r w:rsidR="008B62D2">
        <w:t xml:space="preserve">counsellors </w:t>
      </w:r>
      <w:r w:rsidR="009873C0">
        <w:t xml:space="preserve">have a professional commitment to work within their competence as well as a duty of care and personal safety (BACP, 2018, 2a and 91a). Assessments may suggest an implicit power imbalance, but they also create an essential get-out clause and protect </w:t>
      </w:r>
      <w:r w:rsidR="008B62D2">
        <w:lastRenderedPageBreak/>
        <w:t>counsellors</w:t>
      </w:r>
      <w:r w:rsidR="009873C0">
        <w:t xml:space="preserve"> from taking on clients that they do not have the training for or the personal resilience to work safely with (Brown, 2019). Towards the end of an assessment, a summary of key themes and presenting issues may be offered to the client</w:t>
      </w:r>
      <w:r w:rsidR="00F67B17">
        <w:t xml:space="preserve"> and perhaps an outline of how working together may help them. By presenting this case formulation </w:t>
      </w:r>
      <w:r w:rsidR="008E30BA">
        <w:t>the client and counsellor</w:t>
      </w:r>
      <w:r w:rsidR="00F67B17">
        <w:t xml:space="preserve"> are entering a professional, verbal contract </w:t>
      </w:r>
      <w:r w:rsidR="008E30BA">
        <w:t>outlining</w:t>
      </w:r>
      <w:r w:rsidR="00F67B17">
        <w:t xml:space="preserve"> the focus of counselling and how it will occur (Brown, 2019)</w:t>
      </w:r>
      <w:r w:rsidR="00577BC4">
        <w:t xml:space="preserve">. </w:t>
      </w:r>
    </w:p>
    <w:p w14:paraId="312CFADB" w14:textId="77777777" w:rsidR="0084286C" w:rsidRDefault="0084286C" w:rsidP="00A65C0C">
      <w:pPr>
        <w:spacing w:line="480" w:lineRule="auto"/>
        <w:jc w:val="both"/>
      </w:pPr>
    </w:p>
    <w:p w14:paraId="1B451650" w14:textId="5D2D2EB6" w:rsidR="008B62D2" w:rsidRDefault="0084286C" w:rsidP="00A65C0C">
      <w:pPr>
        <w:spacing w:line="480" w:lineRule="auto"/>
        <w:jc w:val="both"/>
      </w:pPr>
      <w:r>
        <w:t xml:space="preserve">     </w:t>
      </w:r>
      <w:r w:rsidR="008B62D2">
        <w:t xml:space="preserve">It may be useful to consider whether assessments are subject to the </w:t>
      </w:r>
      <w:r w:rsidR="008B62D2">
        <w:t>counsellor’s</w:t>
      </w:r>
      <w:r w:rsidR="008B62D2">
        <w:t xml:space="preserve"> values, belief and circumstances and perhaps these need to be understood in the context of power, language and cultural differences (Bager-Charleson</w:t>
      </w:r>
      <w:r w:rsidR="00577BC4">
        <w:t xml:space="preserve"> and Van Rijn</w:t>
      </w:r>
      <w:r w:rsidR="008B62D2">
        <w:t>, 2011, p.14). An underlying cultural assumption to consider is whether the needs of the client are assessed with either the client or society in mind? Reflective and reflexive practice would ensure that the counsellor keeps watch over themselves and their reactions, including our broad cultural contexts and attachment styles (Bager-Charleson</w:t>
      </w:r>
      <w:r w:rsidR="00577BC4">
        <w:t xml:space="preserve"> and Van Rijn</w:t>
      </w:r>
      <w:r w:rsidR="008B62D2">
        <w:t>, 2011, p.26).</w:t>
      </w:r>
      <w:r>
        <w:t xml:space="preserve"> </w:t>
      </w:r>
      <w:r>
        <w:t>Counsellors are sometimes uncomfortable in acknowledging the power imbalance within the therapeutic relationship, race, age and class, and all of these things need to be thought through and brought into consciousness (Green, 2010, p.31).</w:t>
      </w:r>
    </w:p>
    <w:p w14:paraId="694A7AFD" w14:textId="77777777" w:rsidR="0075690F" w:rsidRDefault="0075690F" w:rsidP="00A65C0C">
      <w:pPr>
        <w:spacing w:line="480" w:lineRule="auto"/>
        <w:jc w:val="both"/>
      </w:pPr>
    </w:p>
    <w:p w14:paraId="5CD1B66F" w14:textId="2D3494DD" w:rsidR="0075690F" w:rsidRDefault="00AB1C9A" w:rsidP="00A65C0C">
      <w:pPr>
        <w:spacing w:line="480" w:lineRule="auto"/>
        <w:jc w:val="both"/>
      </w:pPr>
      <w:r>
        <w:t xml:space="preserve">     </w:t>
      </w:r>
      <w:r w:rsidR="008B62D2">
        <w:t>W</w:t>
      </w:r>
      <w:r w:rsidR="008B62D2">
        <w:t xml:space="preserve">ithin organisational settings the </w:t>
      </w:r>
      <w:r w:rsidR="008B62D2" w:rsidRPr="008B62D2">
        <w:rPr>
          <w:i/>
          <w:iCs/>
        </w:rPr>
        <w:t>assessor</w:t>
      </w:r>
      <w:r w:rsidR="008B62D2">
        <w:t xml:space="preserve"> may not be the counsellor and that decision would be made by a third party. </w:t>
      </w:r>
      <w:r w:rsidR="00B37221">
        <w:t>The general practice at S</w:t>
      </w:r>
      <w:r w:rsidR="008E30BA">
        <w:t>wansea Mind</w:t>
      </w:r>
      <w:r w:rsidR="00B37221">
        <w:t xml:space="preserve"> is that the client assessment is carried out before the client meets the counsellor. The client will complete an assessment form with a nominated assessor who will determine whether they are suitable for therapy with one of their trainee counsellors. These assessments either take place face-to-face or over the telephone. </w:t>
      </w:r>
      <w:r w:rsidR="0017213B">
        <w:t xml:space="preserve">They use a structured and standardised assessment form </w:t>
      </w:r>
      <w:r w:rsidR="0017213B">
        <w:lastRenderedPageBreak/>
        <w:t xml:space="preserve">alongside a standard questionnaire, CORE-10 Outcome measure used for collating information client experiences and difficulties prior to counselling. The CORE-10 can be re-addressed at the end of therapy to ascertain whether counselling has been effective and useful for the client and is also used for research purposes.  </w:t>
      </w:r>
    </w:p>
    <w:p w14:paraId="56F2DD9D" w14:textId="77777777" w:rsidR="00A342C5" w:rsidRDefault="00A342C5" w:rsidP="0075690F">
      <w:pPr>
        <w:spacing w:line="480" w:lineRule="auto"/>
        <w:jc w:val="both"/>
      </w:pPr>
    </w:p>
    <w:p w14:paraId="3DE161D0" w14:textId="6F471A7D" w:rsidR="0075690F" w:rsidRDefault="00AB1C9A" w:rsidP="0075690F">
      <w:pPr>
        <w:spacing w:line="480" w:lineRule="auto"/>
        <w:jc w:val="both"/>
      </w:pPr>
      <w:r>
        <w:t xml:space="preserve">     </w:t>
      </w:r>
      <w:r w:rsidR="005F3836">
        <w:t>A</w:t>
      </w:r>
      <w:r w:rsidR="0084286C">
        <w:t>s has been discussed, a client</w:t>
      </w:r>
      <w:r w:rsidR="005F3836">
        <w:t xml:space="preserve"> </w:t>
      </w:r>
      <w:r w:rsidR="0084286C">
        <w:t>assessment</w:t>
      </w:r>
      <w:r w:rsidR="005F3836">
        <w:t xml:space="preserve"> within the voluntary third sector, such as Swansea Mind, could throw the balance of power out almost immediately. When we consider why someone would wait for an extended period of time on a waiting list for therapy, </w:t>
      </w:r>
      <w:r w:rsidR="0084286C">
        <w:t xml:space="preserve">it may be considered </w:t>
      </w:r>
      <w:r w:rsidR="005F3836">
        <w:t>that the client could not afford to pay for private therapy</w:t>
      </w:r>
      <w:r w:rsidR="0084286C">
        <w:t xml:space="preserve">. </w:t>
      </w:r>
      <w:r w:rsidR="005F3836">
        <w:t>The social class of the client may also be that they could not afford further education</w:t>
      </w:r>
      <w:r w:rsidR="0084286C">
        <w:t xml:space="preserve"> </w:t>
      </w:r>
      <w:r w:rsidR="0084286C">
        <w:t>(Cooper, 2008, p.85)</w:t>
      </w:r>
      <w:r w:rsidR="005F3836">
        <w:t xml:space="preserve">. </w:t>
      </w:r>
      <w:r w:rsidR="00A342C5">
        <w:t xml:space="preserve">Acknowledging diversity and working with it in a way that is respectful and empowering for the client, should help </w:t>
      </w:r>
      <w:r w:rsidR="0084286C">
        <w:t xml:space="preserve">the counsellor </w:t>
      </w:r>
      <w:r w:rsidR="00A342C5">
        <w:t>to find common ground</w:t>
      </w:r>
      <w:r w:rsidR="0084286C">
        <w:t xml:space="preserve"> when developing assessment and case formulation.</w:t>
      </w:r>
    </w:p>
    <w:p w14:paraId="58A236E0" w14:textId="260E7ECE" w:rsidR="00577BC4" w:rsidRDefault="00577BC4" w:rsidP="00A65C0C">
      <w:pPr>
        <w:spacing w:line="480" w:lineRule="auto"/>
        <w:jc w:val="both"/>
      </w:pPr>
    </w:p>
    <w:p w14:paraId="15236FD8" w14:textId="026ECF3E" w:rsidR="00577BC4" w:rsidRDefault="00577BC4">
      <w:r>
        <w:br w:type="page"/>
      </w:r>
    </w:p>
    <w:p w14:paraId="07136AD8" w14:textId="16194D8B" w:rsidR="00577BC4" w:rsidRDefault="00577BC4" w:rsidP="00577BC4">
      <w:pPr>
        <w:rPr>
          <w:rFonts w:eastAsia="Times New Roman" w:cstheme="minorHAnsi"/>
          <w:color w:val="1F1F20"/>
          <w:u w:val="single"/>
          <w:shd w:val="clear" w:color="auto" w:fill="FFFFFF"/>
          <w:lang w:eastAsia="en-GB"/>
        </w:rPr>
      </w:pPr>
      <w:r w:rsidRPr="00577BC4">
        <w:rPr>
          <w:rFonts w:eastAsia="Times New Roman" w:cstheme="minorHAnsi"/>
          <w:color w:val="1F1F20"/>
          <w:u w:val="single"/>
          <w:shd w:val="clear" w:color="auto" w:fill="FFFFFF"/>
          <w:lang w:eastAsia="en-GB"/>
        </w:rPr>
        <w:lastRenderedPageBreak/>
        <w:t xml:space="preserve">References </w:t>
      </w:r>
    </w:p>
    <w:p w14:paraId="423BDBC0" w14:textId="77777777" w:rsidR="00577BC4" w:rsidRPr="00577BC4" w:rsidRDefault="00577BC4" w:rsidP="00577BC4">
      <w:pPr>
        <w:rPr>
          <w:rFonts w:eastAsia="Times New Roman" w:cstheme="minorHAnsi"/>
          <w:color w:val="1F1F20"/>
          <w:u w:val="single"/>
          <w:shd w:val="clear" w:color="auto" w:fill="FFFFFF"/>
          <w:lang w:eastAsia="en-GB"/>
        </w:rPr>
      </w:pPr>
    </w:p>
    <w:p w14:paraId="07BD87C5" w14:textId="3AA92C40" w:rsidR="00577BC4" w:rsidRPr="00592F47" w:rsidRDefault="00577BC4" w:rsidP="00577BC4">
      <w:pPr>
        <w:rPr>
          <w:rFonts w:eastAsia="Times New Roman" w:cstheme="minorHAnsi"/>
          <w:lang w:eastAsia="en-GB"/>
        </w:rPr>
      </w:pPr>
      <w:r w:rsidRPr="00565210">
        <w:rPr>
          <w:rFonts w:eastAsia="Times New Roman" w:cstheme="minorHAnsi"/>
          <w:color w:val="1F1F20"/>
          <w:shd w:val="clear" w:color="auto" w:fill="FFFFFF"/>
          <w:lang w:eastAsia="en-GB"/>
        </w:rPr>
        <w:t>BACP</w:t>
      </w:r>
      <w:r w:rsidRPr="00592F47">
        <w:rPr>
          <w:rFonts w:eastAsia="Times New Roman" w:cstheme="minorHAnsi"/>
          <w:color w:val="1F1F20"/>
          <w:shd w:val="clear" w:color="auto" w:fill="FFFFFF"/>
          <w:lang w:eastAsia="en-GB"/>
        </w:rPr>
        <w:t>, 2018,</w:t>
      </w:r>
      <w:r w:rsidRPr="00565210">
        <w:rPr>
          <w:rFonts w:eastAsia="Times New Roman" w:cstheme="minorHAnsi"/>
          <w:color w:val="1F1F20"/>
          <w:shd w:val="clear" w:color="auto" w:fill="FFFFFF"/>
          <w:lang w:eastAsia="en-GB"/>
        </w:rPr>
        <w:t xml:space="preserve"> Ethical Framework for the counselling professions. Lutterworth: BACP; </w:t>
      </w:r>
    </w:p>
    <w:p w14:paraId="0D0E3882" w14:textId="77777777" w:rsidR="00577BC4" w:rsidRPr="00592F47" w:rsidRDefault="00577BC4" w:rsidP="00577BC4">
      <w:pPr>
        <w:rPr>
          <w:rFonts w:cstheme="minorHAnsi"/>
        </w:rPr>
      </w:pPr>
    </w:p>
    <w:p w14:paraId="759A7F95" w14:textId="77777777" w:rsidR="00577BC4" w:rsidRPr="00592F47" w:rsidRDefault="00577BC4" w:rsidP="00577BC4">
      <w:pPr>
        <w:rPr>
          <w:rFonts w:cstheme="minorHAnsi"/>
        </w:rPr>
      </w:pPr>
      <w:r w:rsidRPr="00592F47">
        <w:rPr>
          <w:rFonts w:cstheme="minorHAnsi"/>
        </w:rPr>
        <w:t>Bager-Charleson, S and Van Rijn, B. (2011)</w:t>
      </w:r>
      <w:r>
        <w:rPr>
          <w:rFonts w:cstheme="minorHAnsi"/>
        </w:rPr>
        <w:t xml:space="preserve"> Understanding assessment in counselling and psychotherapy. London: Sage.</w:t>
      </w:r>
    </w:p>
    <w:p w14:paraId="431D6559" w14:textId="77777777" w:rsidR="00577BC4" w:rsidRPr="00592F47" w:rsidRDefault="00577BC4" w:rsidP="00577BC4">
      <w:pPr>
        <w:rPr>
          <w:rFonts w:cstheme="minorHAnsi"/>
        </w:rPr>
      </w:pPr>
    </w:p>
    <w:p w14:paraId="59C5E8AA" w14:textId="77777777" w:rsidR="00577BC4" w:rsidRPr="00592F47" w:rsidRDefault="00577BC4" w:rsidP="00577BC4">
      <w:pPr>
        <w:rPr>
          <w:rFonts w:cstheme="minorHAnsi"/>
        </w:rPr>
      </w:pPr>
      <w:r w:rsidRPr="00592F47">
        <w:rPr>
          <w:rFonts w:cstheme="minorHAnsi"/>
        </w:rPr>
        <w:t>Brown, S (2019) ‘In practice: assessment’, Therapy today, 30 (7), Available at: https://www.bacp.co.uk/bacp-journals/therapy-today/2019/september-2019/articles/in-practice-assessment/ (Accessed 15</w:t>
      </w:r>
      <w:r w:rsidRPr="00592F47">
        <w:rPr>
          <w:rFonts w:cstheme="minorHAnsi"/>
          <w:vertAlign w:val="superscript"/>
        </w:rPr>
        <w:t>th</w:t>
      </w:r>
      <w:r w:rsidRPr="00592F47">
        <w:rPr>
          <w:rFonts w:cstheme="minorHAnsi"/>
        </w:rPr>
        <w:t xml:space="preserve"> March 2020). </w:t>
      </w:r>
    </w:p>
    <w:p w14:paraId="187B99BA" w14:textId="77777777" w:rsidR="00577BC4" w:rsidRPr="00592F47" w:rsidRDefault="00577BC4" w:rsidP="00577BC4">
      <w:pPr>
        <w:rPr>
          <w:rFonts w:cstheme="minorHAnsi"/>
        </w:rPr>
      </w:pPr>
    </w:p>
    <w:p w14:paraId="58C5317C" w14:textId="77777777" w:rsidR="00577BC4" w:rsidRDefault="00577BC4" w:rsidP="00577BC4">
      <w:pPr>
        <w:rPr>
          <w:rFonts w:cstheme="minorHAnsi"/>
          <w:i/>
          <w:iCs/>
        </w:rPr>
      </w:pPr>
      <w:r w:rsidRPr="00592F47">
        <w:rPr>
          <w:rFonts w:cstheme="minorHAnsi"/>
        </w:rPr>
        <w:t xml:space="preserve">Cooper, M. (2008) </w:t>
      </w:r>
      <w:r w:rsidRPr="00592F47">
        <w:rPr>
          <w:rFonts w:cstheme="minorHAnsi"/>
          <w:i/>
          <w:iCs/>
        </w:rPr>
        <w:t xml:space="preserve">Essential research findings in counselling and psychotherapy. </w:t>
      </w:r>
    </w:p>
    <w:p w14:paraId="200855BD" w14:textId="77777777" w:rsidR="00577BC4" w:rsidRPr="00471FF4" w:rsidRDefault="00577BC4" w:rsidP="00577BC4">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Feltham, C. et al. (2017) </w:t>
      </w:r>
      <w:r w:rsidRPr="00530827">
        <w:rPr>
          <w:rFonts w:asciiTheme="minorHAnsi" w:hAnsiTheme="minorHAnsi" w:cstheme="minorHAnsi"/>
          <w:i/>
          <w:iCs/>
          <w:color w:val="000000" w:themeColor="text1"/>
        </w:rPr>
        <w:t>Counselling and Psychotherapy</w:t>
      </w:r>
      <w:r>
        <w:rPr>
          <w:rFonts w:asciiTheme="minorHAnsi" w:hAnsiTheme="minorHAnsi" w:cstheme="minorHAnsi"/>
          <w:color w:val="000000" w:themeColor="text1"/>
        </w:rPr>
        <w:t>. 4</w:t>
      </w:r>
      <w:r w:rsidRPr="00530827">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Ed. London: Sage.</w:t>
      </w:r>
    </w:p>
    <w:p w14:paraId="7ACDF884" w14:textId="77777777" w:rsidR="00577BC4" w:rsidRPr="001A7242" w:rsidRDefault="00577BC4" w:rsidP="00577BC4">
      <w:r>
        <w:t xml:space="preserve">Green, J. (2010) </w:t>
      </w:r>
      <w:r w:rsidRPr="00471FF4">
        <w:rPr>
          <w:i/>
          <w:iCs/>
        </w:rPr>
        <w:t>Creating the therapeutic relationship in counselling and psychotherapy.</w:t>
      </w:r>
      <w:r>
        <w:t xml:space="preserve"> Exeter: Learning Matters.</w:t>
      </w:r>
    </w:p>
    <w:p w14:paraId="4AC3DD62" w14:textId="77777777" w:rsidR="00577BC4" w:rsidRDefault="00577BC4" w:rsidP="00577BC4">
      <w:pPr>
        <w:rPr>
          <w:rFonts w:cstheme="minorHAnsi"/>
        </w:rPr>
      </w:pPr>
    </w:p>
    <w:p w14:paraId="5710D523" w14:textId="77777777" w:rsidR="00577BC4" w:rsidRPr="00471FF4" w:rsidRDefault="00577BC4" w:rsidP="00577BC4">
      <w:r>
        <w:t xml:space="preserve">Lees-Oakes, R and Kelly, K. (2014) ‘Counselling theories, strengths and limitations’ </w:t>
      </w:r>
      <w:r w:rsidRPr="00073356">
        <w:rPr>
          <w:i/>
          <w:iCs/>
        </w:rPr>
        <w:t>Counselling tutor podcast</w:t>
      </w:r>
      <w:r>
        <w:rPr>
          <w:i/>
          <w:iCs/>
        </w:rPr>
        <w:t xml:space="preserve">. </w:t>
      </w:r>
      <w:r>
        <w:t xml:space="preserve">Available at: </w:t>
      </w:r>
      <w:r w:rsidRPr="00471FF4">
        <w:t>https://www.youtube.com/watch?v=lwu0mpA2ml0</w:t>
      </w:r>
      <w:r>
        <w:t xml:space="preserve"> (Accessed 3</w:t>
      </w:r>
      <w:r w:rsidRPr="00073356">
        <w:rPr>
          <w:vertAlign w:val="superscript"/>
        </w:rPr>
        <w:t>rd</w:t>
      </w:r>
      <w:r>
        <w:t xml:space="preserve"> March 2020). </w:t>
      </w:r>
    </w:p>
    <w:p w14:paraId="3BCD8611" w14:textId="77777777" w:rsidR="00577BC4" w:rsidRPr="00592F47" w:rsidRDefault="00577BC4" w:rsidP="00577BC4">
      <w:pPr>
        <w:rPr>
          <w:rFonts w:cstheme="minorHAnsi"/>
        </w:rPr>
      </w:pPr>
    </w:p>
    <w:p w14:paraId="569D18A9" w14:textId="77777777" w:rsidR="00577BC4" w:rsidRPr="00302DA7" w:rsidRDefault="00577BC4" w:rsidP="00577BC4">
      <w:pPr>
        <w:rPr>
          <w:rFonts w:eastAsia="Times New Roman" w:cstheme="minorHAnsi"/>
          <w:lang w:eastAsia="en-GB"/>
        </w:rPr>
      </w:pPr>
      <w:r>
        <w:rPr>
          <w:rFonts w:eastAsia="Times New Roman" w:cstheme="minorHAnsi"/>
          <w:color w:val="1F1F20"/>
          <w:shd w:val="clear" w:color="auto" w:fill="FFFFFF"/>
          <w:lang w:eastAsia="en-GB"/>
        </w:rPr>
        <w:t>Van Rijn, B.</w:t>
      </w:r>
      <w:r w:rsidRPr="00302DA7">
        <w:rPr>
          <w:rFonts w:eastAsia="Times New Roman" w:cstheme="minorHAnsi"/>
          <w:color w:val="1F1F20"/>
          <w:shd w:val="clear" w:color="auto" w:fill="FFFFFF"/>
          <w:lang w:eastAsia="en-GB"/>
        </w:rPr>
        <w:t xml:space="preserve"> (</w:t>
      </w:r>
      <w:r>
        <w:rPr>
          <w:rFonts w:eastAsia="Times New Roman" w:cstheme="minorHAnsi"/>
          <w:color w:val="1F1F20"/>
          <w:shd w:val="clear" w:color="auto" w:fill="FFFFFF"/>
          <w:lang w:eastAsia="en-GB"/>
        </w:rPr>
        <w:t>2017</w:t>
      </w:r>
      <w:r w:rsidRPr="00302DA7">
        <w:rPr>
          <w:rFonts w:eastAsia="Times New Roman" w:cstheme="minorHAnsi"/>
          <w:color w:val="1F1F20"/>
          <w:shd w:val="clear" w:color="auto" w:fill="FFFFFF"/>
          <w:lang w:eastAsia="en-GB"/>
        </w:rPr>
        <w:t>)</w:t>
      </w:r>
      <w:r>
        <w:rPr>
          <w:rFonts w:eastAsia="Times New Roman" w:cstheme="minorHAnsi"/>
          <w:color w:val="1F1F20"/>
          <w:shd w:val="clear" w:color="auto" w:fill="FFFFFF"/>
          <w:lang w:eastAsia="en-GB"/>
        </w:rPr>
        <w:t xml:space="preserve"> ‘</w:t>
      </w:r>
      <w:r w:rsidRPr="00302DA7">
        <w:rPr>
          <w:rFonts w:eastAsia="Times New Roman" w:cstheme="minorHAnsi"/>
          <w:color w:val="1F1F20"/>
          <w:shd w:val="clear" w:color="auto" w:fill="FFFFFF"/>
          <w:lang w:eastAsia="en-GB"/>
        </w:rPr>
        <w:t>Assessment and case formulation</w:t>
      </w:r>
      <w:r>
        <w:rPr>
          <w:rFonts w:eastAsia="Times New Roman" w:cstheme="minorHAnsi"/>
          <w:color w:val="1F1F20"/>
          <w:shd w:val="clear" w:color="auto" w:fill="FFFFFF"/>
          <w:lang w:eastAsia="en-GB"/>
        </w:rPr>
        <w:t xml:space="preserve">’ in Feltham et al. (ed) </w:t>
      </w:r>
      <w:r w:rsidRPr="00471FF4">
        <w:rPr>
          <w:rFonts w:eastAsia="Times New Roman" w:cstheme="minorHAnsi"/>
          <w:i/>
          <w:iCs/>
          <w:color w:val="1F1F20"/>
          <w:shd w:val="clear" w:color="auto" w:fill="FFFFFF"/>
          <w:lang w:eastAsia="en-GB"/>
        </w:rPr>
        <w:t>Counselling and Psychotherapy</w:t>
      </w:r>
      <w:r>
        <w:rPr>
          <w:rFonts w:eastAsia="Times New Roman" w:cstheme="minorHAnsi"/>
          <w:color w:val="1F1F20"/>
          <w:shd w:val="clear" w:color="auto" w:fill="FFFFFF"/>
          <w:lang w:eastAsia="en-GB"/>
        </w:rPr>
        <w:t xml:space="preserve">. </w:t>
      </w:r>
      <w:r w:rsidRPr="00302DA7">
        <w:rPr>
          <w:rFonts w:eastAsia="Times New Roman" w:cstheme="minorHAnsi"/>
          <w:color w:val="1F1F20"/>
          <w:shd w:val="clear" w:color="auto" w:fill="FFFFFF"/>
          <w:lang w:eastAsia="en-GB"/>
        </w:rPr>
        <w:t>London: Sage</w:t>
      </w:r>
      <w:r>
        <w:rPr>
          <w:rFonts w:eastAsia="Times New Roman" w:cstheme="minorHAnsi"/>
          <w:color w:val="1F1F20"/>
          <w:shd w:val="clear" w:color="auto" w:fill="FFFFFF"/>
          <w:lang w:eastAsia="en-GB"/>
        </w:rPr>
        <w:t>.</w:t>
      </w:r>
    </w:p>
    <w:p w14:paraId="4C7E584E" w14:textId="7266D4D4" w:rsidR="00577BC4" w:rsidRDefault="00577BC4" w:rsidP="00A65C0C">
      <w:pPr>
        <w:spacing w:line="480" w:lineRule="auto"/>
        <w:jc w:val="both"/>
      </w:pPr>
    </w:p>
    <w:p w14:paraId="6DFFC1DF" w14:textId="77777777" w:rsidR="00577BC4" w:rsidRDefault="00577BC4">
      <w:r>
        <w:br w:type="page"/>
      </w:r>
    </w:p>
    <w:p w14:paraId="3CD5D55B" w14:textId="497D7D26" w:rsidR="00F67B17" w:rsidRPr="0013789F" w:rsidRDefault="0013789F" w:rsidP="0013789F">
      <w:pPr>
        <w:spacing w:line="480" w:lineRule="auto"/>
        <w:jc w:val="center"/>
        <w:rPr>
          <w:u w:val="single"/>
        </w:rPr>
      </w:pPr>
      <w:r w:rsidRPr="0013789F">
        <w:rPr>
          <w:u w:val="single"/>
        </w:rPr>
        <w:lastRenderedPageBreak/>
        <w:t>Process notes</w:t>
      </w:r>
    </w:p>
    <w:p w14:paraId="52412757" w14:textId="77777777" w:rsidR="00F03E2F" w:rsidRDefault="00F03E2F" w:rsidP="00055F16">
      <w:pPr>
        <w:spacing w:line="480" w:lineRule="auto"/>
        <w:jc w:val="both"/>
      </w:pPr>
    </w:p>
    <w:p w14:paraId="7465385E" w14:textId="365FF372" w:rsidR="008B62D2" w:rsidRDefault="0013789F" w:rsidP="00055F16">
      <w:pPr>
        <w:spacing w:line="480" w:lineRule="auto"/>
        <w:jc w:val="both"/>
      </w:pPr>
      <w:r>
        <w:t xml:space="preserve">     </w:t>
      </w:r>
      <w:r w:rsidR="00CB40EB">
        <w:t xml:space="preserve">The place of maintaining process notes in the person-centred approach will be considered and a sample of this type of note taking will be offered. </w:t>
      </w:r>
      <w:r w:rsidR="008B62D2">
        <w:t xml:space="preserve">Process notes are a summary of a counsellor’s personal feelings in response to a client’s communications with them. These notes may be useful in supervision (Bond, 2015, p.308g). </w:t>
      </w:r>
    </w:p>
    <w:p w14:paraId="1A0B3FEC" w14:textId="77777777" w:rsidR="0013789F" w:rsidRDefault="0013789F" w:rsidP="00055F16">
      <w:pPr>
        <w:spacing w:line="480" w:lineRule="auto"/>
        <w:jc w:val="both"/>
      </w:pPr>
    </w:p>
    <w:p w14:paraId="0F17FF97" w14:textId="124AA21D" w:rsidR="00887B6C" w:rsidRDefault="0013789F" w:rsidP="00055F16">
      <w:pPr>
        <w:spacing w:line="480" w:lineRule="auto"/>
        <w:jc w:val="both"/>
      </w:pPr>
      <w:r>
        <w:t xml:space="preserve">     </w:t>
      </w:r>
      <w:r w:rsidR="00887B6C">
        <w:t xml:space="preserve">There </w:t>
      </w:r>
      <w:r w:rsidR="0035603B">
        <w:t>may</w:t>
      </w:r>
      <w:r w:rsidR="00887B6C">
        <w:t xml:space="preserve"> </w:t>
      </w:r>
      <w:r w:rsidR="0035603B">
        <w:t>be a</w:t>
      </w:r>
      <w:r w:rsidR="00887B6C">
        <w:t xml:space="preserve"> technical issue</w:t>
      </w:r>
      <w:r w:rsidR="00055F16">
        <w:t xml:space="preserve"> to consider</w:t>
      </w:r>
      <w:r w:rsidR="0035603B">
        <w:t xml:space="preserve"> in </w:t>
      </w:r>
      <w:r w:rsidR="00887B6C">
        <w:t xml:space="preserve">that process notes are not exempt from access by the client or the courts of law. </w:t>
      </w:r>
      <w:r w:rsidR="00E008BF">
        <w:t xml:space="preserve">Professional practice in counselling has shifted to the notion of not keeping process notes at all. </w:t>
      </w:r>
      <w:r w:rsidR="00055F16">
        <w:t>Advice from the BACP website offers a</w:t>
      </w:r>
      <w:r w:rsidR="00E008BF">
        <w:t xml:space="preserve"> practical option to only keep short</w:t>
      </w:r>
      <w:r w:rsidR="00055F16">
        <w:t>-t</w:t>
      </w:r>
      <w:r w:rsidR="00E008BF">
        <w:t xml:space="preserve">erm process notes, </w:t>
      </w:r>
      <w:r w:rsidR="00055F16">
        <w:t xml:space="preserve">perhaps on post-it notes, </w:t>
      </w:r>
      <w:r w:rsidR="00E008BF">
        <w:t xml:space="preserve">to be used for </w:t>
      </w:r>
      <w:r w:rsidR="00055F16">
        <w:t xml:space="preserve">reflective and </w:t>
      </w:r>
      <w:r w:rsidR="00E008BF">
        <w:t xml:space="preserve">supervisory purposes and shredded after use (Jenkins, 2017). </w:t>
      </w:r>
    </w:p>
    <w:p w14:paraId="20846A53" w14:textId="12EFA58E" w:rsidR="00E008BF" w:rsidRDefault="00E008BF" w:rsidP="00653C27">
      <w:pPr>
        <w:spacing w:line="480" w:lineRule="auto"/>
        <w:jc w:val="both"/>
      </w:pPr>
    </w:p>
    <w:p w14:paraId="0EAF034B" w14:textId="7541FCF3" w:rsidR="00E008BF" w:rsidRDefault="0013789F" w:rsidP="00653C27">
      <w:pPr>
        <w:spacing w:line="480" w:lineRule="auto"/>
        <w:jc w:val="both"/>
      </w:pPr>
      <w:r>
        <w:t xml:space="preserve">     </w:t>
      </w:r>
      <w:r w:rsidR="00E008BF">
        <w:t xml:space="preserve">Within person-centred counselling, </w:t>
      </w:r>
      <w:r w:rsidR="00653C27">
        <w:t>a reflexive self-awareness reflects on the reactions and thoughts of the counsellor to explore blind spots and looking at our work with cultural and theoretical values and biases in mind (Bager-Charleson, 2012, p.31)</w:t>
      </w:r>
      <w:r w:rsidR="0035603B">
        <w:t>.</w:t>
      </w:r>
      <w:r w:rsidR="00653C27">
        <w:t xml:space="preserve"> </w:t>
      </w:r>
      <w:r w:rsidR="0035603B">
        <w:t xml:space="preserve">Interpersonal </w:t>
      </w:r>
      <w:r w:rsidR="00653C27">
        <w:t>process recall, or IPR, is a method that has clear affinity with the person-centred approach</w:t>
      </w:r>
      <w:r w:rsidR="0035603B">
        <w:t xml:space="preserve">. It </w:t>
      </w:r>
      <w:r w:rsidR="00653C27">
        <w:t>is a method that could be described as directive, although it has also been described as aimed at developing the ‘internal supervisor</w:t>
      </w:r>
      <w:r w:rsidR="0035603B">
        <w:t>’ (</w:t>
      </w:r>
      <w:r w:rsidR="0035603B">
        <w:t>Clarke, 1997, p.95-96)</w:t>
      </w:r>
      <w:r w:rsidR="0035603B">
        <w:t>;</w:t>
      </w:r>
      <w:r w:rsidR="0035603B" w:rsidRPr="0035603B">
        <w:t xml:space="preserve"> </w:t>
      </w:r>
      <w:r w:rsidR="0035603B">
        <w:t>(</w:t>
      </w:r>
      <w:proofErr w:type="spellStart"/>
      <w:r w:rsidR="0035603B">
        <w:t>Kagan</w:t>
      </w:r>
      <w:proofErr w:type="spellEnd"/>
      <w:r w:rsidR="0035603B">
        <w:t>, 1980</w:t>
      </w:r>
      <w:r>
        <w:t>, p.262</w:t>
      </w:r>
      <w:r w:rsidR="0035603B">
        <w:t>)</w:t>
      </w:r>
      <w:r w:rsidR="0035603B">
        <w:t xml:space="preserve">. </w:t>
      </w:r>
      <w:r w:rsidR="00653C27">
        <w:t xml:space="preserve">It is a method that can be taken to supervision but puts the process explicitly in the control of the </w:t>
      </w:r>
      <w:r w:rsidR="0035603B">
        <w:t>counsellor</w:t>
      </w:r>
      <w:r w:rsidR="00653C27">
        <w:t xml:space="preserve"> and the supervisor in an inquirer role </w:t>
      </w:r>
      <w:r w:rsidR="00006DB9">
        <w:t xml:space="preserve">(Cashwell, 1994). IPR pays great attention to the need for the supervisor to be non-judgemental of whatever the counsellor says, with no place for interpretation of transference, which helps to emphasise the counsellor’s lead in the exploratory process and in this sense IPR can be seen as a reflexive method (Clarke, 1997, </w:t>
      </w:r>
      <w:r w:rsidR="00006DB9">
        <w:lastRenderedPageBreak/>
        <w:t xml:space="preserve">p.99). </w:t>
      </w:r>
      <w:r w:rsidR="0035603B">
        <w:t xml:space="preserve">The difference between this method and others is its neglect for the concept of the parallel process, which has been the tradition of more psychodynamic approaches (Cashwell, 1994). </w:t>
      </w:r>
    </w:p>
    <w:p w14:paraId="6AAB09E1" w14:textId="3EA6DB60" w:rsidR="00653C27" w:rsidRDefault="00653C27" w:rsidP="00653C27">
      <w:pPr>
        <w:spacing w:line="480" w:lineRule="auto"/>
        <w:jc w:val="both"/>
      </w:pPr>
    </w:p>
    <w:p w14:paraId="223AB52A" w14:textId="5768B591" w:rsidR="00653C27" w:rsidRDefault="0013789F" w:rsidP="00653C27">
      <w:pPr>
        <w:spacing w:line="480" w:lineRule="auto"/>
        <w:jc w:val="both"/>
      </w:pPr>
      <w:r>
        <w:t xml:space="preserve">     </w:t>
      </w:r>
      <w:r w:rsidR="00653C27">
        <w:t>An example of how I, as a counsellor, use process notes will be given.</w:t>
      </w:r>
      <w:r w:rsidR="00006DB9">
        <w:t xml:space="preserve"> I have</w:t>
      </w:r>
      <w:r w:rsidR="00006DB9">
        <w:t xml:space="preserve"> decided not to </w:t>
      </w:r>
      <w:r w:rsidR="00006DB9">
        <w:t>use an IPR method of internal processing</w:t>
      </w:r>
      <w:r w:rsidR="00006DB9">
        <w:t xml:space="preserve">, simply because I was not reflecting back on a recorded, audio or video, counselling session. Instead I have taken note of Mearns (1997) suggested questions for consideration during person-centred supervision. </w:t>
      </w:r>
      <w:r w:rsidR="00653C27">
        <w:t xml:space="preserve">The notes </w:t>
      </w:r>
      <w:r w:rsidR="00006DB9">
        <w:t>made post-session were</w:t>
      </w:r>
      <w:r w:rsidR="00653C27">
        <w:t xml:space="preserve"> hand-written</w:t>
      </w:r>
      <w:r w:rsidR="00006DB9">
        <w:t xml:space="preserve"> in an informal style</w:t>
      </w:r>
      <w:r w:rsidR="00653C27">
        <w:t xml:space="preserve"> but will be transcribed for the purpose of this assessment</w:t>
      </w:r>
      <w:r w:rsidR="00006DB9">
        <w:t xml:space="preserve"> (Mearns, 1997). </w:t>
      </w:r>
    </w:p>
    <w:p w14:paraId="50F63F19" w14:textId="77777777" w:rsidR="00006DB9" w:rsidRDefault="00006DB9" w:rsidP="00653C27">
      <w:pPr>
        <w:spacing w:line="480" w:lineRule="auto"/>
        <w:jc w:val="both"/>
      </w:pPr>
    </w:p>
    <w:p w14:paraId="1862BC8E" w14:textId="77777777" w:rsidR="0035603B" w:rsidRDefault="0035603B" w:rsidP="00653C27">
      <w:pPr>
        <w:spacing w:line="480" w:lineRule="auto"/>
        <w:jc w:val="both"/>
        <w:rPr>
          <w:i/>
          <w:iCs/>
        </w:rPr>
      </w:pPr>
      <w:r>
        <w:rPr>
          <w:i/>
          <w:iCs/>
        </w:rPr>
        <w:t>[Begin notes]</w:t>
      </w:r>
    </w:p>
    <w:p w14:paraId="29946B14" w14:textId="3B3C6E5D" w:rsidR="00006DB9" w:rsidRDefault="00006DB9" w:rsidP="00653C27">
      <w:pPr>
        <w:spacing w:line="480" w:lineRule="auto"/>
        <w:jc w:val="both"/>
        <w:rPr>
          <w:i/>
          <w:iCs/>
        </w:rPr>
      </w:pPr>
      <w:r>
        <w:rPr>
          <w:i/>
          <w:iCs/>
        </w:rPr>
        <w:t>Session 3 – March 2020</w:t>
      </w:r>
    </w:p>
    <w:p w14:paraId="3F35C0A3" w14:textId="77777777" w:rsidR="0035603B" w:rsidRDefault="00006DB9" w:rsidP="00653C27">
      <w:pPr>
        <w:spacing w:line="480" w:lineRule="auto"/>
        <w:jc w:val="both"/>
        <w:rPr>
          <w:i/>
          <w:iCs/>
        </w:rPr>
      </w:pPr>
      <w:r>
        <w:rPr>
          <w:i/>
          <w:iCs/>
        </w:rPr>
        <w:t>In relation to this client I find myself taking a protective role. The client taps into a nurturing side of me.</w:t>
      </w:r>
      <w:r w:rsidR="0035603B">
        <w:rPr>
          <w:i/>
          <w:iCs/>
        </w:rPr>
        <w:t xml:space="preserve"> The client is able to connect therapeutically but I am aware that we move into a parent-child dynamic quite rapidly. Often the client’s responses are child-like and I do my best to give accurate reflection rather than step into the adult role. </w:t>
      </w:r>
    </w:p>
    <w:p w14:paraId="0614E168" w14:textId="163D0D59" w:rsidR="00006DB9" w:rsidRDefault="0035603B" w:rsidP="00653C27">
      <w:pPr>
        <w:spacing w:line="480" w:lineRule="auto"/>
        <w:jc w:val="both"/>
        <w:rPr>
          <w:i/>
          <w:iCs/>
        </w:rPr>
      </w:pPr>
      <w:r>
        <w:rPr>
          <w:i/>
          <w:iCs/>
        </w:rPr>
        <w:t xml:space="preserve">The client’s capacity for counselling and psychological contact is still a question that hovers over me, although I have felt therapeutic shifts occur in the counselling room. Their locus of evaluation is predominantly external, and I sense the client wanting to impress me and making statements that would be pleasing to me. </w:t>
      </w:r>
    </w:p>
    <w:p w14:paraId="67C25989" w14:textId="2C72CDFE" w:rsidR="0035603B" w:rsidRDefault="0035603B" w:rsidP="00653C27">
      <w:pPr>
        <w:spacing w:line="480" w:lineRule="auto"/>
        <w:jc w:val="both"/>
        <w:rPr>
          <w:i/>
          <w:iCs/>
        </w:rPr>
      </w:pPr>
      <w:r>
        <w:rPr>
          <w:i/>
          <w:iCs/>
        </w:rPr>
        <w:t xml:space="preserve">Because of my judgement of the client’s locus of evaluation, I am more sensitive in my challenges than I might be with someone who has a more internal sense of self. </w:t>
      </w:r>
    </w:p>
    <w:p w14:paraId="3592D544" w14:textId="729AF037" w:rsidR="0035603B" w:rsidRDefault="0035603B" w:rsidP="00653C27">
      <w:pPr>
        <w:spacing w:line="480" w:lineRule="auto"/>
        <w:jc w:val="both"/>
        <w:rPr>
          <w:i/>
          <w:iCs/>
        </w:rPr>
      </w:pPr>
      <w:r>
        <w:rPr>
          <w:i/>
          <w:iCs/>
        </w:rPr>
        <w:lastRenderedPageBreak/>
        <w:t xml:space="preserve">I have accurate empathy with the client, I am able to understand their internal processes. I have warmth for the client and empathically hold the pain with the client, whilst not wanting to take the pain off them or attempt to make it better. </w:t>
      </w:r>
    </w:p>
    <w:p w14:paraId="34AC9AE0" w14:textId="1DFD7BD5" w:rsidR="0035603B" w:rsidRDefault="0035603B" w:rsidP="00653C27">
      <w:pPr>
        <w:spacing w:line="480" w:lineRule="auto"/>
        <w:jc w:val="both"/>
        <w:rPr>
          <w:i/>
          <w:iCs/>
        </w:rPr>
      </w:pPr>
      <w:r>
        <w:rPr>
          <w:i/>
          <w:iCs/>
        </w:rPr>
        <w:t xml:space="preserve">I question my competence to work with this client; someone presenting with Asperger’s. If I am to leave the label at the door, so to speak, then I find I can separate the diagnosis from the client. </w:t>
      </w:r>
    </w:p>
    <w:p w14:paraId="05EE58B6" w14:textId="0C2BF4A0" w:rsidR="00006DB9" w:rsidRDefault="0035603B" w:rsidP="00653C27">
      <w:pPr>
        <w:spacing w:line="480" w:lineRule="auto"/>
        <w:jc w:val="both"/>
        <w:rPr>
          <w:i/>
          <w:iCs/>
        </w:rPr>
      </w:pPr>
      <w:r>
        <w:rPr>
          <w:i/>
          <w:iCs/>
        </w:rPr>
        <w:t xml:space="preserve">I find at the end of the sessions, that I need to be firm in my boundary setting. The client does not want the session to end and will often offer weighty statements to throw me off time. I have learned to intercept by winding down the session a few minutes earlier than I would normally and offering a grounding exercise to finish. This helps me to remain strong and keep to time. </w:t>
      </w:r>
    </w:p>
    <w:p w14:paraId="0D545593" w14:textId="51EF2BFB" w:rsidR="0035603B" w:rsidRDefault="0035603B" w:rsidP="00653C27">
      <w:pPr>
        <w:spacing w:line="480" w:lineRule="auto"/>
        <w:jc w:val="both"/>
        <w:rPr>
          <w:i/>
          <w:iCs/>
        </w:rPr>
      </w:pPr>
      <w:r>
        <w:rPr>
          <w:i/>
          <w:iCs/>
        </w:rPr>
        <w:t>[End notes].</w:t>
      </w:r>
    </w:p>
    <w:p w14:paraId="5F772169" w14:textId="77777777" w:rsidR="0035603B" w:rsidRDefault="0035603B" w:rsidP="00653C27">
      <w:pPr>
        <w:spacing w:line="480" w:lineRule="auto"/>
        <w:jc w:val="both"/>
        <w:rPr>
          <w:i/>
          <w:iCs/>
        </w:rPr>
      </w:pPr>
    </w:p>
    <w:p w14:paraId="1A0D2E96" w14:textId="5390605A" w:rsidR="00653C27" w:rsidRDefault="0013789F" w:rsidP="00653C27">
      <w:pPr>
        <w:spacing w:line="480" w:lineRule="auto"/>
        <w:jc w:val="both"/>
      </w:pPr>
      <w:r>
        <w:t xml:space="preserve">     </w:t>
      </w:r>
      <w:r w:rsidR="0035603B">
        <w:t xml:space="preserve">As has been discussed, process notes can be taken to supervision and used to remember the fleeting feelings and rejected tactics that raced through our minds. It has been important to note that our habitual tactics and defences and likely to keep some information and interactions out of the focus of awareness when we attempt to recount a session; and therefore process notes may help to avoid defensive diversions and invite us to develop our interpersonal skills. </w:t>
      </w:r>
    </w:p>
    <w:p w14:paraId="34B96771" w14:textId="64CD3BA1" w:rsidR="00653C27" w:rsidRDefault="00653C27" w:rsidP="00653C27">
      <w:pPr>
        <w:spacing w:line="480" w:lineRule="auto"/>
        <w:jc w:val="both"/>
      </w:pPr>
    </w:p>
    <w:p w14:paraId="30756EA6" w14:textId="2422A402" w:rsidR="0013789F" w:rsidRDefault="0013789F" w:rsidP="00653C27">
      <w:pPr>
        <w:spacing w:line="480" w:lineRule="auto"/>
        <w:jc w:val="both"/>
      </w:pPr>
    </w:p>
    <w:p w14:paraId="5FFAA210" w14:textId="2D2828A3" w:rsidR="0013789F" w:rsidRDefault="0013789F" w:rsidP="00653C27">
      <w:pPr>
        <w:spacing w:line="480" w:lineRule="auto"/>
        <w:jc w:val="both"/>
      </w:pPr>
    </w:p>
    <w:p w14:paraId="78ABD379" w14:textId="72DCB620" w:rsidR="0013789F" w:rsidRDefault="0013789F" w:rsidP="00653C27">
      <w:pPr>
        <w:spacing w:line="480" w:lineRule="auto"/>
        <w:jc w:val="both"/>
      </w:pPr>
    </w:p>
    <w:p w14:paraId="1843DC7E" w14:textId="7E6E92C7" w:rsidR="0013789F" w:rsidRDefault="0013789F" w:rsidP="00653C27">
      <w:pPr>
        <w:spacing w:line="480" w:lineRule="auto"/>
        <w:jc w:val="both"/>
      </w:pPr>
    </w:p>
    <w:p w14:paraId="7301E7A8" w14:textId="60150A79" w:rsidR="0013789F" w:rsidRDefault="0013789F" w:rsidP="00653C27">
      <w:pPr>
        <w:spacing w:line="480" w:lineRule="auto"/>
        <w:jc w:val="both"/>
        <w:rPr>
          <w:u w:val="single"/>
        </w:rPr>
      </w:pPr>
      <w:r w:rsidRPr="0013789F">
        <w:rPr>
          <w:u w:val="single"/>
        </w:rPr>
        <w:lastRenderedPageBreak/>
        <w:t>References</w:t>
      </w:r>
    </w:p>
    <w:p w14:paraId="60B88368" w14:textId="2C2AE8EA" w:rsidR="0013789F" w:rsidRDefault="0013789F" w:rsidP="0013789F">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Bager-Charleson, S. (2012) </w:t>
      </w:r>
      <w:r w:rsidRPr="0013789F">
        <w:rPr>
          <w:rFonts w:asciiTheme="minorHAnsi" w:hAnsiTheme="minorHAnsi" w:cstheme="minorHAnsi"/>
          <w:i/>
          <w:iCs/>
          <w:color w:val="000000" w:themeColor="text1"/>
        </w:rPr>
        <w:t>Personal development in counselling and psychotherapy</w:t>
      </w:r>
      <w:r>
        <w:rPr>
          <w:rFonts w:asciiTheme="minorHAnsi" w:hAnsiTheme="minorHAnsi" w:cstheme="minorHAnsi"/>
          <w:color w:val="000000" w:themeColor="text1"/>
        </w:rPr>
        <w:t>. London: Sage.</w:t>
      </w:r>
    </w:p>
    <w:p w14:paraId="009AA9FF" w14:textId="5E899F7E" w:rsidR="0013789F" w:rsidRDefault="0013789F" w:rsidP="0013789F">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Bond, T. (2015) </w:t>
      </w:r>
      <w:r w:rsidRPr="00530827">
        <w:rPr>
          <w:rFonts w:asciiTheme="minorHAnsi" w:hAnsiTheme="minorHAnsi" w:cstheme="minorHAnsi"/>
          <w:i/>
          <w:iCs/>
          <w:color w:val="000000" w:themeColor="text1"/>
        </w:rPr>
        <w:t>Standard and ethics for counselling in action</w:t>
      </w:r>
      <w:r>
        <w:rPr>
          <w:rFonts w:asciiTheme="minorHAnsi" w:hAnsiTheme="minorHAnsi" w:cstheme="minorHAnsi"/>
          <w:color w:val="000000" w:themeColor="text1"/>
        </w:rPr>
        <w:t>. 4</w:t>
      </w:r>
      <w:r w:rsidRPr="00530827">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Ed. London: Sage.</w:t>
      </w:r>
    </w:p>
    <w:p w14:paraId="487852A2" w14:textId="07171A42" w:rsidR="0013789F" w:rsidRDefault="0013789F" w:rsidP="0013789F">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Cashwell, C. (1994) ‘Interpersonal process recall’, </w:t>
      </w:r>
      <w:r w:rsidRPr="0013789F">
        <w:rPr>
          <w:rFonts w:asciiTheme="minorHAnsi" w:hAnsiTheme="minorHAnsi" w:cstheme="minorHAnsi"/>
          <w:i/>
          <w:iCs/>
          <w:color w:val="000000" w:themeColor="text1"/>
        </w:rPr>
        <w:t>IRIC Digest</w:t>
      </w:r>
      <w:r>
        <w:rPr>
          <w:rFonts w:asciiTheme="minorHAnsi" w:hAnsiTheme="minorHAnsi" w:cstheme="minorHAnsi"/>
          <w:color w:val="000000" w:themeColor="text1"/>
        </w:rPr>
        <w:t xml:space="preserve"> (10). Handout. </w:t>
      </w:r>
    </w:p>
    <w:p w14:paraId="4B06F721" w14:textId="4E9BCCBF" w:rsidR="0013789F" w:rsidRDefault="0013789F" w:rsidP="0013789F">
      <w:r>
        <w:rPr>
          <w:rFonts w:cstheme="minorHAnsi"/>
          <w:color w:val="000000" w:themeColor="text1"/>
        </w:rPr>
        <w:t>Clarke, P. (1997) ‘Interpersonal process recall in supervision’, in Shipton, G.</w:t>
      </w:r>
      <w:r>
        <w:rPr>
          <w:rFonts w:cstheme="minorHAnsi"/>
          <w:color w:val="000000" w:themeColor="text1"/>
        </w:rPr>
        <w:t xml:space="preserve"> </w:t>
      </w:r>
      <w:r>
        <w:rPr>
          <w:rFonts w:cstheme="minorHAnsi"/>
          <w:color w:val="000000" w:themeColor="text1"/>
        </w:rPr>
        <w:t xml:space="preserve">(ed) </w:t>
      </w:r>
      <w:r w:rsidRPr="00471FF4">
        <w:rPr>
          <w:i/>
          <w:iCs/>
        </w:rPr>
        <w:t xml:space="preserve">Supervision of psychotherapy and counselling, making a place to think. </w:t>
      </w:r>
      <w:r>
        <w:t>Buckingham: Open university press.</w:t>
      </w:r>
    </w:p>
    <w:p w14:paraId="65438FF7" w14:textId="77777777" w:rsidR="0013789F" w:rsidRPr="00F81A9E" w:rsidRDefault="0013789F" w:rsidP="0013789F">
      <w:pPr>
        <w:rPr>
          <w:i/>
          <w:iCs/>
        </w:rPr>
      </w:pPr>
    </w:p>
    <w:p w14:paraId="6BF6F4E8" w14:textId="053612EE" w:rsidR="0013789F" w:rsidRDefault="0013789F" w:rsidP="0013789F">
      <w:r>
        <w:t xml:space="preserve">Jenkins, P. (2017) ‘Record keeping and the law’, </w:t>
      </w:r>
      <w:r>
        <w:rPr>
          <w:i/>
          <w:iCs/>
        </w:rPr>
        <w:t xml:space="preserve">Private practice. </w:t>
      </w:r>
      <w:r>
        <w:t xml:space="preserve">Available at: </w:t>
      </w:r>
      <w:r w:rsidRPr="00592F47">
        <w:t>https://www.bacp.co.uk/bacp-journals/private-practice/summer-</w:t>
      </w:r>
      <w:r w:rsidRPr="00592F47">
        <w:t>2</w:t>
      </w:r>
      <w:r w:rsidRPr="00592F47">
        <w:t>017/record-keeping-and-the-law/</w:t>
      </w:r>
      <w:r>
        <w:t xml:space="preserve"> (Accessed on: 12</w:t>
      </w:r>
      <w:r>
        <w:rPr>
          <w:vertAlign w:val="superscript"/>
        </w:rPr>
        <w:t xml:space="preserve">th </w:t>
      </w:r>
      <w:r w:rsidRPr="00592F47">
        <w:t>March 202</w:t>
      </w:r>
      <w:r>
        <w:t>0).</w:t>
      </w:r>
    </w:p>
    <w:p w14:paraId="0680F79A" w14:textId="1CA778D5" w:rsidR="0013789F" w:rsidRDefault="0013789F" w:rsidP="0013789F"/>
    <w:p w14:paraId="5FD34B75" w14:textId="5CE24384" w:rsidR="0013789F" w:rsidRPr="0013789F" w:rsidRDefault="0013789F" w:rsidP="0013789F">
      <w:proofErr w:type="spellStart"/>
      <w:r>
        <w:t>Kagan</w:t>
      </w:r>
      <w:proofErr w:type="spellEnd"/>
      <w:r>
        <w:t xml:space="preserve">, N. (1980) ‘Influencing human interaction – eighteen years with IPR, in Hess, A. (ed) </w:t>
      </w:r>
      <w:r>
        <w:rPr>
          <w:i/>
          <w:iCs/>
        </w:rPr>
        <w:t xml:space="preserve">Psychotherapy supervision: theory, research and practice. </w:t>
      </w:r>
      <w:r>
        <w:t xml:space="preserve">New York: Wiley. </w:t>
      </w:r>
    </w:p>
    <w:p w14:paraId="7C1E63FC" w14:textId="77777777" w:rsidR="0013789F" w:rsidRDefault="0013789F" w:rsidP="0013789F"/>
    <w:p w14:paraId="34EEB68E" w14:textId="77777777" w:rsidR="0013789F" w:rsidRDefault="0013789F" w:rsidP="0013789F">
      <w:r>
        <w:t xml:space="preserve">Mearns, D. (1997) Person-centred counselling training. London: Sage. </w:t>
      </w:r>
    </w:p>
    <w:p w14:paraId="223FB1F4" w14:textId="77777777" w:rsidR="0013789F" w:rsidRPr="0013789F" w:rsidRDefault="0013789F" w:rsidP="00653C27">
      <w:pPr>
        <w:spacing w:line="480" w:lineRule="auto"/>
        <w:jc w:val="both"/>
        <w:rPr>
          <w:u w:val="single"/>
        </w:rPr>
      </w:pPr>
    </w:p>
    <w:sectPr w:rsidR="0013789F" w:rsidRPr="0013789F" w:rsidSect="0013789F">
      <w:footerReference w:type="even"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B1A91" w14:textId="77777777" w:rsidR="00D40D4C" w:rsidRDefault="00D40D4C" w:rsidP="00984E0E">
      <w:r>
        <w:separator/>
      </w:r>
    </w:p>
  </w:endnote>
  <w:endnote w:type="continuationSeparator" w:id="0">
    <w:p w14:paraId="68DC9924" w14:textId="77777777" w:rsidR="00D40D4C" w:rsidRDefault="00D40D4C" w:rsidP="00984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9824806"/>
      <w:docPartObj>
        <w:docPartGallery w:val="Page Numbers (Bottom of Page)"/>
        <w:docPartUnique/>
      </w:docPartObj>
    </w:sdtPr>
    <w:sdtContent>
      <w:p w14:paraId="0F000999" w14:textId="482201A2" w:rsidR="0013789F" w:rsidRDefault="0013789F" w:rsidP="000A7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79996E" w14:textId="77777777" w:rsidR="0013789F" w:rsidRDefault="0013789F" w:rsidP="001378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0232846"/>
      <w:docPartObj>
        <w:docPartGallery w:val="Page Numbers (Bottom of Page)"/>
        <w:docPartUnique/>
      </w:docPartObj>
    </w:sdtPr>
    <w:sdtContent>
      <w:p w14:paraId="423AB2CC" w14:textId="61ECD7EA" w:rsidR="0013789F" w:rsidRDefault="0013789F" w:rsidP="000A7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358BA3" w14:textId="431C2E3F" w:rsidR="0013789F" w:rsidRDefault="00B34204" w:rsidP="0013789F">
    <w:pPr>
      <w:pStyle w:val="Footer"/>
      <w:ind w:right="360"/>
    </w:pPr>
    <w:r>
      <w:t>1150159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C4B6A" w14:textId="77777777" w:rsidR="00D40D4C" w:rsidRDefault="00D40D4C" w:rsidP="00984E0E">
      <w:r>
        <w:separator/>
      </w:r>
    </w:p>
  </w:footnote>
  <w:footnote w:type="continuationSeparator" w:id="0">
    <w:p w14:paraId="50E7B984" w14:textId="77777777" w:rsidR="00D40D4C" w:rsidRDefault="00D40D4C" w:rsidP="00984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17777D"/>
    <w:multiLevelType w:val="hybridMultilevel"/>
    <w:tmpl w:val="957AF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614CFF"/>
    <w:multiLevelType w:val="hybridMultilevel"/>
    <w:tmpl w:val="957AF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76A"/>
    <w:rsid w:val="000056E1"/>
    <w:rsid w:val="00006DB9"/>
    <w:rsid w:val="00055F16"/>
    <w:rsid w:val="00061871"/>
    <w:rsid w:val="00076577"/>
    <w:rsid w:val="00127B9F"/>
    <w:rsid w:val="0013789F"/>
    <w:rsid w:val="0017213B"/>
    <w:rsid w:val="00184B7E"/>
    <w:rsid w:val="0018574B"/>
    <w:rsid w:val="002977FB"/>
    <w:rsid w:val="002D1C27"/>
    <w:rsid w:val="00310515"/>
    <w:rsid w:val="00355CD5"/>
    <w:rsid w:val="0035603B"/>
    <w:rsid w:val="0036298C"/>
    <w:rsid w:val="003F2F59"/>
    <w:rsid w:val="00417FC4"/>
    <w:rsid w:val="004425D7"/>
    <w:rsid w:val="0047077C"/>
    <w:rsid w:val="004C5539"/>
    <w:rsid w:val="00505DD4"/>
    <w:rsid w:val="00556C92"/>
    <w:rsid w:val="00577BC4"/>
    <w:rsid w:val="005F3836"/>
    <w:rsid w:val="00612560"/>
    <w:rsid w:val="00637690"/>
    <w:rsid w:val="0064637A"/>
    <w:rsid w:val="00653C27"/>
    <w:rsid w:val="00654CBA"/>
    <w:rsid w:val="006B70C6"/>
    <w:rsid w:val="006D6F5D"/>
    <w:rsid w:val="006E2EE8"/>
    <w:rsid w:val="00726520"/>
    <w:rsid w:val="00745BD1"/>
    <w:rsid w:val="0075690F"/>
    <w:rsid w:val="007E43C0"/>
    <w:rsid w:val="008213A0"/>
    <w:rsid w:val="0084286C"/>
    <w:rsid w:val="00842DF7"/>
    <w:rsid w:val="00880F2A"/>
    <w:rsid w:val="00887B6C"/>
    <w:rsid w:val="008B62D2"/>
    <w:rsid w:val="008E30BA"/>
    <w:rsid w:val="00984E0E"/>
    <w:rsid w:val="009873C0"/>
    <w:rsid w:val="009C7B28"/>
    <w:rsid w:val="00A03893"/>
    <w:rsid w:val="00A15B00"/>
    <w:rsid w:val="00A342C5"/>
    <w:rsid w:val="00A6497C"/>
    <w:rsid w:val="00A65C0C"/>
    <w:rsid w:val="00A7184D"/>
    <w:rsid w:val="00AB1C9A"/>
    <w:rsid w:val="00AB1D45"/>
    <w:rsid w:val="00AB3883"/>
    <w:rsid w:val="00AC0872"/>
    <w:rsid w:val="00AC25F4"/>
    <w:rsid w:val="00B21BBA"/>
    <w:rsid w:val="00B34204"/>
    <w:rsid w:val="00B37221"/>
    <w:rsid w:val="00B53144"/>
    <w:rsid w:val="00B71E1C"/>
    <w:rsid w:val="00BC3F25"/>
    <w:rsid w:val="00BE3B50"/>
    <w:rsid w:val="00C06D12"/>
    <w:rsid w:val="00C170E0"/>
    <w:rsid w:val="00C30622"/>
    <w:rsid w:val="00C74187"/>
    <w:rsid w:val="00CB14D2"/>
    <w:rsid w:val="00CB40EB"/>
    <w:rsid w:val="00CF46E2"/>
    <w:rsid w:val="00D40D4C"/>
    <w:rsid w:val="00D60699"/>
    <w:rsid w:val="00DA6BF7"/>
    <w:rsid w:val="00DE11B4"/>
    <w:rsid w:val="00E008BF"/>
    <w:rsid w:val="00E536D9"/>
    <w:rsid w:val="00EA512F"/>
    <w:rsid w:val="00EF0BFE"/>
    <w:rsid w:val="00F03E2F"/>
    <w:rsid w:val="00F6201A"/>
    <w:rsid w:val="00F67B17"/>
    <w:rsid w:val="00F8076A"/>
    <w:rsid w:val="00FA3FD1"/>
    <w:rsid w:val="00FD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BEDAE7"/>
  <w15:chartTrackingRefBased/>
  <w15:docId w15:val="{D90EE21B-8274-F348-9D20-4C2F2B4A8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76A"/>
    <w:pPr>
      <w:spacing w:after="160" w:line="259" w:lineRule="auto"/>
      <w:ind w:left="720"/>
      <w:contextualSpacing/>
    </w:pPr>
    <w:rPr>
      <w:sz w:val="22"/>
      <w:szCs w:val="22"/>
    </w:rPr>
  </w:style>
  <w:style w:type="paragraph" w:styleId="NoSpacing">
    <w:name w:val="No Spacing"/>
    <w:link w:val="NoSpacingChar"/>
    <w:uiPriority w:val="1"/>
    <w:qFormat/>
    <w:rsid w:val="00D60699"/>
    <w:rPr>
      <w:rFonts w:eastAsiaTheme="minorEastAsia"/>
      <w:sz w:val="22"/>
      <w:szCs w:val="22"/>
      <w:lang w:val="en-US" w:eastAsia="zh-CN"/>
    </w:rPr>
  </w:style>
  <w:style w:type="character" w:customStyle="1" w:styleId="NoSpacingChar">
    <w:name w:val="No Spacing Char"/>
    <w:basedOn w:val="DefaultParagraphFont"/>
    <w:link w:val="NoSpacing"/>
    <w:uiPriority w:val="1"/>
    <w:rsid w:val="00D60699"/>
    <w:rPr>
      <w:rFonts w:eastAsiaTheme="minorEastAsia"/>
      <w:sz w:val="22"/>
      <w:szCs w:val="22"/>
      <w:lang w:val="en-US" w:eastAsia="zh-CN"/>
    </w:rPr>
  </w:style>
  <w:style w:type="paragraph" w:styleId="NormalWeb">
    <w:name w:val="Normal (Web)"/>
    <w:basedOn w:val="Normal"/>
    <w:uiPriority w:val="99"/>
    <w:unhideWhenUsed/>
    <w:rsid w:val="00D6069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84E0E"/>
    <w:pPr>
      <w:tabs>
        <w:tab w:val="center" w:pos="4680"/>
        <w:tab w:val="right" w:pos="9360"/>
      </w:tabs>
    </w:pPr>
  </w:style>
  <w:style w:type="character" w:customStyle="1" w:styleId="HeaderChar">
    <w:name w:val="Header Char"/>
    <w:basedOn w:val="DefaultParagraphFont"/>
    <w:link w:val="Header"/>
    <w:uiPriority w:val="99"/>
    <w:rsid w:val="00984E0E"/>
  </w:style>
  <w:style w:type="paragraph" w:styleId="Footer">
    <w:name w:val="footer"/>
    <w:basedOn w:val="Normal"/>
    <w:link w:val="FooterChar"/>
    <w:uiPriority w:val="99"/>
    <w:unhideWhenUsed/>
    <w:rsid w:val="00984E0E"/>
    <w:pPr>
      <w:tabs>
        <w:tab w:val="center" w:pos="4680"/>
        <w:tab w:val="right" w:pos="9360"/>
      </w:tabs>
    </w:pPr>
  </w:style>
  <w:style w:type="character" w:customStyle="1" w:styleId="FooterChar">
    <w:name w:val="Footer Char"/>
    <w:basedOn w:val="DefaultParagraphFont"/>
    <w:link w:val="Footer"/>
    <w:uiPriority w:val="99"/>
    <w:rsid w:val="00984E0E"/>
  </w:style>
  <w:style w:type="character" w:styleId="PageNumber">
    <w:name w:val="page number"/>
    <w:basedOn w:val="DefaultParagraphFont"/>
    <w:uiPriority w:val="99"/>
    <w:semiHidden/>
    <w:unhideWhenUsed/>
    <w:rsid w:val="00137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030128">
      <w:bodyDiv w:val="1"/>
      <w:marLeft w:val="0"/>
      <w:marRight w:val="0"/>
      <w:marTop w:val="0"/>
      <w:marBottom w:val="0"/>
      <w:divBdr>
        <w:top w:val="none" w:sz="0" w:space="0" w:color="auto"/>
        <w:left w:val="none" w:sz="0" w:space="0" w:color="auto"/>
        <w:bottom w:val="none" w:sz="0" w:space="0" w:color="auto"/>
        <w:right w:val="none" w:sz="0" w:space="0" w:color="auto"/>
      </w:divBdr>
      <w:divsChild>
        <w:div w:id="1039934008">
          <w:marLeft w:val="0"/>
          <w:marRight w:val="0"/>
          <w:marTop w:val="0"/>
          <w:marBottom w:val="0"/>
          <w:divBdr>
            <w:top w:val="none" w:sz="0" w:space="0" w:color="auto"/>
            <w:left w:val="none" w:sz="0" w:space="0" w:color="auto"/>
            <w:bottom w:val="none" w:sz="0" w:space="0" w:color="auto"/>
            <w:right w:val="none" w:sz="0" w:space="0" w:color="auto"/>
          </w:divBdr>
          <w:divsChild>
            <w:div w:id="427509470">
              <w:marLeft w:val="0"/>
              <w:marRight w:val="0"/>
              <w:marTop w:val="0"/>
              <w:marBottom w:val="0"/>
              <w:divBdr>
                <w:top w:val="none" w:sz="0" w:space="0" w:color="auto"/>
                <w:left w:val="none" w:sz="0" w:space="0" w:color="auto"/>
                <w:bottom w:val="none" w:sz="0" w:space="0" w:color="auto"/>
                <w:right w:val="none" w:sz="0" w:space="0" w:color="auto"/>
              </w:divBdr>
              <w:divsChild>
                <w:div w:id="88672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910</TotalTime>
  <Pages>18</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39</cp:revision>
  <dcterms:created xsi:type="dcterms:W3CDTF">2020-03-09T11:14:00Z</dcterms:created>
  <dcterms:modified xsi:type="dcterms:W3CDTF">2020-03-24T11:26:00Z</dcterms:modified>
</cp:coreProperties>
</file>