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B480A" w14:textId="77777777" w:rsidR="00B50C49" w:rsidRDefault="00B50C49" w:rsidP="00B50C49">
      <w:pPr>
        <w:jc w:val="center"/>
        <w:rPr>
          <w:rFonts w:eastAsia="Times New Roman" w:cs="Times New Roman"/>
          <w:b/>
          <w:szCs w:val="24"/>
        </w:rPr>
      </w:pPr>
      <w:r>
        <w:rPr>
          <w:rFonts w:ascii="Calibri" w:hAnsi="Calibri" w:cs="Calibri"/>
          <w:b/>
          <w:bCs/>
          <w:color w:val="000000"/>
          <w:sz w:val="48"/>
          <w:szCs w:val="48"/>
        </w:rPr>
        <w:t>Foreign Languages and Cultural Awareness</w:t>
      </w:r>
    </w:p>
    <w:p w14:paraId="7C0753D6" w14:textId="31349171" w:rsidR="00B50C49" w:rsidRDefault="00B50C49">
      <w:pPr>
        <w:rPr>
          <w:rFonts w:eastAsia="Times New Roman" w:cs="Times New Roman"/>
          <w:b/>
          <w:szCs w:val="24"/>
        </w:rPr>
      </w:pPr>
      <w:r>
        <w:rPr>
          <w:rFonts w:eastAsia="Times New Roman" w:cs="Times New Roman"/>
          <w:b/>
          <w:szCs w:val="24"/>
        </w:rPr>
        <w:br w:type="page"/>
      </w:r>
      <w:proofErr w:type="gramStart"/>
      <w:r w:rsidR="007601F6">
        <w:rPr>
          <w:rFonts w:eastAsia="Times New Roman" w:cs="Times New Roman"/>
          <w:b/>
          <w:szCs w:val="24"/>
        </w:rPr>
        <w:lastRenderedPageBreak/>
        <w:t>Tutor :</w:t>
      </w:r>
      <w:proofErr w:type="gramEnd"/>
      <w:r w:rsidR="007601F6">
        <w:rPr>
          <w:rFonts w:eastAsia="Times New Roman" w:cs="Times New Roman"/>
          <w:b/>
          <w:szCs w:val="24"/>
        </w:rPr>
        <w:t xml:space="preserve"> </w:t>
      </w:r>
      <w:r w:rsidR="00A80EA7">
        <w:rPr>
          <w:rFonts w:eastAsia="Times New Roman" w:cs="Times New Roman"/>
          <w:b/>
          <w:szCs w:val="24"/>
        </w:rPr>
        <w:t xml:space="preserve">Mike Davies </w:t>
      </w:r>
    </w:p>
    <w:p w14:paraId="48BC7331" w14:textId="3DFED47C" w:rsidR="00A80EA7" w:rsidRDefault="00A80EA7">
      <w:pPr>
        <w:rPr>
          <w:rFonts w:eastAsia="Times New Roman" w:cs="Times New Roman"/>
          <w:b/>
          <w:szCs w:val="24"/>
        </w:rPr>
      </w:pPr>
      <w:r>
        <w:rPr>
          <w:rFonts w:eastAsia="Times New Roman" w:cs="Times New Roman"/>
          <w:b/>
          <w:szCs w:val="24"/>
        </w:rPr>
        <w:t xml:space="preserve">Student </w:t>
      </w:r>
      <w:proofErr w:type="gramStart"/>
      <w:r>
        <w:rPr>
          <w:rFonts w:eastAsia="Times New Roman" w:cs="Times New Roman"/>
          <w:b/>
          <w:szCs w:val="24"/>
        </w:rPr>
        <w:t>name :</w:t>
      </w:r>
      <w:proofErr w:type="gramEnd"/>
      <w:r>
        <w:rPr>
          <w:rFonts w:eastAsia="Times New Roman" w:cs="Times New Roman"/>
          <w:b/>
          <w:szCs w:val="24"/>
        </w:rPr>
        <w:t xml:space="preserve"> Vijeyalashimi Gersone </w:t>
      </w:r>
    </w:p>
    <w:p w14:paraId="742A6E9D" w14:textId="6F41A7FF" w:rsidR="00A80EA7" w:rsidRDefault="00A80EA7">
      <w:pPr>
        <w:rPr>
          <w:rFonts w:eastAsia="Times New Roman" w:cs="Times New Roman"/>
          <w:b/>
          <w:szCs w:val="24"/>
        </w:rPr>
      </w:pPr>
      <w:r>
        <w:rPr>
          <w:rFonts w:eastAsia="Times New Roman" w:cs="Times New Roman"/>
          <w:b/>
          <w:szCs w:val="24"/>
        </w:rPr>
        <w:t>Student number : 1816441</w:t>
      </w:r>
    </w:p>
    <w:sdt>
      <w:sdtPr>
        <w:rPr>
          <w:rFonts w:ascii="Times New Roman" w:eastAsia="Arial" w:hAnsi="Times New Roman" w:cs="Arial"/>
          <w:color w:val="auto"/>
          <w:sz w:val="24"/>
          <w:szCs w:val="22"/>
          <w:lang w:val="en-GB" w:eastAsia="en-IN"/>
        </w:rPr>
        <w:id w:val="2061742285"/>
        <w:docPartObj>
          <w:docPartGallery w:val="Table of Contents"/>
          <w:docPartUnique/>
        </w:docPartObj>
      </w:sdtPr>
      <w:sdtEndPr>
        <w:rPr>
          <w:b/>
          <w:bCs/>
          <w:noProof/>
        </w:rPr>
      </w:sdtEndPr>
      <w:sdtContent>
        <w:p w14:paraId="40283F63" w14:textId="77777777" w:rsidR="00B50C49" w:rsidRPr="00B50C49" w:rsidRDefault="00B50C49" w:rsidP="00B50C49">
          <w:pPr>
            <w:pStyle w:val="TOCHeading"/>
            <w:jc w:val="center"/>
            <w:rPr>
              <w:color w:val="auto"/>
            </w:rPr>
          </w:pPr>
          <w:r w:rsidRPr="00B50C49">
            <w:rPr>
              <w:color w:val="auto"/>
            </w:rPr>
            <w:t>Table of Contents</w:t>
          </w:r>
        </w:p>
        <w:p w14:paraId="6314A289" w14:textId="77777777" w:rsidR="00B50C49" w:rsidRDefault="008415EF">
          <w:pPr>
            <w:pStyle w:val="TOC1"/>
            <w:tabs>
              <w:tab w:val="right" w:leader="dot" w:pos="9350"/>
            </w:tabs>
            <w:rPr>
              <w:rFonts w:asciiTheme="minorHAnsi" w:eastAsiaTheme="minorEastAsia" w:hAnsiTheme="minorHAnsi" w:cstheme="minorBidi"/>
              <w:noProof/>
              <w:sz w:val="22"/>
              <w:lang w:val="en-IN"/>
            </w:rPr>
          </w:pPr>
          <w:r>
            <w:fldChar w:fldCharType="begin"/>
          </w:r>
          <w:r w:rsidR="00B50C49">
            <w:instrText xml:space="preserve"> TOC \o "1-3" \h \z \u </w:instrText>
          </w:r>
          <w:r>
            <w:fldChar w:fldCharType="separate"/>
          </w:r>
          <w:hyperlink w:anchor="_Toc84512006" w:history="1">
            <w:r w:rsidR="00B50C49" w:rsidRPr="00726CA4">
              <w:rPr>
                <w:rStyle w:val="Hyperlink"/>
                <w:noProof/>
              </w:rPr>
              <w:t>Introduction</w:t>
            </w:r>
            <w:r w:rsidR="00B50C49">
              <w:rPr>
                <w:noProof/>
                <w:webHidden/>
              </w:rPr>
              <w:tab/>
            </w:r>
            <w:r>
              <w:rPr>
                <w:noProof/>
                <w:webHidden/>
              </w:rPr>
              <w:fldChar w:fldCharType="begin"/>
            </w:r>
            <w:r w:rsidR="00B50C49">
              <w:rPr>
                <w:noProof/>
                <w:webHidden/>
              </w:rPr>
              <w:instrText xml:space="preserve"> PAGEREF _Toc84512006 \h </w:instrText>
            </w:r>
            <w:r>
              <w:rPr>
                <w:noProof/>
                <w:webHidden/>
              </w:rPr>
            </w:r>
            <w:r>
              <w:rPr>
                <w:noProof/>
                <w:webHidden/>
              </w:rPr>
              <w:fldChar w:fldCharType="separate"/>
            </w:r>
            <w:r w:rsidR="00B50C49">
              <w:rPr>
                <w:noProof/>
                <w:webHidden/>
              </w:rPr>
              <w:t>3</w:t>
            </w:r>
            <w:r>
              <w:rPr>
                <w:noProof/>
                <w:webHidden/>
              </w:rPr>
              <w:fldChar w:fldCharType="end"/>
            </w:r>
          </w:hyperlink>
        </w:p>
        <w:p w14:paraId="29AC5F5A" w14:textId="77777777" w:rsidR="00B50C49" w:rsidRDefault="00A80EA7">
          <w:pPr>
            <w:pStyle w:val="TOC1"/>
            <w:tabs>
              <w:tab w:val="right" w:leader="dot" w:pos="9350"/>
            </w:tabs>
            <w:rPr>
              <w:rFonts w:asciiTheme="minorHAnsi" w:eastAsiaTheme="minorEastAsia" w:hAnsiTheme="minorHAnsi" w:cstheme="minorBidi"/>
              <w:noProof/>
              <w:sz w:val="22"/>
              <w:lang w:val="en-IN"/>
            </w:rPr>
          </w:pPr>
          <w:hyperlink w:anchor="_Toc84512007" w:history="1">
            <w:r w:rsidR="00B50C49" w:rsidRPr="00726CA4">
              <w:rPr>
                <w:rStyle w:val="Hyperlink"/>
                <w:noProof/>
              </w:rPr>
              <w:t>Main Body</w:t>
            </w:r>
            <w:r w:rsidR="00B50C49">
              <w:rPr>
                <w:noProof/>
                <w:webHidden/>
              </w:rPr>
              <w:tab/>
            </w:r>
            <w:r w:rsidR="008415EF">
              <w:rPr>
                <w:noProof/>
                <w:webHidden/>
              </w:rPr>
              <w:fldChar w:fldCharType="begin"/>
            </w:r>
            <w:r w:rsidR="00B50C49">
              <w:rPr>
                <w:noProof/>
                <w:webHidden/>
              </w:rPr>
              <w:instrText xml:space="preserve"> PAGEREF _Toc84512007 \h </w:instrText>
            </w:r>
            <w:r w:rsidR="008415EF">
              <w:rPr>
                <w:noProof/>
                <w:webHidden/>
              </w:rPr>
            </w:r>
            <w:r w:rsidR="008415EF">
              <w:rPr>
                <w:noProof/>
                <w:webHidden/>
              </w:rPr>
              <w:fldChar w:fldCharType="separate"/>
            </w:r>
            <w:r w:rsidR="00B50C49">
              <w:rPr>
                <w:noProof/>
                <w:webHidden/>
              </w:rPr>
              <w:t>3</w:t>
            </w:r>
            <w:r w:rsidR="008415EF">
              <w:rPr>
                <w:noProof/>
                <w:webHidden/>
              </w:rPr>
              <w:fldChar w:fldCharType="end"/>
            </w:r>
          </w:hyperlink>
        </w:p>
        <w:p w14:paraId="54D2C3A8" w14:textId="77777777" w:rsidR="00B50C49" w:rsidRDefault="00A80EA7">
          <w:pPr>
            <w:pStyle w:val="TOC1"/>
            <w:tabs>
              <w:tab w:val="right" w:leader="dot" w:pos="9350"/>
            </w:tabs>
            <w:rPr>
              <w:rFonts w:asciiTheme="minorHAnsi" w:eastAsiaTheme="minorEastAsia" w:hAnsiTheme="minorHAnsi" w:cstheme="minorBidi"/>
              <w:noProof/>
              <w:sz w:val="22"/>
              <w:lang w:val="en-IN"/>
            </w:rPr>
          </w:pPr>
          <w:hyperlink w:anchor="_Toc84512008" w:history="1">
            <w:r w:rsidR="00B50C49" w:rsidRPr="00726CA4">
              <w:rPr>
                <w:rStyle w:val="Hyperlink"/>
                <w:noProof/>
              </w:rPr>
              <w:t>Conclusion</w:t>
            </w:r>
            <w:r w:rsidR="00B50C49">
              <w:rPr>
                <w:noProof/>
                <w:webHidden/>
              </w:rPr>
              <w:tab/>
            </w:r>
            <w:r w:rsidR="008415EF">
              <w:rPr>
                <w:noProof/>
                <w:webHidden/>
              </w:rPr>
              <w:fldChar w:fldCharType="begin"/>
            </w:r>
            <w:r w:rsidR="00B50C49">
              <w:rPr>
                <w:noProof/>
                <w:webHidden/>
              </w:rPr>
              <w:instrText xml:space="preserve"> PAGEREF _Toc84512008 \h </w:instrText>
            </w:r>
            <w:r w:rsidR="008415EF">
              <w:rPr>
                <w:noProof/>
                <w:webHidden/>
              </w:rPr>
            </w:r>
            <w:r w:rsidR="008415EF">
              <w:rPr>
                <w:noProof/>
                <w:webHidden/>
              </w:rPr>
              <w:fldChar w:fldCharType="separate"/>
            </w:r>
            <w:r w:rsidR="00B50C49">
              <w:rPr>
                <w:noProof/>
                <w:webHidden/>
              </w:rPr>
              <w:t>6</w:t>
            </w:r>
            <w:r w:rsidR="008415EF">
              <w:rPr>
                <w:noProof/>
                <w:webHidden/>
              </w:rPr>
              <w:fldChar w:fldCharType="end"/>
            </w:r>
          </w:hyperlink>
        </w:p>
        <w:p w14:paraId="34A8D435" w14:textId="2CE1AB98" w:rsidR="00B50C49" w:rsidRDefault="00A80EA7">
          <w:pPr>
            <w:pStyle w:val="TOC1"/>
            <w:tabs>
              <w:tab w:val="right" w:leader="dot" w:pos="9350"/>
            </w:tabs>
            <w:rPr>
              <w:rFonts w:asciiTheme="minorHAnsi" w:eastAsiaTheme="minorEastAsia" w:hAnsiTheme="minorHAnsi" w:cstheme="minorBidi"/>
              <w:noProof/>
              <w:sz w:val="22"/>
              <w:lang w:val="en-IN"/>
            </w:rPr>
          </w:pPr>
          <w:hyperlink w:anchor="_Toc84512009" w:history="1">
            <w:r w:rsidR="00B50C49" w:rsidRPr="00726CA4">
              <w:rPr>
                <w:rStyle w:val="Hyperlink"/>
                <w:noProof/>
              </w:rPr>
              <w:t>References</w:t>
            </w:r>
            <w:r w:rsidR="00B50C49">
              <w:rPr>
                <w:noProof/>
                <w:webHidden/>
              </w:rPr>
              <w:tab/>
            </w:r>
            <w:r w:rsidR="007601F6">
              <w:rPr>
                <w:noProof/>
                <w:webHidden/>
              </w:rPr>
              <w:t>10</w:t>
            </w:r>
          </w:hyperlink>
        </w:p>
        <w:p w14:paraId="4BE1B65E" w14:textId="77777777" w:rsidR="00B50C49" w:rsidRDefault="008415EF">
          <w:r>
            <w:rPr>
              <w:b/>
              <w:bCs/>
              <w:noProof/>
            </w:rPr>
            <w:fldChar w:fldCharType="end"/>
          </w:r>
        </w:p>
      </w:sdtContent>
    </w:sdt>
    <w:p w14:paraId="2D1E0812" w14:textId="77777777" w:rsidR="00B50C49" w:rsidRDefault="00B50C49" w:rsidP="00B50C49">
      <w:pPr>
        <w:rPr>
          <w:rFonts w:eastAsia="Times New Roman" w:cs="Times New Roman"/>
          <w:b/>
          <w:szCs w:val="24"/>
        </w:rPr>
      </w:pPr>
    </w:p>
    <w:p w14:paraId="74285ECC" w14:textId="77777777" w:rsidR="00B50C49" w:rsidRDefault="00B50C49">
      <w:pPr>
        <w:rPr>
          <w:rFonts w:eastAsia="Times New Roman" w:cs="Times New Roman"/>
          <w:b/>
          <w:szCs w:val="24"/>
        </w:rPr>
      </w:pPr>
      <w:r>
        <w:rPr>
          <w:rFonts w:eastAsia="Times New Roman" w:cs="Times New Roman"/>
          <w:b/>
          <w:szCs w:val="24"/>
        </w:rPr>
        <w:br w:type="page"/>
      </w:r>
    </w:p>
    <w:p w14:paraId="4BC9A428" w14:textId="77777777" w:rsidR="004952AF" w:rsidRPr="00B50C49" w:rsidRDefault="00B50C49" w:rsidP="00B50C49">
      <w:pPr>
        <w:pStyle w:val="Heading1"/>
        <w:rPr>
          <w:b w:val="0"/>
        </w:rPr>
      </w:pPr>
      <w:bookmarkStart w:id="0" w:name="_Toc84512006"/>
      <w:r w:rsidRPr="00B50C49">
        <w:lastRenderedPageBreak/>
        <w:t>Introduction</w:t>
      </w:r>
      <w:bookmarkEnd w:id="0"/>
    </w:p>
    <w:p w14:paraId="11AB69AD" w14:textId="77777777" w:rsidR="004952AF" w:rsidRPr="00B50C49" w:rsidRDefault="00B50C49" w:rsidP="00B50C49">
      <w:r w:rsidRPr="00B50C49">
        <w:t xml:space="preserve">The cultural background and customs concept on the enhancement of the customer satisfaction are one of the impactful factors in the hospitality sector that helps in the attainment of the guest services. With the advent of globalization in the industries there has been adverse effects on the hospitality sectors influencing the customer behaviours coming from various corners of the world that reflects the productivity of the hotel. Hence, the implementation of the various strategies focusing on the cross cultural services and customs towards the international guests and the effects on the hospitality sector are quintessential. </w:t>
      </w:r>
    </w:p>
    <w:p w14:paraId="7801CED6" w14:textId="77777777" w:rsidR="004952AF" w:rsidRPr="00B50C49" w:rsidRDefault="00B50C49" w:rsidP="00B50C49">
      <w:pPr>
        <w:pStyle w:val="Heading1"/>
      </w:pPr>
      <w:bookmarkStart w:id="1" w:name="_Toc84512007"/>
      <w:r w:rsidRPr="00B50C49">
        <w:t>Main Body</w:t>
      </w:r>
      <w:bookmarkEnd w:id="1"/>
    </w:p>
    <w:p w14:paraId="7868E266" w14:textId="77777777" w:rsidR="004952AF" w:rsidRPr="00B50C49" w:rsidRDefault="00B50C49" w:rsidP="00B50C49">
      <w:pPr>
        <w:rPr>
          <w:rFonts w:eastAsia="Times New Roman" w:cs="Times New Roman"/>
          <w:szCs w:val="24"/>
        </w:rPr>
      </w:pPr>
      <w:r w:rsidRPr="00B50C49">
        <w:rPr>
          <w:rFonts w:eastAsia="Times New Roman" w:cs="Times New Roman"/>
          <w:szCs w:val="24"/>
        </w:rPr>
        <w:t>In the underpinned report it has been focused on the hotels of the US that comprises one of the eminent places in the globe that focuses not only the guest services of the local places but also focuses on the international guests (</w:t>
      </w:r>
      <w:proofErr w:type="gramStart"/>
      <w:r w:rsidRPr="00B50C49">
        <w:rPr>
          <w:rFonts w:cs="Times New Roman"/>
          <w:color w:val="222222"/>
          <w:szCs w:val="24"/>
          <w:highlight w:val="white"/>
        </w:rPr>
        <w:t>Irwin  2020</w:t>
      </w:r>
      <w:proofErr w:type="gramEnd"/>
      <w:r w:rsidRPr="00B50C49">
        <w:rPr>
          <w:rFonts w:cs="Times New Roman"/>
          <w:color w:val="222222"/>
          <w:szCs w:val="24"/>
          <w:highlight w:val="white"/>
        </w:rPr>
        <w:t>).</w:t>
      </w:r>
      <w:r w:rsidRPr="00B50C49">
        <w:rPr>
          <w:rFonts w:eastAsia="Times New Roman" w:cs="Times New Roman"/>
          <w:szCs w:val="24"/>
        </w:rPr>
        <w:t>With the increase in the guest diversity there has been various expectations and on behalf of the customers and the hotel services has been upgrading the customer services regularly within the hotels of the US.  The behaviour and the gestures that are associated with the hotel personnel apart from the maintenance of the international customs and behaviour are also equally important for the maintenance of the productive hospitality sector (</w:t>
      </w:r>
      <w:proofErr w:type="spellStart"/>
      <w:r w:rsidRPr="00B50C49">
        <w:rPr>
          <w:rFonts w:cs="Times New Roman"/>
          <w:color w:val="222222"/>
          <w:szCs w:val="24"/>
          <w:highlight w:val="white"/>
        </w:rPr>
        <w:t>Shadiev</w:t>
      </w:r>
      <w:proofErr w:type="spellEnd"/>
      <w:r w:rsidRPr="00B50C49">
        <w:rPr>
          <w:rFonts w:cs="Times New Roman"/>
          <w:color w:val="222222"/>
          <w:szCs w:val="24"/>
          <w:highlight w:val="white"/>
        </w:rPr>
        <w:t xml:space="preserve"> 2019).</w:t>
      </w:r>
      <w:r w:rsidRPr="00B50C49">
        <w:rPr>
          <w:rFonts w:eastAsia="Times New Roman" w:cs="Times New Roman"/>
          <w:szCs w:val="24"/>
        </w:rPr>
        <w:t xml:space="preserve"> The factors like behaviour, greetings, main implementation of diversity and the aspects within the hotel corrigendum have been significantly increased with sound reflection within the hotel industry. Better understanding of the cultural differences can help in the inheritance of better </w:t>
      </w:r>
      <w:r>
        <w:rPr>
          <w:rFonts w:eastAsia="Times New Roman" w:cs="Times New Roman"/>
          <w:szCs w:val="24"/>
        </w:rPr>
        <w:t>productivity within the hospital</w:t>
      </w:r>
      <w:r w:rsidRPr="00B50C49">
        <w:rPr>
          <w:rFonts w:eastAsia="Times New Roman" w:cs="Times New Roman"/>
          <w:szCs w:val="24"/>
        </w:rPr>
        <w:t>ity industry. In order to significantly implement the importance of cultural knowledge by the hotel personnel, the following cross-cultural models have been expanded in order to manifest the issues and the essential parts of the cultural diversity within the hospitality sectors (</w:t>
      </w:r>
      <w:r w:rsidRPr="00B50C49">
        <w:rPr>
          <w:rFonts w:cs="Times New Roman"/>
          <w:color w:val="222222"/>
          <w:szCs w:val="24"/>
          <w:highlight w:val="white"/>
        </w:rPr>
        <w:t xml:space="preserve">Gaur 2017). </w:t>
      </w:r>
      <w:r w:rsidRPr="00B50C49">
        <w:rPr>
          <w:rFonts w:eastAsia="Times New Roman" w:cs="Times New Roman"/>
          <w:szCs w:val="24"/>
        </w:rPr>
        <w:t xml:space="preserve"> The Hofstede's cultural dimension are been thoroughly focused in the following report to asp</w:t>
      </w:r>
      <w:r>
        <w:rPr>
          <w:rFonts w:eastAsia="Times New Roman" w:cs="Times New Roman"/>
          <w:szCs w:val="24"/>
        </w:rPr>
        <w:t>i</w:t>
      </w:r>
      <w:r w:rsidRPr="00B50C49">
        <w:rPr>
          <w:rFonts w:eastAsia="Times New Roman" w:cs="Times New Roman"/>
          <w:szCs w:val="24"/>
        </w:rPr>
        <w:t>re the characteristics and features that may be extensively utilized by the hospital sectors as following,</w:t>
      </w:r>
    </w:p>
    <w:p w14:paraId="6AC24A3B" w14:textId="77777777" w:rsidR="004952AF" w:rsidRPr="00B50C49" w:rsidRDefault="00B50C49" w:rsidP="00B50C49">
      <w:pPr>
        <w:rPr>
          <w:rFonts w:eastAsia="Times New Roman" w:cs="Times New Roman"/>
          <w:szCs w:val="24"/>
        </w:rPr>
      </w:pPr>
      <w:r w:rsidRPr="00B50C49">
        <w:rPr>
          <w:rFonts w:eastAsia="Times New Roman" w:cs="Times New Roman"/>
          <w:szCs w:val="24"/>
        </w:rPr>
        <w:t xml:space="preserve">Hofstede’s Cultural Dimensions Theory, developed by Geert Hofstede is one of the significant models that explains six sectors within the model that reflects the framework to understand the cultural differences across the countries around the globe and the ways and techniques to </w:t>
      </w:r>
      <w:r w:rsidRPr="00B50C49">
        <w:rPr>
          <w:rFonts w:eastAsia="Times New Roman" w:cs="Times New Roman"/>
          <w:szCs w:val="24"/>
        </w:rPr>
        <w:lastRenderedPageBreak/>
        <w:t>propagate the businesses within the hospitality sectors (</w:t>
      </w:r>
      <w:r w:rsidRPr="00B50C49">
        <w:rPr>
          <w:rFonts w:cs="Times New Roman"/>
          <w:color w:val="222222"/>
          <w:szCs w:val="24"/>
          <w:highlight w:val="white"/>
        </w:rPr>
        <w:t xml:space="preserve">Jackson 2020). </w:t>
      </w:r>
      <w:r w:rsidRPr="00B50C49">
        <w:rPr>
          <w:rFonts w:eastAsia="Times New Roman" w:cs="Times New Roman"/>
          <w:szCs w:val="24"/>
        </w:rPr>
        <w:t xml:space="preserve">The model helps in the acceleration of the different national cultures and dimensions to assess the business framework thoroughly. </w:t>
      </w:r>
    </w:p>
    <w:p w14:paraId="3AA697EB" w14:textId="77777777" w:rsidR="004952AF" w:rsidRPr="00B50C49" w:rsidRDefault="00B50C49" w:rsidP="00B50C49">
      <w:pPr>
        <w:rPr>
          <w:rFonts w:eastAsia="Times New Roman" w:cs="Times New Roman"/>
          <w:szCs w:val="24"/>
        </w:rPr>
      </w:pPr>
      <w:r w:rsidRPr="00B50C49">
        <w:rPr>
          <w:rFonts w:eastAsia="Times New Roman" w:cs="Times New Roman"/>
          <w:szCs w:val="24"/>
        </w:rPr>
        <w:t xml:space="preserve">The six categories are, </w:t>
      </w:r>
    </w:p>
    <w:p w14:paraId="241EEE16" w14:textId="77777777" w:rsidR="004952AF" w:rsidRPr="00B50C49" w:rsidRDefault="00B50C49" w:rsidP="00B50C49">
      <w:pPr>
        <w:rPr>
          <w:rFonts w:eastAsia="Times New Roman" w:cs="Times New Roman"/>
          <w:b/>
          <w:szCs w:val="24"/>
          <w:shd w:val="clear" w:color="auto" w:fill="F8F9FA"/>
        </w:rPr>
      </w:pPr>
      <w:r w:rsidRPr="00B50C49">
        <w:rPr>
          <w:rFonts w:eastAsia="Times New Roman" w:cs="Times New Roman"/>
          <w:b/>
          <w:szCs w:val="24"/>
          <w:shd w:val="clear" w:color="auto" w:fill="F8F9FA"/>
        </w:rPr>
        <w:t>Power Distance Index</w:t>
      </w:r>
    </w:p>
    <w:p w14:paraId="51A0820E" w14:textId="77777777" w:rsidR="004952AF" w:rsidRPr="00B50C49" w:rsidRDefault="00B50C49" w:rsidP="00B50C49">
      <w:pPr>
        <w:rPr>
          <w:rFonts w:eastAsia="Times New Roman" w:cs="Times New Roman"/>
          <w:szCs w:val="24"/>
        </w:rPr>
      </w:pPr>
      <w:r w:rsidRPr="00B50C49">
        <w:rPr>
          <w:rFonts w:eastAsia="Times New Roman" w:cs="Times New Roman"/>
          <w:szCs w:val="24"/>
        </w:rPr>
        <w:t xml:space="preserve">This defines the tolerating dimension of the factors of the inequality and power from the basic levels.  This is further divided into two categories, higher power index and lower power index. </w:t>
      </w:r>
    </w:p>
    <w:p w14:paraId="15AA388B" w14:textId="77777777" w:rsidR="004952AF" w:rsidRPr="00B50C49" w:rsidRDefault="00B50C49" w:rsidP="00B50C49">
      <w:pPr>
        <w:rPr>
          <w:rFonts w:cs="Times New Roman"/>
          <w:color w:val="222222"/>
          <w:szCs w:val="24"/>
          <w:highlight w:val="white"/>
        </w:rPr>
      </w:pPr>
      <w:r w:rsidRPr="00B50C49">
        <w:rPr>
          <w:rFonts w:eastAsia="Times New Roman" w:cs="Times New Roman"/>
          <w:szCs w:val="24"/>
        </w:rPr>
        <w:t xml:space="preserve">High Power Index signifies the culture that accepts the factors of inequity and power differences with the acceptance of the bureaucracy with the acceptance of the factors of rank and authority with respect. It is also characterised by hierarchical gaps within the individuals that are basically signified on the basis of age, </w:t>
      </w:r>
      <w:r>
        <w:rPr>
          <w:rFonts w:eastAsia="Times New Roman" w:cs="Times New Roman"/>
          <w:szCs w:val="24"/>
        </w:rPr>
        <w:t>gender, generation</w:t>
      </w:r>
      <w:r w:rsidRPr="00B50C49">
        <w:rPr>
          <w:rFonts w:eastAsia="Times New Roman" w:cs="Times New Roman"/>
          <w:szCs w:val="24"/>
        </w:rPr>
        <w:t xml:space="preserve"> and status. In this case, the powers are more centralised and they are mainly focused on status and rank mostly. For example, the US ranks 40 compared to the score of 80 within Ghana. Thus this implies that the power differences are comparatively lesser in the US than Ghana. Hence in order to operate more exclusive hospitality operations with the hotels in the US as the higher power index implies the factors of authoritative  and vertical relationships whereas  the lower power index exhibits  more horizontal modes of maintaining  a smooth flow of  interpersonal interaction. Henceforth, it c</w:t>
      </w:r>
      <w:r>
        <w:rPr>
          <w:rFonts w:eastAsia="Times New Roman" w:cs="Times New Roman"/>
          <w:szCs w:val="24"/>
        </w:rPr>
        <w:t>an be perceived that the US</w:t>
      </w:r>
      <w:r w:rsidRPr="00B50C49">
        <w:rPr>
          <w:rFonts w:eastAsia="Times New Roman" w:cs="Times New Roman"/>
          <w:szCs w:val="24"/>
        </w:rPr>
        <w:t xml:space="preserve"> possess the lowerpower index for the productive flow of the hospitality sector but in the case of Ghana there are higher power indexes that sometimes implies difficulties in the settlement of the hospitality strategies (</w:t>
      </w:r>
      <w:r w:rsidRPr="00B50C49">
        <w:rPr>
          <w:rFonts w:cs="Times New Roman"/>
          <w:color w:val="222222"/>
          <w:szCs w:val="24"/>
          <w:highlight w:val="white"/>
        </w:rPr>
        <w:t xml:space="preserve">Radojevic, 2019). </w:t>
      </w:r>
    </w:p>
    <w:p w14:paraId="3E47DDB9" w14:textId="77777777" w:rsidR="004952AF" w:rsidRPr="00B50C49" w:rsidRDefault="00B50C49" w:rsidP="00B50C49">
      <w:pPr>
        <w:rPr>
          <w:rFonts w:eastAsia="Times New Roman" w:cs="Times New Roman"/>
          <w:b/>
          <w:szCs w:val="24"/>
        </w:rPr>
      </w:pPr>
      <w:r w:rsidRPr="00B50C49">
        <w:rPr>
          <w:rFonts w:eastAsia="Times New Roman" w:cs="Times New Roman"/>
          <w:b/>
          <w:szCs w:val="24"/>
        </w:rPr>
        <w:t xml:space="preserve">Uncertainty Avoidance </w:t>
      </w:r>
    </w:p>
    <w:p w14:paraId="6611E902" w14:textId="77777777" w:rsidR="004952AF" w:rsidRPr="00B50C49" w:rsidRDefault="00B50C49" w:rsidP="00B50C49">
      <w:pPr>
        <w:rPr>
          <w:rFonts w:cs="Times New Roman"/>
          <w:color w:val="222222"/>
          <w:szCs w:val="24"/>
          <w:highlight w:val="white"/>
        </w:rPr>
      </w:pPr>
      <w:r w:rsidRPr="00B50C49">
        <w:rPr>
          <w:rFonts w:eastAsia="Times New Roman" w:cs="Times New Roman"/>
          <w:szCs w:val="24"/>
        </w:rPr>
        <w:t>This describes the tolerance of ambiguity and uncertainty within the dealings of sudden situations and unexpected problems. This is further divided into two categories: high uncertainty avoidance and low uncertainty index. The former describes the low tolerance of unexpected situations and the latter indicates the high tolerance of sudden situations. In case of high tolerance the unexpected problems are solved by strict rules and regulations and in case of low tolerance lax rules (</w:t>
      </w:r>
      <w:proofErr w:type="spellStart"/>
      <w:r w:rsidRPr="00B50C49">
        <w:rPr>
          <w:rFonts w:cs="Times New Roman"/>
          <w:color w:val="222222"/>
          <w:szCs w:val="24"/>
          <w:highlight w:val="white"/>
        </w:rPr>
        <w:t>Savic</w:t>
      </w:r>
      <w:proofErr w:type="spellEnd"/>
      <w:r w:rsidRPr="00B50C49">
        <w:rPr>
          <w:rFonts w:cs="Times New Roman"/>
          <w:color w:val="222222"/>
          <w:szCs w:val="24"/>
          <w:highlight w:val="white"/>
        </w:rPr>
        <w:t xml:space="preserve">, 2021). </w:t>
      </w:r>
    </w:p>
    <w:p w14:paraId="5824D3A8" w14:textId="77777777" w:rsidR="004952AF" w:rsidRPr="00B50C49" w:rsidRDefault="00B50C49" w:rsidP="00B50C49">
      <w:pPr>
        <w:rPr>
          <w:rFonts w:eastAsia="Roboto" w:cs="Times New Roman"/>
          <w:b/>
          <w:color w:val="000000"/>
          <w:szCs w:val="24"/>
        </w:rPr>
      </w:pPr>
      <w:r w:rsidRPr="00B50C49">
        <w:rPr>
          <w:rFonts w:eastAsia="Roboto" w:cs="Times New Roman"/>
          <w:b/>
          <w:color w:val="000000"/>
          <w:szCs w:val="24"/>
        </w:rPr>
        <w:t xml:space="preserve">Individualism </w:t>
      </w:r>
    </w:p>
    <w:p w14:paraId="17D8BD62" w14:textId="77777777" w:rsidR="004952AF" w:rsidRPr="00B50C49" w:rsidRDefault="00B50C49" w:rsidP="00B50C49">
      <w:pPr>
        <w:rPr>
          <w:color w:val="222222"/>
          <w:highlight w:val="white"/>
        </w:rPr>
      </w:pPr>
      <w:bookmarkStart w:id="2" w:name="_1g4kdga0rd37" w:colFirst="0" w:colLast="0"/>
      <w:bookmarkEnd w:id="2"/>
      <w:r w:rsidRPr="00B50C49">
        <w:lastRenderedPageBreak/>
        <w:t>This dimension is also referred to as the “tough and tender” part of the model.  This is basically based on the achievement, acceptance of sexuality, acceptance towards the factors of genderequality, behaviour etc. This is also divided into two parts, high individualism and low individualism, where the former refers to the high maintenance of gender equality, distinctive gender roles, material achievements and wealth building. On the contrary, the low individualism index together with the quality of life (</w:t>
      </w:r>
      <w:r w:rsidRPr="00B50C49">
        <w:rPr>
          <w:color w:val="222222"/>
          <w:highlight w:val="white"/>
        </w:rPr>
        <w:t xml:space="preserve">Marian 2020) </w:t>
      </w:r>
    </w:p>
    <w:p w14:paraId="70E61AE9" w14:textId="77777777" w:rsidR="004952AF" w:rsidRPr="00B50C49" w:rsidRDefault="00B50C49" w:rsidP="00B50C49">
      <w:pPr>
        <w:rPr>
          <w:b/>
        </w:rPr>
      </w:pPr>
      <w:bookmarkStart w:id="3" w:name="_5ncyt9mgeee6" w:colFirst="0" w:colLast="0"/>
      <w:bookmarkEnd w:id="3"/>
      <w:r w:rsidRPr="00B50C49">
        <w:rPr>
          <w:b/>
        </w:rPr>
        <w:t xml:space="preserve">Orientation </w:t>
      </w:r>
    </w:p>
    <w:p w14:paraId="46A35355" w14:textId="77777777" w:rsidR="004952AF" w:rsidRPr="00B50C49" w:rsidRDefault="00B50C49" w:rsidP="00B50C49">
      <w:pPr>
        <w:rPr>
          <w:rFonts w:cs="Times New Roman"/>
          <w:color w:val="222222"/>
          <w:szCs w:val="24"/>
          <w:highlight w:val="white"/>
        </w:rPr>
      </w:pPr>
      <w:r w:rsidRPr="00B50C49">
        <w:rPr>
          <w:rFonts w:eastAsia="Times New Roman" w:cs="Times New Roman"/>
          <w:szCs w:val="24"/>
        </w:rPr>
        <w:t xml:space="preserve">This is also defined into two parts: long time orientation and short time orientation. The long term orientation refers to the cultures that are featured with characters of frugality, savings, diligence and willingness in order to achieve their goal.  On the contrary the short term orientation describes the immediate adherence of achievement  or goal rendering upon the past experiences, universal </w:t>
      </w:r>
      <w:r>
        <w:rPr>
          <w:rFonts w:eastAsia="Times New Roman" w:cs="Times New Roman"/>
          <w:szCs w:val="24"/>
        </w:rPr>
        <w:t>m</w:t>
      </w:r>
      <w:r w:rsidRPr="00B50C49">
        <w:rPr>
          <w:rFonts w:eastAsia="Times New Roman" w:cs="Times New Roman"/>
          <w:szCs w:val="24"/>
        </w:rPr>
        <w:t>orality, nationalism  whereas the long term orientation focuses on the future, adaptability, situational morality, internationalism, and effort (</w:t>
      </w:r>
      <w:proofErr w:type="spellStart"/>
      <w:r w:rsidRPr="00B50C49">
        <w:rPr>
          <w:rFonts w:cs="Times New Roman"/>
          <w:color w:val="222222"/>
          <w:szCs w:val="24"/>
          <w:highlight w:val="white"/>
        </w:rPr>
        <w:t>Ergün</w:t>
      </w:r>
      <w:proofErr w:type="spellEnd"/>
      <w:r w:rsidRPr="00B50C49">
        <w:rPr>
          <w:rFonts w:cs="Times New Roman"/>
          <w:color w:val="222222"/>
          <w:szCs w:val="24"/>
          <w:highlight w:val="white"/>
        </w:rPr>
        <w:t xml:space="preserve">, 2018). </w:t>
      </w:r>
    </w:p>
    <w:p w14:paraId="02C0B2EF" w14:textId="77777777" w:rsidR="004952AF" w:rsidRPr="00B50C49" w:rsidRDefault="00B50C49" w:rsidP="00B50C49">
      <w:pPr>
        <w:rPr>
          <w:rFonts w:eastAsia="Times New Roman" w:cs="Times New Roman"/>
          <w:b/>
          <w:szCs w:val="24"/>
        </w:rPr>
      </w:pPr>
      <w:r w:rsidRPr="00B50C49">
        <w:rPr>
          <w:rFonts w:eastAsia="Times New Roman" w:cs="Times New Roman"/>
          <w:b/>
          <w:szCs w:val="24"/>
        </w:rPr>
        <w:t xml:space="preserve"> Indulgence </w:t>
      </w:r>
    </w:p>
    <w:p w14:paraId="359D2024" w14:textId="77777777" w:rsidR="004952AF" w:rsidRPr="00B50C49" w:rsidRDefault="00B50C49" w:rsidP="00B50C49">
      <w:pPr>
        <w:rPr>
          <w:rFonts w:cs="Times New Roman"/>
          <w:color w:val="222222"/>
          <w:szCs w:val="24"/>
          <w:highlight w:val="white"/>
        </w:rPr>
      </w:pPr>
      <w:r w:rsidRPr="00B50C49">
        <w:rPr>
          <w:rFonts w:eastAsia="Times New Roman" w:cs="Times New Roman"/>
          <w:szCs w:val="24"/>
        </w:rPr>
        <w:t>This is described as the culture that allows the inheritance and gratification of the fulfilment of the goals and the desires together with the evaluation of the tendency and extent of the societal performances.  The cultures that are inherited with the high indulgence index are more prone to the inheritance and achievement of the goals and desires compared to low indulgence and restraints (</w:t>
      </w:r>
      <w:r w:rsidRPr="00B50C49">
        <w:rPr>
          <w:rFonts w:cs="Times New Roman"/>
          <w:color w:val="222222"/>
          <w:szCs w:val="24"/>
          <w:highlight w:val="white"/>
        </w:rPr>
        <w:t xml:space="preserve">Huang 2019). </w:t>
      </w:r>
    </w:p>
    <w:p w14:paraId="67E6CA16" w14:textId="77777777" w:rsidR="004952AF" w:rsidRPr="00B50C49" w:rsidRDefault="00B50C49" w:rsidP="00B50C49">
      <w:pPr>
        <w:rPr>
          <w:rFonts w:eastAsia="Times New Roman" w:cs="Times New Roman"/>
          <w:szCs w:val="24"/>
        </w:rPr>
      </w:pPr>
      <w:r w:rsidRPr="00B50C49">
        <w:rPr>
          <w:rFonts w:eastAsia="Times New Roman" w:cs="Times New Roman"/>
          <w:szCs w:val="24"/>
        </w:rPr>
        <w:t xml:space="preserve"> Henceforth, The Hofstede’s model extensively focuses on the development of the values and differences on the societal and cultural differences that the customer services possess.  The hospitality sector in the US thus enables the productivity in the hospitality sector that </w:t>
      </w:r>
      <w:proofErr w:type="spellStart"/>
      <w:r w:rsidRPr="00B50C49">
        <w:rPr>
          <w:rFonts w:eastAsia="Times New Roman" w:cs="Times New Roman"/>
          <w:szCs w:val="24"/>
        </w:rPr>
        <w:t>encompassesHofstede's</w:t>
      </w:r>
      <w:proofErr w:type="spellEnd"/>
      <w:r w:rsidRPr="00B50C49">
        <w:rPr>
          <w:rFonts w:eastAsia="Times New Roman" w:cs="Times New Roman"/>
          <w:szCs w:val="24"/>
        </w:rPr>
        <w:t xml:space="preserve"> model in order to focus on the cultural diversity that propagates the customer attention and engagement within the industry. </w:t>
      </w:r>
    </w:p>
    <w:p w14:paraId="1BE3AA00" w14:textId="77777777" w:rsidR="004952AF" w:rsidRDefault="004952AF" w:rsidP="00B50C49">
      <w:pPr>
        <w:rPr>
          <w:rFonts w:eastAsia="Times New Roman" w:cs="Times New Roman"/>
          <w:szCs w:val="24"/>
        </w:rPr>
      </w:pPr>
    </w:p>
    <w:p w14:paraId="07FD8D15" w14:textId="77777777" w:rsidR="00B50C49" w:rsidRDefault="00B50C49" w:rsidP="00B50C49">
      <w:pPr>
        <w:rPr>
          <w:rFonts w:eastAsia="Times New Roman" w:cs="Times New Roman"/>
          <w:szCs w:val="24"/>
        </w:rPr>
      </w:pPr>
    </w:p>
    <w:p w14:paraId="251A1242" w14:textId="77777777" w:rsidR="00B50C49" w:rsidRPr="00B50C49" w:rsidRDefault="00B50C49" w:rsidP="00B50C49">
      <w:pPr>
        <w:rPr>
          <w:rFonts w:eastAsia="Times New Roman" w:cs="Times New Roman"/>
          <w:szCs w:val="24"/>
        </w:rPr>
      </w:pP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4755"/>
        <w:gridCol w:w="3120"/>
      </w:tblGrid>
      <w:tr w:rsidR="004952AF" w:rsidRPr="00B50C49" w14:paraId="4E0A8259" w14:textId="77777777">
        <w:tc>
          <w:tcPr>
            <w:tcW w:w="1485" w:type="dxa"/>
            <w:shd w:val="clear" w:color="auto" w:fill="auto"/>
            <w:tcMar>
              <w:top w:w="100" w:type="dxa"/>
              <w:left w:w="100" w:type="dxa"/>
              <w:bottom w:w="100" w:type="dxa"/>
              <w:right w:w="100" w:type="dxa"/>
            </w:tcMar>
          </w:tcPr>
          <w:p w14:paraId="743B2738" w14:textId="77777777" w:rsidR="004952AF" w:rsidRPr="00B50C49" w:rsidRDefault="00B50C49" w:rsidP="00B50C49">
            <w:pPr>
              <w:widowControl w:val="0"/>
              <w:pBdr>
                <w:top w:val="nil"/>
                <w:left w:val="nil"/>
                <w:bottom w:val="nil"/>
                <w:right w:val="nil"/>
                <w:between w:val="nil"/>
              </w:pBdr>
              <w:rPr>
                <w:rFonts w:eastAsia="Times New Roman" w:cs="Times New Roman"/>
                <w:b/>
                <w:szCs w:val="24"/>
              </w:rPr>
            </w:pPr>
            <w:r w:rsidRPr="00B50C49">
              <w:rPr>
                <w:rFonts w:eastAsia="Times New Roman" w:cs="Times New Roman"/>
                <w:b/>
                <w:szCs w:val="24"/>
              </w:rPr>
              <w:lastRenderedPageBreak/>
              <w:t>Serial no.</w:t>
            </w:r>
          </w:p>
        </w:tc>
        <w:tc>
          <w:tcPr>
            <w:tcW w:w="4755" w:type="dxa"/>
            <w:shd w:val="clear" w:color="auto" w:fill="auto"/>
            <w:tcMar>
              <w:top w:w="100" w:type="dxa"/>
              <w:left w:w="100" w:type="dxa"/>
              <w:bottom w:w="100" w:type="dxa"/>
              <w:right w:w="100" w:type="dxa"/>
            </w:tcMar>
          </w:tcPr>
          <w:p w14:paraId="1C5C86DB" w14:textId="77777777" w:rsidR="004952AF" w:rsidRPr="00B50C49" w:rsidRDefault="00B50C49" w:rsidP="00B50C49">
            <w:pPr>
              <w:widowControl w:val="0"/>
              <w:pBdr>
                <w:top w:val="nil"/>
                <w:left w:val="nil"/>
                <w:bottom w:val="nil"/>
                <w:right w:val="nil"/>
                <w:between w:val="nil"/>
              </w:pBdr>
              <w:rPr>
                <w:rFonts w:eastAsia="Times New Roman" w:cs="Times New Roman"/>
                <w:b/>
                <w:szCs w:val="24"/>
              </w:rPr>
            </w:pPr>
            <w:r w:rsidRPr="00B50C49">
              <w:rPr>
                <w:rFonts w:eastAsia="Times New Roman" w:cs="Times New Roman"/>
                <w:b/>
                <w:szCs w:val="24"/>
              </w:rPr>
              <w:t xml:space="preserve">Do’s </w:t>
            </w:r>
          </w:p>
        </w:tc>
        <w:tc>
          <w:tcPr>
            <w:tcW w:w="3120" w:type="dxa"/>
            <w:shd w:val="clear" w:color="auto" w:fill="auto"/>
            <w:tcMar>
              <w:top w:w="100" w:type="dxa"/>
              <w:left w:w="100" w:type="dxa"/>
              <w:bottom w:w="100" w:type="dxa"/>
              <w:right w:w="100" w:type="dxa"/>
            </w:tcMar>
          </w:tcPr>
          <w:p w14:paraId="24AE4E9C" w14:textId="77777777" w:rsidR="004952AF" w:rsidRPr="00B50C49" w:rsidRDefault="00B50C49" w:rsidP="00B50C49">
            <w:pPr>
              <w:widowControl w:val="0"/>
              <w:pBdr>
                <w:top w:val="nil"/>
                <w:left w:val="nil"/>
                <w:bottom w:val="nil"/>
                <w:right w:val="nil"/>
                <w:between w:val="nil"/>
              </w:pBdr>
              <w:rPr>
                <w:rFonts w:eastAsia="Times New Roman" w:cs="Times New Roman"/>
                <w:b/>
                <w:szCs w:val="24"/>
              </w:rPr>
            </w:pPr>
            <w:r w:rsidRPr="00B50C49">
              <w:rPr>
                <w:rFonts w:eastAsia="Times New Roman" w:cs="Times New Roman"/>
                <w:b/>
                <w:szCs w:val="24"/>
              </w:rPr>
              <w:t xml:space="preserve">Don'ts </w:t>
            </w:r>
          </w:p>
        </w:tc>
      </w:tr>
      <w:tr w:rsidR="004952AF" w:rsidRPr="00B50C49" w14:paraId="4C39FDE8" w14:textId="77777777">
        <w:tc>
          <w:tcPr>
            <w:tcW w:w="1485" w:type="dxa"/>
            <w:shd w:val="clear" w:color="auto" w:fill="auto"/>
            <w:tcMar>
              <w:top w:w="100" w:type="dxa"/>
              <w:left w:w="100" w:type="dxa"/>
              <w:bottom w:w="100" w:type="dxa"/>
              <w:right w:w="100" w:type="dxa"/>
            </w:tcMar>
          </w:tcPr>
          <w:p w14:paraId="04377BB5"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1.</w:t>
            </w:r>
          </w:p>
        </w:tc>
        <w:tc>
          <w:tcPr>
            <w:tcW w:w="4755" w:type="dxa"/>
            <w:shd w:val="clear" w:color="auto" w:fill="auto"/>
            <w:tcMar>
              <w:top w:w="100" w:type="dxa"/>
              <w:left w:w="100" w:type="dxa"/>
              <w:bottom w:w="100" w:type="dxa"/>
              <w:right w:w="100" w:type="dxa"/>
            </w:tcMar>
          </w:tcPr>
          <w:p w14:paraId="5F918D64"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Maintaining eye contact while speaking to the guests </w:t>
            </w:r>
          </w:p>
        </w:tc>
        <w:tc>
          <w:tcPr>
            <w:tcW w:w="3120" w:type="dxa"/>
            <w:shd w:val="clear" w:color="auto" w:fill="auto"/>
            <w:tcMar>
              <w:top w:w="100" w:type="dxa"/>
              <w:left w:w="100" w:type="dxa"/>
              <w:bottom w:w="100" w:type="dxa"/>
              <w:right w:w="100" w:type="dxa"/>
            </w:tcMar>
          </w:tcPr>
          <w:p w14:paraId="6DEA2FD5"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forget small details </w:t>
            </w:r>
          </w:p>
        </w:tc>
      </w:tr>
      <w:tr w:rsidR="004952AF" w:rsidRPr="00B50C49" w14:paraId="112C2781" w14:textId="77777777">
        <w:tc>
          <w:tcPr>
            <w:tcW w:w="1485" w:type="dxa"/>
            <w:shd w:val="clear" w:color="auto" w:fill="auto"/>
            <w:tcMar>
              <w:top w:w="100" w:type="dxa"/>
              <w:left w:w="100" w:type="dxa"/>
              <w:bottom w:w="100" w:type="dxa"/>
              <w:right w:w="100" w:type="dxa"/>
            </w:tcMar>
          </w:tcPr>
          <w:p w14:paraId="67CE8D1D"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2.</w:t>
            </w:r>
          </w:p>
        </w:tc>
        <w:tc>
          <w:tcPr>
            <w:tcW w:w="4755" w:type="dxa"/>
            <w:shd w:val="clear" w:color="auto" w:fill="auto"/>
            <w:tcMar>
              <w:top w:w="100" w:type="dxa"/>
              <w:left w:w="100" w:type="dxa"/>
              <w:bottom w:w="100" w:type="dxa"/>
              <w:right w:w="100" w:type="dxa"/>
            </w:tcMar>
          </w:tcPr>
          <w:p w14:paraId="7A087796"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Promote relevant offers and services </w:t>
            </w:r>
          </w:p>
        </w:tc>
        <w:tc>
          <w:tcPr>
            <w:tcW w:w="3120" w:type="dxa"/>
            <w:shd w:val="clear" w:color="auto" w:fill="auto"/>
            <w:tcMar>
              <w:top w:w="100" w:type="dxa"/>
              <w:left w:w="100" w:type="dxa"/>
              <w:bottom w:w="100" w:type="dxa"/>
              <w:right w:w="100" w:type="dxa"/>
            </w:tcMar>
          </w:tcPr>
          <w:p w14:paraId="31E09E78"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anger </w:t>
            </w:r>
            <w:proofErr w:type="spellStart"/>
            <w:r w:rsidRPr="00B50C49">
              <w:rPr>
                <w:rFonts w:eastAsia="Times New Roman" w:cs="Times New Roman"/>
                <w:szCs w:val="24"/>
              </w:rPr>
              <w:t>coworkers</w:t>
            </w:r>
            <w:proofErr w:type="spellEnd"/>
          </w:p>
        </w:tc>
      </w:tr>
      <w:tr w:rsidR="004952AF" w:rsidRPr="00B50C49" w14:paraId="1B9AB52B" w14:textId="77777777">
        <w:tc>
          <w:tcPr>
            <w:tcW w:w="1485" w:type="dxa"/>
            <w:shd w:val="clear" w:color="auto" w:fill="auto"/>
            <w:tcMar>
              <w:top w:w="100" w:type="dxa"/>
              <w:left w:w="100" w:type="dxa"/>
              <w:bottom w:w="100" w:type="dxa"/>
              <w:right w:w="100" w:type="dxa"/>
            </w:tcMar>
          </w:tcPr>
          <w:p w14:paraId="65F44565"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3.</w:t>
            </w:r>
          </w:p>
        </w:tc>
        <w:tc>
          <w:tcPr>
            <w:tcW w:w="4755" w:type="dxa"/>
            <w:shd w:val="clear" w:color="auto" w:fill="auto"/>
            <w:tcMar>
              <w:top w:w="100" w:type="dxa"/>
              <w:left w:w="100" w:type="dxa"/>
              <w:bottom w:w="100" w:type="dxa"/>
              <w:right w:w="100" w:type="dxa"/>
            </w:tcMar>
          </w:tcPr>
          <w:p w14:paraId="6717231C"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Ask for reviews</w:t>
            </w:r>
          </w:p>
        </w:tc>
        <w:tc>
          <w:tcPr>
            <w:tcW w:w="3120" w:type="dxa"/>
            <w:shd w:val="clear" w:color="auto" w:fill="auto"/>
            <w:tcMar>
              <w:top w:w="100" w:type="dxa"/>
              <w:left w:w="100" w:type="dxa"/>
              <w:bottom w:w="100" w:type="dxa"/>
              <w:right w:w="100" w:type="dxa"/>
            </w:tcMar>
          </w:tcPr>
          <w:p w14:paraId="7DAAC6D4"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indulge real life conversations </w:t>
            </w:r>
          </w:p>
        </w:tc>
      </w:tr>
      <w:tr w:rsidR="004952AF" w:rsidRPr="00B50C49" w14:paraId="5A5E5736" w14:textId="77777777">
        <w:tc>
          <w:tcPr>
            <w:tcW w:w="1485" w:type="dxa"/>
            <w:shd w:val="clear" w:color="auto" w:fill="auto"/>
            <w:tcMar>
              <w:top w:w="100" w:type="dxa"/>
              <w:left w:w="100" w:type="dxa"/>
              <w:bottom w:w="100" w:type="dxa"/>
              <w:right w:w="100" w:type="dxa"/>
            </w:tcMar>
          </w:tcPr>
          <w:p w14:paraId="1924F9BB"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4.</w:t>
            </w:r>
          </w:p>
        </w:tc>
        <w:tc>
          <w:tcPr>
            <w:tcW w:w="4755" w:type="dxa"/>
            <w:shd w:val="clear" w:color="auto" w:fill="auto"/>
            <w:tcMar>
              <w:top w:w="100" w:type="dxa"/>
              <w:left w:w="100" w:type="dxa"/>
              <w:bottom w:w="100" w:type="dxa"/>
              <w:right w:w="100" w:type="dxa"/>
            </w:tcMar>
          </w:tcPr>
          <w:p w14:paraId="3A8D3CDF"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Set standards </w:t>
            </w:r>
          </w:p>
        </w:tc>
        <w:tc>
          <w:tcPr>
            <w:tcW w:w="3120" w:type="dxa"/>
            <w:shd w:val="clear" w:color="auto" w:fill="auto"/>
            <w:tcMar>
              <w:top w:w="100" w:type="dxa"/>
              <w:left w:w="100" w:type="dxa"/>
              <w:bottom w:w="100" w:type="dxa"/>
              <w:right w:w="100" w:type="dxa"/>
            </w:tcMar>
          </w:tcPr>
          <w:p w14:paraId="57650ADB"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be indifferent regarding the hotel opinions </w:t>
            </w:r>
          </w:p>
        </w:tc>
      </w:tr>
      <w:tr w:rsidR="004952AF" w:rsidRPr="00B50C49" w14:paraId="2C83BE50" w14:textId="77777777">
        <w:tc>
          <w:tcPr>
            <w:tcW w:w="1485" w:type="dxa"/>
            <w:shd w:val="clear" w:color="auto" w:fill="auto"/>
            <w:tcMar>
              <w:top w:w="100" w:type="dxa"/>
              <w:left w:w="100" w:type="dxa"/>
              <w:bottom w:w="100" w:type="dxa"/>
              <w:right w:w="100" w:type="dxa"/>
            </w:tcMar>
          </w:tcPr>
          <w:p w14:paraId="7044A2C8"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5</w:t>
            </w:r>
          </w:p>
        </w:tc>
        <w:tc>
          <w:tcPr>
            <w:tcW w:w="4755" w:type="dxa"/>
            <w:shd w:val="clear" w:color="auto" w:fill="auto"/>
            <w:tcMar>
              <w:top w:w="100" w:type="dxa"/>
              <w:left w:w="100" w:type="dxa"/>
              <w:bottom w:w="100" w:type="dxa"/>
              <w:right w:w="100" w:type="dxa"/>
            </w:tcMar>
          </w:tcPr>
          <w:p w14:paraId="1425CFA4"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Be humble towards the customers  even during the complaints </w:t>
            </w:r>
          </w:p>
        </w:tc>
        <w:tc>
          <w:tcPr>
            <w:tcW w:w="3120" w:type="dxa"/>
            <w:shd w:val="clear" w:color="auto" w:fill="auto"/>
            <w:tcMar>
              <w:top w:w="100" w:type="dxa"/>
              <w:left w:w="100" w:type="dxa"/>
              <w:bottom w:w="100" w:type="dxa"/>
              <w:right w:w="100" w:type="dxa"/>
            </w:tcMar>
          </w:tcPr>
          <w:p w14:paraId="099B7929"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treat customers as transactions </w:t>
            </w:r>
          </w:p>
        </w:tc>
      </w:tr>
      <w:tr w:rsidR="004952AF" w:rsidRPr="00B50C49" w14:paraId="0EA71917" w14:textId="77777777">
        <w:trPr>
          <w:trHeight w:val="746"/>
        </w:trPr>
        <w:tc>
          <w:tcPr>
            <w:tcW w:w="1485" w:type="dxa"/>
            <w:shd w:val="clear" w:color="auto" w:fill="auto"/>
            <w:tcMar>
              <w:top w:w="100" w:type="dxa"/>
              <w:left w:w="100" w:type="dxa"/>
              <w:bottom w:w="100" w:type="dxa"/>
              <w:right w:w="100" w:type="dxa"/>
            </w:tcMar>
          </w:tcPr>
          <w:p w14:paraId="5528C12D"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6</w:t>
            </w:r>
          </w:p>
        </w:tc>
        <w:tc>
          <w:tcPr>
            <w:tcW w:w="4755" w:type="dxa"/>
            <w:shd w:val="clear" w:color="auto" w:fill="auto"/>
            <w:tcMar>
              <w:top w:w="100" w:type="dxa"/>
              <w:left w:w="100" w:type="dxa"/>
              <w:bottom w:w="100" w:type="dxa"/>
              <w:right w:w="100" w:type="dxa"/>
            </w:tcMar>
          </w:tcPr>
          <w:p w14:paraId="1787CB71"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Use other business strategies to enhance the businesses</w:t>
            </w:r>
          </w:p>
        </w:tc>
        <w:tc>
          <w:tcPr>
            <w:tcW w:w="3120" w:type="dxa"/>
            <w:shd w:val="clear" w:color="auto" w:fill="auto"/>
            <w:tcMar>
              <w:top w:w="100" w:type="dxa"/>
              <w:left w:w="100" w:type="dxa"/>
              <w:bottom w:w="100" w:type="dxa"/>
              <w:right w:w="100" w:type="dxa"/>
            </w:tcMar>
          </w:tcPr>
          <w:p w14:paraId="4F947DB3"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ignore the customers messages  and feedback </w:t>
            </w:r>
          </w:p>
        </w:tc>
      </w:tr>
      <w:tr w:rsidR="004952AF" w:rsidRPr="00B50C49" w14:paraId="684DA7CE" w14:textId="77777777">
        <w:tc>
          <w:tcPr>
            <w:tcW w:w="1485" w:type="dxa"/>
            <w:shd w:val="clear" w:color="auto" w:fill="auto"/>
            <w:tcMar>
              <w:top w:w="100" w:type="dxa"/>
              <w:left w:w="100" w:type="dxa"/>
              <w:bottom w:w="100" w:type="dxa"/>
              <w:right w:w="100" w:type="dxa"/>
            </w:tcMar>
          </w:tcPr>
          <w:p w14:paraId="3B7A51C3"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7</w:t>
            </w:r>
          </w:p>
        </w:tc>
        <w:tc>
          <w:tcPr>
            <w:tcW w:w="4755" w:type="dxa"/>
            <w:shd w:val="clear" w:color="auto" w:fill="auto"/>
            <w:tcMar>
              <w:top w:w="100" w:type="dxa"/>
              <w:left w:w="100" w:type="dxa"/>
              <w:bottom w:w="100" w:type="dxa"/>
              <w:right w:w="100" w:type="dxa"/>
            </w:tcMar>
          </w:tcPr>
          <w:p w14:paraId="5E9F677A"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Develop partnerships with local vendors and attractions </w:t>
            </w:r>
          </w:p>
        </w:tc>
        <w:tc>
          <w:tcPr>
            <w:tcW w:w="3120" w:type="dxa"/>
            <w:shd w:val="clear" w:color="auto" w:fill="auto"/>
            <w:tcMar>
              <w:top w:w="100" w:type="dxa"/>
              <w:left w:w="100" w:type="dxa"/>
              <w:bottom w:w="100" w:type="dxa"/>
              <w:right w:w="100" w:type="dxa"/>
            </w:tcMar>
          </w:tcPr>
          <w:p w14:paraId="245191A8" w14:textId="77777777" w:rsidR="004952AF" w:rsidRPr="00B50C49" w:rsidRDefault="00B50C49" w:rsidP="00B50C49">
            <w:pPr>
              <w:widowControl w:val="0"/>
              <w:pBdr>
                <w:top w:val="nil"/>
                <w:left w:val="nil"/>
                <w:bottom w:val="nil"/>
                <w:right w:val="nil"/>
                <w:between w:val="nil"/>
              </w:pBdr>
              <w:rPr>
                <w:rFonts w:eastAsia="Times New Roman" w:cs="Times New Roman"/>
                <w:szCs w:val="24"/>
              </w:rPr>
            </w:pPr>
            <w:r w:rsidRPr="00B50C49">
              <w:rPr>
                <w:rFonts w:eastAsia="Times New Roman" w:cs="Times New Roman"/>
                <w:szCs w:val="24"/>
              </w:rPr>
              <w:t xml:space="preserve">Don’t complicate directions to the property. </w:t>
            </w:r>
          </w:p>
        </w:tc>
      </w:tr>
    </w:tbl>
    <w:p w14:paraId="062B7882" w14:textId="77777777" w:rsidR="004952AF" w:rsidRPr="00B50C49" w:rsidRDefault="004952AF" w:rsidP="00B50C49">
      <w:pPr>
        <w:rPr>
          <w:rFonts w:eastAsia="Times New Roman" w:cs="Times New Roman"/>
          <w:b/>
          <w:szCs w:val="24"/>
        </w:rPr>
      </w:pPr>
    </w:p>
    <w:p w14:paraId="4CBAD191" w14:textId="77777777" w:rsidR="004952AF" w:rsidRPr="00B50C49" w:rsidRDefault="00B50C49" w:rsidP="00B50C49">
      <w:pPr>
        <w:pStyle w:val="Heading1"/>
      </w:pPr>
      <w:bookmarkStart w:id="4" w:name="_Toc84512008"/>
      <w:r w:rsidRPr="00B50C49">
        <w:t>Conclusion</w:t>
      </w:r>
      <w:bookmarkEnd w:id="4"/>
    </w:p>
    <w:p w14:paraId="36068650" w14:textId="77777777" w:rsidR="004952AF" w:rsidRPr="00B50C49" w:rsidRDefault="00B50C49" w:rsidP="00B50C49">
      <w:pPr>
        <w:rPr>
          <w:rFonts w:eastAsia="Times New Roman" w:cs="Times New Roman"/>
          <w:szCs w:val="24"/>
        </w:rPr>
      </w:pPr>
      <w:r w:rsidRPr="00B50C49">
        <w:rPr>
          <w:rFonts w:eastAsia="Times New Roman" w:cs="Times New Roman"/>
          <w:szCs w:val="24"/>
        </w:rPr>
        <w:t>This report concludes on a note that the cross cultural i</w:t>
      </w:r>
      <w:r>
        <w:rPr>
          <w:rFonts w:eastAsia="Times New Roman" w:cs="Times New Roman"/>
          <w:szCs w:val="24"/>
        </w:rPr>
        <w:t>mplications within the hospitali</w:t>
      </w:r>
      <w:r w:rsidRPr="00B50C49">
        <w:rPr>
          <w:rFonts w:eastAsia="Times New Roman" w:cs="Times New Roman"/>
          <w:szCs w:val="24"/>
        </w:rPr>
        <w:t>ty sectors of the US, forms an integral pa</w:t>
      </w:r>
      <w:r>
        <w:rPr>
          <w:rFonts w:eastAsia="Times New Roman" w:cs="Times New Roman"/>
          <w:szCs w:val="24"/>
        </w:rPr>
        <w:t xml:space="preserve">rt of the productivity and the </w:t>
      </w:r>
      <w:r w:rsidRPr="00B50C49">
        <w:rPr>
          <w:rFonts w:eastAsia="Times New Roman" w:cs="Times New Roman"/>
          <w:szCs w:val="24"/>
        </w:rPr>
        <w:t xml:space="preserve">business implementation. There are some areas in the sector that need to be upgraded with the above mentioned Hofstede’s cultural model that will enable the hotel and the hospitality sector to induce profitability  in the ;lo0ng </w:t>
      </w:r>
      <w:r w:rsidRPr="00B50C49">
        <w:rPr>
          <w:rFonts w:eastAsia="Times New Roman" w:cs="Times New Roman"/>
          <w:szCs w:val="24"/>
        </w:rPr>
        <w:lastRenderedPageBreak/>
        <w:t xml:space="preserve">run. The development of the international cultural customs within the hospitality workforce throughoutare thus, theprime factors for the elucidation of the business with the tabular form of the Do’s and Don'ts that are above mentioned. </w:t>
      </w:r>
    </w:p>
    <w:p w14:paraId="335B6E59" w14:textId="77777777" w:rsidR="00B50C49" w:rsidRDefault="00B50C49" w:rsidP="00B50C49">
      <w:pPr>
        <w:rPr>
          <w:rFonts w:eastAsia="Times New Roman" w:cs="Times New Roman"/>
          <w:b/>
          <w:szCs w:val="24"/>
        </w:rPr>
      </w:pPr>
    </w:p>
    <w:p w14:paraId="55A52A84" w14:textId="77777777" w:rsidR="00B50C49" w:rsidRDefault="00B50C49" w:rsidP="00B50C49">
      <w:pPr>
        <w:rPr>
          <w:rFonts w:eastAsia="Times New Roman" w:cs="Times New Roman"/>
          <w:b/>
          <w:szCs w:val="24"/>
        </w:rPr>
      </w:pPr>
    </w:p>
    <w:p w14:paraId="3C5CF028" w14:textId="77777777" w:rsidR="00B50C49" w:rsidRDefault="00B50C49" w:rsidP="00B50C49">
      <w:pPr>
        <w:rPr>
          <w:rFonts w:eastAsia="Times New Roman" w:cs="Times New Roman"/>
          <w:b/>
          <w:szCs w:val="24"/>
        </w:rPr>
      </w:pPr>
    </w:p>
    <w:p w14:paraId="5475FF14" w14:textId="77777777" w:rsidR="00B50C49" w:rsidRDefault="00B50C49" w:rsidP="00B50C49">
      <w:pPr>
        <w:rPr>
          <w:rFonts w:eastAsia="Times New Roman" w:cs="Times New Roman"/>
          <w:b/>
          <w:szCs w:val="24"/>
        </w:rPr>
      </w:pPr>
    </w:p>
    <w:p w14:paraId="4DC78638" w14:textId="77777777" w:rsidR="00B50C49" w:rsidRDefault="00B50C49" w:rsidP="00B50C49">
      <w:pPr>
        <w:rPr>
          <w:rFonts w:eastAsia="Times New Roman" w:cs="Times New Roman"/>
          <w:b/>
          <w:szCs w:val="24"/>
        </w:rPr>
      </w:pPr>
    </w:p>
    <w:p w14:paraId="7A74F805" w14:textId="77777777" w:rsidR="00B50C49" w:rsidRDefault="00B50C49" w:rsidP="00B50C49">
      <w:pPr>
        <w:rPr>
          <w:rFonts w:eastAsia="Times New Roman" w:cs="Times New Roman"/>
          <w:b/>
          <w:szCs w:val="24"/>
        </w:rPr>
      </w:pPr>
    </w:p>
    <w:p w14:paraId="745BC44F" w14:textId="77777777" w:rsidR="00B50C49" w:rsidRDefault="00B50C49" w:rsidP="00B50C49">
      <w:pPr>
        <w:rPr>
          <w:rFonts w:eastAsia="Times New Roman" w:cs="Times New Roman"/>
          <w:b/>
          <w:szCs w:val="24"/>
        </w:rPr>
      </w:pPr>
    </w:p>
    <w:p w14:paraId="7F870B7F" w14:textId="77777777" w:rsidR="00B50C49" w:rsidRDefault="00B50C49" w:rsidP="00B50C49">
      <w:pPr>
        <w:rPr>
          <w:rFonts w:eastAsia="Times New Roman" w:cs="Times New Roman"/>
          <w:b/>
          <w:szCs w:val="24"/>
        </w:rPr>
      </w:pPr>
    </w:p>
    <w:p w14:paraId="7AD110A0" w14:textId="77777777" w:rsidR="00B50C49" w:rsidRDefault="00B50C49" w:rsidP="00B50C49">
      <w:pPr>
        <w:rPr>
          <w:rFonts w:eastAsia="Times New Roman" w:cs="Times New Roman"/>
          <w:b/>
          <w:szCs w:val="24"/>
        </w:rPr>
      </w:pPr>
    </w:p>
    <w:p w14:paraId="4177D651" w14:textId="77777777" w:rsidR="00B50C49" w:rsidRDefault="00B50C49" w:rsidP="00B50C49">
      <w:pPr>
        <w:rPr>
          <w:rFonts w:eastAsia="Times New Roman" w:cs="Times New Roman"/>
          <w:b/>
          <w:szCs w:val="24"/>
        </w:rPr>
      </w:pPr>
    </w:p>
    <w:p w14:paraId="2D65B592" w14:textId="77777777" w:rsidR="00B50C49" w:rsidRDefault="00B50C49" w:rsidP="00B50C49">
      <w:pPr>
        <w:rPr>
          <w:rFonts w:eastAsia="Times New Roman" w:cs="Times New Roman"/>
          <w:b/>
          <w:szCs w:val="24"/>
        </w:rPr>
      </w:pPr>
    </w:p>
    <w:p w14:paraId="31F37B34" w14:textId="77777777" w:rsidR="00B50C49" w:rsidRDefault="00B50C49" w:rsidP="00B50C49">
      <w:pPr>
        <w:rPr>
          <w:rFonts w:eastAsia="Times New Roman" w:cs="Times New Roman"/>
          <w:b/>
          <w:szCs w:val="24"/>
        </w:rPr>
      </w:pPr>
    </w:p>
    <w:p w14:paraId="64CA5992" w14:textId="77777777" w:rsidR="00B50C49" w:rsidRDefault="00B50C49" w:rsidP="00B50C49">
      <w:pPr>
        <w:rPr>
          <w:rFonts w:eastAsia="Times New Roman" w:cs="Times New Roman"/>
          <w:b/>
          <w:szCs w:val="24"/>
        </w:rPr>
      </w:pPr>
    </w:p>
    <w:p w14:paraId="41DB3485" w14:textId="77777777" w:rsidR="00B50C49" w:rsidRDefault="00B50C49" w:rsidP="00B50C49">
      <w:pPr>
        <w:rPr>
          <w:rFonts w:eastAsia="Times New Roman" w:cs="Times New Roman"/>
          <w:b/>
          <w:szCs w:val="24"/>
        </w:rPr>
      </w:pPr>
    </w:p>
    <w:p w14:paraId="117A9D2C" w14:textId="77777777" w:rsidR="00B50C49" w:rsidRDefault="00B50C49" w:rsidP="00B50C49">
      <w:pPr>
        <w:rPr>
          <w:rFonts w:eastAsia="Times New Roman" w:cs="Times New Roman"/>
          <w:b/>
          <w:szCs w:val="24"/>
        </w:rPr>
      </w:pPr>
    </w:p>
    <w:p w14:paraId="27EC6612" w14:textId="77777777" w:rsidR="00B50C49" w:rsidRDefault="00B50C49" w:rsidP="00B50C49">
      <w:pPr>
        <w:rPr>
          <w:rFonts w:eastAsia="Times New Roman" w:cs="Times New Roman"/>
          <w:b/>
          <w:szCs w:val="24"/>
        </w:rPr>
      </w:pPr>
    </w:p>
    <w:p w14:paraId="33148626" w14:textId="77777777" w:rsidR="00B50C49" w:rsidRDefault="00B50C49" w:rsidP="00B50C49">
      <w:pPr>
        <w:rPr>
          <w:rFonts w:eastAsia="Times New Roman" w:cs="Times New Roman"/>
          <w:b/>
          <w:szCs w:val="24"/>
        </w:rPr>
      </w:pPr>
    </w:p>
    <w:p w14:paraId="356B2FD4" w14:textId="77777777" w:rsidR="00B50C49" w:rsidRDefault="00B50C49" w:rsidP="00B50C49">
      <w:pPr>
        <w:rPr>
          <w:rFonts w:eastAsia="Times New Roman" w:cs="Times New Roman"/>
          <w:b/>
          <w:szCs w:val="24"/>
        </w:rPr>
      </w:pPr>
    </w:p>
    <w:p w14:paraId="6C16B18D" w14:textId="77777777" w:rsidR="00B50C49" w:rsidRDefault="00B50C49" w:rsidP="00B50C49">
      <w:pPr>
        <w:rPr>
          <w:rFonts w:eastAsia="Times New Roman" w:cs="Times New Roman"/>
          <w:b/>
          <w:szCs w:val="24"/>
        </w:rPr>
      </w:pPr>
    </w:p>
    <w:p w14:paraId="3DA670C0" w14:textId="77777777" w:rsidR="00B50C49" w:rsidRDefault="00B50C49" w:rsidP="00B50C49">
      <w:pPr>
        <w:rPr>
          <w:rFonts w:eastAsia="Times New Roman" w:cs="Times New Roman"/>
          <w:b/>
          <w:szCs w:val="24"/>
        </w:rPr>
      </w:pPr>
    </w:p>
    <w:p w14:paraId="35403969" w14:textId="77777777" w:rsidR="00B50C49" w:rsidRDefault="00B50C49" w:rsidP="00B50C49">
      <w:pPr>
        <w:rPr>
          <w:rFonts w:eastAsia="Times New Roman" w:cs="Times New Roman"/>
          <w:b/>
          <w:szCs w:val="24"/>
        </w:rPr>
      </w:pPr>
    </w:p>
    <w:p w14:paraId="7BE74BCE" w14:textId="77777777" w:rsidR="00B50C49" w:rsidRDefault="00B50C49" w:rsidP="00B50C49">
      <w:pPr>
        <w:rPr>
          <w:rFonts w:eastAsia="Times New Roman" w:cs="Times New Roman"/>
          <w:b/>
          <w:szCs w:val="24"/>
        </w:rPr>
      </w:pPr>
    </w:p>
    <w:p w14:paraId="735415CB" w14:textId="77777777" w:rsidR="004952AF" w:rsidRPr="00B50C49" w:rsidRDefault="00B50C49" w:rsidP="00B50C49">
      <w:pPr>
        <w:pStyle w:val="Heading1"/>
      </w:pPr>
      <w:bookmarkStart w:id="5" w:name="_Toc84512009"/>
      <w:r w:rsidRPr="00B50C49">
        <w:lastRenderedPageBreak/>
        <w:t>References</w:t>
      </w:r>
      <w:bookmarkEnd w:id="5"/>
    </w:p>
    <w:p w14:paraId="7BD5059A" w14:textId="77777777" w:rsidR="00B50C49" w:rsidRDefault="00B50C49" w:rsidP="00B50C49">
      <w:pPr>
        <w:rPr>
          <w:rFonts w:cs="Times New Roman"/>
          <w:color w:val="222222"/>
          <w:szCs w:val="24"/>
          <w:highlight w:val="white"/>
        </w:rPr>
      </w:pPr>
      <w:r w:rsidRPr="00B50C49">
        <w:rPr>
          <w:rFonts w:cs="Times New Roman"/>
          <w:color w:val="222222"/>
          <w:szCs w:val="24"/>
          <w:highlight w:val="white"/>
        </w:rPr>
        <w:t xml:space="preserve">Chon, K., Park, E. and Zoltan, J., 2020. The Asian paradigm in hospitality and tourism. </w:t>
      </w:r>
      <w:r w:rsidRPr="00B50C49">
        <w:rPr>
          <w:rFonts w:cs="Times New Roman"/>
          <w:i/>
          <w:color w:val="222222"/>
          <w:szCs w:val="24"/>
          <w:highlight w:val="white"/>
        </w:rPr>
        <w:t>Journal of Hospitality &amp; Tourism Research</w:t>
      </w:r>
      <w:r w:rsidRPr="00B50C49">
        <w:rPr>
          <w:rFonts w:cs="Times New Roman"/>
          <w:color w:val="222222"/>
          <w:szCs w:val="24"/>
          <w:highlight w:val="white"/>
        </w:rPr>
        <w:t xml:space="preserve">, </w:t>
      </w:r>
      <w:r w:rsidRPr="00B50C49">
        <w:rPr>
          <w:rFonts w:cs="Times New Roman"/>
          <w:i/>
          <w:color w:val="222222"/>
          <w:szCs w:val="24"/>
          <w:highlight w:val="white"/>
        </w:rPr>
        <w:t>44</w:t>
      </w:r>
      <w:r w:rsidRPr="00B50C49">
        <w:rPr>
          <w:rFonts w:cs="Times New Roman"/>
          <w:color w:val="222222"/>
          <w:szCs w:val="24"/>
          <w:highlight w:val="white"/>
        </w:rPr>
        <w:t>(8), pp.1183-1202.</w:t>
      </w:r>
    </w:p>
    <w:p w14:paraId="3644E4B3" w14:textId="77777777" w:rsidR="00C7383F" w:rsidRPr="00B50C49" w:rsidRDefault="00C7383F" w:rsidP="00B50C49">
      <w:pPr>
        <w:rPr>
          <w:rFonts w:cs="Times New Roman"/>
          <w:color w:val="222222"/>
          <w:szCs w:val="24"/>
          <w:highlight w:val="white"/>
        </w:rPr>
      </w:pPr>
    </w:p>
    <w:p w14:paraId="0C067555" w14:textId="77777777" w:rsidR="00B50C49" w:rsidRDefault="00B50C49" w:rsidP="00B50C49">
      <w:pPr>
        <w:rPr>
          <w:rFonts w:cs="Times New Roman"/>
          <w:color w:val="222222"/>
          <w:szCs w:val="24"/>
          <w:highlight w:val="white"/>
        </w:rPr>
      </w:pPr>
      <w:proofErr w:type="spellStart"/>
      <w:r w:rsidRPr="00B50C49">
        <w:rPr>
          <w:rFonts w:cs="Times New Roman"/>
          <w:color w:val="222222"/>
          <w:szCs w:val="24"/>
          <w:highlight w:val="white"/>
        </w:rPr>
        <w:t>Ergün</w:t>
      </w:r>
      <w:proofErr w:type="spellEnd"/>
      <w:r w:rsidRPr="00B50C49">
        <w:rPr>
          <w:rFonts w:cs="Times New Roman"/>
          <w:color w:val="222222"/>
          <w:szCs w:val="24"/>
          <w:highlight w:val="white"/>
        </w:rPr>
        <w:t xml:space="preserve">, G.S. and </w:t>
      </w:r>
      <w:proofErr w:type="spellStart"/>
      <w:r w:rsidRPr="00B50C49">
        <w:rPr>
          <w:rFonts w:cs="Times New Roman"/>
          <w:color w:val="222222"/>
          <w:szCs w:val="24"/>
          <w:highlight w:val="white"/>
        </w:rPr>
        <w:t>Kitapci</w:t>
      </w:r>
      <w:proofErr w:type="spellEnd"/>
      <w:r w:rsidRPr="00B50C49">
        <w:rPr>
          <w:rFonts w:cs="Times New Roman"/>
          <w:color w:val="222222"/>
          <w:szCs w:val="24"/>
          <w:highlight w:val="white"/>
        </w:rPr>
        <w:t>, O., 2018. The impact of cultural dimensions on customer complaint behaviours: an exploratory study in Antalya/</w:t>
      </w:r>
      <w:proofErr w:type="spellStart"/>
      <w:r w:rsidRPr="00B50C49">
        <w:rPr>
          <w:rFonts w:cs="Times New Roman"/>
          <w:color w:val="222222"/>
          <w:szCs w:val="24"/>
          <w:highlight w:val="white"/>
        </w:rPr>
        <w:t>Manavgat</w:t>
      </w:r>
      <w:proofErr w:type="spellEnd"/>
      <w:r w:rsidRPr="00B50C49">
        <w:rPr>
          <w:rFonts w:cs="Times New Roman"/>
          <w:color w:val="222222"/>
          <w:szCs w:val="24"/>
          <w:highlight w:val="white"/>
        </w:rPr>
        <w:t xml:space="preserve"> tourism region. </w:t>
      </w:r>
      <w:r w:rsidRPr="00B50C49">
        <w:rPr>
          <w:rFonts w:cs="Times New Roman"/>
          <w:i/>
          <w:color w:val="222222"/>
          <w:szCs w:val="24"/>
          <w:highlight w:val="white"/>
        </w:rPr>
        <w:t>International Journal of Culture, Tourism and Hospitality Research</w:t>
      </w:r>
      <w:r w:rsidRPr="00B50C49">
        <w:rPr>
          <w:rFonts w:cs="Times New Roman"/>
          <w:color w:val="222222"/>
          <w:szCs w:val="24"/>
          <w:highlight w:val="white"/>
        </w:rPr>
        <w:t>.</w:t>
      </w:r>
    </w:p>
    <w:p w14:paraId="6ECFEA3C" w14:textId="77777777" w:rsidR="00C7383F" w:rsidRPr="00B50C49" w:rsidRDefault="00C7383F" w:rsidP="00B50C49">
      <w:pPr>
        <w:rPr>
          <w:rFonts w:cs="Times New Roman"/>
          <w:color w:val="222222"/>
          <w:szCs w:val="24"/>
          <w:highlight w:val="white"/>
        </w:rPr>
      </w:pPr>
    </w:p>
    <w:p w14:paraId="3959EE04" w14:textId="77777777" w:rsidR="00B50C49" w:rsidRDefault="00B50C49" w:rsidP="00B50C49">
      <w:pPr>
        <w:rPr>
          <w:rFonts w:cs="Times New Roman"/>
          <w:color w:val="222222"/>
          <w:szCs w:val="24"/>
          <w:highlight w:val="white"/>
        </w:rPr>
      </w:pPr>
      <w:r w:rsidRPr="00B50C49">
        <w:rPr>
          <w:rFonts w:cs="Times New Roman"/>
          <w:color w:val="222222"/>
          <w:szCs w:val="24"/>
          <w:highlight w:val="white"/>
        </w:rPr>
        <w:t xml:space="preserve">Gaur, S.S., Sharma, P., </w:t>
      </w:r>
      <w:proofErr w:type="spellStart"/>
      <w:r w:rsidRPr="00B50C49">
        <w:rPr>
          <w:rFonts w:cs="Times New Roman"/>
          <w:color w:val="222222"/>
          <w:szCs w:val="24"/>
          <w:highlight w:val="white"/>
        </w:rPr>
        <w:t>Herjanto</w:t>
      </w:r>
      <w:proofErr w:type="spellEnd"/>
      <w:r w:rsidRPr="00B50C49">
        <w:rPr>
          <w:rFonts w:cs="Times New Roman"/>
          <w:color w:val="222222"/>
          <w:szCs w:val="24"/>
          <w:highlight w:val="white"/>
        </w:rPr>
        <w:t xml:space="preserve">, H. and </w:t>
      </w:r>
      <w:proofErr w:type="spellStart"/>
      <w:r w:rsidRPr="00B50C49">
        <w:rPr>
          <w:rFonts w:cs="Times New Roman"/>
          <w:color w:val="222222"/>
          <w:szCs w:val="24"/>
          <w:highlight w:val="white"/>
        </w:rPr>
        <w:t>Kingshott</w:t>
      </w:r>
      <w:proofErr w:type="spellEnd"/>
      <w:r w:rsidRPr="00B50C49">
        <w:rPr>
          <w:rFonts w:cs="Times New Roman"/>
          <w:color w:val="222222"/>
          <w:szCs w:val="24"/>
          <w:highlight w:val="white"/>
        </w:rPr>
        <w:t xml:space="preserve">, R.P., 2017. Impact of frontline service employees’ acculturation </w:t>
      </w:r>
      <w:proofErr w:type="spellStart"/>
      <w:r w:rsidRPr="00B50C49">
        <w:rPr>
          <w:rFonts w:cs="Times New Roman"/>
          <w:color w:val="222222"/>
          <w:szCs w:val="24"/>
          <w:highlight w:val="white"/>
        </w:rPr>
        <w:t>behaviors</w:t>
      </w:r>
      <w:proofErr w:type="spellEnd"/>
      <w:r w:rsidRPr="00B50C49">
        <w:rPr>
          <w:rFonts w:cs="Times New Roman"/>
          <w:color w:val="222222"/>
          <w:szCs w:val="24"/>
          <w:highlight w:val="white"/>
        </w:rPr>
        <w:t xml:space="preserve"> on customer satisfaction and commitment in intercultural service encounters. </w:t>
      </w:r>
      <w:r w:rsidRPr="00B50C49">
        <w:rPr>
          <w:rFonts w:cs="Times New Roman"/>
          <w:i/>
          <w:color w:val="222222"/>
          <w:szCs w:val="24"/>
          <w:highlight w:val="white"/>
        </w:rPr>
        <w:t>Journal of Service Theory and Practice</w:t>
      </w:r>
      <w:r w:rsidRPr="00B50C49">
        <w:rPr>
          <w:rFonts w:cs="Times New Roman"/>
          <w:color w:val="222222"/>
          <w:szCs w:val="24"/>
          <w:highlight w:val="white"/>
        </w:rPr>
        <w:t>.</w:t>
      </w:r>
    </w:p>
    <w:p w14:paraId="4A0CF0C9" w14:textId="77777777" w:rsidR="00C7383F" w:rsidRDefault="00C7383F" w:rsidP="00C7383F">
      <w:pPr>
        <w:rPr>
          <w:color w:val="222222"/>
          <w:szCs w:val="24"/>
          <w:highlight w:val="white"/>
        </w:rPr>
      </w:pPr>
    </w:p>
    <w:p w14:paraId="6D7E26FC" w14:textId="77777777" w:rsidR="00C7383F" w:rsidRDefault="00C7383F" w:rsidP="00C7383F">
      <w:pPr>
        <w:rPr>
          <w:color w:val="222222"/>
          <w:szCs w:val="24"/>
          <w:highlight w:val="white"/>
        </w:rPr>
      </w:pPr>
      <w:r>
        <w:rPr>
          <w:color w:val="222222"/>
          <w:szCs w:val="24"/>
          <w:highlight w:val="white"/>
        </w:rPr>
        <w:t xml:space="preserve">Harish, K.A. and Prabha, B.J., 2021. A Predictive Analysis on Annoyance of Work Environmental Factors and its Impact on the Employees of Private organizations during Covid-19. </w:t>
      </w:r>
      <w:r>
        <w:rPr>
          <w:i/>
          <w:color w:val="222222"/>
          <w:szCs w:val="24"/>
          <w:highlight w:val="white"/>
        </w:rPr>
        <w:t>Annals of the Romanian Society for Cell Biology</w:t>
      </w:r>
      <w:r>
        <w:rPr>
          <w:color w:val="222222"/>
          <w:szCs w:val="24"/>
          <w:highlight w:val="white"/>
        </w:rPr>
        <w:t>, pp.10043-10051.</w:t>
      </w:r>
    </w:p>
    <w:p w14:paraId="1BAA74D4" w14:textId="77777777" w:rsidR="00C7383F" w:rsidRPr="00B50C49" w:rsidRDefault="00C7383F" w:rsidP="00B50C49">
      <w:pPr>
        <w:rPr>
          <w:rFonts w:cs="Times New Roman"/>
          <w:color w:val="222222"/>
          <w:szCs w:val="24"/>
          <w:highlight w:val="white"/>
        </w:rPr>
      </w:pPr>
    </w:p>
    <w:p w14:paraId="7550B66A" w14:textId="77777777" w:rsidR="00B50C49" w:rsidRDefault="00B50C49" w:rsidP="00B50C49">
      <w:pPr>
        <w:rPr>
          <w:rFonts w:cs="Times New Roman"/>
          <w:color w:val="222222"/>
          <w:szCs w:val="24"/>
          <w:highlight w:val="white"/>
        </w:rPr>
      </w:pPr>
      <w:r w:rsidRPr="00B50C49">
        <w:rPr>
          <w:rFonts w:cs="Times New Roman"/>
          <w:color w:val="222222"/>
          <w:szCs w:val="24"/>
          <w:highlight w:val="white"/>
        </w:rPr>
        <w:t xml:space="preserve">Huang, S.S. and </w:t>
      </w:r>
      <w:proofErr w:type="spellStart"/>
      <w:r w:rsidRPr="00B50C49">
        <w:rPr>
          <w:rFonts w:cs="Times New Roman"/>
          <w:color w:val="222222"/>
          <w:szCs w:val="24"/>
          <w:highlight w:val="white"/>
        </w:rPr>
        <w:t>Crotts</w:t>
      </w:r>
      <w:proofErr w:type="spellEnd"/>
      <w:r w:rsidRPr="00B50C49">
        <w:rPr>
          <w:rFonts w:cs="Times New Roman"/>
          <w:color w:val="222222"/>
          <w:szCs w:val="24"/>
          <w:highlight w:val="white"/>
        </w:rPr>
        <w:t xml:space="preserve">, J., 2019. Relationships between Hofstede's cultural dimensions and tourist satisfaction: A cross-country cross-sample examination. </w:t>
      </w:r>
      <w:r w:rsidRPr="00B50C49">
        <w:rPr>
          <w:rFonts w:cs="Times New Roman"/>
          <w:i/>
          <w:color w:val="222222"/>
          <w:szCs w:val="24"/>
          <w:highlight w:val="white"/>
        </w:rPr>
        <w:t>Tourism management</w:t>
      </w:r>
      <w:r w:rsidRPr="00B50C49">
        <w:rPr>
          <w:rFonts w:cs="Times New Roman"/>
          <w:color w:val="222222"/>
          <w:szCs w:val="24"/>
          <w:highlight w:val="white"/>
        </w:rPr>
        <w:t xml:space="preserve">, </w:t>
      </w:r>
      <w:r w:rsidRPr="00B50C49">
        <w:rPr>
          <w:rFonts w:cs="Times New Roman"/>
          <w:i/>
          <w:color w:val="222222"/>
          <w:szCs w:val="24"/>
          <w:highlight w:val="white"/>
        </w:rPr>
        <w:t>72</w:t>
      </w:r>
      <w:r w:rsidRPr="00B50C49">
        <w:rPr>
          <w:rFonts w:cs="Times New Roman"/>
          <w:color w:val="222222"/>
          <w:szCs w:val="24"/>
          <w:highlight w:val="white"/>
        </w:rPr>
        <w:t>, pp.232-241.</w:t>
      </w:r>
    </w:p>
    <w:p w14:paraId="3472F2B3" w14:textId="77777777" w:rsidR="00C7383F" w:rsidRPr="00B50C49" w:rsidRDefault="00C7383F" w:rsidP="00B50C49">
      <w:pPr>
        <w:rPr>
          <w:rFonts w:cs="Times New Roman"/>
          <w:color w:val="222222"/>
          <w:szCs w:val="24"/>
          <w:highlight w:val="white"/>
        </w:rPr>
      </w:pPr>
    </w:p>
    <w:p w14:paraId="38D58FF9" w14:textId="77777777" w:rsidR="00B50C49" w:rsidRPr="00B50C49" w:rsidRDefault="00B50C49" w:rsidP="00B50C49">
      <w:pPr>
        <w:rPr>
          <w:rFonts w:cs="Times New Roman"/>
          <w:color w:val="222222"/>
          <w:szCs w:val="24"/>
          <w:highlight w:val="white"/>
        </w:rPr>
      </w:pPr>
      <w:r w:rsidRPr="00B50C49">
        <w:rPr>
          <w:rFonts w:cs="Times New Roman"/>
          <w:color w:val="222222"/>
          <w:szCs w:val="24"/>
          <w:highlight w:val="white"/>
        </w:rPr>
        <w:t xml:space="preserve">Irwin, H., 2020. </w:t>
      </w:r>
      <w:r w:rsidRPr="00B50C49">
        <w:rPr>
          <w:rFonts w:cs="Times New Roman"/>
          <w:i/>
          <w:color w:val="222222"/>
          <w:szCs w:val="24"/>
          <w:highlight w:val="white"/>
        </w:rPr>
        <w:t>Communicating with Asia: Understanding people and customs</w:t>
      </w:r>
      <w:r w:rsidRPr="00B50C49">
        <w:rPr>
          <w:rFonts w:cs="Times New Roman"/>
          <w:color w:val="222222"/>
          <w:szCs w:val="24"/>
          <w:highlight w:val="white"/>
        </w:rPr>
        <w:t>. Routledge.</w:t>
      </w:r>
    </w:p>
    <w:p w14:paraId="74012037" w14:textId="77777777" w:rsidR="00B50C49" w:rsidRDefault="00B50C49" w:rsidP="00B50C49">
      <w:pPr>
        <w:rPr>
          <w:rFonts w:cs="Times New Roman"/>
          <w:color w:val="222222"/>
          <w:szCs w:val="24"/>
          <w:highlight w:val="white"/>
        </w:rPr>
      </w:pPr>
      <w:r w:rsidRPr="00B50C49">
        <w:rPr>
          <w:rFonts w:cs="Times New Roman"/>
          <w:color w:val="222222"/>
          <w:szCs w:val="24"/>
          <w:highlight w:val="white"/>
        </w:rPr>
        <w:t>Jackson, T., 2020. The legacy of Geert Hofstede.</w:t>
      </w:r>
    </w:p>
    <w:p w14:paraId="6A3DD93C" w14:textId="77777777" w:rsidR="00C7383F" w:rsidRPr="00B50C49" w:rsidRDefault="00C7383F" w:rsidP="00B50C49">
      <w:pPr>
        <w:rPr>
          <w:rFonts w:cs="Times New Roman"/>
          <w:color w:val="222222"/>
          <w:szCs w:val="24"/>
          <w:highlight w:val="white"/>
        </w:rPr>
      </w:pPr>
    </w:p>
    <w:p w14:paraId="61C3CB5B" w14:textId="77777777" w:rsidR="00B50C49" w:rsidRDefault="00B50C49" w:rsidP="00B50C49">
      <w:pPr>
        <w:rPr>
          <w:rFonts w:cs="Times New Roman"/>
          <w:color w:val="222222"/>
          <w:szCs w:val="24"/>
          <w:highlight w:val="white"/>
        </w:rPr>
      </w:pPr>
      <w:proofErr w:type="spellStart"/>
      <w:r w:rsidRPr="00B50C49">
        <w:rPr>
          <w:rFonts w:cs="Times New Roman"/>
          <w:color w:val="222222"/>
          <w:szCs w:val="24"/>
          <w:highlight w:val="white"/>
        </w:rPr>
        <w:t>Mariani</w:t>
      </w:r>
      <w:proofErr w:type="spellEnd"/>
      <w:r w:rsidRPr="00B50C49">
        <w:rPr>
          <w:rFonts w:cs="Times New Roman"/>
          <w:color w:val="222222"/>
          <w:szCs w:val="24"/>
          <w:highlight w:val="white"/>
        </w:rPr>
        <w:t xml:space="preserve">, M.M., </w:t>
      </w:r>
      <w:proofErr w:type="spellStart"/>
      <w:r w:rsidRPr="00B50C49">
        <w:rPr>
          <w:rFonts w:cs="Times New Roman"/>
          <w:color w:val="222222"/>
          <w:szCs w:val="24"/>
          <w:highlight w:val="white"/>
        </w:rPr>
        <w:t>Borghi</w:t>
      </w:r>
      <w:proofErr w:type="spellEnd"/>
      <w:r w:rsidRPr="00B50C49">
        <w:rPr>
          <w:rFonts w:cs="Times New Roman"/>
          <w:color w:val="222222"/>
          <w:szCs w:val="24"/>
          <w:highlight w:val="white"/>
        </w:rPr>
        <w:t xml:space="preserve">, M. and </w:t>
      </w:r>
      <w:proofErr w:type="spellStart"/>
      <w:r w:rsidRPr="00B50C49">
        <w:rPr>
          <w:rFonts w:cs="Times New Roman"/>
          <w:color w:val="222222"/>
          <w:szCs w:val="24"/>
          <w:highlight w:val="white"/>
        </w:rPr>
        <w:t>Okumus</w:t>
      </w:r>
      <w:proofErr w:type="spellEnd"/>
      <w:r w:rsidRPr="00B50C49">
        <w:rPr>
          <w:rFonts w:cs="Times New Roman"/>
          <w:color w:val="222222"/>
          <w:szCs w:val="24"/>
          <w:highlight w:val="white"/>
        </w:rPr>
        <w:t xml:space="preserve">, F., 2020. Unravelling the effects of cultural differences in the online appraisal of hospitality and tourism services. </w:t>
      </w:r>
      <w:r w:rsidRPr="00B50C49">
        <w:rPr>
          <w:rFonts w:cs="Times New Roman"/>
          <w:i/>
          <w:color w:val="222222"/>
          <w:szCs w:val="24"/>
          <w:highlight w:val="white"/>
        </w:rPr>
        <w:t>International Journal of Hospitality Management</w:t>
      </w:r>
      <w:r w:rsidRPr="00B50C49">
        <w:rPr>
          <w:rFonts w:cs="Times New Roman"/>
          <w:color w:val="222222"/>
          <w:szCs w:val="24"/>
          <w:highlight w:val="white"/>
        </w:rPr>
        <w:t xml:space="preserve">, </w:t>
      </w:r>
      <w:r w:rsidRPr="00B50C49">
        <w:rPr>
          <w:rFonts w:cs="Times New Roman"/>
          <w:i/>
          <w:color w:val="222222"/>
          <w:szCs w:val="24"/>
          <w:highlight w:val="white"/>
        </w:rPr>
        <w:t>90</w:t>
      </w:r>
      <w:r w:rsidRPr="00B50C49">
        <w:rPr>
          <w:rFonts w:cs="Times New Roman"/>
          <w:color w:val="222222"/>
          <w:szCs w:val="24"/>
          <w:highlight w:val="white"/>
        </w:rPr>
        <w:t>, p.102606.</w:t>
      </w:r>
    </w:p>
    <w:p w14:paraId="2F5D45DD" w14:textId="77777777" w:rsidR="00C7383F" w:rsidRPr="00B50C49" w:rsidRDefault="00C7383F" w:rsidP="00B50C49">
      <w:pPr>
        <w:rPr>
          <w:rFonts w:cs="Times New Roman"/>
          <w:color w:val="222222"/>
          <w:szCs w:val="24"/>
          <w:highlight w:val="white"/>
        </w:rPr>
      </w:pPr>
    </w:p>
    <w:p w14:paraId="284E0707" w14:textId="77777777" w:rsidR="00B50C49" w:rsidRPr="00B50C49" w:rsidRDefault="00B50C49" w:rsidP="00B50C49">
      <w:pPr>
        <w:rPr>
          <w:rFonts w:cs="Times New Roman"/>
          <w:color w:val="222222"/>
          <w:szCs w:val="24"/>
          <w:highlight w:val="white"/>
        </w:rPr>
      </w:pPr>
      <w:r w:rsidRPr="00B50C49">
        <w:rPr>
          <w:rFonts w:cs="Times New Roman"/>
          <w:color w:val="222222"/>
          <w:szCs w:val="24"/>
          <w:highlight w:val="white"/>
        </w:rPr>
        <w:t xml:space="preserve">Radojevic, T., </w:t>
      </w:r>
      <w:proofErr w:type="spellStart"/>
      <w:r w:rsidRPr="00B50C49">
        <w:rPr>
          <w:rFonts w:cs="Times New Roman"/>
          <w:color w:val="222222"/>
          <w:szCs w:val="24"/>
          <w:highlight w:val="white"/>
        </w:rPr>
        <w:t>Stanisic</w:t>
      </w:r>
      <w:proofErr w:type="spellEnd"/>
      <w:r w:rsidRPr="00B50C49">
        <w:rPr>
          <w:rFonts w:cs="Times New Roman"/>
          <w:color w:val="222222"/>
          <w:szCs w:val="24"/>
          <w:highlight w:val="white"/>
        </w:rPr>
        <w:t xml:space="preserve">, N. and </w:t>
      </w:r>
      <w:proofErr w:type="spellStart"/>
      <w:r w:rsidRPr="00B50C49">
        <w:rPr>
          <w:rFonts w:cs="Times New Roman"/>
          <w:color w:val="222222"/>
          <w:szCs w:val="24"/>
          <w:highlight w:val="white"/>
        </w:rPr>
        <w:t>Stanic</w:t>
      </w:r>
      <w:proofErr w:type="spellEnd"/>
      <w:r w:rsidRPr="00B50C49">
        <w:rPr>
          <w:rFonts w:cs="Times New Roman"/>
          <w:color w:val="222222"/>
          <w:szCs w:val="24"/>
          <w:highlight w:val="white"/>
        </w:rPr>
        <w:t xml:space="preserve">, N., 2019. The culture of hospitality: From anecdote to evidence. </w:t>
      </w:r>
      <w:r w:rsidRPr="00B50C49">
        <w:rPr>
          <w:rFonts w:cs="Times New Roman"/>
          <w:i/>
          <w:color w:val="222222"/>
          <w:szCs w:val="24"/>
          <w:highlight w:val="white"/>
        </w:rPr>
        <w:t>Annals of Tourism Research</w:t>
      </w:r>
      <w:r w:rsidRPr="00B50C49">
        <w:rPr>
          <w:rFonts w:cs="Times New Roman"/>
          <w:color w:val="222222"/>
          <w:szCs w:val="24"/>
          <w:highlight w:val="white"/>
        </w:rPr>
        <w:t xml:space="preserve">, </w:t>
      </w:r>
      <w:r w:rsidRPr="00B50C49">
        <w:rPr>
          <w:rFonts w:cs="Times New Roman"/>
          <w:i/>
          <w:color w:val="222222"/>
          <w:szCs w:val="24"/>
          <w:highlight w:val="white"/>
        </w:rPr>
        <w:t>79</w:t>
      </w:r>
      <w:r w:rsidRPr="00B50C49">
        <w:rPr>
          <w:rFonts w:cs="Times New Roman"/>
          <w:color w:val="222222"/>
          <w:szCs w:val="24"/>
          <w:highlight w:val="white"/>
        </w:rPr>
        <w:t>, p.102789.</w:t>
      </w:r>
    </w:p>
    <w:p w14:paraId="547065EB" w14:textId="77777777" w:rsidR="00B50C49" w:rsidRDefault="00B50C49" w:rsidP="00B50C49">
      <w:pPr>
        <w:rPr>
          <w:rFonts w:cs="Times New Roman"/>
          <w:color w:val="222222"/>
          <w:szCs w:val="24"/>
          <w:highlight w:val="white"/>
        </w:rPr>
      </w:pPr>
      <w:proofErr w:type="spellStart"/>
      <w:r w:rsidRPr="00B50C49">
        <w:rPr>
          <w:rFonts w:cs="Times New Roman"/>
          <w:color w:val="222222"/>
          <w:szCs w:val="24"/>
          <w:highlight w:val="white"/>
        </w:rPr>
        <w:t>Savic</w:t>
      </w:r>
      <w:proofErr w:type="spellEnd"/>
      <w:r w:rsidRPr="00B50C49">
        <w:rPr>
          <w:rFonts w:cs="Times New Roman"/>
          <w:color w:val="222222"/>
          <w:szCs w:val="24"/>
          <w:highlight w:val="white"/>
        </w:rPr>
        <w:t xml:space="preserve">, D.D.A. and </w:t>
      </w:r>
      <w:proofErr w:type="spellStart"/>
      <w:r w:rsidRPr="00B50C49">
        <w:rPr>
          <w:rFonts w:cs="Times New Roman"/>
          <w:color w:val="222222"/>
          <w:szCs w:val="24"/>
          <w:highlight w:val="white"/>
        </w:rPr>
        <w:t>Dariescu</w:t>
      </w:r>
      <w:proofErr w:type="spellEnd"/>
      <w:r w:rsidRPr="00B50C49">
        <w:rPr>
          <w:rFonts w:cs="Times New Roman"/>
          <w:color w:val="222222"/>
          <w:szCs w:val="24"/>
          <w:highlight w:val="white"/>
        </w:rPr>
        <w:t xml:space="preserve">, M., 2021. Cultural Norms and Expectations Within the Hospitality Industry. In </w:t>
      </w:r>
      <w:r w:rsidRPr="00B50C49">
        <w:rPr>
          <w:rFonts w:cs="Times New Roman"/>
          <w:i/>
          <w:color w:val="222222"/>
          <w:szCs w:val="24"/>
          <w:highlight w:val="white"/>
        </w:rPr>
        <w:t>Research Anthology on Changing Dynamics of Diversity and Safety in the Workforce</w:t>
      </w:r>
      <w:r w:rsidRPr="00B50C49">
        <w:rPr>
          <w:rFonts w:cs="Times New Roman"/>
          <w:color w:val="222222"/>
          <w:szCs w:val="24"/>
          <w:highlight w:val="white"/>
        </w:rPr>
        <w:t xml:space="preserve"> (pp. 1834-1850). IGI Global.</w:t>
      </w:r>
    </w:p>
    <w:p w14:paraId="7702C20F" w14:textId="77777777" w:rsidR="00C7383F" w:rsidRPr="00B50C49" w:rsidRDefault="00C7383F" w:rsidP="00B50C49">
      <w:pPr>
        <w:rPr>
          <w:rFonts w:cs="Times New Roman"/>
          <w:color w:val="222222"/>
          <w:szCs w:val="24"/>
          <w:highlight w:val="white"/>
        </w:rPr>
      </w:pPr>
    </w:p>
    <w:p w14:paraId="3FDBA38C" w14:textId="77777777" w:rsidR="00B50C49" w:rsidRPr="00B50C49" w:rsidRDefault="00B50C49" w:rsidP="00B50C49">
      <w:pPr>
        <w:rPr>
          <w:rFonts w:eastAsia="Times New Roman" w:cs="Times New Roman"/>
          <w:szCs w:val="24"/>
        </w:rPr>
      </w:pPr>
      <w:proofErr w:type="spellStart"/>
      <w:r w:rsidRPr="00B50C49">
        <w:rPr>
          <w:rFonts w:eastAsia="Times New Roman" w:cs="Times New Roman"/>
          <w:szCs w:val="24"/>
        </w:rPr>
        <w:t>Shadiev</w:t>
      </w:r>
      <w:proofErr w:type="spellEnd"/>
      <w:r w:rsidRPr="00B50C49">
        <w:rPr>
          <w:rFonts w:eastAsia="Times New Roman" w:cs="Times New Roman"/>
          <w:szCs w:val="24"/>
        </w:rPr>
        <w:t>, R., Sun, A. and Huang, Y.M., 2019. A study of the facilitation of cross‐cultural understanding and intercultural sensitivity using speech‐enabled language translation technology. British Journal of Educational Technology, 50(3), pp.1415-1433.</w:t>
      </w:r>
    </w:p>
    <w:p w14:paraId="681E137D" w14:textId="77777777" w:rsidR="004952AF" w:rsidRPr="00B50C49" w:rsidRDefault="004952AF" w:rsidP="00B50C49">
      <w:pPr>
        <w:rPr>
          <w:rFonts w:cs="Times New Roman"/>
          <w:szCs w:val="24"/>
        </w:rPr>
      </w:pPr>
    </w:p>
    <w:sectPr w:rsidR="004952AF" w:rsidRPr="00B50C49" w:rsidSect="008415E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952AF"/>
    <w:rsid w:val="004952AF"/>
    <w:rsid w:val="007601F6"/>
    <w:rsid w:val="008415EF"/>
    <w:rsid w:val="00A80EA7"/>
    <w:rsid w:val="00B50C49"/>
    <w:rsid w:val="00C738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E80C"/>
  <w15:docId w15:val="{F7F536D9-B563-E54A-B409-032552BF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0C49"/>
    <w:pPr>
      <w:spacing w:before="120" w:after="120" w:line="360" w:lineRule="auto"/>
      <w:jc w:val="both"/>
    </w:pPr>
    <w:rPr>
      <w:rFonts w:ascii="Times New Roman" w:hAnsi="Times New Roman"/>
      <w:sz w:val="24"/>
    </w:rPr>
  </w:style>
  <w:style w:type="paragraph" w:styleId="Heading1">
    <w:name w:val="heading 1"/>
    <w:basedOn w:val="Normal"/>
    <w:next w:val="Normal"/>
    <w:rsid w:val="00B50C49"/>
    <w:pPr>
      <w:keepNext/>
      <w:keepLines/>
      <w:spacing w:before="520" w:after="240"/>
      <w:outlineLvl w:val="0"/>
    </w:pPr>
    <w:rPr>
      <w:b/>
      <w:sz w:val="28"/>
      <w:szCs w:val="40"/>
    </w:rPr>
  </w:style>
  <w:style w:type="paragraph" w:styleId="Heading2">
    <w:name w:val="heading 2"/>
    <w:basedOn w:val="Normal"/>
    <w:next w:val="Normal"/>
    <w:rsid w:val="008415EF"/>
    <w:pPr>
      <w:keepNext/>
      <w:keepLines/>
      <w:spacing w:before="360"/>
      <w:outlineLvl w:val="1"/>
    </w:pPr>
    <w:rPr>
      <w:sz w:val="32"/>
      <w:szCs w:val="32"/>
    </w:rPr>
  </w:style>
  <w:style w:type="paragraph" w:styleId="Heading3">
    <w:name w:val="heading 3"/>
    <w:basedOn w:val="Normal"/>
    <w:next w:val="Normal"/>
    <w:rsid w:val="008415EF"/>
    <w:pPr>
      <w:keepNext/>
      <w:keepLines/>
      <w:spacing w:before="320" w:after="80"/>
      <w:outlineLvl w:val="2"/>
    </w:pPr>
    <w:rPr>
      <w:color w:val="434343"/>
      <w:sz w:val="28"/>
      <w:szCs w:val="28"/>
    </w:rPr>
  </w:style>
  <w:style w:type="paragraph" w:styleId="Heading4">
    <w:name w:val="heading 4"/>
    <w:basedOn w:val="Normal"/>
    <w:next w:val="Normal"/>
    <w:rsid w:val="008415EF"/>
    <w:pPr>
      <w:keepNext/>
      <w:keepLines/>
      <w:spacing w:before="280" w:after="80"/>
      <w:outlineLvl w:val="3"/>
    </w:pPr>
    <w:rPr>
      <w:color w:val="666666"/>
      <w:szCs w:val="24"/>
    </w:rPr>
  </w:style>
  <w:style w:type="paragraph" w:styleId="Heading5">
    <w:name w:val="heading 5"/>
    <w:basedOn w:val="Normal"/>
    <w:next w:val="Normal"/>
    <w:rsid w:val="008415EF"/>
    <w:pPr>
      <w:keepNext/>
      <w:keepLines/>
      <w:spacing w:before="240" w:after="80"/>
      <w:outlineLvl w:val="4"/>
    </w:pPr>
    <w:rPr>
      <w:color w:val="666666"/>
      <w:sz w:val="22"/>
    </w:rPr>
  </w:style>
  <w:style w:type="paragraph" w:styleId="Heading6">
    <w:name w:val="heading 6"/>
    <w:basedOn w:val="Normal"/>
    <w:next w:val="Normal"/>
    <w:rsid w:val="008415EF"/>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415EF"/>
    <w:pPr>
      <w:keepNext/>
      <w:keepLines/>
      <w:spacing w:before="0" w:after="60"/>
    </w:pPr>
    <w:rPr>
      <w:sz w:val="52"/>
      <w:szCs w:val="52"/>
    </w:rPr>
  </w:style>
  <w:style w:type="paragraph" w:styleId="Subtitle">
    <w:name w:val="Subtitle"/>
    <w:basedOn w:val="Normal"/>
    <w:next w:val="Normal"/>
    <w:rsid w:val="008415EF"/>
    <w:pPr>
      <w:keepNext/>
      <w:keepLines/>
      <w:spacing w:before="0" w:after="320"/>
    </w:pPr>
    <w:rPr>
      <w:rFonts w:ascii="Arial" w:hAnsi="Arial"/>
      <w:color w:val="666666"/>
      <w:sz w:val="30"/>
      <w:szCs w:val="30"/>
    </w:rPr>
  </w:style>
  <w:style w:type="table" w:customStyle="1" w:styleId="a">
    <w:basedOn w:val="TableNormal"/>
    <w:rsid w:val="008415EF"/>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50C4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50C49"/>
    <w:pPr>
      <w:spacing w:after="100"/>
    </w:pPr>
  </w:style>
  <w:style w:type="paragraph" w:styleId="TOC3">
    <w:name w:val="toc 3"/>
    <w:basedOn w:val="Normal"/>
    <w:next w:val="Normal"/>
    <w:autoRedefine/>
    <w:uiPriority w:val="39"/>
    <w:unhideWhenUsed/>
    <w:rsid w:val="00B50C49"/>
    <w:pPr>
      <w:spacing w:after="100"/>
      <w:ind w:left="480"/>
    </w:pPr>
  </w:style>
  <w:style w:type="character" w:styleId="Hyperlink">
    <w:name w:val="Hyperlink"/>
    <w:basedOn w:val="DefaultParagraphFont"/>
    <w:uiPriority w:val="99"/>
    <w:unhideWhenUsed/>
    <w:rsid w:val="00B50C49"/>
    <w:rPr>
      <w:color w:val="0000FF" w:themeColor="hyperlink"/>
      <w:u w:val="single"/>
    </w:rPr>
  </w:style>
  <w:style w:type="paragraph" w:styleId="BalloonText">
    <w:name w:val="Balloon Text"/>
    <w:basedOn w:val="Normal"/>
    <w:link w:val="BalloonTextChar"/>
    <w:uiPriority w:val="99"/>
    <w:semiHidden/>
    <w:unhideWhenUsed/>
    <w:rsid w:val="00C738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8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2C6BD-2F46-432E-8DD3-9919BAB34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1547</Words>
  <Characters>8820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Vijeyalashimi Gersone (1816441)</cp:lastModifiedBy>
  <cp:revision>4</cp:revision>
  <dcterms:created xsi:type="dcterms:W3CDTF">2021-10-07T09:44:00Z</dcterms:created>
  <dcterms:modified xsi:type="dcterms:W3CDTF">2021-12-09T18:32:00Z</dcterms:modified>
</cp:coreProperties>
</file>