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EE2A6" w14:textId="4661740E" w:rsidR="00A1767E" w:rsidRDefault="00EA13D6">
      <w:r>
        <w:rPr>
          <w:noProof/>
        </w:rPr>
        <mc:AlternateContent>
          <mc:Choice Requires="wps">
            <w:drawing>
              <wp:anchor distT="0" distB="0" distL="114300" distR="114300" simplePos="0" relativeHeight="251664384" behindDoc="0" locked="0" layoutInCell="1" allowOverlap="1" wp14:anchorId="5D39E94B" wp14:editId="4019956D">
                <wp:simplePos x="0" y="0"/>
                <wp:positionH relativeFrom="margin">
                  <wp:posOffset>-485775</wp:posOffset>
                </wp:positionH>
                <wp:positionV relativeFrom="paragraph">
                  <wp:posOffset>200025</wp:posOffset>
                </wp:positionV>
                <wp:extent cx="6838950" cy="11144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6838950" cy="1114425"/>
                        </a:xfrm>
                        <a:prstGeom prst="rect">
                          <a:avLst/>
                        </a:prstGeom>
                        <a:solidFill>
                          <a:schemeClr val="lt1"/>
                        </a:solidFill>
                        <a:ln w="6350">
                          <a:solidFill>
                            <a:prstClr val="black"/>
                          </a:solidFill>
                        </a:ln>
                      </wps:spPr>
                      <wps:txbx>
                        <w:txbxContent>
                          <w:p w14:paraId="2C0585E0" w14:textId="47BF71EB" w:rsidR="009C0591" w:rsidRDefault="00E809AC">
                            <w:r>
                              <w:t>This essay</w:t>
                            </w:r>
                            <w:r w:rsidR="006E5757">
                              <w:t>s main body</w:t>
                            </w:r>
                            <w:r>
                              <w:t xml:space="preserve"> will </w:t>
                            </w:r>
                            <w:r w:rsidR="00781447">
                              <w:t xml:space="preserve">discuss the role a judge plays in society and how vital it is to the legal system that they maintain clarity and remain impartial. It is also agreed that judges are in fact public </w:t>
                            </w:r>
                            <w:r w:rsidR="0089460E">
                              <w:t>servants,</w:t>
                            </w:r>
                            <w:r w:rsidR="000164D9">
                              <w:t xml:space="preserve"> </w:t>
                            </w:r>
                            <w:r w:rsidR="00781447">
                              <w:t xml:space="preserve">but this essay will argue that they cannot always </w:t>
                            </w:r>
                            <w:r w:rsidR="000164D9">
                              <w:t>assist in showing</w:t>
                            </w:r>
                            <w:r w:rsidR="00781447">
                              <w:t xml:space="preserve"> the law as clear and intelligible because the English legal system has multiple sources and does not have a written constitution plus judicial review can change</w:t>
                            </w:r>
                            <w:r w:rsidR="00EA13D6">
                              <w:t xml:space="preserve"> or be challenged</w:t>
                            </w:r>
                            <w:r w:rsidR="00781447">
                              <w:t xml:space="preserve"> and is not always clear.</w:t>
                            </w:r>
                            <w:r w:rsidR="006E5757">
                              <w:t xml:space="preserve"> Resources such as websites, book pages are used and will be available to refer to for information. </w:t>
                            </w:r>
                            <w:r w:rsidR="00781447">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39E94B" id="_x0000_t202" coordsize="21600,21600" o:spt="202" path="m,l,21600r21600,l21600,xe">
                <v:stroke joinstyle="miter"/>
                <v:path gradientshapeok="t" o:connecttype="rect"/>
              </v:shapetype>
              <v:shape id="Text Box 2" o:spid="_x0000_s1026" type="#_x0000_t202" style="position:absolute;margin-left:-38.25pt;margin-top:15.75pt;width:538.5pt;height:87.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" fillcolor="white [3201]" strokeweight=".5pt">
                <v:textbox>
                  <w:txbxContent>
                    <w:p w14:paraId="2C0585E0" w14:textId="47BF71EB" w:rsidR="009C0591" w:rsidRDefault="00E809AC">
                      <w:r>
                        <w:t>This essay</w:t>
                      </w:r>
                      <w:r w:rsidR="006E5757">
                        <w:t>s main body</w:t>
                      </w:r>
                      <w:r>
                        <w:t xml:space="preserve"> will </w:t>
                      </w:r>
                      <w:r w:rsidR="00781447">
                        <w:t xml:space="preserve">discuss the role a judge plays in society and how vital it is to the legal system that they maintain clarity and remain impartial. It is also agreed that judges are in fact public </w:t>
                      </w:r>
                      <w:r w:rsidR="0089460E">
                        <w:t>servants,</w:t>
                      </w:r>
                      <w:r w:rsidR="000164D9">
                        <w:t xml:space="preserve"> </w:t>
                      </w:r>
                      <w:r w:rsidR="00781447">
                        <w:t xml:space="preserve">but this essay will argue that they cannot always </w:t>
                      </w:r>
                      <w:r w:rsidR="000164D9">
                        <w:t>assist in showing</w:t>
                      </w:r>
                      <w:r w:rsidR="00781447">
                        <w:t xml:space="preserve"> the law as clear and intelligible because the English legal system has multiple sources and does not have a written constitution plus judicial review can change</w:t>
                      </w:r>
                      <w:r w:rsidR="00EA13D6">
                        <w:t xml:space="preserve"> or be challenged</w:t>
                      </w:r>
                      <w:r w:rsidR="00781447">
                        <w:t xml:space="preserve"> and is not always clear.</w:t>
                      </w:r>
                      <w:r w:rsidR="006E5757">
                        <w:t xml:space="preserve"> Resources such as websites, book pages are used and will be available to refer to for information. </w:t>
                      </w:r>
                      <w:r w:rsidR="00781447">
                        <w:t xml:space="preserve"> </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514CE2F0" wp14:editId="64081056">
                <wp:simplePos x="0" y="0"/>
                <wp:positionH relativeFrom="margin">
                  <wp:align>center</wp:align>
                </wp:positionH>
                <wp:positionV relativeFrom="paragraph">
                  <wp:posOffset>-838200</wp:posOffset>
                </wp:positionV>
                <wp:extent cx="6791325" cy="86677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6791325" cy="866775"/>
                        </a:xfrm>
                        <a:prstGeom prst="rect">
                          <a:avLst/>
                        </a:prstGeom>
                        <a:solidFill>
                          <a:schemeClr val="lt1"/>
                        </a:solidFill>
                        <a:ln w="6350">
                          <a:noFill/>
                        </a:ln>
                      </wps:spPr>
                      <wps:txbx>
                        <w:txbxContent>
                          <w:p w14:paraId="6AEDB9AA" w14:textId="3314BE88" w:rsidR="009C0591" w:rsidRPr="00844136" w:rsidRDefault="009C0591">
                            <w:pPr>
                              <w:rPr>
                                <w:sz w:val="24"/>
                                <w:szCs w:val="24"/>
                              </w:rPr>
                            </w:pPr>
                            <w:r w:rsidRPr="00844136">
                              <w:rPr>
                                <w:sz w:val="24"/>
                                <w:szCs w:val="24"/>
                              </w:rPr>
                              <w:t xml:space="preserve">Legal Process First </w:t>
                            </w:r>
                            <w:r w:rsidR="0089460E" w:rsidRPr="00844136">
                              <w:rPr>
                                <w:sz w:val="24"/>
                                <w:szCs w:val="24"/>
                              </w:rPr>
                              <w:t>Assignment -</w:t>
                            </w:r>
                            <w:r w:rsidRPr="00844136">
                              <w:rPr>
                                <w:sz w:val="24"/>
                                <w:szCs w:val="24"/>
                              </w:rPr>
                              <w:t xml:space="preserve"> Aida Najafifard</w:t>
                            </w:r>
                            <w:r>
                              <w:rPr>
                                <w:sz w:val="24"/>
                                <w:szCs w:val="24"/>
                              </w:rPr>
                              <w:t xml:space="preserve"> – Student number 2212484</w:t>
                            </w:r>
                          </w:p>
                          <w:p w14:paraId="3CF8A00D" w14:textId="77777777" w:rsidR="009C0591" w:rsidRPr="00844136" w:rsidRDefault="009C0591">
                            <w:pPr>
                              <w:rPr>
                                <w:sz w:val="24"/>
                                <w:szCs w:val="24"/>
                              </w:rPr>
                            </w:pPr>
                            <w:r w:rsidRPr="00844136">
                              <w:rPr>
                                <w:sz w:val="24"/>
                                <w:szCs w:val="24"/>
                              </w:rPr>
                              <w:t>“Judges are servants of the public and are entrusted to ensure that the law is transparent and intelligible.”</w:t>
                            </w:r>
                          </w:p>
                          <w:p w14:paraId="2920DEC7" w14:textId="77777777" w:rsidR="009C0591" w:rsidRPr="00844136" w:rsidRDefault="009C0591">
                            <w:pPr>
                              <w:rPr>
                                <w:sz w:val="24"/>
                                <w:szCs w:val="24"/>
                              </w:rPr>
                            </w:pPr>
                            <w:r w:rsidRPr="00844136">
                              <w:rPr>
                                <w:sz w:val="24"/>
                                <w:szCs w:val="24"/>
                              </w:rPr>
                              <w:t>To what extent do you agree with this statement?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4CE2F0" id="Text Box 3" o:spid="_x0000_s1027" type="#_x0000_t202" style="position:absolute;margin-left:0;margin-top:-66pt;width:534.75pt;height:68.2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" fillcolor="white [3201]" stroked="f" strokeweight=".5pt">
                <v:textbox>
                  <w:txbxContent>
                    <w:p w14:paraId="6AEDB9AA" w14:textId="3314BE88" w:rsidR="009C0591" w:rsidRPr="00844136" w:rsidRDefault="009C0591">
                      <w:pPr>
                        <w:rPr>
                          <w:sz w:val="24"/>
                          <w:szCs w:val="24"/>
                        </w:rPr>
                      </w:pPr>
                      <w:r w:rsidRPr="00844136">
                        <w:rPr>
                          <w:sz w:val="24"/>
                          <w:szCs w:val="24"/>
                        </w:rPr>
                        <w:t xml:space="preserve">Legal Process First </w:t>
                      </w:r>
                      <w:r w:rsidR="0089460E" w:rsidRPr="00844136">
                        <w:rPr>
                          <w:sz w:val="24"/>
                          <w:szCs w:val="24"/>
                        </w:rPr>
                        <w:t>Assignment -</w:t>
                      </w:r>
                      <w:r w:rsidRPr="00844136">
                        <w:rPr>
                          <w:sz w:val="24"/>
                          <w:szCs w:val="24"/>
                        </w:rPr>
                        <w:t xml:space="preserve"> Aida Najafifard</w:t>
                      </w:r>
                      <w:r>
                        <w:rPr>
                          <w:sz w:val="24"/>
                          <w:szCs w:val="24"/>
                        </w:rPr>
                        <w:t xml:space="preserve"> – Student number 2212484</w:t>
                      </w:r>
                    </w:p>
                    <w:p w14:paraId="3CF8A00D" w14:textId="77777777" w:rsidR="009C0591" w:rsidRPr="00844136" w:rsidRDefault="009C0591">
                      <w:pPr>
                        <w:rPr>
                          <w:sz w:val="24"/>
                          <w:szCs w:val="24"/>
                        </w:rPr>
                      </w:pPr>
                      <w:r w:rsidRPr="00844136">
                        <w:rPr>
                          <w:sz w:val="24"/>
                          <w:szCs w:val="24"/>
                        </w:rPr>
                        <w:t>“Judges are servants of the public and are entrusted to ensure that the law is transparent and intelligible.”</w:t>
                      </w:r>
                    </w:p>
                    <w:p w14:paraId="2920DEC7" w14:textId="77777777" w:rsidR="009C0591" w:rsidRPr="00844136" w:rsidRDefault="009C0591">
                      <w:pPr>
                        <w:rPr>
                          <w:sz w:val="24"/>
                          <w:szCs w:val="24"/>
                        </w:rPr>
                      </w:pPr>
                      <w:r w:rsidRPr="00844136">
                        <w:rPr>
                          <w:sz w:val="24"/>
                          <w:szCs w:val="24"/>
                        </w:rPr>
                        <w:t>To what extent do you agree with this statement?</w:t>
                      </w:r>
                    </w:p>
                  </w:txbxContent>
                </v:textbox>
                <w10:wrap anchorx="margin"/>
              </v:shape>
            </w:pict>
          </mc:Fallback>
        </mc:AlternateContent>
      </w:r>
    </w:p>
    <w:p w14:paraId="078D4512" w14:textId="2AC3126A" w:rsidR="00A1767E" w:rsidRDefault="00A1767E">
      <w:r>
        <w:rPr>
          <w:noProof/>
        </w:rPr>
        <mc:AlternateContent>
          <mc:Choice Requires="wps">
            <w:drawing>
              <wp:anchor distT="0" distB="0" distL="114300" distR="114300" simplePos="0" relativeHeight="251665408" behindDoc="0" locked="0" layoutInCell="1" allowOverlap="1" wp14:anchorId="6F3E2E5E" wp14:editId="620FAA51">
                <wp:simplePos x="0" y="0"/>
                <wp:positionH relativeFrom="margin">
                  <wp:posOffset>-410845</wp:posOffset>
                </wp:positionH>
                <wp:positionV relativeFrom="paragraph">
                  <wp:posOffset>1323975</wp:posOffset>
                </wp:positionV>
                <wp:extent cx="6677025" cy="72390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6677025" cy="7239000"/>
                        </a:xfrm>
                        <a:prstGeom prst="rect">
                          <a:avLst/>
                        </a:prstGeom>
                        <a:solidFill>
                          <a:schemeClr val="lt1"/>
                        </a:solidFill>
                        <a:ln w="6350">
                          <a:noFill/>
                        </a:ln>
                      </wps:spPr>
                      <wps:txbx>
                        <w:txbxContent>
                          <w:p w14:paraId="4A8CAB74" w14:textId="5751E6C2" w:rsidR="009C0591" w:rsidRDefault="00E809AC" w:rsidP="00BB5FDB">
                            <w:r>
                              <w:t>The role of a judge is a solidified position in society. One of the reasons for this is due to the ‘Magna Carta’ which dictates that every human being deserves the right to a fair trial.</w:t>
                            </w:r>
                            <w:r w:rsidR="0020491B">
                              <w:t xml:space="preserve"> Judges</w:t>
                            </w:r>
                            <w:r w:rsidR="00F1126C">
                              <w:t xml:space="preserve"> </w:t>
                            </w:r>
                            <w:r w:rsidR="001642EA">
                              <w:t xml:space="preserve">are required to uphold the law and ensure a trial </w:t>
                            </w:r>
                            <w:r w:rsidR="00F430AD">
                              <w:t>proceeds</w:t>
                            </w:r>
                            <w:r w:rsidR="001642EA">
                              <w:t xml:space="preserve"> smoothly and fairly whilst they pass a judgement based on the facts of the case by interpreting and applying law to the case. To make certain their decision is fair and protects the rights of all </w:t>
                            </w:r>
                            <w:r w:rsidR="0089460E">
                              <w:t>individuals’</w:t>
                            </w:r>
                            <w:r w:rsidR="001642EA">
                              <w:t xml:space="preserve"> judges must be impartial during trials.</w:t>
                            </w:r>
                            <w:r w:rsidR="007F5D20">
                              <w:t xml:space="preserve"> This way both sides can plead their case in an equal way whilst the judge ensures that neither </w:t>
                            </w:r>
                            <w:r w:rsidR="0089460E">
                              <w:t>party</w:t>
                            </w:r>
                            <w:r w:rsidR="007F5D20">
                              <w:t xml:space="preserve"> rights are breached. </w:t>
                            </w:r>
                            <w:r w:rsidR="004F142C">
                              <w:t>One of the key responsibilities in their role is to help the jury understand every aspect of the case and the laws on the charges. “</w:t>
                            </w:r>
                            <w:r w:rsidR="004F142C" w:rsidRPr="004F142C">
                              <w:t>The judge then gives directions about the duties of the jury before they retire to the jury deliberation room to consider the verdict</w:t>
                            </w:r>
                            <w:r w:rsidR="004F142C">
                              <w:t>”</w:t>
                            </w:r>
                            <w:r w:rsidR="00AE4BEA" w:rsidRPr="00AE4BEA">
                              <w:t xml:space="preserve"> </w:t>
                            </w:r>
                            <w:sdt>
                              <w:sdtPr>
                                <w:id w:val="-1620829076"/>
                                <w:citation/>
                              </w:sdtPr>
                              <w:sdtContent>
                                <w:r w:rsidR="00AE4BEA">
                                  <w:fldChar w:fldCharType="begin"/>
                                </w:r>
                                <w:r w:rsidR="00AE4BEA">
                                  <w:rPr>
                                    <w:noProof/>
                                  </w:rPr>
                                  <w:instrText xml:space="preserve">CITATION Cou10 \l 2057 </w:instrText>
                                </w:r>
                                <w:r w:rsidR="00AE4BEA">
                                  <w:fldChar w:fldCharType="separate"/>
                                </w:r>
                                <w:r w:rsidR="00AE4BEA" w:rsidRPr="00AE4BEA">
                                  <w:rPr>
                                    <w:noProof/>
                                  </w:rPr>
                                  <w:t>(Courts and Tribunals Judiciary, 2010)</w:t>
                                </w:r>
                                <w:r w:rsidR="00AE4BEA">
                                  <w:fldChar w:fldCharType="end"/>
                                </w:r>
                              </w:sdtContent>
                            </w:sdt>
                            <w:r w:rsidR="00AE4BEA">
                              <w:t xml:space="preserve"> </w:t>
                            </w:r>
                            <w:r w:rsidR="000D6FA3">
                              <w:t xml:space="preserve">Although it is true judges have a substantial amount of power, they do not simply get to do as they please and sentence a person as they see fit based on their own </w:t>
                            </w:r>
                            <w:r w:rsidR="0013463A">
                              <w:t>thoughts on the case. They must follow sentencing guidelines and they too must follow rules of how they proceed to deal with any case.</w:t>
                            </w:r>
                            <w:r w:rsidR="007E2C57">
                              <w:t xml:space="preserve"> These guidelines are determined by the sentencing council</w:t>
                            </w:r>
                            <w:r w:rsidR="00051A60">
                              <w:t>, this is so the judges conduct the trial accurately. “Within each offence, t</w:t>
                            </w:r>
                            <w:r w:rsidR="00051A60" w:rsidRPr="00051A60">
                              <w:t>he Council has specified categories which reflect varying degrees of seriousness</w:t>
                            </w:r>
                            <w:r w:rsidR="00051A60">
                              <w:t xml:space="preserve">” </w:t>
                            </w:r>
                            <w:sdt>
                              <w:sdtPr>
                                <w:id w:val="2094354555"/>
                                <w:citation/>
                              </w:sdtPr>
                              <w:sdtContent>
                                <w:r w:rsidR="00051A60">
                                  <w:fldChar w:fldCharType="begin"/>
                                </w:r>
                                <w:r w:rsidR="00AE4BEA">
                                  <w:instrText xml:space="preserve">CITATION CPS22 \l 2057 </w:instrText>
                                </w:r>
                                <w:r w:rsidR="00051A60">
                                  <w:fldChar w:fldCharType="separate"/>
                                </w:r>
                                <w:r w:rsidR="00AE4BEA" w:rsidRPr="00AE4BEA">
                                  <w:rPr>
                                    <w:noProof/>
                                  </w:rPr>
                                  <w:t>(CPS, 2022)</w:t>
                                </w:r>
                                <w:r w:rsidR="00051A60">
                                  <w:fldChar w:fldCharType="end"/>
                                </w:r>
                              </w:sdtContent>
                            </w:sdt>
                            <w:r w:rsidR="00051A60">
                              <w:t xml:space="preserve"> </w:t>
                            </w:r>
                            <w:r w:rsidR="00A32A02">
                              <w:t>There are different types o</w:t>
                            </w:r>
                            <w:r w:rsidR="006979DF">
                              <w:t xml:space="preserve">f courts judges will attend which determines their sentencing powers. </w:t>
                            </w:r>
                            <w:r w:rsidR="00A32A02">
                              <w:t>They all ultimately have the same level of standards but have different sentencing powers.</w:t>
                            </w:r>
                            <w:r w:rsidR="006979DF">
                              <w:t xml:space="preserve"> For example, in a magistrates court the judge will have limited powers due to the fact that the magistrates court deals with minor criminal charges. </w:t>
                            </w:r>
                            <w:r w:rsidR="00CB7A32">
                              <w:t xml:space="preserve">They hold the power to give a person time in prison or </w:t>
                            </w:r>
                            <w:r w:rsidR="00D559F3">
                              <w:t>other sentences. There are four types of sentences a judge has the power to pass</w:t>
                            </w:r>
                            <w:r w:rsidR="00BB5FDB">
                              <w:t xml:space="preserve"> which are Discharge, Fine, Community sentence and Custodial sentence. </w:t>
                            </w:r>
                          </w:p>
                          <w:p w14:paraId="1BD2928D" w14:textId="1F48838D" w:rsidR="002448FA" w:rsidRDefault="00A77E3D" w:rsidP="00BB5FDB">
                            <w:r>
                              <w:t xml:space="preserve">It is believed that judges are put in a position of trust. </w:t>
                            </w:r>
                            <w:r w:rsidR="0090040B">
                              <w:t xml:space="preserve">The rule of law is a crucial thing a judge needs to keep in mind whilst occupying their job. The rule of law states that no human is above the law regardless of their status and therefore cannot be punished by authorities unless a law has been breached. This goes hand in hand with the ECHR (European convention on human rights) which protects all human rights and gives them the right to take someone to court if they feel a violation of their rights. </w:t>
                            </w:r>
                            <w:r w:rsidR="008361F2">
                              <w:t xml:space="preserve">Judges must remember these when appointed a case to make sure each person is being treated justly. </w:t>
                            </w:r>
                            <w:r w:rsidR="008361F2" w:rsidRPr="008361F2">
                              <w:rPr>
                                <w:b/>
                                <w:bCs/>
                              </w:rPr>
                              <w:t>A and X and others V secretary of state for the home department (2004)</w:t>
                            </w:r>
                            <w:r w:rsidR="008361F2">
                              <w:rPr>
                                <w:b/>
                                <w:bCs/>
                              </w:rPr>
                              <w:t xml:space="preserve"> </w:t>
                            </w:r>
                            <w:r w:rsidR="008361F2">
                              <w:t xml:space="preserve">Is a </w:t>
                            </w:r>
                            <w:r w:rsidR="00E53AE6">
                              <w:t>case to look at to demonstrate</w:t>
                            </w:r>
                            <w:r w:rsidR="008361F2">
                              <w:t>.</w:t>
                            </w:r>
                            <w:r w:rsidR="00864A65">
                              <w:t xml:space="preserve"> </w:t>
                            </w:r>
                            <w:r w:rsidR="008361F2">
                              <w:t xml:space="preserve">Nine foreign nationals were detained in prison on suspicion that they were involved in </w:t>
                            </w:r>
                            <w:r w:rsidR="009A4C6A">
                              <w:t xml:space="preserve">acts of terrorism without a trial. This was challenged on the grounds that their human rights (Human rights act 1998) were </w:t>
                            </w:r>
                            <w:r w:rsidR="0089460E">
                              <w:t>violated,</w:t>
                            </w:r>
                            <w:r w:rsidR="009A4C6A" w:rsidRPr="009A4C6A">
                              <w:t xml:space="preserve"> </w:t>
                            </w:r>
                            <w:r w:rsidR="009A4C6A">
                              <w:t>and t</w:t>
                            </w:r>
                            <w:r w:rsidR="009A4C6A" w:rsidRPr="009A4C6A">
                              <w:t>hey felt their containment was unlawful</w:t>
                            </w:r>
                            <w:r w:rsidR="009A4C6A">
                              <w:t xml:space="preserve"> so “as a result, the relevant provisions within the legislation were appealed.” </w:t>
                            </w:r>
                            <w:sdt>
                              <w:sdtPr>
                                <w:id w:val="1893927546"/>
                                <w:citation/>
                              </w:sdtPr>
                              <w:sdtContent>
                                <w:r w:rsidR="008C479C">
                                  <w:fldChar w:fldCharType="begin"/>
                                </w:r>
                                <w:r w:rsidR="00000CAA">
                                  <w:instrText xml:space="preserve">CITATION Ell14 \l 2057 </w:instrText>
                                </w:r>
                                <w:r w:rsidR="008C479C">
                                  <w:fldChar w:fldCharType="separate"/>
                                </w:r>
                                <w:r w:rsidR="00000CAA" w:rsidRPr="00000CAA">
                                  <w:rPr>
                                    <w:noProof/>
                                  </w:rPr>
                                  <w:t>(Elliot &amp; Quinn, 2013/14)</w:t>
                                </w:r>
                                <w:r w:rsidR="008C479C">
                                  <w:fldChar w:fldCharType="end"/>
                                </w:r>
                              </w:sdtContent>
                            </w:sdt>
                            <w:r w:rsidR="008C479C">
                              <w:t xml:space="preserve"> </w:t>
                            </w:r>
                            <w:r w:rsidR="00374CBF">
                              <w:t xml:space="preserve">this shows judges are in a position of trust to recognise unlawfulness and deal with it accordingly. </w:t>
                            </w:r>
                          </w:p>
                          <w:p w14:paraId="4D436533" w14:textId="723E860F" w:rsidR="00A1767E" w:rsidRDefault="00213253" w:rsidP="00BB5FDB">
                            <w:r>
                              <w:t>Judges are not thought of as civil servants. A civil servant is considered to be a servant of the crown and an employee not involved in politics and judges are not included in the list of appointments for a civil servant.</w:t>
                            </w:r>
                            <w:r w:rsidR="00D758DC">
                              <w:t xml:space="preserve"> </w:t>
                            </w:r>
                            <w:sdt>
                              <w:sdtPr>
                                <w:id w:val="365111751"/>
                                <w:citation/>
                              </w:sdtPr>
                              <w:sdtContent>
                                <w:r w:rsidR="00D758DC">
                                  <w:fldChar w:fldCharType="begin"/>
                                </w:r>
                                <w:r w:rsidR="00AE4BEA">
                                  <w:instrText xml:space="preserve">CITATION Lex20 \l 2057 </w:instrText>
                                </w:r>
                                <w:r w:rsidR="00D758DC">
                                  <w:fldChar w:fldCharType="separate"/>
                                </w:r>
                                <w:r w:rsidR="00AE4BEA" w:rsidRPr="00AE4BEA">
                                  <w:rPr>
                                    <w:noProof/>
                                  </w:rPr>
                                  <w:t>(LexisNexis, 2020)</w:t>
                                </w:r>
                                <w:r w:rsidR="00D758DC">
                                  <w:fldChar w:fldCharType="end"/>
                                </w:r>
                              </w:sdtContent>
                            </w:sdt>
                            <w:r w:rsidR="00B44C8E">
                              <w:t xml:space="preserve"> </w:t>
                            </w:r>
                            <w:r w:rsidR="0089460E">
                              <w:t>Instead,</w:t>
                            </w:r>
                            <w:r w:rsidR="00B44C8E">
                              <w:t xml:space="preserve"> they are thought of as public servants because they serve the good of the people and enforce the law to implicate fairness in trial. </w:t>
                            </w:r>
                            <w:r>
                              <w:t xml:space="preserve"> </w:t>
                            </w:r>
                            <w:r w:rsidR="001D6A20">
                              <w:t xml:space="preserve">The human rights act 1998 states what each individual is entitled to, what they have the freedom and right to do. Judges must see to it that a </w:t>
                            </w:r>
                            <w:proofErr w:type="gramStart"/>
                            <w:r w:rsidR="001D6A20">
                              <w:t>persons</w:t>
                            </w:r>
                            <w:proofErr w:type="gramEnd"/>
                            <w:r w:rsidR="001D6A20">
                              <w:t xml:space="preserve"> rights are maintained according to the 1998 act.</w:t>
                            </w:r>
                            <w:r w:rsidR="00206A26">
                              <w:t xml:space="preserve"> Public </w:t>
                            </w:r>
                            <w:r w:rsidR="008E5BC5">
                              <w:t>policy</w:t>
                            </w:r>
                            <w:r w:rsidR="00206A26">
                              <w:t xml:space="preserve"> plays a key role in making certain a judge upholds their appointment with the standards expected of them. “</w:t>
                            </w:r>
                            <w:r w:rsidR="00206A26" w:rsidRPr="00206A26">
                              <w:t>Public law should ensure that public bodies act lawfully, rationally, fairly, and compatibly with the human rights of those affected by their actions</w:t>
                            </w:r>
                            <w:r w:rsidR="00206A26">
                              <w:t xml:space="preserve">” </w:t>
                            </w:r>
                            <w:sdt>
                              <w:sdtPr>
                                <w:id w:val="1325006200"/>
                                <w:citation/>
                              </w:sdtPr>
                              <w:sdtContent>
                                <w:r w:rsidR="008E5BC5">
                                  <w:fldChar w:fldCharType="begin"/>
                                </w:r>
                                <w:r w:rsidR="008E5BC5">
                                  <w:instrText xml:space="preserve"> CITATION Pub22 \l 2057 </w:instrText>
                                </w:r>
                                <w:r w:rsidR="008E5BC5">
                                  <w:fldChar w:fldCharType="separate"/>
                                </w:r>
                                <w:r w:rsidR="008E5BC5" w:rsidRPr="008E5BC5">
                                  <w:rPr>
                                    <w:noProof/>
                                  </w:rPr>
                                  <w:t>(Public Law Project, n.d.)</w:t>
                                </w:r>
                                <w:r w:rsidR="008E5BC5">
                                  <w:fldChar w:fldCharType="end"/>
                                </w:r>
                              </w:sdtContent>
                            </w:sdt>
                          </w:p>
                          <w:p w14:paraId="42575F59" w14:textId="194253CF" w:rsidR="00A1767E" w:rsidRDefault="00A1767E" w:rsidP="00BB5FDB">
                            <w:r>
                              <w:t xml:space="preserve">  </w:t>
                            </w:r>
                          </w:p>
                          <w:p w14:paraId="3CEC60EB" w14:textId="534EDEB4" w:rsidR="003A476C" w:rsidRDefault="003A476C" w:rsidP="00BB5FDB"/>
                          <w:p w14:paraId="13C2763C" w14:textId="77777777" w:rsidR="003A476C" w:rsidRPr="008361F2" w:rsidRDefault="003A476C" w:rsidP="00BB5F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3E2E5E" id="Text Box 4" o:spid="_x0000_s1028" type="#_x0000_t202" style="position:absolute;margin-left:-32.35pt;margin-top:104.25pt;width:525.75pt;height:570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" fillcolor="white [3201]" stroked="f" strokeweight=".5pt">
                <v:textbox>
                  <w:txbxContent>
                    <w:p w14:paraId="4A8CAB74" w14:textId="5751E6C2" w:rsidR="009C0591" w:rsidRDefault="00E809AC" w:rsidP="00BB5FDB">
                      <w:r>
                        <w:t>The role of a judge is a solidified position in society. One of the reasons for this is due to the ‘Magna Carta’ which dictates that every human being deserves the right to a fair trial.</w:t>
                      </w:r>
                      <w:r w:rsidR="0020491B">
                        <w:t xml:space="preserve"> Judges</w:t>
                      </w:r>
                      <w:r w:rsidR="00F1126C">
                        <w:t xml:space="preserve"> </w:t>
                      </w:r>
                      <w:r w:rsidR="001642EA">
                        <w:t xml:space="preserve">are required to uphold the law and ensure a trial </w:t>
                      </w:r>
                      <w:r w:rsidR="00F430AD">
                        <w:t>proceeds</w:t>
                      </w:r>
                      <w:r w:rsidR="001642EA">
                        <w:t xml:space="preserve"> smoothly and fairly whilst they pass a judgement based on the facts of the case by interpreting and applying law to the case. To make certain their decision is fair and protects the rights of all </w:t>
                      </w:r>
                      <w:r w:rsidR="0089460E">
                        <w:t>individuals’</w:t>
                      </w:r>
                      <w:r w:rsidR="001642EA">
                        <w:t xml:space="preserve"> judges must be impartial during trials.</w:t>
                      </w:r>
                      <w:r w:rsidR="007F5D20">
                        <w:t xml:space="preserve"> This way both sides can plead their case in an equal way whilst the judge ensures that neither </w:t>
                      </w:r>
                      <w:r w:rsidR="0089460E">
                        <w:t>party</w:t>
                      </w:r>
                      <w:r w:rsidR="007F5D20">
                        <w:t xml:space="preserve"> rights are breached. </w:t>
                      </w:r>
                      <w:r w:rsidR="004F142C">
                        <w:t>One of the key responsibilities in their role is to help the jury understand every aspect of the case and the laws on the charges. “</w:t>
                      </w:r>
                      <w:r w:rsidR="004F142C" w:rsidRPr="004F142C">
                        <w:t>The judge then gives directions about the duties of the jury before they retire to the jury deliberation room to consider the verdict</w:t>
                      </w:r>
                      <w:r w:rsidR="004F142C">
                        <w:t>”</w:t>
                      </w:r>
                      <w:r w:rsidR="00AE4BEA" w:rsidRPr="00AE4BEA">
                        <w:t xml:space="preserve"> </w:t>
                      </w:r>
                      <w:sdt>
                        <w:sdtPr>
                          <w:id w:val="-1620829076"/>
                          <w:citation/>
                        </w:sdtPr>
                        <w:sdtContent>
                          <w:r w:rsidR="00AE4BEA">
                            <w:fldChar w:fldCharType="begin"/>
                          </w:r>
                          <w:r w:rsidR="00AE4BEA">
                            <w:rPr>
                              <w:noProof/>
                            </w:rPr>
                            <w:instrText xml:space="preserve">CITATION Cou10 \l 2057 </w:instrText>
                          </w:r>
                          <w:r w:rsidR="00AE4BEA">
                            <w:fldChar w:fldCharType="separate"/>
                          </w:r>
                          <w:r w:rsidR="00AE4BEA" w:rsidRPr="00AE4BEA">
                            <w:rPr>
                              <w:noProof/>
                            </w:rPr>
                            <w:t>(Courts and Tribunals Judiciary, 2010)</w:t>
                          </w:r>
                          <w:r w:rsidR="00AE4BEA">
                            <w:fldChar w:fldCharType="end"/>
                          </w:r>
                        </w:sdtContent>
                      </w:sdt>
                      <w:r w:rsidR="00AE4BEA">
                        <w:t xml:space="preserve"> </w:t>
                      </w:r>
                      <w:r w:rsidR="000D6FA3">
                        <w:t xml:space="preserve">Although it is true judges have a substantial amount of power, they do not simply get to do as they please and sentence a person as they see fit based on their own </w:t>
                      </w:r>
                      <w:r w:rsidR="0013463A">
                        <w:t>thoughts on the case. They must follow sentencing guidelines and they too must follow rules of how they proceed to deal with any case.</w:t>
                      </w:r>
                      <w:r w:rsidR="007E2C57">
                        <w:t xml:space="preserve"> These guidelines are determined by the sentencing council</w:t>
                      </w:r>
                      <w:r w:rsidR="00051A60">
                        <w:t>, this is so the judges conduct the trial accurately. “Within each offence, t</w:t>
                      </w:r>
                      <w:r w:rsidR="00051A60" w:rsidRPr="00051A60">
                        <w:t>he Council has specified categories which reflect varying degrees of seriousness</w:t>
                      </w:r>
                      <w:r w:rsidR="00051A60">
                        <w:t xml:space="preserve">” </w:t>
                      </w:r>
                      <w:sdt>
                        <w:sdtPr>
                          <w:id w:val="2094354555"/>
                          <w:citation/>
                        </w:sdtPr>
                        <w:sdtContent>
                          <w:r w:rsidR="00051A60">
                            <w:fldChar w:fldCharType="begin"/>
                          </w:r>
                          <w:r w:rsidR="00AE4BEA">
                            <w:instrText xml:space="preserve">CITATION CPS22 \l 2057 </w:instrText>
                          </w:r>
                          <w:r w:rsidR="00051A60">
                            <w:fldChar w:fldCharType="separate"/>
                          </w:r>
                          <w:r w:rsidR="00AE4BEA" w:rsidRPr="00AE4BEA">
                            <w:rPr>
                              <w:noProof/>
                            </w:rPr>
                            <w:t>(CPS, 2022)</w:t>
                          </w:r>
                          <w:r w:rsidR="00051A60">
                            <w:fldChar w:fldCharType="end"/>
                          </w:r>
                        </w:sdtContent>
                      </w:sdt>
                      <w:r w:rsidR="00051A60">
                        <w:t xml:space="preserve"> </w:t>
                      </w:r>
                      <w:r w:rsidR="00A32A02">
                        <w:t>There are different types o</w:t>
                      </w:r>
                      <w:r w:rsidR="006979DF">
                        <w:t xml:space="preserve">f courts judges will attend which determines their sentencing powers. </w:t>
                      </w:r>
                      <w:r w:rsidR="00A32A02">
                        <w:t>They all ultimately have the same level of standards but have different sentencing powers.</w:t>
                      </w:r>
                      <w:r w:rsidR="006979DF">
                        <w:t xml:space="preserve"> For example, in a magistrates court the judge will have limited powers due to the fact that the magistrates court deals with minor criminal charges. </w:t>
                      </w:r>
                      <w:r w:rsidR="00CB7A32">
                        <w:t xml:space="preserve">They hold the power to give a person time in prison or </w:t>
                      </w:r>
                      <w:r w:rsidR="00D559F3">
                        <w:t>other sentences. There are four types of sentences a judge has the power to pass</w:t>
                      </w:r>
                      <w:r w:rsidR="00BB5FDB">
                        <w:t xml:space="preserve"> which are Discharge, Fine, Community sentence and Custodial sentence. </w:t>
                      </w:r>
                    </w:p>
                    <w:p w14:paraId="1BD2928D" w14:textId="1F48838D" w:rsidR="002448FA" w:rsidRDefault="00A77E3D" w:rsidP="00BB5FDB">
                      <w:r>
                        <w:t xml:space="preserve">It is believed that judges are put in a position of trust. </w:t>
                      </w:r>
                      <w:r w:rsidR="0090040B">
                        <w:t xml:space="preserve">The rule of law is a crucial thing a judge needs to keep in mind whilst occupying their job. The rule of law states that no human is above the law regardless of their status and therefore cannot be punished by authorities unless a law has been breached. This goes hand in hand with the ECHR (European convention on human rights) which protects all human rights and gives them the right to take someone to court if they feel a violation of their rights. </w:t>
                      </w:r>
                      <w:r w:rsidR="008361F2">
                        <w:t xml:space="preserve">Judges must remember these when appointed a case to make sure each person is being treated justly. </w:t>
                      </w:r>
                      <w:r w:rsidR="008361F2" w:rsidRPr="008361F2">
                        <w:rPr>
                          <w:b/>
                          <w:bCs/>
                        </w:rPr>
                        <w:t>A and X and others V secretary of state for the home department (2004)</w:t>
                      </w:r>
                      <w:r w:rsidR="008361F2">
                        <w:rPr>
                          <w:b/>
                          <w:bCs/>
                        </w:rPr>
                        <w:t xml:space="preserve"> </w:t>
                      </w:r>
                      <w:r w:rsidR="008361F2">
                        <w:t xml:space="preserve">Is a </w:t>
                      </w:r>
                      <w:r w:rsidR="00E53AE6">
                        <w:t>case to look at to demonstrate</w:t>
                      </w:r>
                      <w:r w:rsidR="008361F2">
                        <w:t>.</w:t>
                      </w:r>
                      <w:r w:rsidR="00864A65">
                        <w:t xml:space="preserve"> </w:t>
                      </w:r>
                      <w:r w:rsidR="008361F2">
                        <w:t xml:space="preserve">Nine foreign nationals were detained in prison on suspicion that they were involved in </w:t>
                      </w:r>
                      <w:r w:rsidR="009A4C6A">
                        <w:t xml:space="preserve">acts of terrorism without a trial. This was challenged on the grounds that their human rights (Human rights act 1998) were </w:t>
                      </w:r>
                      <w:r w:rsidR="0089460E">
                        <w:t>violated,</w:t>
                      </w:r>
                      <w:r w:rsidR="009A4C6A" w:rsidRPr="009A4C6A">
                        <w:t xml:space="preserve"> </w:t>
                      </w:r>
                      <w:r w:rsidR="009A4C6A">
                        <w:t>and t</w:t>
                      </w:r>
                      <w:r w:rsidR="009A4C6A" w:rsidRPr="009A4C6A">
                        <w:t>hey felt their containment was unlawful</w:t>
                      </w:r>
                      <w:r w:rsidR="009A4C6A">
                        <w:t xml:space="preserve"> so “as a result, the relevant provisions within the legislation were appealed.” </w:t>
                      </w:r>
                      <w:sdt>
                        <w:sdtPr>
                          <w:id w:val="1893927546"/>
                          <w:citation/>
                        </w:sdtPr>
                        <w:sdtContent>
                          <w:r w:rsidR="008C479C">
                            <w:fldChar w:fldCharType="begin"/>
                          </w:r>
                          <w:r w:rsidR="00000CAA">
                            <w:instrText xml:space="preserve">CITATION Ell14 \l 2057 </w:instrText>
                          </w:r>
                          <w:r w:rsidR="008C479C">
                            <w:fldChar w:fldCharType="separate"/>
                          </w:r>
                          <w:r w:rsidR="00000CAA" w:rsidRPr="00000CAA">
                            <w:rPr>
                              <w:noProof/>
                            </w:rPr>
                            <w:t>(Elliot &amp; Quinn, 2013/14)</w:t>
                          </w:r>
                          <w:r w:rsidR="008C479C">
                            <w:fldChar w:fldCharType="end"/>
                          </w:r>
                        </w:sdtContent>
                      </w:sdt>
                      <w:r w:rsidR="008C479C">
                        <w:t xml:space="preserve"> </w:t>
                      </w:r>
                      <w:r w:rsidR="00374CBF">
                        <w:t xml:space="preserve">this shows judges are in a position of trust to recognise unlawfulness and deal with it accordingly. </w:t>
                      </w:r>
                    </w:p>
                    <w:p w14:paraId="4D436533" w14:textId="723E860F" w:rsidR="00A1767E" w:rsidRDefault="00213253" w:rsidP="00BB5FDB">
                      <w:r>
                        <w:t>Judges are not thought of as civil servants. A civil servant is considered to be a servant of the crown and an employee not involved in politics and judges are not included in the list of appointments for a civil servant.</w:t>
                      </w:r>
                      <w:r w:rsidR="00D758DC">
                        <w:t xml:space="preserve"> </w:t>
                      </w:r>
                      <w:sdt>
                        <w:sdtPr>
                          <w:id w:val="365111751"/>
                          <w:citation/>
                        </w:sdtPr>
                        <w:sdtContent>
                          <w:r w:rsidR="00D758DC">
                            <w:fldChar w:fldCharType="begin"/>
                          </w:r>
                          <w:r w:rsidR="00AE4BEA">
                            <w:instrText xml:space="preserve">CITATION Lex20 \l 2057 </w:instrText>
                          </w:r>
                          <w:r w:rsidR="00D758DC">
                            <w:fldChar w:fldCharType="separate"/>
                          </w:r>
                          <w:r w:rsidR="00AE4BEA" w:rsidRPr="00AE4BEA">
                            <w:rPr>
                              <w:noProof/>
                            </w:rPr>
                            <w:t>(LexisNexis, 2020)</w:t>
                          </w:r>
                          <w:r w:rsidR="00D758DC">
                            <w:fldChar w:fldCharType="end"/>
                          </w:r>
                        </w:sdtContent>
                      </w:sdt>
                      <w:r w:rsidR="00B44C8E">
                        <w:t xml:space="preserve"> </w:t>
                      </w:r>
                      <w:r w:rsidR="0089460E">
                        <w:t>Instead,</w:t>
                      </w:r>
                      <w:r w:rsidR="00B44C8E">
                        <w:t xml:space="preserve"> they are thought of as public servants because they serve the good of the people and enforce the law to implicate fairness in trial. </w:t>
                      </w:r>
                      <w:r>
                        <w:t xml:space="preserve"> </w:t>
                      </w:r>
                      <w:r w:rsidR="001D6A20">
                        <w:t xml:space="preserve">The human rights act 1998 states what each individual is entitled to, what they have the freedom and right to do. Judges must see to it that a </w:t>
                      </w:r>
                      <w:proofErr w:type="gramStart"/>
                      <w:r w:rsidR="001D6A20">
                        <w:t>persons</w:t>
                      </w:r>
                      <w:proofErr w:type="gramEnd"/>
                      <w:r w:rsidR="001D6A20">
                        <w:t xml:space="preserve"> rights are maintained according to the 1998 act.</w:t>
                      </w:r>
                      <w:r w:rsidR="00206A26">
                        <w:t xml:space="preserve"> Public </w:t>
                      </w:r>
                      <w:r w:rsidR="008E5BC5">
                        <w:t>policy</w:t>
                      </w:r>
                      <w:r w:rsidR="00206A26">
                        <w:t xml:space="preserve"> plays a key role in making certain a judge upholds their appointment with the standards expected of them. “</w:t>
                      </w:r>
                      <w:r w:rsidR="00206A26" w:rsidRPr="00206A26">
                        <w:t>Public law should ensure that public bodies act lawfully, rationally, fairly, and compatibly with the human rights of those affected by their actions</w:t>
                      </w:r>
                      <w:r w:rsidR="00206A26">
                        <w:t xml:space="preserve">” </w:t>
                      </w:r>
                      <w:sdt>
                        <w:sdtPr>
                          <w:id w:val="1325006200"/>
                          <w:citation/>
                        </w:sdtPr>
                        <w:sdtContent>
                          <w:r w:rsidR="008E5BC5">
                            <w:fldChar w:fldCharType="begin"/>
                          </w:r>
                          <w:r w:rsidR="008E5BC5">
                            <w:instrText xml:space="preserve"> CITATION Pub22 \l 2057 </w:instrText>
                          </w:r>
                          <w:r w:rsidR="008E5BC5">
                            <w:fldChar w:fldCharType="separate"/>
                          </w:r>
                          <w:r w:rsidR="008E5BC5" w:rsidRPr="008E5BC5">
                            <w:rPr>
                              <w:noProof/>
                            </w:rPr>
                            <w:t>(Public Law Project, n.d.)</w:t>
                          </w:r>
                          <w:r w:rsidR="008E5BC5">
                            <w:fldChar w:fldCharType="end"/>
                          </w:r>
                        </w:sdtContent>
                      </w:sdt>
                    </w:p>
                    <w:p w14:paraId="42575F59" w14:textId="194253CF" w:rsidR="00A1767E" w:rsidRDefault="00A1767E" w:rsidP="00BB5FDB">
                      <w:r>
                        <w:t xml:space="preserve">  </w:t>
                      </w:r>
                    </w:p>
                    <w:p w14:paraId="3CEC60EB" w14:textId="534EDEB4" w:rsidR="003A476C" w:rsidRDefault="003A476C" w:rsidP="00BB5FDB"/>
                    <w:p w14:paraId="13C2763C" w14:textId="77777777" w:rsidR="003A476C" w:rsidRPr="008361F2" w:rsidRDefault="003A476C" w:rsidP="00BB5FDB"/>
                  </w:txbxContent>
                </v:textbox>
                <w10:wrap anchorx="margin"/>
              </v:shape>
            </w:pict>
          </mc:Fallback>
        </mc:AlternateContent>
      </w:r>
      <w:r>
        <w:br w:type="page"/>
      </w:r>
    </w:p>
    <w:p w14:paraId="17D9B108" w14:textId="445617DE" w:rsidR="00B92F6D" w:rsidRDefault="00B92F6D">
      <w:pPr>
        <w:rPr>
          <w:u w:val="single"/>
        </w:rPr>
      </w:pPr>
      <w:r>
        <w:rPr>
          <w:noProof/>
        </w:rPr>
        <w:lastRenderedPageBreak/>
        <mc:AlternateContent>
          <mc:Choice Requires="wps">
            <w:drawing>
              <wp:anchor distT="0" distB="0" distL="114300" distR="114300" simplePos="0" relativeHeight="251666432" behindDoc="0" locked="0" layoutInCell="1" allowOverlap="1" wp14:anchorId="35D6A2AF" wp14:editId="5478D2C5">
                <wp:simplePos x="0" y="0"/>
                <wp:positionH relativeFrom="margin">
                  <wp:align>center</wp:align>
                </wp:positionH>
                <wp:positionV relativeFrom="paragraph">
                  <wp:posOffset>-123190</wp:posOffset>
                </wp:positionV>
                <wp:extent cx="7105650" cy="5581650"/>
                <wp:effectExtent l="0" t="0" r="0" b="0"/>
                <wp:wrapNone/>
                <wp:docPr id="1" name="Text Box 1"/>
                <wp:cNvGraphicFramePr/>
                <a:graphic xmlns:a="http://schemas.openxmlformats.org/drawingml/2006/main">
                  <a:graphicData uri="http://schemas.microsoft.com/office/word/2010/wordprocessingShape">
                    <wps:wsp>
                      <wps:cNvSpPr txBox="1"/>
                      <wps:spPr>
                        <a:xfrm>
                          <a:off x="0" y="0"/>
                          <a:ext cx="7105650" cy="5581650"/>
                        </a:xfrm>
                        <a:prstGeom prst="rect">
                          <a:avLst/>
                        </a:prstGeom>
                        <a:solidFill>
                          <a:schemeClr val="lt1"/>
                        </a:solidFill>
                        <a:ln w="6350">
                          <a:noFill/>
                        </a:ln>
                      </wps:spPr>
                      <wps:txbx>
                        <w:txbxContent>
                          <w:p w14:paraId="11838C07" w14:textId="0BE298FB" w:rsidR="00FF54FC" w:rsidRDefault="00A34CD5">
                            <w:r w:rsidRPr="00A34CD5">
                              <w:t xml:space="preserve">Ideally the law should be transparent and </w:t>
                            </w:r>
                            <w:r w:rsidR="0089460E" w:rsidRPr="00A34CD5">
                              <w:t>intelligible,</w:t>
                            </w:r>
                            <w:r w:rsidRPr="00A34CD5">
                              <w:t xml:space="preserve"> but it is not, which is most likely for the better</w:t>
                            </w:r>
                            <w:r w:rsidR="008D753F">
                              <w:t xml:space="preserve"> because it can be better suited to deal with cases with specific facts.</w:t>
                            </w:r>
                            <w:r w:rsidRPr="00A34CD5">
                              <w:t xml:space="preserve"> The law being transparent means it is clear and gives clear direction which can be true but often it depends on the circumstances of a case. The law being intelligible means it is easy to understand which is not true, because there are many laws and whilst learning them might come easily to some, applying them might be trickier</w:t>
                            </w:r>
                            <w:r w:rsidR="008D753F">
                              <w:t xml:space="preserve"> because there are many sources.</w:t>
                            </w:r>
                            <w:r w:rsidRPr="00A34CD5">
                              <w:t xml:space="preserve"> </w:t>
                            </w:r>
                            <w:r w:rsidR="0089460E" w:rsidRPr="00A34CD5">
                              <w:t>Furthermore,</w:t>
                            </w:r>
                            <w:r w:rsidRPr="00A34CD5">
                              <w:t xml:space="preserve"> the UK does not have a written constitution. A constitution is a set of precedents, principles and rules by which the people are governed by. Although the UKs constitution is said to be unwritten it is in fact written, just not on a single document as opposed to other countries. The UK has multiple documents providing constitutions. According to the Merriam webster the dictionary definition of an unwritten constitution is “a constitution not embodied in a single document but based chiefly on custom and precedent as expressed in statutes and judicial decisions.” </w:t>
                            </w:r>
                            <w:sdt>
                              <w:sdtPr>
                                <w:id w:val="593745126"/>
                                <w:citation/>
                              </w:sdtPr>
                              <w:sdtContent>
                                <w:r>
                                  <w:fldChar w:fldCharType="begin"/>
                                </w:r>
                                <w:r>
                                  <w:instrText xml:space="preserve"> CITATION Mer22 \l 2057 </w:instrText>
                                </w:r>
                                <w:r>
                                  <w:fldChar w:fldCharType="separate"/>
                                </w:r>
                                <w:r w:rsidRPr="00A34CD5">
                                  <w:rPr>
                                    <w:noProof/>
                                  </w:rPr>
                                  <w:t>(Merriam webster , 2022)</w:t>
                                </w:r>
                                <w:r>
                                  <w:fldChar w:fldCharType="end"/>
                                </w:r>
                              </w:sdtContent>
                            </w:sdt>
                            <w:r w:rsidR="00B92F6D">
                              <w:t xml:space="preserve"> </w:t>
                            </w:r>
                            <w:r w:rsidR="00FF54FC">
                              <w:t xml:space="preserve">There are few differences between the unwritten and written constitutions. They are also referred to as codified and uncodified. </w:t>
                            </w:r>
                            <w:r w:rsidR="00C34315">
                              <w:t xml:space="preserve">For </w:t>
                            </w:r>
                            <w:r w:rsidR="0089460E">
                              <w:t>example,</w:t>
                            </w:r>
                            <w:r w:rsidR="00C34315">
                              <w:t xml:space="preserve"> an uncodified constitution is more flexible but with this also comes uncertainty due to having to find specific constitution rights which can be difficult to navigate. It does however mean </w:t>
                            </w:r>
                            <w:r w:rsidR="00E9086B">
                              <w:t xml:space="preserve">that these constitutions are not superior to regulations and laws. </w:t>
                            </w:r>
                            <w:r w:rsidR="00A350E8">
                              <w:t xml:space="preserve">This relates to case law which means courts often follow previous rulings on a case with similar facts and/or circumstances. The advantages of this is that there is some “certainty” and “flexibility” whilst also implementing “detailed practical rules” and “free market in legal ideas” </w:t>
                            </w:r>
                            <w:sdt>
                              <w:sdtPr>
                                <w:id w:val="1171995053"/>
                                <w:citation/>
                              </w:sdtPr>
                              <w:sdtContent>
                                <w:r w:rsidR="00C573B9">
                                  <w:fldChar w:fldCharType="begin"/>
                                </w:r>
                                <w:r w:rsidR="00000CAA">
                                  <w:instrText xml:space="preserve">CITATION Ell13 \l 2057 </w:instrText>
                                </w:r>
                                <w:r w:rsidR="00C573B9">
                                  <w:fldChar w:fldCharType="separate"/>
                                </w:r>
                                <w:r w:rsidR="00000CAA" w:rsidRPr="00000CAA">
                                  <w:rPr>
                                    <w:noProof/>
                                  </w:rPr>
                                  <w:t>(Elliot &amp; Quinn, 2013/14)</w:t>
                                </w:r>
                                <w:r w:rsidR="00C573B9">
                                  <w:fldChar w:fldCharType="end"/>
                                </w:r>
                              </w:sdtContent>
                            </w:sdt>
                            <w:r w:rsidR="00C573B9">
                              <w:t xml:space="preserve"> To put this simply these are an advantage due to the fact that they can meet the needs of a changing society and impose new legal sources for case law whilst presenting more information and makes it easier to predict how a case might </w:t>
                            </w:r>
                            <w:r w:rsidR="001326FF">
                              <w:t xml:space="preserve">be treated. </w:t>
                            </w:r>
                            <w:sdt>
                              <w:sdtPr>
                                <w:id w:val="102466136"/>
                                <w:citation/>
                              </w:sdtPr>
                              <w:sdtContent>
                                <w:r w:rsidR="001326FF">
                                  <w:fldChar w:fldCharType="begin"/>
                                </w:r>
                                <w:r w:rsidR="00000CAA">
                                  <w:instrText xml:space="preserve">CITATION Ell13 \l 2057 </w:instrText>
                                </w:r>
                                <w:r w:rsidR="001326FF">
                                  <w:fldChar w:fldCharType="separate"/>
                                </w:r>
                                <w:r w:rsidR="00000CAA" w:rsidRPr="00000CAA">
                                  <w:rPr>
                                    <w:noProof/>
                                  </w:rPr>
                                  <w:t>(Elliot &amp; Quinn, 2013/14)</w:t>
                                </w:r>
                                <w:r w:rsidR="001326FF">
                                  <w:fldChar w:fldCharType="end"/>
                                </w:r>
                              </w:sdtContent>
                            </w:sdt>
                            <w:r w:rsidR="001326FF">
                              <w:t xml:space="preserve"> </w:t>
                            </w:r>
                            <w:r w:rsidR="00000CAA">
                              <w:t xml:space="preserve">on the other </w:t>
                            </w:r>
                            <w:r w:rsidR="0089460E">
                              <w:t>hand,</w:t>
                            </w:r>
                            <w:r w:rsidR="00000CAA">
                              <w:t xml:space="preserve"> there are disadvantages to case law. It has more “complexity and volume” more “rigid” and it is “dependence on chance” </w:t>
                            </w:r>
                            <w:sdt>
                              <w:sdtPr>
                                <w:id w:val="-279571670"/>
                                <w:citation/>
                              </w:sdtPr>
                              <w:sdtContent>
                                <w:r w:rsidR="00000CAA">
                                  <w:fldChar w:fldCharType="begin"/>
                                </w:r>
                                <w:r w:rsidR="00000CAA">
                                  <w:instrText xml:space="preserve"> CITATION Ell141 \l 2057 </w:instrText>
                                </w:r>
                                <w:r w:rsidR="00000CAA">
                                  <w:fldChar w:fldCharType="separate"/>
                                </w:r>
                                <w:r w:rsidR="00000CAA" w:rsidRPr="00000CAA">
                                  <w:rPr>
                                    <w:noProof/>
                                  </w:rPr>
                                  <w:t>(Elliot &amp; Quinn, 2013/14)</w:t>
                                </w:r>
                                <w:r w:rsidR="00000CAA">
                                  <w:fldChar w:fldCharType="end"/>
                                </w:r>
                              </w:sdtContent>
                            </w:sdt>
                            <w:r w:rsidR="00353D89">
                              <w:t xml:space="preserve"> Meaning it is harder to push through new precedent or having to follow a </w:t>
                            </w:r>
                            <w:r w:rsidR="00E765F2">
                              <w:t xml:space="preserve">law the judge may not agree with plus there are simply too many decided cases which intensifies the difficulty of finding the right and appropriate decision based on principals of past cases. </w:t>
                            </w:r>
                            <w:r w:rsidR="00F44142">
                              <w:t>Linking back to the question, judges are trusted to ensure the law is transparent and intelligible but the law itself is complex and therefore not as clear as it could be.</w:t>
                            </w:r>
                          </w:p>
                          <w:p w14:paraId="6287EB2B" w14:textId="0CB28973" w:rsidR="002E6CB4" w:rsidRDefault="006E5757">
                            <w:r>
                              <w:t>In conclusion, judges are public servants due to the fact that they must keep the best interest of the public in mind and apply it to their everyday appointments whilst being public bodies themselves. They are trusted to oversee and make deci</w:t>
                            </w:r>
                            <w:r w:rsidR="00D7694A">
                              <w:t xml:space="preserve">sions in a court trial which is a public matter, making them a public figure </w:t>
                            </w:r>
                            <w:sdt>
                              <w:sdtPr>
                                <w:id w:val="203760962"/>
                                <w:citation/>
                              </w:sdtPr>
                              <w:sdtContent>
                                <w:r w:rsidR="00D7694A">
                                  <w:fldChar w:fldCharType="begin"/>
                                </w:r>
                                <w:r w:rsidR="00D7694A">
                                  <w:instrText xml:space="preserve"> CITATION Kno11 \l 2057 </w:instrText>
                                </w:r>
                                <w:r w:rsidR="00D7694A">
                                  <w:fldChar w:fldCharType="separate"/>
                                </w:r>
                                <w:r w:rsidR="00D7694A" w:rsidRPr="00D7694A">
                                  <w:rPr>
                                    <w:noProof/>
                                  </w:rPr>
                                  <w:t>(Knowswhy.com, 2011)</w:t>
                                </w:r>
                                <w:r w:rsidR="00D7694A">
                                  <w:fldChar w:fldCharType="end"/>
                                </w:r>
                              </w:sdtContent>
                            </w:sdt>
                            <w:r w:rsidR="00D7694A">
                              <w:t xml:space="preserve"> They cannot however always ensure the law is transparent and intelligible because the law is complex and has many different directions and precedents due to the rule of law. The rule of law is used for decision making based on the basis of a case and enforcing equality </w:t>
                            </w:r>
                            <w:sdt>
                              <w:sdtPr>
                                <w:id w:val="1221723546"/>
                                <w:citation/>
                              </w:sdtPr>
                              <w:sdtContent>
                                <w:r w:rsidR="00D7694A">
                                  <w:fldChar w:fldCharType="begin"/>
                                </w:r>
                                <w:r w:rsidR="00D7694A">
                                  <w:instrText xml:space="preserve"> CITATION Gov17 \l 2057 </w:instrText>
                                </w:r>
                                <w:r w:rsidR="00D7694A">
                                  <w:fldChar w:fldCharType="separate"/>
                                </w:r>
                                <w:r w:rsidR="00D7694A" w:rsidRPr="00D7694A">
                                  <w:rPr>
                                    <w:noProof/>
                                  </w:rPr>
                                  <w:t>(Gov.uk, 2017)</w:t>
                                </w:r>
                                <w:r w:rsidR="00D7694A">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6A2AF" id="Text Box 1" o:spid="_x0000_s1029" type="#_x0000_t202" style="position:absolute;margin-left:0;margin-top:-9.7pt;width:559.5pt;height:439.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" fillcolor="white [3201]" stroked="f" strokeweight=".5pt">
                <v:textbox>
                  <w:txbxContent>
                    <w:p w14:paraId="11838C07" w14:textId="0BE298FB" w:rsidR="00FF54FC" w:rsidRDefault="00A34CD5">
                      <w:r w:rsidRPr="00A34CD5">
                        <w:t xml:space="preserve">Ideally the law should be transparent and </w:t>
                      </w:r>
                      <w:r w:rsidR="0089460E" w:rsidRPr="00A34CD5">
                        <w:t>intelligible,</w:t>
                      </w:r>
                      <w:r w:rsidRPr="00A34CD5">
                        <w:t xml:space="preserve"> but it is not, which is most likely for the better</w:t>
                      </w:r>
                      <w:r w:rsidR="008D753F">
                        <w:t xml:space="preserve"> because it can be better suited to deal with cases with specific facts.</w:t>
                      </w:r>
                      <w:r w:rsidRPr="00A34CD5">
                        <w:t xml:space="preserve"> The law being transparent means it is clear and gives clear direction which can be true but often it depends on the circumstances of a case. The law being intelligible means it is easy to understand which is not true, because there are many laws and whilst learning them might come easily to some, applying them might be trickier</w:t>
                      </w:r>
                      <w:r w:rsidR="008D753F">
                        <w:t xml:space="preserve"> because there are many sources.</w:t>
                      </w:r>
                      <w:r w:rsidRPr="00A34CD5">
                        <w:t xml:space="preserve"> </w:t>
                      </w:r>
                      <w:r w:rsidR="0089460E" w:rsidRPr="00A34CD5">
                        <w:t>Furthermore,</w:t>
                      </w:r>
                      <w:r w:rsidRPr="00A34CD5">
                        <w:t xml:space="preserve"> the UK does not have a written constitution. A constitution is a set of precedents, principles and rules by which the people are governed by. Although the UKs constitution is said to be unwritten it is in fact written, just not on a single document as opposed to other countries. The UK has multiple documents providing constitutions. According to the Merriam webster the dictionary definition of an unwritten constitution is “a constitution not embodied in a single document but based chiefly on custom and precedent as expressed in statutes and judicial decisions.” </w:t>
                      </w:r>
                      <w:sdt>
                        <w:sdtPr>
                          <w:id w:val="593745126"/>
                          <w:citation/>
                        </w:sdtPr>
                        <w:sdtContent>
                          <w:r>
                            <w:fldChar w:fldCharType="begin"/>
                          </w:r>
                          <w:r>
                            <w:instrText xml:space="preserve"> CITATION Mer22 \l 2057 </w:instrText>
                          </w:r>
                          <w:r>
                            <w:fldChar w:fldCharType="separate"/>
                          </w:r>
                          <w:r w:rsidRPr="00A34CD5">
                            <w:rPr>
                              <w:noProof/>
                            </w:rPr>
                            <w:t>(Merriam webster , 2022)</w:t>
                          </w:r>
                          <w:r>
                            <w:fldChar w:fldCharType="end"/>
                          </w:r>
                        </w:sdtContent>
                      </w:sdt>
                      <w:r w:rsidR="00B92F6D">
                        <w:t xml:space="preserve"> </w:t>
                      </w:r>
                      <w:r w:rsidR="00FF54FC">
                        <w:t xml:space="preserve">There are few differences between the unwritten and written constitutions. They are also referred to as codified and uncodified. </w:t>
                      </w:r>
                      <w:r w:rsidR="00C34315">
                        <w:t xml:space="preserve">For </w:t>
                      </w:r>
                      <w:r w:rsidR="0089460E">
                        <w:t>example,</w:t>
                      </w:r>
                      <w:r w:rsidR="00C34315">
                        <w:t xml:space="preserve"> an uncodified constitution is more flexible but with this also comes uncertainty due to having to find specific constitution rights which can be difficult to navigate. It does however mean </w:t>
                      </w:r>
                      <w:r w:rsidR="00E9086B">
                        <w:t xml:space="preserve">that these constitutions are not superior to regulations and laws. </w:t>
                      </w:r>
                      <w:r w:rsidR="00A350E8">
                        <w:t xml:space="preserve">This relates to case law which means courts often follow previous rulings on a case with similar facts and/or circumstances. The advantages of this is that there is some “certainty” and “flexibility” whilst also implementing “detailed practical rules” and “free market in legal ideas” </w:t>
                      </w:r>
                      <w:sdt>
                        <w:sdtPr>
                          <w:id w:val="1171995053"/>
                          <w:citation/>
                        </w:sdtPr>
                        <w:sdtContent>
                          <w:r w:rsidR="00C573B9">
                            <w:fldChar w:fldCharType="begin"/>
                          </w:r>
                          <w:r w:rsidR="00000CAA">
                            <w:instrText xml:space="preserve">CITATION Ell13 \l 2057 </w:instrText>
                          </w:r>
                          <w:r w:rsidR="00C573B9">
                            <w:fldChar w:fldCharType="separate"/>
                          </w:r>
                          <w:r w:rsidR="00000CAA" w:rsidRPr="00000CAA">
                            <w:rPr>
                              <w:noProof/>
                            </w:rPr>
                            <w:t>(Elliot &amp; Quinn, 2013/14)</w:t>
                          </w:r>
                          <w:r w:rsidR="00C573B9">
                            <w:fldChar w:fldCharType="end"/>
                          </w:r>
                        </w:sdtContent>
                      </w:sdt>
                      <w:r w:rsidR="00C573B9">
                        <w:t xml:space="preserve"> To put this simply these are an advantage due to the fact that they can meet the needs of a changing society and impose new legal sources for case law whilst presenting more information and makes it easier to predict how a case might </w:t>
                      </w:r>
                      <w:r w:rsidR="001326FF">
                        <w:t xml:space="preserve">be treated. </w:t>
                      </w:r>
                      <w:sdt>
                        <w:sdtPr>
                          <w:id w:val="102466136"/>
                          <w:citation/>
                        </w:sdtPr>
                        <w:sdtContent>
                          <w:r w:rsidR="001326FF">
                            <w:fldChar w:fldCharType="begin"/>
                          </w:r>
                          <w:r w:rsidR="00000CAA">
                            <w:instrText xml:space="preserve">CITATION Ell13 \l 2057 </w:instrText>
                          </w:r>
                          <w:r w:rsidR="001326FF">
                            <w:fldChar w:fldCharType="separate"/>
                          </w:r>
                          <w:r w:rsidR="00000CAA" w:rsidRPr="00000CAA">
                            <w:rPr>
                              <w:noProof/>
                            </w:rPr>
                            <w:t>(Elliot &amp; Quinn, 2013/14)</w:t>
                          </w:r>
                          <w:r w:rsidR="001326FF">
                            <w:fldChar w:fldCharType="end"/>
                          </w:r>
                        </w:sdtContent>
                      </w:sdt>
                      <w:r w:rsidR="001326FF">
                        <w:t xml:space="preserve"> </w:t>
                      </w:r>
                      <w:r w:rsidR="00000CAA">
                        <w:t xml:space="preserve">on the other </w:t>
                      </w:r>
                      <w:r w:rsidR="0089460E">
                        <w:t>hand,</w:t>
                      </w:r>
                      <w:r w:rsidR="00000CAA">
                        <w:t xml:space="preserve"> there are disadvantages to case law. It has more “complexity and volume” more “rigid” and it is “dependence on chance” </w:t>
                      </w:r>
                      <w:sdt>
                        <w:sdtPr>
                          <w:id w:val="-279571670"/>
                          <w:citation/>
                        </w:sdtPr>
                        <w:sdtContent>
                          <w:r w:rsidR="00000CAA">
                            <w:fldChar w:fldCharType="begin"/>
                          </w:r>
                          <w:r w:rsidR="00000CAA">
                            <w:instrText xml:space="preserve"> CITATION Ell141 \l 2057 </w:instrText>
                          </w:r>
                          <w:r w:rsidR="00000CAA">
                            <w:fldChar w:fldCharType="separate"/>
                          </w:r>
                          <w:r w:rsidR="00000CAA" w:rsidRPr="00000CAA">
                            <w:rPr>
                              <w:noProof/>
                            </w:rPr>
                            <w:t>(Elliot &amp; Quinn, 2013/14)</w:t>
                          </w:r>
                          <w:r w:rsidR="00000CAA">
                            <w:fldChar w:fldCharType="end"/>
                          </w:r>
                        </w:sdtContent>
                      </w:sdt>
                      <w:r w:rsidR="00353D89">
                        <w:t xml:space="preserve"> Meaning it is harder to push through new precedent or having to follow a </w:t>
                      </w:r>
                      <w:r w:rsidR="00E765F2">
                        <w:t xml:space="preserve">law the judge may not agree with plus there are simply too many decided cases which intensifies the difficulty of finding the right and appropriate decision based on principals of past cases. </w:t>
                      </w:r>
                      <w:r w:rsidR="00F44142">
                        <w:t>Linking back to the question, judges are trusted to ensure the law is transparent and intelligible but the law itself is complex and therefore not as clear as it could be.</w:t>
                      </w:r>
                    </w:p>
                    <w:p w14:paraId="6287EB2B" w14:textId="0CB28973" w:rsidR="002E6CB4" w:rsidRDefault="006E5757">
                      <w:r>
                        <w:t>In conclusion, judges are public servants due to the fact that they must keep the best interest of the public in mind and apply it to their everyday appointments whilst being public bodies themselves. They are trusted to oversee and make deci</w:t>
                      </w:r>
                      <w:r w:rsidR="00D7694A">
                        <w:t xml:space="preserve">sions in a court trial which is a public matter, making them a public figure </w:t>
                      </w:r>
                      <w:sdt>
                        <w:sdtPr>
                          <w:id w:val="203760962"/>
                          <w:citation/>
                        </w:sdtPr>
                        <w:sdtContent>
                          <w:r w:rsidR="00D7694A">
                            <w:fldChar w:fldCharType="begin"/>
                          </w:r>
                          <w:r w:rsidR="00D7694A">
                            <w:instrText xml:space="preserve"> CITATION Kno11 \l 2057 </w:instrText>
                          </w:r>
                          <w:r w:rsidR="00D7694A">
                            <w:fldChar w:fldCharType="separate"/>
                          </w:r>
                          <w:r w:rsidR="00D7694A" w:rsidRPr="00D7694A">
                            <w:rPr>
                              <w:noProof/>
                            </w:rPr>
                            <w:t>(Knowswhy.com, 2011)</w:t>
                          </w:r>
                          <w:r w:rsidR="00D7694A">
                            <w:fldChar w:fldCharType="end"/>
                          </w:r>
                        </w:sdtContent>
                      </w:sdt>
                      <w:r w:rsidR="00D7694A">
                        <w:t xml:space="preserve"> They cannot however always ensure the law is transparent and intelligible because the law is complex and has many different directions and precedents due to the rule of law. The rule of law is used for decision making based on the basis of a case and enforcing equality </w:t>
                      </w:r>
                      <w:sdt>
                        <w:sdtPr>
                          <w:id w:val="1221723546"/>
                          <w:citation/>
                        </w:sdtPr>
                        <w:sdtContent>
                          <w:r w:rsidR="00D7694A">
                            <w:fldChar w:fldCharType="begin"/>
                          </w:r>
                          <w:r w:rsidR="00D7694A">
                            <w:instrText xml:space="preserve"> CITATION Gov17 \l 2057 </w:instrText>
                          </w:r>
                          <w:r w:rsidR="00D7694A">
                            <w:fldChar w:fldCharType="separate"/>
                          </w:r>
                          <w:r w:rsidR="00D7694A" w:rsidRPr="00D7694A">
                            <w:rPr>
                              <w:noProof/>
                            </w:rPr>
                            <w:t>(Gov.uk, 2017)</w:t>
                          </w:r>
                          <w:r w:rsidR="00D7694A">
                            <w:fldChar w:fldCharType="end"/>
                          </w:r>
                        </w:sdtContent>
                      </w:sdt>
                    </w:p>
                  </w:txbxContent>
                </v:textbox>
                <w10:wrap anchorx="margin"/>
              </v:shape>
            </w:pict>
          </mc:Fallback>
        </mc:AlternateContent>
      </w:r>
    </w:p>
    <w:p w14:paraId="032F4263" w14:textId="01480E37" w:rsidR="00B92F6D" w:rsidRDefault="00B92F6D">
      <w:pPr>
        <w:rPr>
          <w:u w:val="single"/>
        </w:rPr>
      </w:pPr>
      <w:r>
        <w:rPr>
          <w:u w:val="single"/>
        </w:rPr>
        <w:br w:type="page"/>
      </w:r>
    </w:p>
    <w:p w14:paraId="1415A713" w14:textId="28FD9785" w:rsidR="007540CB" w:rsidRDefault="00B92F6D">
      <w:r>
        <w:rPr>
          <w:noProof/>
        </w:rPr>
        <w:lastRenderedPageBreak/>
        <mc:AlternateContent>
          <mc:Choice Requires="wps">
            <w:drawing>
              <wp:anchor distT="0" distB="0" distL="114300" distR="114300" simplePos="0" relativeHeight="251667456" behindDoc="0" locked="0" layoutInCell="1" allowOverlap="1" wp14:anchorId="23AA894F" wp14:editId="677C1812">
                <wp:simplePos x="0" y="0"/>
                <wp:positionH relativeFrom="column">
                  <wp:posOffset>-752475</wp:posOffset>
                </wp:positionH>
                <wp:positionV relativeFrom="paragraph">
                  <wp:posOffset>-809625</wp:posOffset>
                </wp:positionV>
                <wp:extent cx="7267575" cy="7058025"/>
                <wp:effectExtent l="0" t="0" r="9525" b="9525"/>
                <wp:wrapNone/>
                <wp:docPr id="6" name="Text Box 6"/>
                <wp:cNvGraphicFramePr/>
                <a:graphic xmlns:a="http://schemas.openxmlformats.org/drawingml/2006/main">
                  <a:graphicData uri="http://schemas.microsoft.com/office/word/2010/wordprocessingShape">
                    <wps:wsp>
                      <wps:cNvSpPr txBox="1"/>
                      <wps:spPr>
                        <a:xfrm>
                          <a:off x="0" y="0"/>
                          <a:ext cx="7267575" cy="7058025"/>
                        </a:xfrm>
                        <a:prstGeom prst="rect">
                          <a:avLst/>
                        </a:prstGeom>
                        <a:solidFill>
                          <a:schemeClr val="lt1"/>
                        </a:solidFill>
                        <a:ln w="6350">
                          <a:noFill/>
                        </a:ln>
                      </wps:spPr>
                      <wps:txbx>
                        <w:txbxContent>
                          <w:p w14:paraId="37367B01" w14:textId="6B3ABF51" w:rsidR="00B92F6D" w:rsidRDefault="00B92F6D">
                            <w:pPr>
                              <w:rPr>
                                <w:b/>
                                <w:bCs/>
                                <w:u w:val="single"/>
                              </w:rPr>
                            </w:pPr>
                            <w:r w:rsidRPr="00FA752A">
                              <w:rPr>
                                <w:b/>
                                <w:bCs/>
                                <w:u w:val="single"/>
                              </w:rPr>
                              <w:t xml:space="preserve">Reference </w:t>
                            </w:r>
                            <w:proofErr w:type="gramStart"/>
                            <w:r w:rsidRPr="00FA752A">
                              <w:rPr>
                                <w:b/>
                                <w:bCs/>
                                <w:u w:val="single"/>
                              </w:rPr>
                              <w:t>list</w:t>
                            </w:r>
                            <w:r w:rsidR="00FA752A" w:rsidRPr="00FA752A">
                              <w:rPr>
                                <w:b/>
                                <w:bCs/>
                                <w:u w:val="single"/>
                              </w:rPr>
                              <w:t xml:space="preserve"> :</w:t>
                            </w:r>
                            <w:proofErr w:type="gramEnd"/>
                            <w:r w:rsidR="00FA752A" w:rsidRPr="00FA752A">
                              <w:rPr>
                                <w:b/>
                                <w:bCs/>
                                <w:u w:val="single"/>
                              </w:rPr>
                              <w:t xml:space="preserve"> </w:t>
                            </w:r>
                          </w:p>
                          <w:p w14:paraId="47CA867A" w14:textId="77777777" w:rsidR="00FA752A" w:rsidRDefault="00FA752A">
                            <w:pPr>
                              <w:rPr>
                                <w:b/>
                                <w:bCs/>
                                <w:u w:val="single"/>
                              </w:rPr>
                            </w:pPr>
                          </w:p>
                          <w:p w14:paraId="210F00AA" w14:textId="77777777" w:rsidR="00FA752A" w:rsidRDefault="00FA752A" w:rsidP="00FA752A">
                            <w:pPr>
                              <w:pStyle w:val="Bibliography"/>
                              <w:rPr>
                                <w:noProof/>
                                <w:sz w:val="24"/>
                                <w:szCs w:val="24"/>
                              </w:rPr>
                            </w:pPr>
                            <w:r>
                              <w:fldChar w:fldCharType="begin"/>
                            </w:r>
                            <w:r>
                              <w:instrText xml:space="preserve"> BIBLIOGRAPHY  \l 2057 </w:instrText>
                            </w:r>
                            <w:r>
                              <w:fldChar w:fldCharType="separate"/>
                            </w:r>
                            <w:r>
                              <w:rPr>
                                <w:noProof/>
                              </w:rPr>
                              <w:t xml:space="preserve">Courts and Tribunals Judiciary, 2010. </w:t>
                            </w:r>
                            <w:r>
                              <w:rPr>
                                <w:i/>
                                <w:iCs/>
                                <w:noProof/>
                              </w:rPr>
                              <w:t xml:space="preserve">Criminals. </w:t>
                            </w:r>
                            <w:r>
                              <w:rPr>
                                <w:noProof/>
                              </w:rPr>
                              <w:t xml:space="preserve">[Online] </w:t>
                            </w:r>
                            <w:r>
                              <w:rPr>
                                <w:noProof/>
                              </w:rPr>
                              <w:br/>
                              <w:t xml:space="preserve">Available at: </w:t>
                            </w:r>
                            <w:r>
                              <w:rPr>
                                <w:noProof/>
                                <w:u w:val="single"/>
                              </w:rPr>
                              <w:t>https://www.judiciary.uk/about-the-judiciary/our-justice-system/jurisdictions/criminal-jurisdiction/</w:t>
                            </w:r>
                            <w:r>
                              <w:rPr>
                                <w:noProof/>
                              </w:rPr>
                              <w:br/>
                              <w:t>[Accessed 10 November 2022].</w:t>
                            </w:r>
                          </w:p>
                          <w:p w14:paraId="579939F8" w14:textId="77777777" w:rsidR="00FA752A" w:rsidRDefault="00FA752A" w:rsidP="00FA752A">
                            <w:pPr>
                              <w:pStyle w:val="Bibliography"/>
                              <w:rPr>
                                <w:noProof/>
                              </w:rPr>
                            </w:pPr>
                            <w:r>
                              <w:rPr>
                                <w:noProof/>
                              </w:rPr>
                              <w:t xml:space="preserve">CPS, 2022. </w:t>
                            </w:r>
                            <w:r>
                              <w:rPr>
                                <w:i/>
                                <w:iCs/>
                                <w:noProof/>
                              </w:rPr>
                              <w:t xml:space="preserve">Sentencing – Overview, General Principles and Mandatory Custodial Sentences. </w:t>
                            </w:r>
                            <w:r>
                              <w:rPr>
                                <w:noProof/>
                              </w:rPr>
                              <w:t xml:space="preserve">[Online] </w:t>
                            </w:r>
                            <w:r>
                              <w:rPr>
                                <w:noProof/>
                              </w:rPr>
                              <w:br/>
                              <w:t xml:space="preserve">Available at: </w:t>
                            </w:r>
                            <w:r>
                              <w:rPr>
                                <w:noProof/>
                                <w:u w:val="single"/>
                              </w:rPr>
                              <w:t>https://www.cps.gov.uk/legal-guidance/sentencing-overview-general-principles-and-mandatory-custodial-sentences</w:t>
                            </w:r>
                            <w:r>
                              <w:rPr>
                                <w:noProof/>
                              </w:rPr>
                              <w:br/>
                              <w:t>[Accessed 9 November 2022].</w:t>
                            </w:r>
                          </w:p>
                          <w:p w14:paraId="2C51D27C" w14:textId="77777777" w:rsidR="00FA752A" w:rsidRDefault="00FA752A" w:rsidP="00FA752A">
                            <w:pPr>
                              <w:pStyle w:val="Bibliography"/>
                              <w:rPr>
                                <w:noProof/>
                              </w:rPr>
                            </w:pPr>
                            <w:r>
                              <w:rPr>
                                <w:noProof/>
                              </w:rPr>
                              <w:t xml:space="preserve">Elliot , C. &amp; Quinn, F., 2013/14. In: </w:t>
                            </w:r>
                            <w:r>
                              <w:rPr>
                                <w:i/>
                                <w:iCs/>
                                <w:noProof/>
                              </w:rPr>
                              <w:t xml:space="preserve">English Legal System. </w:t>
                            </w:r>
                            <w:r>
                              <w:rPr>
                                <w:noProof/>
                              </w:rPr>
                              <w:t>s.l.:Pearson, pp. 33-34.</w:t>
                            </w:r>
                          </w:p>
                          <w:p w14:paraId="5A04AE65" w14:textId="77777777" w:rsidR="00FA752A" w:rsidRDefault="00FA752A" w:rsidP="00FA752A">
                            <w:pPr>
                              <w:pStyle w:val="Bibliography"/>
                              <w:rPr>
                                <w:noProof/>
                              </w:rPr>
                            </w:pPr>
                            <w:r>
                              <w:rPr>
                                <w:noProof/>
                              </w:rPr>
                              <w:t xml:space="preserve">Elliot, C. &amp; Quinn, F., 2013/14. In: </w:t>
                            </w:r>
                            <w:r>
                              <w:rPr>
                                <w:i/>
                                <w:iCs/>
                                <w:noProof/>
                              </w:rPr>
                              <w:t xml:space="preserve">English Legal System. </w:t>
                            </w:r>
                            <w:r>
                              <w:rPr>
                                <w:noProof/>
                              </w:rPr>
                              <w:t>s.l.:Pearson, pp. 32-33.</w:t>
                            </w:r>
                          </w:p>
                          <w:p w14:paraId="00A3403F" w14:textId="77777777" w:rsidR="00FA752A" w:rsidRDefault="00FA752A" w:rsidP="00FA752A">
                            <w:pPr>
                              <w:pStyle w:val="Bibliography"/>
                              <w:rPr>
                                <w:noProof/>
                              </w:rPr>
                            </w:pPr>
                            <w:r>
                              <w:rPr>
                                <w:noProof/>
                              </w:rPr>
                              <w:t xml:space="preserve">Elliot, C. &amp; Quinn, F., 2013/14. In: </w:t>
                            </w:r>
                            <w:r>
                              <w:rPr>
                                <w:i/>
                                <w:iCs/>
                                <w:noProof/>
                              </w:rPr>
                              <w:t xml:space="preserve">English Legal System. </w:t>
                            </w:r>
                            <w:r>
                              <w:rPr>
                                <w:noProof/>
                              </w:rPr>
                              <w:t>s.l.:Pearson, p. 154.</w:t>
                            </w:r>
                          </w:p>
                          <w:p w14:paraId="11E4656A" w14:textId="77777777" w:rsidR="00FA752A" w:rsidRDefault="00FA752A" w:rsidP="00FA752A">
                            <w:pPr>
                              <w:pStyle w:val="Bibliography"/>
                              <w:rPr>
                                <w:noProof/>
                              </w:rPr>
                            </w:pPr>
                            <w:r>
                              <w:rPr>
                                <w:noProof/>
                              </w:rPr>
                              <w:t xml:space="preserve">Gov.uk, 2017. </w:t>
                            </w:r>
                            <w:r>
                              <w:rPr>
                                <w:i/>
                                <w:iCs/>
                                <w:noProof/>
                              </w:rPr>
                              <w:t xml:space="preserve">Human Rights Council 35: Rule of Law. </w:t>
                            </w:r>
                            <w:r>
                              <w:rPr>
                                <w:noProof/>
                              </w:rPr>
                              <w:t xml:space="preserve">[Online] </w:t>
                            </w:r>
                            <w:r>
                              <w:rPr>
                                <w:noProof/>
                              </w:rPr>
                              <w:br/>
                              <w:t xml:space="preserve">Available at: </w:t>
                            </w:r>
                            <w:r>
                              <w:rPr>
                                <w:noProof/>
                                <w:u w:val="single"/>
                              </w:rPr>
                              <w:t>https://www.gov.uk/government/news/human-rights-council-35-rule-of-law</w:t>
                            </w:r>
                            <w:r>
                              <w:rPr>
                                <w:noProof/>
                              </w:rPr>
                              <w:br/>
                              <w:t>[Accessed 11 November 2022].</w:t>
                            </w:r>
                          </w:p>
                          <w:p w14:paraId="021353A7" w14:textId="77777777" w:rsidR="00FA752A" w:rsidRDefault="00FA752A" w:rsidP="00FA752A">
                            <w:pPr>
                              <w:pStyle w:val="Bibliography"/>
                              <w:rPr>
                                <w:noProof/>
                              </w:rPr>
                            </w:pPr>
                            <w:r>
                              <w:rPr>
                                <w:noProof/>
                              </w:rPr>
                              <w:t xml:space="preserve">Knowswhy.com, 2011. </w:t>
                            </w:r>
                            <w:r>
                              <w:rPr>
                                <w:i/>
                                <w:iCs/>
                                <w:noProof/>
                              </w:rPr>
                              <w:t xml:space="preserve">Why should judges be elected. </w:t>
                            </w:r>
                            <w:r>
                              <w:rPr>
                                <w:noProof/>
                              </w:rPr>
                              <w:t xml:space="preserve">[Online] </w:t>
                            </w:r>
                            <w:r>
                              <w:rPr>
                                <w:noProof/>
                              </w:rPr>
                              <w:br/>
                              <w:t xml:space="preserve">Available at: </w:t>
                            </w:r>
                            <w:r>
                              <w:rPr>
                                <w:noProof/>
                                <w:u w:val="single"/>
                              </w:rPr>
                              <w:t>https://www.knowswhy.com/why-should-judges-be-elected/</w:t>
                            </w:r>
                            <w:r>
                              <w:rPr>
                                <w:noProof/>
                              </w:rPr>
                              <w:br/>
                              <w:t>[Accessed 11 November 2022].</w:t>
                            </w:r>
                          </w:p>
                          <w:p w14:paraId="3A7CD8DD" w14:textId="77777777" w:rsidR="00FA752A" w:rsidRDefault="00FA752A" w:rsidP="00FA752A">
                            <w:pPr>
                              <w:pStyle w:val="Bibliography"/>
                              <w:rPr>
                                <w:noProof/>
                              </w:rPr>
                            </w:pPr>
                            <w:r>
                              <w:rPr>
                                <w:noProof/>
                              </w:rPr>
                              <w:t xml:space="preserve">LexisNexis, 2020. </w:t>
                            </w:r>
                            <w:r>
                              <w:rPr>
                                <w:i/>
                                <w:iCs/>
                                <w:noProof/>
                              </w:rPr>
                              <w:t xml:space="preserve">The executive and the civil service. </w:t>
                            </w:r>
                            <w:r>
                              <w:rPr>
                                <w:noProof/>
                              </w:rPr>
                              <w:t xml:space="preserve">[Online] </w:t>
                            </w:r>
                            <w:r>
                              <w:rPr>
                                <w:noProof/>
                              </w:rPr>
                              <w:br/>
                              <w:t xml:space="preserve">Available at: </w:t>
                            </w:r>
                            <w:r>
                              <w:rPr>
                                <w:noProof/>
                                <w:u w:val="single"/>
                              </w:rPr>
                              <w:t>https://www.lexisnexis.co.uk/legal/guidance/the-executive-the-civil-service</w:t>
                            </w:r>
                            <w:r>
                              <w:rPr>
                                <w:noProof/>
                              </w:rPr>
                              <w:br/>
                              <w:t>[Accessed 10 November 2022].</w:t>
                            </w:r>
                          </w:p>
                          <w:p w14:paraId="62987868" w14:textId="77777777" w:rsidR="00FA752A" w:rsidRDefault="00FA752A" w:rsidP="00FA752A">
                            <w:pPr>
                              <w:pStyle w:val="Bibliography"/>
                              <w:rPr>
                                <w:noProof/>
                              </w:rPr>
                            </w:pPr>
                            <w:r>
                              <w:rPr>
                                <w:noProof/>
                              </w:rPr>
                              <w:t xml:space="preserve">Merriam webster , 2022. </w:t>
                            </w:r>
                            <w:r>
                              <w:rPr>
                                <w:i/>
                                <w:iCs/>
                                <w:noProof/>
                              </w:rPr>
                              <w:t xml:space="preserve">unwritten constituion. </w:t>
                            </w:r>
                            <w:r>
                              <w:rPr>
                                <w:noProof/>
                              </w:rPr>
                              <w:t xml:space="preserve">[Online] </w:t>
                            </w:r>
                            <w:r>
                              <w:rPr>
                                <w:noProof/>
                              </w:rPr>
                              <w:br/>
                              <w:t xml:space="preserve">Available at: </w:t>
                            </w:r>
                            <w:r>
                              <w:rPr>
                                <w:noProof/>
                                <w:u w:val="single"/>
                              </w:rPr>
                              <w:t>https://www.merriam-webster.com/dictionary/unwritten%20constitution#:~:text=unwritten%20constitution%20noun%20%3A%20a%20constitution%20not%20embodied,precedent%20as%20expressed%20in%20statutes%20and%20judicial%20decisions</w:t>
                            </w:r>
                            <w:r>
                              <w:rPr>
                                <w:noProof/>
                              </w:rPr>
                              <w:br/>
                              <w:t>[Accessed 11 November 2022].</w:t>
                            </w:r>
                          </w:p>
                          <w:p w14:paraId="2F01F348" w14:textId="7C8090AA" w:rsidR="00FA752A" w:rsidRDefault="00FA752A" w:rsidP="00FA752A">
                            <w:pPr>
                              <w:pStyle w:val="Bibliography"/>
                              <w:rPr>
                                <w:noProof/>
                              </w:rPr>
                            </w:pPr>
                            <w:r>
                              <w:rPr>
                                <w:noProof/>
                              </w:rPr>
                              <w:t xml:space="preserve">Public Law Project, n.d. </w:t>
                            </w:r>
                            <w:r>
                              <w:rPr>
                                <w:i/>
                                <w:iCs/>
                                <w:noProof/>
                              </w:rPr>
                              <w:t xml:space="preserve">What is public law?. </w:t>
                            </w:r>
                            <w:r>
                              <w:rPr>
                                <w:noProof/>
                              </w:rPr>
                              <w:t xml:space="preserve">[Online] </w:t>
                            </w:r>
                            <w:r>
                              <w:rPr>
                                <w:noProof/>
                              </w:rPr>
                              <w:br/>
                              <w:t xml:space="preserve">Available at: </w:t>
                            </w:r>
                            <w:r>
                              <w:rPr>
                                <w:noProof/>
                                <w:u w:val="single"/>
                              </w:rPr>
                              <w:t>https://publiclawproject.org.uk/what-is-public-law/</w:t>
                            </w:r>
                            <w:r>
                              <w:rPr>
                                <w:noProof/>
                              </w:rPr>
                              <w:br/>
                              <w:t>[Accessed 11 November 2022].</w:t>
                            </w:r>
                          </w:p>
                          <w:p w14:paraId="250101CE" w14:textId="78DED21E" w:rsidR="00FA752A" w:rsidRPr="00FA752A" w:rsidRDefault="00FA752A" w:rsidP="00FA752A">
                            <w:r>
                              <w:fldChar w:fldCharType="end"/>
                            </w:r>
                          </w:p>
                          <w:p w14:paraId="6C1A9F4F" w14:textId="77777777" w:rsidR="00FA752A" w:rsidRDefault="00FA75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AA894F" id="Text Box 6" o:spid="_x0000_s1030" type="#_x0000_t202" style="position:absolute;margin-left:-59.25pt;margin-top:-63.75pt;width:572.25pt;height:555.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" fillcolor="white [3201]" stroked="f" strokeweight=".5pt">
                <v:textbox>
                  <w:txbxContent>
                    <w:p w14:paraId="37367B01" w14:textId="6B3ABF51" w:rsidR="00B92F6D" w:rsidRDefault="00B92F6D">
                      <w:pPr>
                        <w:rPr>
                          <w:b/>
                          <w:bCs/>
                          <w:u w:val="single"/>
                        </w:rPr>
                      </w:pPr>
                      <w:r w:rsidRPr="00FA752A">
                        <w:rPr>
                          <w:b/>
                          <w:bCs/>
                          <w:u w:val="single"/>
                        </w:rPr>
                        <w:t xml:space="preserve">Reference </w:t>
                      </w:r>
                      <w:proofErr w:type="gramStart"/>
                      <w:r w:rsidRPr="00FA752A">
                        <w:rPr>
                          <w:b/>
                          <w:bCs/>
                          <w:u w:val="single"/>
                        </w:rPr>
                        <w:t>list</w:t>
                      </w:r>
                      <w:r w:rsidR="00FA752A" w:rsidRPr="00FA752A">
                        <w:rPr>
                          <w:b/>
                          <w:bCs/>
                          <w:u w:val="single"/>
                        </w:rPr>
                        <w:t xml:space="preserve"> :</w:t>
                      </w:r>
                      <w:proofErr w:type="gramEnd"/>
                      <w:r w:rsidR="00FA752A" w:rsidRPr="00FA752A">
                        <w:rPr>
                          <w:b/>
                          <w:bCs/>
                          <w:u w:val="single"/>
                        </w:rPr>
                        <w:t xml:space="preserve"> </w:t>
                      </w:r>
                    </w:p>
                    <w:p w14:paraId="47CA867A" w14:textId="77777777" w:rsidR="00FA752A" w:rsidRDefault="00FA752A">
                      <w:pPr>
                        <w:rPr>
                          <w:b/>
                          <w:bCs/>
                          <w:u w:val="single"/>
                        </w:rPr>
                      </w:pPr>
                    </w:p>
                    <w:p w14:paraId="210F00AA" w14:textId="77777777" w:rsidR="00FA752A" w:rsidRDefault="00FA752A" w:rsidP="00FA752A">
                      <w:pPr>
                        <w:pStyle w:val="Bibliography"/>
                        <w:rPr>
                          <w:noProof/>
                          <w:sz w:val="24"/>
                          <w:szCs w:val="24"/>
                        </w:rPr>
                      </w:pPr>
                      <w:r>
                        <w:fldChar w:fldCharType="begin"/>
                      </w:r>
                      <w:r>
                        <w:instrText xml:space="preserve"> BIBLIOGRAPHY  \l 2057 </w:instrText>
                      </w:r>
                      <w:r>
                        <w:fldChar w:fldCharType="separate"/>
                      </w:r>
                      <w:r>
                        <w:rPr>
                          <w:noProof/>
                        </w:rPr>
                        <w:t xml:space="preserve">Courts and Tribunals Judiciary, 2010. </w:t>
                      </w:r>
                      <w:r>
                        <w:rPr>
                          <w:i/>
                          <w:iCs/>
                          <w:noProof/>
                        </w:rPr>
                        <w:t xml:space="preserve">Criminals. </w:t>
                      </w:r>
                      <w:r>
                        <w:rPr>
                          <w:noProof/>
                        </w:rPr>
                        <w:t xml:space="preserve">[Online] </w:t>
                      </w:r>
                      <w:r>
                        <w:rPr>
                          <w:noProof/>
                        </w:rPr>
                        <w:br/>
                        <w:t xml:space="preserve">Available at: </w:t>
                      </w:r>
                      <w:r>
                        <w:rPr>
                          <w:noProof/>
                          <w:u w:val="single"/>
                        </w:rPr>
                        <w:t>https://www.judiciary.uk/about-the-judiciary/our-justice-system/jurisdictions/criminal-jurisdiction/</w:t>
                      </w:r>
                      <w:r>
                        <w:rPr>
                          <w:noProof/>
                        </w:rPr>
                        <w:br/>
                        <w:t>[Accessed 10 November 2022].</w:t>
                      </w:r>
                    </w:p>
                    <w:p w14:paraId="579939F8" w14:textId="77777777" w:rsidR="00FA752A" w:rsidRDefault="00FA752A" w:rsidP="00FA752A">
                      <w:pPr>
                        <w:pStyle w:val="Bibliography"/>
                        <w:rPr>
                          <w:noProof/>
                        </w:rPr>
                      </w:pPr>
                      <w:r>
                        <w:rPr>
                          <w:noProof/>
                        </w:rPr>
                        <w:t xml:space="preserve">CPS, 2022. </w:t>
                      </w:r>
                      <w:r>
                        <w:rPr>
                          <w:i/>
                          <w:iCs/>
                          <w:noProof/>
                        </w:rPr>
                        <w:t xml:space="preserve">Sentencing – Overview, General Principles and Mandatory Custodial Sentences. </w:t>
                      </w:r>
                      <w:r>
                        <w:rPr>
                          <w:noProof/>
                        </w:rPr>
                        <w:t xml:space="preserve">[Online] </w:t>
                      </w:r>
                      <w:r>
                        <w:rPr>
                          <w:noProof/>
                        </w:rPr>
                        <w:br/>
                        <w:t xml:space="preserve">Available at: </w:t>
                      </w:r>
                      <w:r>
                        <w:rPr>
                          <w:noProof/>
                          <w:u w:val="single"/>
                        </w:rPr>
                        <w:t>https://www.cps.gov.uk/legal-guidance/sentencing-overview-general-principles-and-mandatory-custodial-sentences</w:t>
                      </w:r>
                      <w:r>
                        <w:rPr>
                          <w:noProof/>
                        </w:rPr>
                        <w:br/>
                        <w:t>[Accessed 9 November 2022].</w:t>
                      </w:r>
                    </w:p>
                    <w:p w14:paraId="2C51D27C" w14:textId="77777777" w:rsidR="00FA752A" w:rsidRDefault="00FA752A" w:rsidP="00FA752A">
                      <w:pPr>
                        <w:pStyle w:val="Bibliography"/>
                        <w:rPr>
                          <w:noProof/>
                        </w:rPr>
                      </w:pPr>
                      <w:r>
                        <w:rPr>
                          <w:noProof/>
                        </w:rPr>
                        <w:t xml:space="preserve">Elliot , C. &amp; Quinn, F., 2013/14. In: </w:t>
                      </w:r>
                      <w:r>
                        <w:rPr>
                          <w:i/>
                          <w:iCs/>
                          <w:noProof/>
                        </w:rPr>
                        <w:t xml:space="preserve">English Legal System. </w:t>
                      </w:r>
                      <w:r>
                        <w:rPr>
                          <w:noProof/>
                        </w:rPr>
                        <w:t>s.l.:Pearson, pp. 33-34.</w:t>
                      </w:r>
                    </w:p>
                    <w:p w14:paraId="5A04AE65" w14:textId="77777777" w:rsidR="00FA752A" w:rsidRDefault="00FA752A" w:rsidP="00FA752A">
                      <w:pPr>
                        <w:pStyle w:val="Bibliography"/>
                        <w:rPr>
                          <w:noProof/>
                        </w:rPr>
                      </w:pPr>
                      <w:r>
                        <w:rPr>
                          <w:noProof/>
                        </w:rPr>
                        <w:t xml:space="preserve">Elliot, C. &amp; Quinn, F., 2013/14. In: </w:t>
                      </w:r>
                      <w:r>
                        <w:rPr>
                          <w:i/>
                          <w:iCs/>
                          <w:noProof/>
                        </w:rPr>
                        <w:t xml:space="preserve">English Legal System. </w:t>
                      </w:r>
                      <w:r>
                        <w:rPr>
                          <w:noProof/>
                        </w:rPr>
                        <w:t>s.l.:Pearson, pp. 32-33.</w:t>
                      </w:r>
                    </w:p>
                    <w:p w14:paraId="00A3403F" w14:textId="77777777" w:rsidR="00FA752A" w:rsidRDefault="00FA752A" w:rsidP="00FA752A">
                      <w:pPr>
                        <w:pStyle w:val="Bibliography"/>
                        <w:rPr>
                          <w:noProof/>
                        </w:rPr>
                      </w:pPr>
                      <w:r>
                        <w:rPr>
                          <w:noProof/>
                        </w:rPr>
                        <w:t xml:space="preserve">Elliot, C. &amp; Quinn, F., 2013/14. In: </w:t>
                      </w:r>
                      <w:r>
                        <w:rPr>
                          <w:i/>
                          <w:iCs/>
                          <w:noProof/>
                        </w:rPr>
                        <w:t xml:space="preserve">English Legal System. </w:t>
                      </w:r>
                      <w:r>
                        <w:rPr>
                          <w:noProof/>
                        </w:rPr>
                        <w:t>s.l.:Pearson, p. 154.</w:t>
                      </w:r>
                    </w:p>
                    <w:p w14:paraId="11E4656A" w14:textId="77777777" w:rsidR="00FA752A" w:rsidRDefault="00FA752A" w:rsidP="00FA752A">
                      <w:pPr>
                        <w:pStyle w:val="Bibliography"/>
                        <w:rPr>
                          <w:noProof/>
                        </w:rPr>
                      </w:pPr>
                      <w:r>
                        <w:rPr>
                          <w:noProof/>
                        </w:rPr>
                        <w:t xml:space="preserve">Gov.uk, 2017. </w:t>
                      </w:r>
                      <w:r>
                        <w:rPr>
                          <w:i/>
                          <w:iCs/>
                          <w:noProof/>
                        </w:rPr>
                        <w:t xml:space="preserve">Human Rights Council 35: Rule of Law. </w:t>
                      </w:r>
                      <w:r>
                        <w:rPr>
                          <w:noProof/>
                        </w:rPr>
                        <w:t xml:space="preserve">[Online] </w:t>
                      </w:r>
                      <w:r>
                        <w:rPr>
                          <w:noProof/>
                        </w:rPr>
                        <w:br/>
                        <w:t xml:space="preserve">Available at: </w:t>
                      </w:r>
                      <w:r>
                        <w:rPr>
                          <w:noProof/>
                          <w:u w:val="single"/>
                        </w:rPr>
                        <w:t>https://www.gov.uk/government/news/human-rights-council-35-rule-of-law</w:t>
                      </w:r>
                      <w:r>
                        <w:rPr>
                          <w:noProof/>
                        </w:rPr>
                        <w:br/>
                        <w:t>[Accessed 11 November 2022].</w:t>
                      </w:r>
                    </w:p>
                    <w:p w14:paraId="021353A7" w14:textId="77777777" w:rsidR="00FA752A" w:rsidRDefault="00FA752A" w:rsidP="00FA752A">
                      <w:pPr>
                        <w:pStyle w:val="Bibliography"/>
                        <w:rPr>
                          <w:noProof/>
                        </w:rPr>
                      </w:pPr>
                      <w:r>
                        <w:rPr>
                          <w:noProof/>
                        </w:rPr>
                        <w:t xml:space="preserve">Knowswhy.com, 2011. </w:t>
                      </w:r>
                      <w:r>
                        <w:rPr>
                          <w:i/>
                          <w:iCs/>
                          <w:noProof/>
                        </w:rPr>
                        <w:t xml:space="preserve">Why should judges be elected. </w:t>
                      </w:r>
                      <w:r>
                        <w:rPr>
                          <w:noProof/>
                        </w:rPr>
                        <w:t xml:space="preserve">[Online] </w:t>
                      </w:r>
                      <w:r>
                        <w:rPr>
                          <w:noProof/>
                        </w:rPr>
                        <w:br/>
                        <w:t xml:space="preserve">Available at: </w:t>
                      </w:r>
                      <w:r>
                        <w:rPr>
                          <w:noProof/>
                          <w:u w:val="single"/>
                        </w:rPr>
                        <w:t>https://www.knowswhy.com/why-should-judges-be-elected/</w:t>
                      </w:r>
                      <w:r>
                        <w:rPr>
                          <w:noProof/>
                        </w:rPr>
                        <w:br/>
                        <w:t>[Accessed 11 November 2022].</w:t>
                      </w:r>
                    </w:p>
                    <w:p w14:paraId="3A7CD8DD" w14:textId="77777777" w:rsidR="00FA752A" w:rsidRDefault="00FA752A" w:rsidP="00FA752A">
                      <w:pPr>
                        <w:pStyle w:val="Bibliography"/>
                        <w:rPr>
                          <w:noProof/>
                        </w:rPr>
                      </w:pPr>
                      <w:r>
                        <w:rPr>
                          <w:noProof/>
                        </w:rPr>
                        <w:t xml:space="preserve">LexisNexis, 2020. </w:t>
                      </w:r>
                      <w:r>
                        <w:rPr>
                          <w:i/>
                          <w:iCs/>
                          <w:noProof/>
                        </w:rPr>
                        <w:t xml:space="preserve">The executive and the civil service. </w:t>
                      </w:r>
                      <w:r>
                        <w:rPr>
                          <w:noProof/>
                        </w:rPr>
                        <w:t xml:space="preserve">[Online] </w:t>
                      </w:r>
                      <w:r>
                        <w:rPr>
                          <w:noProof/>
                        </w:rPr>
                        <w:br/>
                        <w:t xml:space="preserve">Available at: </w:t>
                      </w:r>
                      <w:r>
                        <w:rPr>
                          <w:noProof/>
                          <w:u w:val="single"/>
                        </w:rPr>
                        <w:t>https://www.lexisnexis.co.uk/legal/guidance/the-executive-the-civil-service</w:t>
                      </w:r>
                      <w:r>
                        <w:rPr>
                          <w:noProof/>
                        </w:rPr>
                        <w:br/>
                        <w:t>[Accessed 10 November 2022].</w:t>
                      </w:r>
                    </w:p>
                    <w:p w14:paraId="62987868" w14:textId="77777777" w:rsidR="00FA752A" w:rsidRDefault="00FA752A" w:rsidP="00FA752A">
                      <w:pPr>
                        <w:pStyle w:val="Bibliography"/>
                        <w:rPr>
                          <w:noProof/>
                        </w:rPr>
                      </w:pPr>
                      <w:r>
                        <w:rPr>
                          <w:noProof/>
                        </w:rPr>
                        <w:t xml:space="preserve">Merriam webster , 2022. </w:t>
                      </w:r>
                      <w:r>
                        <w:rPr>
                          <w:i/>
                          <w:iCs/>
                          <w:noProof/>
                        </w:rPr>
                        <w:t xml:space="preserve">unwritten constituion. </w:t>
                      </w:r>
                      <w:r>
                        <w:rPr>
                          <w:noProof/>
                        </w:rPr>
                        <w:t xml:space="preserve">[Online] </w:t>
                      </w:r>
                      <w:r>
                        <w:rPr>
                          <w:noProof/>
                        </w:rPr>
                        <w:br/>
                        <w:t xml:space="preserve">Available at: </w:t>
                      </w:r>
                      <w:r>
                        <w:rPr>
                          <w:noProof/>
                          <w:u w:val="single"/>
                        </w:rPr>
                        <w:t>https://www.merriam-webster.com/dictionary/unwritten%20constitution#:~:text=unwritten%20constitution%20noun%20%3A%20a%20constitution%20not%20embodied,precedent%20as%20expressed%20in%20statutes%20and%20judicial%20decisions</w:t>
                      </w:r>
                      <w:r>
                        <w:rPr>
                          <w:noProof/>
                        </w:rPr>
                        <w:br/>
                        <w:t>[Accessed 11 November 2022].</w:t>
                      </w:r>
                    </w:p>
                    <w:p w14:paraId="2F01F348" w14:textId="7C8090AA" w:rsidR="00FA752A" w:rsidRDefault="00FA752A" w:rsidP="00FA752A">
                      <w:pPr>
                        <w:pStyle w:val="Bibliography"/>
                        <w:rPr>
                          <w:noProof/>
                        </w:rPr>
                      </w:pPr>
                      <w:r>
                        <w:rPr>
                          <w:noProof/>
                        </w:rPr>
                        <w:t xml:space="preserve">Public Law Project, n.d. </w:t>
                      </w:r>
                      <w:r>
                        <w:rPr>
                          <w:i/>
                          <w:iCs/>
                          <w:noProof/>
                        </w:rPr>
                        <w:t xml:space="preserve">What is public law?. </w:t>
                      </w:r>
                      <w:r>
                        <w:rPr>
                          <w:noProof/>
                        </w:rPr>
                        <w:t xml:space="preserve">[Online] </w:t>
                      </w:r>
                      <w:r>
                        <w:rPr>
                          <w:noProof/>
                        </w:rPr>
                        <w:br/>
                        <w:t xml:space="preserve">Available at: </w:t>
                      </w:r>
                      <w:r>
                        <w:rPr>
                          <w:noProof/>
                          <w:u w:val="single"/>
                        </w:rPr>
                        <w:t>https://publiclawproject.org.uk/what-is-public-law/</w:t>
                      </w:r>
                      <w:r>
                        <w:rPr>
                          <w:noProof/>
                        </w:rPr>
                        <w:br/>
                        <w:t>[Accessed 11 November 2022].</w:t>
                      </w:r>
                    </w:p>
                    <w:p w14:paraId="250101CE" w14:textId="78DED21E" w:rsidR="00FA752A" w:rsidRPr="00FA752A" w:rsidRDefault="00FA752A" w:rsidP="00FA752A">
                      <w:r>
                        <w:fldChar w:fldCharType="end"/>
                      </w:r>
                    </w:p>
                    <w:p w14:paraId="6C1A9F4F" w14:textId="77777777" w:rsidR="00FA752A" w:rsidRDefault="00FA752A"/>
                  </w:txbxContent>
                </v:textbox>
              </v:shape>
            </w:pict>
          </mc:Fallback>
        </mc:AlternateContent>
      </w:r>
    </w:p>
    <w:sectPr w:rsidR="007540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B4D67" w14:textId="77777777" w:rsidR="003F38C5" w:rsidRDefault="003F38C5" w:rsidP="00A1767E">
      <w:pPr>
        <w:spacing w:after="0" w:line="240" w:lineRule="auto"/>
      </w:pPr>
      <w:r>
        <w:separator/>
      </w:r>
    </w:p>
  </w:endnote>
  <w:endnote w:type="continuationSeparator" w:id="0">
    <w:p w14:paraId="3847A742" w14:textId="77777777" w:rsidR="003F38C5" w:rsidRDefault="003F38C5" w:rsidP="00A17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02057" w14:textId="77777777" w:rsidR="003F38C5" w:rsidRDefault="003F38C5" w:rsidP="00A1767E">
      <w:pPr>
        <w:spacing w:after="0" w:line="240" w:lineRule="auto"/>
      </w:pPr>
      <w:r>
        <w:separator/>
      </w:r>
    </w:p>
  </w:footnote>
  <w:footnote w:type="continuationSeparator" w:id="0">
    <w:p w14:paraId="00D2F223" w14:textId="77777777" w:rsidR="003F38C5" w:rsidRDefault="003F38C5" w:rsidP="00A176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136"/>
    <w:rsid w:val="00000CAA"/>
    <w:rsid w:val="000164D9"/>
    <w:rsid w:val="000367A6"/>
    <w:rsid w:val="00051A60"/>
    <w:rsid w:val="00061633"/>
    <w:rsid w:val="000A1BF7"/>
    <w:rsid w:val="000D6FA3"/>
    <w:rsid w:val="00126A6F"/>
    <w:rsid w:val="001326FF"/>
    <w:rsid w:val="0013463A"/>
    <w:rsid w:val="001642EA"/>
    <w:rsid w:val="001C5D42"/>
    <w:rsid w:val="001D6A20"/>
    <w:rsid w:val="0020491B"/>
    <w:rsid w:val="00206A26"/>
    <w:rsid w:val="00213253"/>
    <w:rsid w:val="002448FA"/>
    <w:rsid w:val="00246FA0"/>
    <w:rsid w:val="002E6CB4"/>
    <w:rsid w:val="002F368A"/>
    <w:rsid w:val="00340439"/>
    <w:rsid w:val="00353D89"/>
    <w:rsid w:val="00374CBF"/>
    <w:rsid w:val="0039083A"/>
    <w:rsid w:val="00393703"/>
    <w:rsid w:val="003A476C"/>
    <w:rsid w:val="003C3A48"/>
    <w:rsid w:val="003E46E3"/>
    <w:rsid w:val="003F38C5"/>
    <w:rsid w:val="004F142C"/>
    <w:rsid w:val="00630A60"/>
    <w:rsid w:val="006979DF"/>
    <w:rsid w:val="006C25B7"/>
    <w:rsid w:val="006E5757"/>
    <w:rsid w:val="00781447"/>
    <w:rsid w:val="007B77BE"/>
    <w:rsid w:val="007E2C57"/>
    <w:rsid w:val="007F5D20"/>
    <w:rsid w:val="008361F2"/>
    <w:rsid w:val="00844136"/>
    <w:rsid w:val="00864A65"/>
    <w:rsid w:val="00880F62"/>
    <w:rsid w:val="0089460E"/>
    <w:rsid w:val="008C479C"/>
    <w:rsid w:val="008D753F"/>
    <w:rsid w:val="008E5BC5"/>
    <w:rsid w:val="0090040B"/>
    <w:rsid w:val="009A1A7D"/>
    <w:rsid w:val="009A4C6A"/>
    <w:rsid w:val="009C0591"/>
    <w:rsid w:val="009D4B8B"/>
    <w:rsid w:val="00A1767E"/>
    <w:rsid w:val="00A32A02"/>
    <w:rsid w:val="00A34CD5"/>
    <w:rsid w:val="00A350E8"/>
    <w:rsid w:val="00A77E3D"/>
    <w:rsid w:val="00AE4BEA"/>
    <w:rsid w:val="00B44C8E"/>
    <w:rsid w:val="00B81660"/>
    <w:rsid w:val="00B92F6D"/>
    <w:rsid w:val="00BB5FDB"/>
    <w:rsid w:val="00C34315"/>
    <w:rsid w:val="00C573B9"/>
    <w:rsid w:val="00CB7A32"/>
    <w:rsid w:val="00CE371B"/>
    <w:rsid w:val="00D007C7"/>
    <w:rsid w:val="00D559F3"/>
    <w:rsid w:val="00D758DC"/>
    <w:rsid w:val="00D7694A"/>
    <w:rsid w:val="00E53AE6"/>
    <w:rsid w:val="00E765F2"/>
    <w:rsid w:val="00E809AC"/>
    <w:rsid w:val="00E9086B"/>
    <w:rsid w:val="00EA13D6"/>
    <w:rsid w:val="00F1126C"/>
    <w:rsid w:val="00F430AD"/>
    <w:rsid w:val="00F44142"/>
    <w:rsid w:val="00F734F4"/>
    <w:rsid w:val="00FA752A"/>
    <w:rsid w:val="00FF5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57A2E"/>
  <w15:chartTrackingRefBased/>
  <w15:docId w15:val="{DB36615B-C5A0-4BAC-9FF5-383324A5B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1126C"/>
  </w:style>
  <w:style w:type="paragraph" w:styleId="Header">
    <w:name w:val="header"/>
    <w:basedOn w:val="Normal"/>
    <w:link w:val="HeaderChar"/>
    <w:uiPriority w:val="99"/>
    <w:unhideWhenUsed/>
    <w:rsid w:val="00A17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67E"/>
  </w:style>
  <w:style w:type="paragraph" w:styleId="Footer">
    <w:name w:val="footer"/>
    <w:basedOn w:val="Normal"/>
    <w:link w:val="FooterChar"/>
    <w:uiPriority w:val="99"/>
    <w:unhideWhenUsed/>
    <w:rsid w:val="00A17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6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5827">
      <w:bodyDiv w:val="1"/>
      <w:marLeft w:val="0"/>
      <w:marRight w:val="0"/>
      <w:marTop w:val="0"/>
      <w:marBottom w:val="0"/>
      <w:divBdr>
        <w:top w:val="none" w:sz="0" w:space="0" w:color="auto"/>
        <w:left w:val="none" w:sz="0" w:space="0" w:color="auto"/>
        <w:bottom w:val="none" w:sz="0" w:space="0" w:color="auto"/>
        <w:right w:val="none" w:sz="0" w:space="0" w:color="auto"/>
      </w:divBdr>
    </w:div>
    <w:div w:id="74205884">
      <w:bodyDiv w:val="1"/>
      <w:marLeft w:val="0"/>
      <w:marRight w:val="0"/>
      <w:marTop w:val="0"/>
      <w:marBottom w:val="0"/>
      <w:divBdr>
        <w:top w:val="none" w:sz="0" w:space="0" w:color="auto"/>
        <w:left w:val="none" w:sz="0" w:space="0" w:color="auto"/>
        <w:bottom w:val="none" w:sz="0" w:space="0" w:color="auto"/>
        <w:right w:val="none" w:sz="0" w:space="0" w:color="auto"/>
      </w:divBdr>
    </w:div>
    <w:div w:id="91054503">
      <w:bodyDiv w:val="1"/>
      <w:marLeft w:val="0"/>
      <w:marRight w:val="0"/>
      <w:marTop w:val="0"/>
      <w:marBottom w:val="0"/>
      <w:divBdr>
        <w:top w:val="none" w:sz="0" w:space="0" w:color="auto"/>
        <w:left w:val="none" w:sz="0" w:space="0" w:color="auto"/>
        <w:bottom w:val="none" w:sz="0" w:space="0" w:color="auto"/>
        <w:right w:val="none" w:sz="0" w:space="0" w:color="auto"/>
      </w:divBdr>
    </w:div>
    <w:div w:id="122433351">
      <w:bodyDiv w:val="1"/>
      <w:marLeft w:val="0"/>
      <w:marRight w:val="0"/>
      <w:marTop w:val="0"/>
      <w:marBottom w:val="0"/>
      <w:divBdr>
        <w:top w:val="none" w:sz="0" w:space="0" w:color="auto"/>
        <w:left w:val="none" w:sz="0" w:space="0" w:color="auto"/>
        <w:bottom w:val="none" w:sz="0" w:space="0" w:color="auto"/>
        <w:right w:val="none" w:sz="0" w:space="0" w:color="auto"/>
      </w:divBdr>
    </w:div>
    <w:div w:id="217865329">
      <w:bodyDiv w:val="1"/>
      <w:marLeft w:val="0"/>
      <w:marRight w:val="0"/>
      <w:marTop w:val="0"/>
      <w:marBottom w:val="0"/>
      <w:divBdr>
        <w:top w:val="none" w:sz="0" w:space="0" w:color="auto"/>
        <w:left w:val="none" w:sz="0" w:space="0" w:color="auto"/>
        <w:bottom w:val="none" w:sz="0" w:space="0" w:color="auto"/>
        <w:right w:val="none" w:sz="0" w:space="0" w:color="auto"/>
      </w:divBdr>
    </w:div>
    <w:div w:id="222102824">
      <w:bodyDiv w:val="1"/>
      <w:marLeft w:val="0"/>
      <w:marRight w:val="0"/>
      <w:marTop w:val="0"/>
      <w:marBottom w:val="0"/>
      <w:divBdr>
        <w:top w:val="none" w:sz="0" w:space="0" w:color="auto"/>
        <w:left w:val="none" w:sz="0" w:space="0" w:color="auto"/>
        <w:bottom w:val="none" w:sz="0" w:space="0" w:color="auto"/>
        <w:right w:val="none" w:sz="0" w:space="0" w:color="auto"/>
      </w:divBdr>
    </w:div>
    <w:div w:id="253438066">
      <w:bodyDiv w:val="1"/>
      <w:marLeft w:val="0"/>
      <w:marRight w:val="0"/>
      <w:marTop w:val="0"/>
      <w:marBottom w:val="0"/>
      <w:divBdr>
        <w:top w:val="none" w:sz="0" w:space="0" w:color="auto"/>
        <w:left w:val="none" w:sz="0" w:space="0" w:color="auto"/>
        <w:bottom w:val="none" w:sz="0" w:space="0" w:color="auto"/>
        <w:right w:val="none" w:sz="0" w:space="0" w:color="auto"/>
      </w:divBdr>
    </w:div>
    <w:div w:id="325402924">
      <w:bodyDiv w:val="1"/>
      <w:marLeft w:val="0"/>
      <w:marRight w:val="0"/>
      <w:marTop w:val="0"/>
      <w:marBottom w:val="0"/>
      <w:divBdr>
        <w:top w:val="none" w:sz="0" w:space="0" w:color="auto"/>
        <w:left w:val="none" w:sz="0" w:space="0" w:color="auto"/>
        <w:bottom w:val="none" w:sz="0" w:space="0" w:color="auto"/>
        <w:right w:val="none" w:sz="0" w:space="0" w:color="auto"/>
      </w:divBdr>
    </w:div>
    <w:div w:id="380135841">
      <w:bodyDiv w:val="1"/>
      <w:marLeft w:val="0"/>
      <w:marRight w:val="0"/>
      <w:marTop w:val="0"/>
      <w:marBottom w:val="0"/>
      <w:divBdr>
        <w:top w:val="none" w:sz="0" w:space="0" w:color="auto"/>
        <w:left w:val="none" w:sz="0" w:space="0" w:color="auto"/>
        <w:bottom w:val="none" w:sz="0" w:space="0" w:color="auto"/>
        <w:right w:val="none" w:sz="0" w:space="0" w:color="auto"/>
      </w:divBdr>
    </w:div>
    <w:div w:id="484442784">
      <w:bodyDiv w:val="1"/>
      <w:marLeft w:val="0"/>
      <w:marRight w:val="0"/>
      <w:marTop w:val="0"/>
      <w:marBottom w:val="0"/>
      <w:divBdr>
        <w:top w:val="none" w:sz="0" w:space="0" w:color="auto"/>
        <w:left w:val="none" w:sz="0" w:space="0" w:color="auto"/>
        <w:bottom w:val="none" w:sz="0" w:space="0" w:color="auto"/>
        <w:right w:val="none" w:sz="0" w:space="0" w:color="auto"/>
      </w:divBdr>
    </w:div>
    <w:div w:id="528681277">
      <w:bodyDiv w:val="1"/>
      <w:marLeft w:val="0"/>
      <w:marRight w:val="0"/>
      <w:marTop w:val="0"/>
      <w:marBottom w:val="0"/>
      <w:divBdr>
        <w:top w:val="none" w:sz="0" w:space="0" w:color="auto"/>
        <w:left w:val="none" w:sz="0" w:space="0" w:color="auto"/>
        <w:bottom w:val="none" w:sz="0" w:space="0" w:color="auto"/>
        <w:right w:val="none" w:sz="0" w:space="0" w:color="auto"/>
      </w:divBdr>
    </w:div>
    <w:div w:id="532769906">
      <w:bodyDiv w:val="1"/>
      <w:marLeft w:val="0"/>
      <w:marRight w:val="0"/>
      <w:marTop w:val="0"/>
      <w:marBottom w:val="0"/>
      <w:divBdr>
        <w:top w:val="none" w:sz="0" w:space="0" w:color="auto"/>
        <w:left w:val="none" w:sz="0" w:space="0" w:color="auto"/>
        <w:bottom w:val="none" w:sz="0" w:space="0" w:color="auto"/>
        <w:right w:val="none" w:sz="0" w:space="0" w:color="auto"/>
      </w:divBdr>
    </w:div>
    <w:div w:id="583564230">
      <w:bodyDiv w:val="1"/>
      <w:marLeft w:val="0"/>
      <w:marRight w:val="0"/>
      <w:marTop w:val="0"/>
      <w:marBottom w:val="0"/>
      <w:divBdr>
        <w:top w:val="none" w:sz="0" w:space="0" w:color="auto"/>
        <w:left w:val="none" w:sz="0" w:space="0" w:color="auto"/>
        <w:bottom w:val="none" w:sz="0" w:space="0" w:color="auto"/>
        <w:right w:val="none" w:sz="0" w:space="0" w:color="auto"/>
      </w:divBdr>
    </w:div>
    <w:div w:id="614487078">
      <w:bodyDiv w:val="1"/>
      <w:marLeft w:val="0"/>
      <w:marRight w:val="0"/>
      <w:marTop w:val="0"/>
      <w:marBottom w:val="0"/>
      <w:divBdr>
        <w:top w:val="none" w:sz="0" w:space="0" w:color="auto"/>
        <w:left w:val="none" w:sz="0" w:space="0" w:color="auto"/>
        <w:bottom w:val="none" w:sz="0" w:space="0" w:color="auto"/>
        <w:right w:val="none" w:sz="0" w:space="0" w:color="auto"/>
      </w:divBdr>
    </w:div>
    <w:div w:id="735127502">
      <w:bodyDiv w:val="1"/>
      <w:marLeft w:val="0"/>
      <w:marRight w:val="0"/>
      <w:marTop w:val="0"/>
      <w:marBottom w:val="0"/>
      <w:divBdr>
        <w:top w:val="none" w:sz="0" w:space="0" w:color="auto"/>
        <w:left w:val="none" w:sz="0" w:space="0" w:color="auto"/>
        <w:bottom w:val="none" w:sz="0" w:space="0" w:color="auto"/>
        <w:right w:val="none" w:sz="0" w:space="0" w:color="auto"/>
      </w:divBdr>
    </w:div>
    <w:div w:id="742803371">
      <w:bodyDiv w:val="1"/>
      <w:marLeft w:val="0"/>
      <w:marRight w:val="0"/>
      <w:marTop w:val="0"/>
      <w:marBottom w:val="0"/>
      <w:divBdr>
        <w:top w:val="none" w:sz="0" w:space="0" w:color="auto"/>
        <w:left w:val="none" w:sz="0" w:space="0" w:color="auto"/>
        <w:bottom w:val="none" w:sz="0" w:space="0" w:color="auto"/>
        <w:right w:val="none" w:sz="0" w:space="0" w:color="auto"/>
      </w:divBdr>
    </w:div>
    <w:div w:id="754744617">
      <w:bodyDiv w:val="1"/>
      <w:marLeft w:val="0"/>
      <w:marRight w:val="0"/>
      <w:marTop w:val="0"/>
      <w:marBottom w:val="0"/>
      <w:divBdr>
        <w:top w:val="none" w:sz="0" w:space="0" w:color="auto"/>
        <w:left w:val="none" w:sz="0" w:space="0" w:color="auto"/>
        <w:bottom w:val="none" w:sz="0" w:space="0" w:color="auto"/>
        <w:right w:val="none" w:sz="0" w:space="0" w:color="auto"/>
      </w:divBdr>
    </w:div>
    <w:div w:id="803155114">
      <w:bodyDiv w:val="1"/>
      <w:marLeft w:val="0"/>
      <w:marRight w:val="0"/>
      <w:marTop w:val="0"/>
      <w:marBottom w:val="0"/>
      <w:divBdr>
        <w:top w:val="none" w:sz="0" w:space="0" w:color="auto"/>
        <w:left w:val="none" w:sz="0" w:space="0" w:color="auto"/>
        <w:bottom w:val="none" w:sz="0" w:space="0" w:color="auto"/>
        <w:right w:val="none" w:sz="0" w:space="0" w:color="auto"/>
      </w:divBdr>
    </w:div>
    <w:div w:id="827136474">
      <w:bodyDiv w:val="1"/>
      <w:marLeft w:val="0"/>
      <w:marRight w:val="0"/>
      <w:marTop w:val="0"/>
      <w:marBottom w:val="0"/>
      <w:divBdr>
        <w:top w:val="none" w:sz="0" w:space="0" w:color="auto"/>
        <w:left w:val="none" w:sz="0" w:space="0" w:color="auto"/>
        <w:bottom w:val="none" w:sz="0" w:space="0" w:color="auto"/>
        <w:right w:val="none" w:sz="0" w:space="0" w:color="auto"/>
      </w:divBdr>
    </w:div>
    <w:div w:id="935330622">
      <w:bodyDiv w:val="1"/>
      <w:marLeft w:val="0"/>
      <w:marRight w:val="0"/>
      <w:marTop w:val="0"/>
      <w:marBottom w:val="0"/>
      <w:divBdr>
        <w:top w:val="none" w:sz="0" w:space="0" w:color="auto"/>
        <w:left w:val="none" w:sz="0" w:space="0" w:color="auto"/>
        <w:bottom w:val="none" w:sz="0" w:space="0" w:color="auto"/>
        <w:right w:val="none" w:sz="0" w:space="0" w:color="auto"/>
      </w:divBdr>
    </w:div>
    <w:div w:id="972518344">
      <w:bodyDiv w:val="1"/>
      <w:marLeft w:val="0"/>
      <w:marRight w:val="0"/>
      <w:marTop w:val="0"/>
      <w:marBottom w:val="0"/>
      <w:divBdr>
        <w:top w:val="none" w:sz="0" w:space="0" w:color="auto"/>
        <w:left w:val="none" w:sz="0" w:space="0" w:color="auto"/>
        <w:bottom w:val="none" w:sz="0" w:space="0" w:color="auto"/>
        <w:right w:val="none" w:sz="0" w:space="0" w:color="auto"/>
      </w:divBdr>
    </w:div>
    <w:div w:id="987511843">
      <w:bodyDiv w:val="1"/>
      <w:marLeft w:val="0"/>
      <w:marRight w:val="0"/>
      <w:marTop w:val="0"/>
      <w:marBottom w:val="0"/>
      <w:divBdr>
        <w:top w:val="none" w:sz="0" w:space="0" w:color="auto"/>
        <w:left w:val="none" w:sz="0" w:space="0" w:color="auto"/>
        <w:bottom w:val="none" w:sz="0" w:space="0" w:color="auto"/>
        <w:right w:val="none" w:sz="0" w:space="0" w:color="auto"/>
      </w:divBdr>
    </w:div>
    <w:div w:id="1036196886">
      <w:bodyDiv w:val="1"/>
      <w:marLeft w:val="0"/>
      <w:marRight w:val="0"/>
      <w:marTop w:val="0"/>
      <w:marBottom w:val="0"/>
      <w:divBdr>
        <w:top w:val="none" w:sz="0" w:space="0" w:color="auto"/>
        <w:left w:val="none" w:sz="0" w:space="0" w:color="auto"/>
        <w:bottom w:val="none" w:sz="0" w:space="0" w:color="auto"/>
        <w:right w:val="none" w:sz="0" w:space="0" w:color="auto"/>
      </w:divBdr>
    </w:div>
    <w:div w:id="1087266668">
      <w:bodyDiv w:val="1"/>
      <w:marLeft w:val="0"/>
      <w:marRight w:val="0"/>
      <w:marTop w:val="0"/>
      <w:marBottom w:val="0"/>
      <w:divBdr>
        <w:top w:val="none" w:sz="0" w:space="0" w:color="auto"/>
        <w:left w:val="none" w:sz="0" w:space="0" w:color="auto"/>
        <w:bottom w:val="none" w:sz="0" w:space="0" w:color="auto"/>
        <w:right w:val="none" w:sz="0" w:space="0" w:color="auto"/>
      </w:divBdr>
    </w:div>
    <w:div w:id="1132091121">
      <w:bodyDiv w:val="1"/>
      <w:marLeft w:val="0"/>
      <w:marRight w:val="0"/>
      <w:marTop w:val="0"/>
      <w:marBottom w:val="0"/>
      <w:divBdr>
        <w:top w:val="none" w:sz="0" w:space="0" w:color="auto"/>
        <w:left w:val="none" w:sz="0" w:space="0" w:color="auto"/>
        <w:bottom w:val="none" w:sz="0" w:space="0" w:color="auto"/>
        <w:right w:val="none" w:sz="0" w:space="0" w:color="auto"/>
      </w:divBdr>
    </w:div>
    <w:div w:id="1173715297">
      <w:bodyDiv w:val="1"/>
      <w:marLeft w:val="0"/>
      <w:marRight w:val="0"/>
      <w:marTop w:val="0"/>
      <w:marBottom w:val="0"/>
      <w:divBdr>
        <w:top w:val="none" w:sz="0" w:space="0" w:color="auto"/>
        <w:left w:val="none" w:sz="0" w:space="0" w:color="auto"/>
        <w:bottom w:val="none" w:sz="0" w:space="0" w:color="auto"/>
        <w:right w:val="none" w:sz="0" w:space="0" w:color="auto"/>
      </w:divBdr>
    </w:div>
    <w:div w:id="1192498399">
      <w:bodyDiv w:val="1"/>
      <w:marLeft w:val="0"/>
      <w:marRight w:val="0"/>
      <w:marTop w:val="0"/>
      <w:marBottom w:val="0"/>
      <w:divBdr>
        <w:top w:val="none" w:sz="0" w:space="0" w:color="auto"/>
        <w:left w:val="none" w:sz="0" w:space="0" w:color="auto"/>
        <w:bottom w:val="none" w:sz="0" w:space="0" w:color="auto"/>
        <w:right w:val="none" w:sz="0" w:space="0" w:color="auto"/>
      </w:divBdr>
    </w:div>
    <w:div w:id="1246189319">
      <w:bodyDiv w:val="1"/>
      <w:marLeft w:val="0"/>
      <w:marRight w:val="0"/>
      <w:marTop w:val="0"/>
      <w:marBottom w:val="0"/>
      <w:divBdr>
        <w:top w:val="none" w:sz="0" w:space="0" w:color="auto"/>
        <w:left w:val="none" w:sz="0" w:space="0" w:color="auto"/>
        <w:bottom w:val="none" w:sz="0" w:space="0" w:color="auto"/>
        <w:right w:val="none" w:sz="0" w:space="0" w:color="auto"/>
      </w:divBdr>
    </w:div>
    <w:div w:id="1291518646">
      <w:bodyDiv w:val="1"/>
      <w:marLeft w:val="0"/>
      <w:marRight w:val="0"/>
      <w:marTop w:val="0"/>
      <w:marBottom w:val="0"/>
      <w:divBdr>
        <w:top w:val="none" w:sz="0" w:space="0" w:color="auto"/>
        <w:left w:val="none" w:sz="0" w:space="0" w:color="auto"/>
        <w:bottom w:val="none" w:sz="0" w:space="0" w:color="auto"/>
        <w:right w:val="none" w:sz="0" w:space="0" w:color="auto"/>
      </w:divBdr>
    </w:div>
    <w:div w:id="1355186096">
      <w:bodyDiv w:val="1"/>
      <w:marLeft w:val="0"/>
      <w:marRight w:val="0"/>
      <w:marTop w:val="0"/>
      <w:marBottom w:val="0"/>
      <w:divBdr>
        <w:top w:val="none" w:sz="0" w:space="0" w:color="auto"/>
        <w:left w:val="none" w:sz="0" w:space="0" w:color="auto"/>
        <w:bottom w:val="none" w:sz="0" w:space="0" w:color="auto"/>
        <w:right w:val="none" w:sz="0" w:space="0" w:color="auto"/>
      </w:divBdr>
    </w:div>
    <w:div w:id="1376805962">
      <w:bodyDiv w:val="1"/>
      <w:marLeft w:val="0"/>
      <w:marRight w:val="0"/>
      <w:marTop w:val="0"/>
      <w:marBottom w:val="0"/>
      <w:divBdr>
        <w:top w:val="none" w:sz="0" w:space="0" w:color="auto"/>
        <w:left w:val="none" w:sz="0" w:space="0" w:color="auto"/>
        <w:bottom w:val="none" w:sz="0" w:space="0" w:color="auto"/>
        <w:right w:val="none" w:sz="0" w:space="0" w:color="auto"/>
      </w:divBdr>
    </w:div>
    <w:div w:id="1426539571">
      <w:bodyDiv w:val="1"/>
      <w:marLeft w:val="0"/>
      <w:marRight w:val="0"/>
      <w:marTop w:val="0"/>
      <w:marBottom w:val="0"/>
      <w:divBdr>
        <w:top w:val="none" w:sz="0" w:space="0" w:color="auto"/>
        <w:left w:val="none" w:sz="0" w:space="0" w:color="auto"/>
        <w:bottom w:val="none" w:sz="0" w:space="0" w:color="auto"/>
        <w:right w:val="none" w:sz="0" w:space="0" w:color="auto"/>
      </w:divBdr>
    </w:div>
    <w:div w:id="1478109751">
      <w:bodyDiv w:val="1"/>
      <w:marLeft w:val="0"/>
      <w:marRight w:val="0"/>
      <w:marTop w:val="0"/>
      <w:marBottom w:val="0"/>
      <w:divBdr>
        <w:top w:val="none" w:sz="0" w:space="0" w:color="auto"/>
        <w:left w:val="none" w:sz="0" w:space="0" w:color="auto"/>
        <w:bottom w:val="none" w:sz="0" w:space="0" w:color="auto"/>
        <w:right w:val="none" w:sz="0" w:space="0" w:color="auto"/>
      </w:divBdr>
    </w:div>
    <w:div w:id="1480807068">
      <w:bodyDiv w:val="1"/>
      <w:marLeft w:val="0"/>
      <w:marRight w:val="0"/>
      <w:marTop w:val="0"/>
      <w:marBottom w:val="0"/>
      <w:divBdr>
        <w:top w:val="none" w:sz="0" w:space="0" w:color="auto"/>
        <w:left w:val="none" w:sz="0" w:space="0" w:color="auto"/>
        <w:bottom w:val="none" w:sz="0" w:space="0" w:color="auto"/>
        <w:right w:val="none" w:sz="0" w:space="0" w:color="auto"/>
      </w:divBdr>
    </w:div>
    <w:div w:id="1512136629">
      <w:bodyDiv w:val="1"/>
      <w:marLeft w:val="0"/>
      <w:marRight w:val="0"/>
      <w:marTop w:val="0"/>
      <w:marBottom w:val="0"/>
      <w:divBdr>
        <w:top w:val="none" w:sz="0" w:space="0" w:color="auto"/>
        <w:left w:val="none" w:sz="0" w:space="0" w:color="auto"/>
        <w:bottom w:val="none" w:sz="0" w:space="0" w:color="auto"/>
        <w:right w:val="none" w:sz="0" w:space="0" w:color="auto"/>
      </w:divBdr>
    </w:div>
    <w:div w:id="1567254607">
      <w:bodyDiv w:val="1"/>
      <w:marLeft w:val="0"/>
      <w:marRight w:val="0"/>
      <w:marTop w:val="0"/>
      <w:marBottom w:val="0"/>
      <w:divBdr>
        <w:top w:val="none" w:sz="0" w:space="0" w:color="auto"/>
        <w:left w:val="none" w:sz="0" w:space="0" w:color="auto"/>
        <w:bottom w:val="none" w:sz="0" w:space="0" w:color="auto"/>
        <w:right w:val="none" w:sz="0" w:space="0" w:color="auto"/>
      </w:divBdr>
    </w:div>
    <w:div w:id="1569268261">
      <w:bodyDiv w:val="1"/>
      <w:marLeft w:val="0"/>
      <w:marRight w:val="0"/>
      <w:marTop w:val="0"/>
      <w:marBottom w:val="0"/>
      <w:divBdr>
        <w:top w:val="none" w:sz="0" w:space="0" w:color="auto"/>
        <w:left w:val="none" w:sz="0" w:space="0" w:color="auto"/>
        <w:bottom w:val="none" w:sz="0" w:space="0" w:color="auto"/>
        <w:right w:val="none" w:sz="0" w:space="0" w:color="auto"/>
      </w:divBdr>
    </w:div>
    <w:div w:id="1653408137">
      <w:bodyDiv w:val="1"/>
      <w:marLeft w:val="0"/>
      <w:marRight w:val="0"/>
      <w:marTop w:val="0"/>
      <w:marBottom w:val="0"/>
      <w:divBdr>
        <w:top w:val="none" w:sz="0" w:space="0" w:color="auto"/>
        <w:left w:val="none" w:sz="0" w:space="0" w:color="auto"/>
        <w:bottom w:val="none" w:sz="0" w:space="0" w:color="auto"/>
        <w:right w:val="none" w:sz="0" w:space="0" w:color="auto"/>
      </w:divBdr>
    </w:div>
    <w:div w:id="1666742033">
      <w:bodyDiv w:val="1"/>
      <w:marLeft w:val="0"/>
      <w:marRight w:val="0"/>
      <w:marTop w:val="0"/>
      <w:marBottom w:val="0"/>
      <w:divBdr>
        <w:top w:val="none" w:sz="0" w:space="0" w:color="auto"/>
        <w:left w:val="none" w:sz="0" w:space="0" w:color="auto"/>
        <w:bottom w:val="none" w:sz="0" w:space="0" w:color="auto"/>
        <w:right w:val="none" w:sz="0" w:space="0" w:color="auto"/>
      </w:divBdr>
    </w:div>
    <w:div w:id="1853105440">
      <w:bodyDiv w:val="1"/>
      <w:marLeft w:val="0"/>
      <w:marRight w:val="0"/>
      <w:marTop w:val="0"/>
      <w:marBottom w:val="0"/>
      <w:divBdr>
        <w:top w:val="none" w:sz="0" w:space="0" w:color="auto"/>
        <w:left w:val="none" w:sz="0" w:space="0" w:color="auto"/>
        <w:bottom w:val="none" w:sz="0" w:space="0" w:color="auto"/>
        <w:right w:val="none" w:sz="0" w:space="0" w:color="auto"/>
      </w:divBdr>
    </w:div>
    <w:div w:id="1959025359">
      <w:bodyDiv w:val="1"/>
      <w:marLeft w:val="0"/>
      <w:marRight w:val="0"/>
      <w:marTop w:val="0"/>
      <w:marBottom w:val="0"/>
      <w:divBdr>
        <w:top w:val="none" w:sz="0" w:space="0" w:color="auto"/>
        <w:left w:val="none" w:sz="0" w:space="0" w:color="auto"/>
        <w:bottom w:val="none" w:sz="0" w:space="0" w:color="auto"/>
        <w:right w:val="none" w:sz="0" w:space="0" w:color="auto"/>
      </w:divBdr>
    </w:div>
    <w:div w:id="1967544644">
      <w:bodyDiv w:val="1"/>
      <w:marLeft w:val="0"/>
      <w:marRight w:val="0"/>
      <w:marTop w:val="0"/>
      <w:marBottom w:val="0"/>
      <w:divBdr>
        <w:top w:val="none" w:sz="0" w:space="0" w:color="auto"/>
        <w:left w:val="none" w:sz="0" w:space="0" w:color="auto"/>
        <w:bottom w:val="none" w:sz="0" w:space="0" w:color="auto"/>
        <w:right w:val="none" w:sz="0" w:space="0" w:color="auto"/>
      </w:divBdr>
    </w:div>
    <w:div w:id="1977177164">
      <w:bodyDiv w:val="1"/>
      <w:marLeft w:val="0"/>
      <w:marRight w:val="0"/>
      <w:marTop w:val="0"/>
      <w:marBottom w:val="0"/>
      <w:divBdr>
        <w:top w:val="none" w:sz="0" w:space="0" w:color="auto"/>
        <w:left w:val="none" w:sz="0" w:space="0" w:color="auto"/>
        <w:bottom w:val="none" w:sz="0" w:space="0" w:color="auto"/>
        <w:right w:val="none" w:sz="0" w:space="0" w:color="auto"/>
      </w:divBdr>
    </w:div>
    <w:div w:id="2005090195">
      <w:bodyDiv w:val="1"/>
      <w:marLeft w:val="0"/>
      <w:marRight w:val="0"/>
      <w:marTop w:val="0"/>
      <w:marBottom w:val="0"/>
      <w:divBdr>
        <w:top w:val="none" w:sz="0" w:space="0" w:color="auto"/>
        <w:left w:val="none" w:sz="0" w:space="0" w:color="auto"/>
        <w:bottom w:val="none" w:sz="0" w:space="0" w:color="auto"/>
        <w:right w:val="none" w:sz="0" w:space="0" w:color="auto"/>
      </w:divBdr>
    </w:div>
    <w:div w:id="2007437625">
      <w:bodyDiv w:val="1"/>
      <w:marLeft w:val="0"/>
      <w:marRight w:val="0"/>
      <w:marTop w:val="0"/>
      <w:marBottom w:val="0"/>
      <w:divBdr>
        <w:top w:val="none" w:sz="0" w:space="0" w:color="auto"/>
        <w:left w:val="none" w:sz="0" w:space="0" w:color="auto"/>
        <w:bottom w:val="none" w:sz="0" w:space="0" w:color="auto"/>
        <w:right w:val="none" w:sz="0" w:space="0" w:color="auto"/>
      </w:divBdr>
    </w:div>
    <w:div w:id="2039699560">
      <w:bodyDiv w:val="1"/>
      <w:marLeft w:val="0"/>
      <w:marRight w:val="0"/>
      <w:marTop w:val="0"/>
      <w:marBottom w:val="0"/>
      <w:divBdr>
        <w:top w:val="none" w:sz="0" w:space="0" w:color="auto"/>
        <w:left w:val="none" w:sz="0" w:space="0" w:color="auto"/>
        <w:bottom w:val="none" w:sz="0" w:space="0" w:color="auto"/>
        <w:right w:val="none" w:sz="0" w:space="0" w:color="auto"/>
      </w:divBdr>
    </w:div>
    <w:div w:id="208629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Rav12</b:Tag>
    <b:SourceType>JournalArticle</b:SourceType>
    <b:Guid>{2DCC09DB-A5E6-4CDC-B61A-02EB28BDB702}</b:Guid>
    <b:Title>Shatter me</b:Title>
    <b:Year>2012</b:Year>
    <b:Author>
      <b:Author>
        <b:NameList>
          <b:Person>
            <b:Last>Raven</b:Last>
            <b:First>Wilder</b:First>
          </b:Person>
        </b:NameList>
      </b:Author>
    </b:Author>
    <b:JournalName>The moon</b:JournalName>
    <b:Pages>24-28</b:Pages>
    <b:RefOrder>1</b:RefOrder>
  </b:Source>
  <b:Source>
    <b:Tag>Mer22</b:Tag>
    <b:SourceType>InternetSite</b:SourceType>
    <b:Guid>{4B616104-B39B-41C8-A8DB-C0D519A29FB5}</b:Guid>
    <b:Author>
      <b:Author>
        <b:Corporate>Merriam webster </b:Corporate>
      </b:Author>
    </b:Author>
    <b:Title>unwritten constituion </b:Title>
    <b:Year>2022</b:Year>
    <b:YearAccessed>2022</b:YearAccessed>
    <b:MonthAccessed>November </b:MonthAccessed>
    <b:DayAccessed>11</b:DayAccessed>
    <b:URL>https://www.merriam-webster.com/dictionary/unwritten%20constitution#:~:text=unwritten%20constitution%20noun%20%3A%20a%20constitution%20not%20embodied,precedent%20as%20expressed%20in%20statutes%20and%20judicial%20decisions</b:URL>
    <b:RefOrder>2</b:RefOrder>
  </b:Source>
  <b:Source>
    <b:Tag>Cou10</b:Tag>
    <b:SourceType>InternetSite</b:SourceType>
    <b:Guid>{1AB394FD-5BD4-420E-AD7C-32A1BD6E3DD4}</b:Guid>
    <b:Title>Criminals</b:Title>
    <b:Year>2010</b:Year>
    <b:Author>
      <b:Author>
        <b:Corporate>Courts and Tribunals Judiciary</b:Corporate>
      </b:Author>
    </b:Author>
    <b:InternetSiteTitle>.judiciary.uk</b:InternetSiteTitle>
    <b:Month>February</b:Month>
    <b:Day>19</b:Day>
    <b:URL>https://www.judiciary.uk/about-the-judiciary/our-justice-system/jurisdictions/criminal-jurisdiction/</b:URL>
    <b:YearAccessed>2022</b:YearAccessed>
    <b:MonthAccessed>November </b:MonthAccessed>
    <b:DayAccessed>10</b:DayAccessed>
    <b:RefOrder>3</b:RefOrder>
  </b:Source>
  <b:Source>
    <b:Tag>CPS22</b:Tag>
    <b:SourceType>InternetSite</b:SourceType>
    <b:Guid>{66ED2229-81C8-41B1-B719-2AD2ACEC51A4}</b:Guid>
    <b:Author>
      <b:Author>
        <b:Corporate>CPS</b:Corporate>
      </b:Author>
    </b:Author>
    <b:Title>Sentencing – Overview, General Principles and Mandatory Custodial Sentences</b:Title>
    <b:InternetSiteTitle>cps.gov.uk</b:InternetSiteTitle>
    <b:Year>2022</b:Year>
    <b:Month>July</b:Month>
    <b:Day>12</b:Day>
    <b:URL>https://www.cps.gov.uk/legal-guidance/sentencing-overview-general-principles-and-mandatory-custodial-sentences</b:URL>
    <b:YearAccessed>2022</b:YearAccessed>
    <b:MonthAccessed>November</b:MonthAccessed>
    <b:DayAccessed>9</b:DayAccessed>
    <b:RefOrder>4</b:RefOrder>
  </b:Source>
  <b:Source>
    <b:Tag>Lex20</b:Tag>
    <b:SourceType>InternetSite</b:SourceType>
    <b:Guid>{757AD0CB-4CE9-40FC-B961-2B25BC995D56}</b:Guid>
    <b:Title>The executive and the civil service</b:Title>
    <b:Year>2020</b:Year>
    <b:Month>July</b:Month>
    <b:Day>28</b:Day>
    <b:Author>
      <b:Author>
        <b:Corporate>LexisNexis</b:Corporate>
      </b:Author>
    </b:Author>
    <b:InternetSiteTitle>LexisNexis</b:InternetSiteTitle>
    <b:URL>https://www.lexisnexis.co.uk/legal/guidance/the-executive-the-civil-service</b:URL>
    <b:YearAccessed>2022</b:YearAccessed>
    <b:MonthAccessed>November</b:MonthAccessed>
    <b:DayAccessed>10</b:DayAccessed>
    <b:RefOrder>5</b:RefOrder>
  </b:Source>
  <b:Source>
    <b:Tag>Ell141</b:Tag>
    <b:SourceType>BookSection</b:SourceType>
    <b:Guid>{83CFEFB9-3F66-49A2-B062-0D402ECD2C78}</b:Guid>
    <b:BookTitle>English Legal System</b:BookTitle>
    <b:Year>2013/14</b:Year>
    <b:Pages>33-34</b:Pages>
    <b:Publisher>Pearson</b:Publisher>
    <b:Author>
      <b:Author>
        <b:NameList>
          <b:Person>
            <b:Last>Elliot </b:Last>
            <b:First>Catherine </b:First>
          </b:Person>
          <b:Person>
            <b:Last>Quinn</b:Last>
            <b:First>Frances</b:First>
          </b:Person>
        </b:NameList>
      </b:Author>
    </b:Author>
    <b:RefOrder>6</b:RefOrder>
  </b:Source>
  <b:Source>
    <b:Tag>Ell13</b:Tag>
    <b:SourceType>BookSection</b:SourceType>
    <b:Guid>{5930ECCD-5B3B-4FA0-8B3E-5F26C61B657D}</b:Guid>
    <b:Year>2013/14</b:Year>
    <b:Pages>32-33</b:Pages>
    <b:Publisher>Pearson</b:Publisher>
    <b:Author>
      <b:Author>
        <b:NameList>
          <b:Person>
            <b:Last>Elliot</b:Last>
            <b:First>Catherine </b:First>
          </b:Person>
          <b:Person>
            <b:Last>Quinn</b:Last>
            <b:First>Frances</b:First>
          </b:Person>
        </b:NameList>
      </b:Author>
    </b:Author>
    <b:BookTitle>English Legal System</b:BookTitle>
    <b:RefOrder>7</b:RefOrder>
  </b:Source>
  <b:Source>
    <b:Tag>Ell14</b:Tag>
    <b:SourceType>BookSection</b:SourceType>
    <b:Guid>{F3147938-32A7-4709-816D-BC69EEC151E5}</b:Guid>
    <b:Year>2013/14</b:Year>
    <b:BookTitle>English Legal System</b:BookTitle>
    <b:Pages>154</b:Pages>
    <b:Publisher>Pearson</b:Publisher>
    <b:Author>
      <b:Author>
        <b:NameList>
          <b:Person>
            <b:Last>Elliot</b:Last>
            <b:First>Catherine</b:First>
          </b:Person>
          <b:Person>
            <b:Last>Quinn</b:Last>
            <b:First>Frances</b:First>
          </b:Person>
        </b:NameList>
      </b:Author>
    </b:Author>
    <b:RefOrder>8</b:RefOrder>
  </b:Source>
  <b:Source>
    <b:Tag>Pub22</b:Tag>
    <b:SourceType>InternetSite</b:SourceType>
    <b:Guid>{D7294FC7-E492-4DD9-B754-97E55946FB47}</b:Guid>
    <b:Author>
      <b:Author>
        <b:Corporate>Public Law Project</b:Corporate>
      </b:Author>
    </b:Author>
    <b:Title>What is public law?</b:Title>
    <b:YearAccessed>2022</b:YearAccessed>
    <b:MonthAccessed>November </b:MonthAccessed>
    <b:DayAccessed>11</b:DayAccessed>
    <b:URL>https://publiclawproject.org.uk/what-is-public-law/</b:URL>
    <b:RefOrder>9</b:RefOrder>
  </b:Source>
  <b:Source>
    <b:Tag>Kno11</b:Tag>
    <b:SourceType>InternetSite</b:SourceType>
    <b:Guid>{B5D48611-E12F-4901-BD7D-DEFAF62A8CCE}</b:Guid>
    <b:Author>
      <b:Author>
        <b:Corporate>Knowswhy.com</b:Corporate>
      </b:Author>
    </b:Author>
    <b:Title>Why should judges be elected </b:Title>
    <b:Year>2011</b:Year>
    <b:YearAccessed>2022</b:YearAccessed>
    <b:MonthAccessed>November</b:MonthAccessed>
    <b:DayAccessed>11</b:DayAccessed>
    <b:URL>https://www.knowswhy.com/why-should-judges-be-elected/</b:URL>
    <b:RefOrder>10</b:RefOrder>
  </b:Source>
  <b:Source>
    <b:Tag>Gov17</b:Tag>
    <b:SourceType>InternetSite</b:SourceType>
    <b:Guid>{100A6B09-7A63-43F2-B842-B29FA7D8C5A9}</b:Guid>
    <b:Author>
      <b:Author>
        <b:Corporate>Gov.uk</b:Corporate>
      </b:Author>
    </b:Author>
    <b:Title>Human Rights Council 35: Rule of Law</b:Title>
    <b:Year>2017</b:Year>
    <b:YearAccessed>2022</b:YearAccessed>
    <b:MonthAccessed>November </b:MonthAccessed>
    <b:DayAccessed>11</b:DayAccessed>
    <b:URL>https://www.gov.uk/government/news/human-rights-council-35-rule-of-law</b:URL>
    <b:RefOrder>11</b:RefOrder>
  </b:Source>
</b:Sources>
</file>

<file path=customXml/itemProps1.xml><?xml version="1.0" encoding="utf-8"?>
<ds:datastoreItem xmlns:ds="http://schemas.openxmlformats.org/officeDocument/2006/customXml" ds:itemID="{31BAD08D-43C2-4FAE-B867-56C204163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Words>
  <Characters>11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Raven</dc:creator>
  <cp:keywords/>
  <dc:description/>
  <cp:lastModifiedBy>Raven Najafifard (2212484)</cp:lastModifiedBy>
  <cp:revision>2</cp:revision>
  <dcterms:created xsi:type="dcterms:W3CDTF">2022-11-11T22:30:00Z</dcterms:created>
  <dcterms:modified xsi:type="dcterms:W3CDTF">2022-11-11T22:30:00Z</dcterms:modified>
</cp:coreProperties>
</file>