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20DFF" w14:textId="77777777" w:rsidR="007F4773" w:rsidRDefault="0006096B">
      <w:pPr>
        <w:pStyle w:val="Normal1"/>
        <w:spacing w:line="360" w:lineRule="auto"/>
        <w:jc w:val="center"/>
        <w:rPr>
          <w:rFonts w:ascii="Times New Roman" w:eastAsia="Times New Roman" w:hAnsi="Times New Roman" w:cs="Times New Roman"/>
          <w:b/>
          <w:color w:val="1F1F1F"/>
          <w:sz w:val="32"/>
          <w:szCs w:val="32"/>
          <w:highlight w:val="white"/>
          <w:lang w:val="en-GB"/>
        </w:rPr>
      </w:pPr>
      <w:r>
        <w:rPr>
          <w:rFonts w:ascii="Times New Roman" w:eastAsia="Times New Roman" w:hAnsi="Times New Roman" w:cs="Times New Roman"/>
          <w:b/>
          <w:noProof/>
          <w:color w:val="1F1F1F"/>
          <w:sz w:val="32"/>
          <w:szCs w:val="32"/>
          <w:lang w:val="en-US"/>
        </w:rPr>
        <w:drawing>
          <wp:inline distT="0" distB="0" distL="0" distR="0" wp14:anchorId="5EA6831A" wp14:editId="21544B1B">
            <wp:extent cx="1714500" cy="1698212"/>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718355" cy="1702030"/>
                    </a:xfrm>
                    <a:prstGeom prst="rect">
                      <a:avLst/>
                    </a:prstGeom>
                    <a:noFill/>
                    <a:ln w="9525">
                      <a:noFill/>
                      <a:miter lim="800000"/>
                      <a:headEnd/>
                      <a:tailEnd/>
                    </a:ln>
                  </pic:spPr>
                </pic:pic>
              </a:graphicData>
            </a:graphic>
          </wp:inline>
        </w:drawing>
      </w:r>
    </w:p>
    <w:p w14:paraId="241FED85" w14:textId="77777777" w:rsidR="0006096B" w:rsidRPr="0006096B" w:rsidRDefault="0006096B" w:rsidP="002B4C9D">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University name University of Wales Trinity Saint David</w:t>
      </w:r>
    </w:p>
    <w:p w14:paraId="77E7C0C9" w14:textId="13B53F87" w:rsidR="0006096B" w:rsidRPr="0006096B" w:rsidRDefault="0006096B" w:rsidP="002B4C9D">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Student name:</w:t>
      </w:r>
      <w:r w:rsidR="002B4C9D">
        <w:rPr>
          <w:rFonts w:ascii="Times New Roman" w:eastAsia="Times New Roman" w:hAnsi="Times New Roman" w:cs="Times New Roman"/>
          <w:b/>
          <w:color w:val="1F1F1F"/>
          <w:sz w:val="32"/>
          <w:szCs w:val="32"/>
          <w:lang w:val="en-US"/>
        </w:rPr>
        <w:t xml:space="preserve"> Cocea Florentin</w:t>
      </w:r>
    </w:p>
    <w:p w14:paraId="10DBC513" w14:textId="7D4F4828" w:rsidR="0006096B" w:rsidRPr="0006096B" w:rsidRDefault="0006096B" w:rsidP="002B4C9D">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Student ID:</w:t>
      </w:r>
      <w:r w:rsidR="00FB3FBF">
        <w:rPr>
          <w:rFonts w:ascii="Times New Roman" w:eastAsia="Times New Roman" w:hAnsi="Times New Roman" w:cs="Times New Roman"/>
          <w:b/>
          <w:color w:val="1F1F1F"/>
          <w:sz w:val="32"/>
          <w:szCs w:val="32"/>
          <w:lang w:val="en-US"/>
        </w:rPr>
        <w:t>21324124</w:t>
      </w:r>
    </w:p>
    <w:p w14:paraId="5A242CAA" w14:textId="77777777" w:rsidR="0006096B" w:rsidRPr="0006096B" w:rsidRDefault="0006096B" w:rsidP="002B4C9D">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ID module LCBB5005</w:t>
      </w:r>
    </w:p>
    <w:p w14:paraId="38D24987" w14:textId="366142BA" w:rsidR="0006096B" w:rsidRPr="0006096B" w:rsidRDefault="0006096B" w:rsidP="002B4C9D">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ID name Project Management</w:t>
      </w:r>
      <w:r w:rsidR="00257B1D">
        <w:rPr>
          <w:rFonts w:ascii="Times New Roman" w:eastAsia="Times New Roman" w:hAnsi="Times New Roman" w:cs="Times New Roman"/>
          <w:b/>
          <w:color w:val="1F1F1F"/>
          <w:sz w:val="32"/>
          <w:szCs w:val="32"/>
          <w:lang w:val="en-US"/>
        </w:rPr>
        <w:t xml:space="preserve"> (A2)</w:t>
      </w:r>
    </w:p>
    <w:p w14:paraId="503F054E" w14:textId="527C40D9" w:rsidR="00FB3FBF" w:rsidRPr="0006096B" w:rsidRDefault="0006096B" w:rsidP="00FB3FBF">
      <w:pPr>
        <w:pStyle w:val="Normal1"/>
        <w:spacing w:line="600" w:lineRule="auto"/>
        <w:jc w:val="center"/>
        <w:rPr>
          <w:rFonts w:ascii="Times New Roman" w:eastAsia="Times New Roman" w:hAnsi="Times New Roman" w:cs="Times New Roman"/>
          <w:b/>
          <w:color w:val="1F1F1F"/>
          <w:sz w:val="32"/>
          <w:szCs w:val="32"/>
          <w:lang w:val="en-US"/>
        </w:rPr>
      </w:pPr>
      <w:r w:rsidRPr="0006096B">
        <w:rPr>
          <w:rFonts w:ascii="Times New Roman" w:eastAsia="Times New Roman" w:hAnsi="Times New Roman" w:cs="Times New Roman"/>
          <w:b/>
          <w:color w:val="1F1F1F"/>
          <w:sz w:val="32"/>
          <w:szCs w:val="32"/>
          <w:lang w:val="en-US"/>
        </w:rPr>
        <w:t>Lector name:</w:t>
      </w:r>
      <w:r w:rsidR="002B4C9D" w:rsidRPr="002B4C9D">
        <w:t xml:space="preserve"> </w:t>
      </w:r>
      <w:r w:rsidR="00FB3FBF" w:rsidRPr="002B4C9D">
        <w:rPr>
          <w:rFonts w:ascii="Times New Roman" w:eastAsia="Times New Roman" w:hAnsi="Times New Roman" w:cs="Times New Roman"/>
          <w:b/>
          <w:color w:val="1F1F1F"/>
          <w:sz w:val="32"/>
          <w:szCs w:val="32"/>
          <w:lang w:val="en-US"/>
        </w:rPr>
        <w:t>Xavier Matieni</w:t>
      </w:r>
    </w:p>
    <w:p w14:paraId="5CC47257" w14:textId="1CBB5B41" w:rsidR="002B4C9D" w:rsidRPr="00FB3FBF" w:rsidRDefault="002B4C9D" w:rsidP="002B4C9D">
      <w:pPr>
        <w:pStyle w:val="Normal1"/>
        <w:spacing w:line="600" w:lineRule="auto"/>
        <w:jc w:val="center"/>
        <w:rPr>
          <w:rFonts w:ascii="Times New Roman" w:eastAsia="Times New Roman" w:hAnsi="Times New Roman" w:cs="Times New Roman"/>
          <w:b/>
          <w:color w:val="1F1F1F"/>
          <w:sz w:val="32"/>
          <w:szCs w:val="32"/>
        </w:rPr>
      </w:pPr>
    </w:p>
    <w:p w14:paraId="22F3372B" w14:textId="1D25DA93" w:rsidR="00FB3FBF" w:rsidRPr="0006096B" w:rsidRDefault="00FB3FBF" w:rsidP="00FB3FBF">
      <w:pPr>
        <w:pStyle w:val="Normal1"/>
        <w:spacing w:line="600" w:lineRule="auto"/>
        <w:jc w:val="center"/>
        <w:rPr>
          <w:rFonts w:ascii="Times New Roman" w:eastAsia="Times New Roman" w:hAnsi="Times New Roman" w:cs="Times New Roman"/>
          <w:b/>
          <w:color w:val="1F1F1F"/>
          <w:sz w:val="32"/>
          <w:szCs w:val="32"/>
          <w:lang w:val="en-US"/>
        </w:rPr>
      </w:pPr>
      <w:r>
        <w:rPr>
          <w:rFonts w:ascii="Times New Roman" w:eastAsia="Times New Roman" w:hAnsi="Times New Roman" w:cs="Times New Roman"/>
          <w:b/>
          <w:color w:val="1F1F1F"/>
          <w:sz w:val="32"/>
          <w:szCs w:val="32"/>
          <w:lang w:val="en-US"/>
        </w:rPr>
        <w:t xml:space="preserve">                     </w:t>
      </w:r>
    </w:p>
    <w:p w14:paraId="33987FDC" w14:textId="77777777" w:rsidR="0006096B" w:rsidRPr="00A644BE" w:rsidRDefault="0006096B">
      <w:pPr>
        <w:pStyle w:val="Normal1"/>
        <w:spacing w:line="360" w:lineRule="auto"/>
        <w:jc w:val="center"/>
        <w:rPr>
          <w:rFonts w:ascii="Times New Roman" w:eastAsia="Times New Roman" w:hAnsi="Times New Roman" w:cs="Times New Roman"/>
          <w:b/>
          <w:color w:val="1F1F1F"/>
          <w:sz w:val="32"/>
          <w:szCs w:val="32"/>
          <w:highlight w:val="white"/>
          <w:lang w:val="en-GB"/>
        </w:rPr>
      </w:pPr>
    </w:p>
    <w:p w14:paraId="7C6DF129" w14:textId="77777777" w:rsidR="007F4773" w:rsidRPr="00A644BE" w:rsidRDefault="007F4773">
      <w:pPr>
        <w:pStyle w:val="Normal1"/>
        <w:spacing w:line="360" w:lineRule="auto"/>
        <w:jc w:val="center"/>
        <w:rPr>
          <w:rFonts w:ascii="Times New Roman" w:eastAsia="Times New Roman" w:hAnsi="Times New Roman" w:cs="Times New Roman"/>
          <w:b/>
          <w:color w:val="1F1F1F"/>
          <w:sz w:val="32"/>
          <w:szCs w:val="32"/>
          <w:highlight w:val="white"/>
          <w:lang w:val="en-GB"/>
        </w:rPr>
      </w:pPr>
    </w:p>
    <w:p w14:paraId="20C9B4B9" w14:textId="77777777" w:rsidR="007F4773" w:rsidRPr="00A644BE" w:rsidRDefault="007F4773">
      <w:pPr>
        <w:pStyle w:val="Normal1"/>
        <w:spacing w:line="360" w:lineRule="auto"/>
        <w:jc w:val="center"/>
        <w:rPr>
          <w:rFonts w:ascii="Times New Roman" w:eastAsia="Times New Roman" w:hAnsi="Times New Roman" w:cs="Times New Roman"/>
          <w:b/>
          <w:color w:val="1F1F1F"/>
          <w:sz w:val="32"/>
          <w:szCs w:val="32"/>
          <w:highlight w:val="white"/>
          <w:lang w:val="en-GB"/>
        </w:rPr>
      </w:pPr>
    </w:p>
    <w:p w14:paraId="7526D660" w14:textId="77777777" w:rsidR="007F4773" w:rsidRPr="00A644BE" w:rsidRDefault="007F4773">
      <w:pPr>
        <w:pStyle w:val="Normal1"/>
        <w:spacing w:line="360" w:lineRule="auto"/>
        <w:jc w:val="center"/>
        <w:rPr>
          <w:rFonts w:ascii="Times New Roman" w:eastAsia="Times New Roman" w:hAnsi="Times New Roman" w:cs="Times New Roman"/>
          <w:b/>
          <w:color w:val="1F1F1F"/>
          <w:sz w:val="32"/>
          <w:szCs w:val="32"/>
          <w:highlight w:val="white"/>
          <w:lang w:val="en-GB"/>
        </w:rPr>
      </w:pPr>
    </w:p>
    <w:p w14:paraId="6DFB116A" w14:textId="77777777" w:rsidR="007F4773" w:rsidRPr="00A644BE" w:rsidRDefault="007F4773">
      <w:pPr>
        <w:pStyle w:val="Normal1"/>
        <w:spacing w:line="360" w:lineRule="auto"/>
        <w:jc w:val="center"/>
        <w:rPr>
          <w:rFonts w:ascii="Times New Roman" w:eastAsia="Times New Roman" w:hAnsi="Times New Roman" w:cs="Times New Roman"/>
          <w:b/>
          <w:color w:val="1F1F1F"/>
          <w:sz w:val="32"/>
          <w:szCs w:val="32"/>
          <w:highlight w:val="white"/>
          <w:lang w:val="en-GB"/>
        </w:rPr>
      </w:pPr>
    </w:p>
    <w:p w14:paraId="53D8091E" w14:textId="77777777" w:rsidR="007F4773" w:rsidRPr="00A644BE" w:rsidRDefault="007F4773">
      <w:pPr>
        <w:pStyle w:val="Normal1"/>
        <w:spacing w:line="360" w:lineRule="auto"/>
        <w:jc w:val="center"/>
        <w:rPr>
          <w:rFonts w:ascii="Times New Roman" w:eastAsia="Times New Roman" w:hAnsi="Times New Roman" w:cs="Times New Roman"/>
          <w:b/>
          <w:color w:val="1F1F1F"/>
          <w:sz w:val="32"/>
          <w:szCs w:val="32"/>
          <w:highlight w:val="white"/>
          <w:lang w:val="en-GB"/>
        </w:rPr>
      </w:pPr>
    </w:p>
    <w:sdt>
      <w:sdtPr>
        <w:rPr>
          <w:rFonts w:ascii="Times New Roman" w:eastAsia="Arial" w:hAnsi="Times New Roman" w:cs="Times New Roman"/>
          <w:b w:val="0"/>
          <w:bCs w:val="0"/>
          <w:color w:val="auto"/>
          <w:sz w:val="24"/>
          <w:szCs w:val="24"/>
          <w:lang w:val="en-IN"/>
        </w:rPr>
        <w:id w:val="1136138685"/>
        <w:docPartObj>
          <w:docPartGallery w:val="Table of Contents"/>
          <w:docPartUnique/>
        </w:docPartObj>
      </w:sdtPr>
      <w:sdtContent>
        <w:p w14:paraId="1633F042" w14:textId="77777777" w:rsidR="00407EA6" w:rsidRPr="00407EA6" w:rsidRDefault="00407EA6" w:rsidP="00407EA6">
          <w:pPr>
            <w:pStyle w:val="TOCHeading"/>
            <w:spacing w:before="0" w:line="360" w:lineRule="auto"/>
            <w:jc w:val="center"/>
            <w:rPr>
              <w:rFonts w:ascii="Times New Roman" w:hAnsi="Times New Roman" w:cs="Times New Roman"/>
              <w:sz w:val="24"/>
              <w:szCs w:val="24"/>
            </w:rPr>
          </w:pPr>
          <w:r w:rsidRPr="00407EA6">
            <w:rPr>
              <w:rFonts w:ascii="Times New Roman" w:hAnsi="Times New Roman" w:cs="Times New Roman"/>
              <w:color w:val="000000" w:themeColor="text1"/>
              <w:szCs w:val="24"/>
            </w:rPr>
            <w:t>Table of Contents</w:t>
          </w:r>
        </w:p>
        <w:p w14:paraId="6194E499" w14:textId="77777777" w:rsidR="00FE1016" w:rsidRPr="00FE1016" w:rsidRDefault="00FC7D24" w:rsidP="00FE1016">
          <w:pPr>
            <w:pStyle w:val="TOC1"/>
            <w:tabs>
              <w:tab w:val="right" w:leader="dot" w:pos="9350"/>
            </w:tabs>
            <w:spacing w:after="0" w:line="360" w:lineRule="auto"/>
            <w:jc w:val="both"/>
            <w:rPr>
              <w:rFonts w:ascii="Times New Roman" w:eastAsiaTheme="minorEastAsia" w:hAnsi="Times New Roman" w:cs="Times New Roman"/>
              <w:noProof/>
              <w:sz w:val="24"/>
              <w:lang w:val="en-US"/>
            </w:rPr>
          </w:pPr>
          <w:r w:rsidRPr="00407EA6">
            <w:rPr>
              <w:rFonts w:ascii="Times New Roman" w:hAnsi="Times New Roman" w:cs="Times New Roman"/>
              <w:sz w:val="24"/>
              <w:szCs w:val="24"/>
            </w:rPr>
            <w:fldChar w:fldCharType="begin"/>
          </w:r>
          <w:r w:rsidR="00407EA6" w:rsidRPr="00407EA6">
            <w:rPr>
              <w:rFonts w:ascii="Times New Roman" w:hAnsi="Times New Roman" w:cs="Times New Roman"/>
              <w:sz w:val="24"/>
              <w:szCs w:val="24"/>
            </w:rPr>
            <w:instrText xml:space="preserve"> TOC \o "1-3" \h \z \u </w:instrText>
          </w:r>
          <w:r w:rsidRPr="00407EA6">
            <w:rPr>
              <w:rFonts w:ascii="Times New Roman" w:hAnsi="Times New Roman" w:cs="Times New Roman"/>
              <w:sz w:val="24"/>
              <w:szCs w:val="24"/>
            </w:rPr>
            <w:fldChar w:fldCharType="separate"/>
          </w:r>
          <w:hyperlink w:anchor="_Toc162975115" w:history="1">
            <w:r w:rsidR="00FE1016" w:rsidRPr="00FE1016">
              <w:rPr>
                <w:rStyle w:val="Hyperlink"/>
                <w:rFonts w:ascii="Times New Roman" w:hAnsi="Times New Roman" w:cs="Times New Roman"/>
                <w:noProof/>
                <w:sz w:val="24"/>
                <w:lang w:val="en-GB"/>
              </w:rPr>
              <w:t>Introduction</w:t>
            </w:r>
            <w:r w:rsidR="00FE1016" w:rsidRPr="00FE1016">
              <w:rPr>
                <w:rFonts w:ascii="Times New Roman" w:hAnsi="Times New Roman" w:cs="Times New Roman"/>
                <w:noProof/>
                <w:webHidden/>
                <w:sz w:val="24"/>
              </w:rPr>
              <w:tab/>
            </w:r>
            <w:r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_Toc162975115 \h </w:instrText>
            </w:r>
            <w:r w:rsidRPr="00FE1016">
              <w:rPr>
                <w:rFonts w:ascii="Times New Roman" w:hAnsi="Times New Roman" w:cs="Times New Roman"/>
                <w:noProof/>
                <w:webHidden/>
                <w:sz w:val="24"/>
              </w:rPr>
            </w:r>
            <w:r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3</w:t>
            </w:r>
            <w:r w:rsidRPr="00FE1016">
              <w:rPr>
                <w:rFonts w:ascii="Times New Roman" w:hAnsi="Times New Roman" w:cs="Times New Roman"/>
                <w:noProof/>
                <w:webHidden/>
                <w:sz w:val="24"/>
              </w:rPr>
              <w:fldChar w:fldCharType="end"/>
            </w:r>
          </w:hyperlink>
        </w:p>
        <w:p w14:paraId="2812AC82" w14:textId="77777777" w:rsidR="00FE1016" w:rsidRPr="00FE1016" w:rsidRDefault="00000000" w:rsidP="00FE1016">
          <w:pPr>
            <w:pStyle w:val="TOC1"/>
            <w:tabs>
              <w:tab w:val="right" w:leader="dot" w:pos="9350"/>
            </w:tabs>
            <w:spacing w:after="0" w:line="360" w:lineRule="auto"/>
            <w:jc w:val="both"/>
            <w:rPr>
              <w:rFonts w:ascii="Times New Roman" w:eastAsiaTheme="minorEastAsia" w:hAnsi="Times New Roman" w:cs="Times New Roman"/>
              <w:noProof/>
              <w:sz w:val="24"/>
              <w:lang w:val="en-US"/>
            </w:rPr>
          </w:pPr>
          <w:hyperlink w:anchor="_Toc162975116" w:history="1">
            <w:r w:rsidR="00FE1016" w:rsidRPr="00FE1016">
              <w:rPr>
                <w:rStyle w:val="Hyperlink"/>
                <w:rFonts w:ascii="Times New Roman" w:hAnsi="Times New Roman" w:cs="Times New Roman"/>
                <w:noProof/>
                <w:sz w:val="24"/>
                <w:lang w:val="en-GB"/>
              </w:rPr>
              <w:t>Considering the success or failure</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_Toc162975116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3</w:t>
            </w:r>
            <w:r w:rsidR="00FC7D24" w:rsidRPr="00FE1016">
              <w:rPr>
                <w:rFonts w:ascii="Times New Roman" w:hAnsi="Times New Roman" w:cs="Times New Roman"/>
                <w:noProof/>
                <w:webHidden/>
                <w:sz w:val="24"/>
              </w:rPr>
              <w:fldChar w:fldCharType="end"/>
            </w:r>
          </w:hyperlink>
        </w:p>
        <w:p w14:paraId="6F70B26B" w14:textId="77777777" w:rsidR="00FE1016" w:rsidRPr="00FE1016" w:rsidRDefault="00000000" w:rsidP="00FE1016">
          <w:pPr>
            <w:pStyle w:val="TOC2"/>
            <w:tabs>
              <w:tab w:val="right" w:leader="dot" w:pos="9350"/>
            </w:tabs>
            <w:spacing w:after="0" w:line="360" w:lineRule="auto"/>
            <w:jc w:val="both"/>
            <w:rPr>
              <w:rFonts w:ascii="Times New Roman" w:eastAsiaTheme="minorEastAsia" w:hAnsi="Times New Roman" w:cs="Times New Roman"/>
              <w:noProof/>
              <w:sz w:val="24"/>
              <w:lang w:val="en-US"/>
            </w:rPr>
          </w:pPr>
          <w:hyperlink w:anchor="_Toc162975117" w:history="1">
            <w:r w:rsidR="00FE1016" w:rsidRPr="00FE1016">
              <w:rPr>
                <w:rStyle w:val="Hyperlink"/>
                <w:rFonts w:ascii="Times New Roman" w:hAnsi="Times New Roman" w:cs="Times New Roman"/>
                <w:noProof/>
                <w:sz w:val="24"/>
                <w:lang w:val="en-GB"/>
              </w:rPr>
              <w:t>Contributing sustainability</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_Toc162975117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4</w:t>
            </w:r>
            <w:r w:rsidR="00FC7D24" w:rsidRPr="00FE1016">
              <w:rPr>
                <w:rFonts w:ascii="Times New Roman" w:hAnsi="Times New Roman" w:cs="Times New Roman"/>
                <w:noProof/>
                <w:webHidden/>
                <w:sz w:val="24"/>
              </w:rPr>
              <w:fldChar w:fldCharType="end"/>
            </w:r>
          </w:hyperlink>
        </w:p>
        <w:p w14:paraId="51799FBE" w14:textId="77777777" w:rsidR="00FE1016" w:rsidRPr="00FE1016" w:rsidRDefault="00000000" w:rsidP="00FE1016">
          <w:pPr>
            <w:pStyle w:val="TOC2"/>
            <w:tabs>
              <w:tab w:val="right" w:leader="dot" w:pos="9350"/>
            </w:tabs>
            <w:spacing w:after="0" w:line="360" w:lineRule="auto"/>
            <w:jc w:val="both"/>
            <w:rPr>
              <w:rFonts w:ascii="Times New Roman" w:eastAsiaTheme="minorEastAsia" w:hAnsi="Times New Roman" w:cs="Times New Roman"/>
              <w:noProof/>
              <w:sz w:val="24"/>
              <w:lang w:val="en-US"/>
            </w:rPr>
          </w:pPr>
          <w:hyperlink w:anchor="_Toc162975118" w:history="1">
            <w:r w:rsidR="00FE1016" w:rsidRPr="00FE1016">
              <w:rPr>
                <w:rStyle w:val="Hyperlink"/>
                <w:rFonts w:ascii="Times New Roman" w:hAnsi="Times New Roman" w:cs="Times New Roman"/>
                <w:noProof/>
                <w:sz w:val="24"/>
                <w:lang w:val="en-GB"/>
              </w:rPr>
              <w:t>Dunlop's system model of industrial relations</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_Toc162975118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6</w:t>
            </w:r>
            <w:r w:rsidR="00FC7D24" w:rsidRPr="00FE1016">
              <w:rPr>
                <w:rFonts w:ascii="Times New Roman" w:hAnsi="Times New Roman" w:cs="Times New Roman"/>
                <w:noProof/>
                <w:webHidden/>
                <w:sz w:val="24"/>
              </w:rPr>
              <w:fldChar w:fldCharType="end"/>
            </w:r>
          </w:hyperlink>
        </w:p>
        <w:p w14:paraId="41F21304" w14:textId="77777777" w:rsidR="00FE1016" w:rsidRPr="00FE1016" w:rsidRDefault="00000000" w:rsidP="00FE1016">
          <w:pPr>
            <w:pStyle w:val="TOC2"/>
            <w:tabs>
              <w:tab w:val="right" w:leader="dot" w:pos="9350"/>
            </w:tabs>
            <w:spacing w:after="0" w:line="360" w:lineRule="auto"/>
            <w:jc w:val="both"/>
            <w:rPr>
              <w:rFonts w:ascii="Times New Roman" w:eastAsiaTheme="minorEastAsia" w:hAnsi="Times New Roman" w:cs="Times New Roman"/>
              <w:noProof/>
              <w:sz w:val="24"/>
              <w:lang w:val="en-US"/>
            </w:rPr>
          </w:pPr>
          <w:hyperlink w:anchor="_Toc162975119" w:history="1">
            <w:r w:rsidR="00FE1016" w:rsidRPr="00FE1016">
              <w:rPr>
                <w:rStyle w:val="Hyperlink"/>
                <w:rFonts w:ascii="Times New Roman" w:hAnsi="Times New Roman" w:cs="Times New Roman"/>
                <w:noProof/>
                <w:sz w:val="24"/>
                <w:lang w:val="en-GB"/>
              </w:rPr>
              <w:t>Business investment in the UK</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_Toc162975119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6</w:t>
            </w:r>
            <w:r w:rsidR="00FC7D24" w:rsidRPr="00FE1016">
              <w:rPr>
                <w:rFonts w:ascii="Times New Roman" w:hAnsi="Times New Roman" w:cs="Times New Roman"/>
                <w:noProof/>
                <w:webHidden/>
                <w:sz w:val="24"/>
              </w:rPr>
              <w:fldChar w:fldCharType="end"/>
            </w:r>
          </w:hyperlink>
        </w:p>
        <w:p w14:paraId="7ED055DE" w14:textId="77777777" w:rsidR="00FE1016" w:rsidRPr="00FE1016" w:rsidRDefault="00000000" w:rsidP="00FE1016">
          <w:pPr>
            <w:pStyle w:val="TOC2"/>
            <w:tabs>
              <w:tab w:val="right" w:leader="dot" w:pos="9350"/>
            </w:tabs>
            <w:spacing w:after="0" w:line="360" w:lineRule="auto"/>
            <w:jc w:val="both"/>
            <w:rPr>
              <w:rFonts w:ascii="Times New Roman" w:eastAsiaTheme="minorEastAsia" w:hAnsi="Times New Roman" w:cs="Times New Roman"/>
              <w:noProof/>
              <w:sz w:val="24"/>
              <w:lang w:val="en-US"/>
            </w:rPr>
          </w:pPr>
          <w:hyperlink w:anchor="_Toc162975120" w:history="1">
            <w:r w:rsidR="00FE1016" w:rsidRPr="00FE1016">
              <w:rPr>
                <w:rStyle w:val="Hyperlink"/>
                <w:rFonts w:ascii="Times New Roman" w:hAnsi="Times New Roman" w:cs="Times New Roman"/>
                <w:noProof/>
                <w:sz w:val="24"/>
                <w:lang w:val="en-GB"/>
              </w:rPr>
              <w:t>Analysing the future of the IT sector in the UK</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_Toc162975120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8</w:t>
            </w:r>
            <w:r w:rsidR="00FC7D24" w:rsidRPr="00FE1016">
              <w:rPr>
                <w:rFonts w:ascii="Times New Roman" w:hAnsi="Times New Roman" w:cs="Times New Roman"/>
                <w:noProof/>
                <w:webHidden/>
                <w:sz w:val="24"/>
              </w:rPr>
              <w:fldChar w:fldCharType="end"/>
            </w:r>
          </w:hyperlink>
        </w:p>
        <w:p w14:paraId="197B288D" w14:textId="77777777" w:rsidR="00FE1016" w:rsidRPr="00FE1016" w:rsidRDefault="00000000" w:rsidP="00FE1016">
          <w:pPr>
            <w:pStyle w:val="TOC1"/>
            <w:tabs>
              <w:tab w:val="right" w:leader="dot" w:pos="9350"/>
            </w:tabs>
            <w:spacing w:after="0" w:line="360" w:lineRule="auto"/>
            <w:jc w:val="both"/>
            <w:rPr>
              <w:rFonts w:ascii="Times New Roman" w:eastAsiaTheme="minorEastAsia" w:hAnsi="Times New Roman" w:cs="Times New Roman"/>
              <w:noProof/>
              <w:sz w:val="24"/>
              <w:lang w:val="en-US"/>
            </w:rPr>
          </w:pPr>
          <w:hyperlink w:anchor="_Toc162975121" w:history="1">
            <w:r w:rsidR="00FE1016" w:rsidRPr="00FE1016">
              <w:rPr>
                <w:rStyle w:val="Hyperlink"/>
                <w:rFonts w:ascii="Times New Roman" w:hAnsi="Times New Roman" w:cs="Times New Roman"/>
                <w:noProof/>
                <w:sz w:val="24"/>
                <w:lang w:val="en-GB"/>
              </w:rPr>
              <w:t>Conclusion and Recommendations</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_Toc162975121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11</w:t>
            </w:r>
            <w:r w:rsidR="00FC7D24" w:rsidRPr="00FE1016">
              <w:rPr>
                <w:rFonts w:ascii="Times New Roman" w:hAnsi="Times New Roman" w:cs="Times New Roman"/>
                <w:noProof/>
                <w:webHidden/>
                <w:sz w:val="24"/>
              </w:rPr>
              <w:fldChar w:fldCharType="end"/>
            </w:r>
          </w:hyperlink>
        </w:p>
        <w:p w14:paraId="24CF694A" w14:textId="77777777" w:rsidR="00FE1016" w:rsidRPr="00FE1016" w:rsidRDefault="00000000" w:rsidP="00FE1016">
          <w:pPr>
            <w:pStyle w:val="TOC1"/>
            <w:tabs>
              <w:tab w:val="right" w:leader="dot" w:pos="9350"/>
            </w:tabs>
            <w:spacing w:after="0" w:line="360" w:lineRule="auto"/>
            <w:jc w:val="both"/>
            <w:rPr>
              <w:rFonts w:ascii="Times New Roman" w:eastAsiaTheme="minorEastAsia" w:hAnsi="Times New Roman" w:cs="Times New Roman"/>
              <w:noProof/>
              <w:sz w:val="24"/>
              <w:lang w:val="en-US"/>
            </w:rPr>
          </w:pPr>
          <w:hyperlink w:anchor="_Toc162975122" w:history="1">
            <w:r w:rsidR="00FE1016" w:rsidRPr="00FE1016">
              <w:rPr>
                <w:rStyle w:val="Hyperlink"/>
                <w:rFonts w:ascii="Times New Roman" w:hAnsi="Times New Roman" w:cs="Times New Roman"/>
                <w:noProof/>
                <w:sz w:val="24"/>
                <w:lang w:val="en-GB"/>
              </w:rPr>
              <w:t>References</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_Toc162975122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13</w:t>
            </w:r>
            <w:r w:rsidR="00FC7D24" w:rsidRPr="00FE1016">
              <w:rPr>
                <w:rFonts w:ascii="Times New Roman" w:hAnsi="Times New Roman" w:cs="Times New Roman"/>
                <w:noProof/>
                <w:webHidden/>
                <w:sz w:val="24"/>
              </w:rPr>
              <w:fldChar w:fldCharType="end"/>
            </w:r>
          </w:hyperlink>
        </w:p>
        <w:p w14:paraId="4406FAF9" w14:textId="77777777" w:rsidR="00FE1016" w:rsidRPr="00FE1016" w:rsidRDefault="00000000" w:rsidP="00FE1016">
          <w:pPr>
            <w:pStyle w:val="TOC1"/>
            <w:tabs>
              <w:tab w:val="right" w:leader="dot" w:pos="9350"/>
            </w:tabs>
            <w:spacing w:after="0" w:line="360" w:lineRule="auto"/>
            <w:jc w:val="both"/>
            <w:rPr>
              <w:rFonts w:ascii="Times New Roman" w:eastAsiaTheme="minorEastAsia" w:hAnsi="Times New Roman" w:cs="Times New Roman"/>
              <w:noProof/>
              <w:sz w:val="24"/>
              <w:lang w:val="en-US"/>
            </w:rPr>
          </w:pPr>
          <w:hyperlink w:anchor="_Toc162975123" w:history="1">
            <w:r w:rsidR="00FE1016" w:rsidRPr="00FE1016">
              <w:rPr>
                <w:rStyle w:val="Hyperlink"/>
                <w:rFonts w:ascii="Times New Roman" w:hAnsi="Times New Roman" w:cs="Times New Roman"/>
                <w:noProof/>
                <w:sz w:val="24"/>
                <w:lang w:val="en-GB"/>
              </w:rPr>
              <w:t>Appendices</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_Toc162975123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16</w:t>
            </w:r>
            <w:r w:rsidR="00FC7D24" w:rsidRPr="00FE1016">
              <w:rPr>
                <w:rFonts w:ascii="Times New Roman" w:hAnsi="Times New Roman" w:cs="Times New Roman"/>
                <w:noProof/>
                <w:webHidden/>
                <w:sz w:val="24"/>
              </w:rPr>
              <w:fldChar w:fldCharType="end"/>
            </w:r>
          </w:hyperlink>
        </w:p>
        <w:p w14:paraId="5AD6FA0C" w14:textId="77777777" w:rsidR="00FE1016" w:rsidRPr="00FE1016" w:rsidRDefault="00000000" w:rsidP="00FE1016">
          <w:pPr>
            <w:pStyle w:val="TOC2"/>
            <w:tabs>
              <w:tab w:val="right" w:leader="dot" w:pos="9350"/>
            </w:tabs>
            <w:spacing w:after="0" w:line="360" w:lineRule="auto"/>
            <w:jc w:val="both"/>
            <w:rPr>
              <w:rFonts w:ascii="Times New Roman" w:eastAsiaTheme="minorEastAsia" w:hAnsi="Times New Roman" w:cs="Times New Roman"/>
              <w:noProof/>
              <w:sz w:val="24"/>
              <w:lang w:val="en-US"/>
            </w:rPr>
          </w:pPr>
          <w:hyperlink w:anchor="_Toc162975124" w:history="1">
            <w:r w:rsidR="00FE1016" w:rsidRPr="00FE1016">
              <w:rPr>
                <w:rStyle w:val="Hyperlink"/>
                <w:rFonts w:ascii="Times New Roman" w:hAnsi="Times New Roman" w:cs="Times New Roman"/>
                <w:noProof/>
                <w:sz w:val="24"/>
                <w:lang w:val="en-GB"/>
              </w:rPr>
              <w:t>Appendix 1: New building of Google</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_Toc162975124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16</w:t>
            </w:r>
            <w:r w:rsidR="00FC7D24" w:rsidRPr="00FE1016">
              <w:rPr>
                <w:rFonts w:ascii="Times New Roman" w:hAnsi="Times New Roman" w:cs="Times New Roman"/>
                <w:noProof/>
                <w:webHidden/>
                <w:sz w:val="24"/>
              </w:rPr>
              <w:fldChar w:fldCharType="end"/>
            </w:r>
          </w:hyperlink>
        </w:p>
        <w:p w14:paraId="0443852A" w14:textId="77777777" w:rsidR="00FE1016" w:rsidRDefault="00000000" w:rsidP="00FE1016">
          <w:pPr>
            <w:pStyle w:val="TOC2"/>
            <w:tabs>
              <w:tab w:val="right" w:leader="dot" w:pos="9350"/>
            </w:tabs>
            <w:spacing w:after="0" w:line="360" w:lineRule="auto"/>
            <w:jc w:val="both"/>
            <w:rPr>
              <w:rFonts w:asciiTheme="minorHAnsi" w:eastAsiaTheme="minorEastAsia" w:hAnsiTheme="minorHAnsi" w:cstheme="minorBidi"/>
              <w:noProof/>
              <w:lang w:val="en-US"/>
            </w:rPr>
          </w:pPr>
          <w:hyperlink w:anchor="_Toc162975125" w:history="1">
            <w:r w:rsidR="00FE1016" w:rsidRPr="00FE1016">
              <w:rPr>
                <w:rStyle w:val="Hyperlink"/>
                <w:rFonts w:ascii="Times New Roman" w:hAnsi="Times New Roman" w:cs="Times New Roman"/>
                <w:noProof/>
                <w:sz w:val="24"/>
                <w:lang w:val="en-GB"/>
              </w:rPr>
              <w:t>Appendix 2: Building design of the new HQ</w:t>
            </w:r>
            <w:r w:rsidR="00FE1016" w:rsidRPr="00FE1016">
              <w:rPr>
                <w:rFonts w:ascii="Times New Roman" w:hAnsi="Times New Roman" w:cs="Times New Roman"/>
                <w:noProof/>
                <w:webHidden/>
                <w:sz w:val="24"/>
              </w:rPr>
              <w:tab/>
            </w:r>
            <w:r w:rsidR="00FC7D24" w:rsidRPr="00FE1016">
              <w:rPr>
                <w:rFonts w:ascii="Times New Roman" w:hAnsi="Times New Roman" w:cs="Times New Roman"/>
                <w:noProof/>
                <w:webHidden/>
                <w:sz w:val="24"/>
              </w:rPr>
              <w:fldChar w:fldCharType="begin"/>
            </w:r>
            <w:r w:rsidR="00FE1016" w:rsidRPr="00FE1016">
              <w:rPr>
                <w:rFonts w:ascii="Times New Roman" w:hAnsi="Times New Roman" w:cs="Times New Roman"/>
                <w:noProof/>
                <w:webHidden/>
                <w:sz w:val="24"/>
              </w:rPr>
              <w:instrText xml:space="preserve"> PAGEREF _Toc162975125 \h </w:instrText>
            </w:r>
            <w:r w:rsidR="00FC7D24" w:rsidRPr="00FE1016">
              <w:rPr>
                <w:rFonts w:ascii="Times New Roman" w:hAnsi="Times New Roman" w:cs="Times New Roman"/>
                <w:noProof/>
                <w:webHidden/>
                <w:sz w:val="24"/>
              </w:rPr>
            </w:r>
            <w:r w:rsidR="00FC7D24" w:rsidRPr="00FE1016">
              <w:rPr>
                <w:rFonts w:ascii="Times New Roman" w:hAnsi="Times New Roman" w:cs="Times New Roman"/>
                <w:noProof/>
                <w:webHidden/>
                <w:sz w:val="24"/>
              </w:rPr>
              <w:fldChar w:fldCharType="separate"/>
            </w:r>
            <w:r w:rsidR="00FE1016" w:rsidRPr="00FE1016">
              <w:rPr>
                <w:rFonts w:ascii="Times New Roman" w:hAnsi="Times New Roman" w:cs="Times New Roman"/>
                <w:noProof/>
                <w:webHidden/>
                <w:sz w:val="24"/>
              </w:rPr>
              <w:t>17</w:t>
            </w:r>
            <w:r w:rsidR="00FC7D24" w:rsidRPr="00FE1016">
              <w:rPr>
                <w:rFonts w:ascii="Times New Roman" w:hAnsi="Times New Roman" w:cs="Times New Roman"/>
                <w:noProof/>
                <w:webHidden/>
                <w:sz w:val="24"/>
              </w:rPr>
              <w:fldChar w:fldCharType="end"/>
            </w:r>
          </w:hyperlink>
        </w:p>
        <w:p w14:paraId="2D5857D4" w14:textId="77777777" w:rsidR="00407EA6" w:rsidRPr="00407EA6" w:rsidRDefault="00FC7D24" w:rsidP="00407EA6">
          <w:pPr>
            <w:spacing w:line="360" w:lineRule="auto"/>
            <w:jc w:val="both"/>
            <w:rPr>
              <w:rFonts w:ascii="Times New Roman" w:hAnsi="Times New Roman" w:cs="Times New Roman"/>
              <w:sz w:val="24"/>
              <w:szCs w:val="24"/>
            </w:rPr>
          </w:pPr>
          <w:r w:rsidRPr="00407EA6">
            <w:rPr>
              <w:rFonts w:ascii="Times New Roman" w:hAnsi="Times New Roman" w:cs="Times New Roman"/>
              <w:sz w:val="24"/>
              <w:szCs w:val="24"/>
            </w:rPr>
            <w:fldChar w:fldCharType="end"/>
          </w:r>
        </w:p>
      </w:sdtContent>
    </w:sdt>
    <w:p w14:paraId="312E2301" w14:textId="77777777" w:rsidR="00440FAD" w:rsidRPr="00A644BE" w:rsidRDefault="00C463C2">
      <w:pPr>
        <w:pStyle w:val="Normal1"/>
        <w:spacing w:line="360" w:lineRule="auto"/>
        <w:jc w:val="center"/>
        <w:rPr>
          <w:rFonts w:ascii="Times New Roman" w:eastAsia="Times New Roman" w:hAnsi="Times New Roman" w:cs="Times New Roman"/>
          <w:b/>
          <w:color w:val="1F1F1F"/>
          <w:sz w:val="32"/>
          <w:szCs w:val="32"/>
          <w:highlight w:val="white"/>
          <w:lang w:val="en-GB"/>
        </w:rPr>
      </w:pPr>
      <w:r w:rsidRPr="00A644BE">
        <w:rPr>
          <w:lang w:val="en-GB"/>
        </w:rPr>
        <w:br w:type="page"/>
      </w:r>
    </w:p>
    <w:p w14:paraId="52019FAD" w14:textId="77777777" w:rsidR="00440FAD" w:rsidRPr="00A644BE" w:rsidRDefault="00C463C2" w:rsidP="00A73207">
      <w:pPr>
        <w:pStyle w:val="Heading1"/>
        <w:rPr>
          <w:rFonts w:ascii="Roboto" w:eastAsia="Roboto" w:hAnsi="Roboto" w:cs="Roboto"/>
          <w:color w:val="202124"/>
          <w:sz w:val="20"/>
          <w:szCs w:val="20"/>
          <w:highlight w:val="white"/>
          <w:lang w:val="en-GB"/>
        </w:rPr>
      </w:pPr>
      <w:bookmarkStart w:id="0" w:name="_Toc162975115"/>
      <w:r w:rsidRPr="00A644BE">
        <w:rPr>
          <w:highlight w:val="white"/>
          <w:lang w:val="en-GB"/>
        </w:rPr>
        <w:lastRenderedPageBreak/>
        <w:t>Introduction</w:t>
      </w:r>
      <w:bookmarkEnd w:id="0"/>
    </w:p>
    <w:p w14:paraId="2357802C"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The project of Google in setting up the HQ at King’s Cross, London is full of bright opportunities in terms of the Industrial Revolution. Sustainability has been a pivotal factor which draws the attention of people while impacting the surrounding community. Furthermore, the passenger entries at King’s Cross are a significant success factor. The IT service market in the UK looks promising for the project as the project has an inextricable connection with the IT sector. Accordingly, Dunlop's system model of industrial relations is conferred in the essay which has a connection to set up the relation in a well-directed way.</w:t>
      </w:r>
    </w:p>
    <w:p w14:paraId="6EDCE708"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Other than these, business investments are a significant factor in project management from which Google can be highly benefited. Besides, Google can receive a significant amount of support from the government as the revenue is astonishing from the IT sector. There is a significant increase in the number of employees in the IT sector of the UK which augurs well for the country as well as the project in terms of getting </w:t>
      </w:r>
      <w:r w:rsidR="008704DB" w:rsidRPr="00A644BE">
        <w:rPr>
          <w:rFonts w:ascii="Times New Roman" w:eastAsia="Times New Roman" w:hAnsi="Times New Roman" w:cs="Times New Roman"/>
          <w:color w:val="1F1F1F"/>
          <w:sz w:val="24"/>
          <w:szCs w:val="24"/>
          <w:highlight w:val="white"/>
          <w:lang w:val="en-GB"/>
        </w:rPr>
        <w:t>skilled</w:t>
      </w:r>
      <w:r w:rsidRPr="00A644BE">
        <w:rPr>
          <w:rFonts w:ascii="Times New Roman" w:eastAsia="Times New Roman" w:hAnsi="Times New Roman" w:cs="Times New Roman"/>
          <w:color w:val="1F1F1F"/>
          <w:sz w:val="24"/>
          <w:szCs w:val="24"/>
          <w:highlight w:val="white"/>
          <w:lang w:val="en-GB"/>
        </w:rPr>
        <w:t xml:space="preserve"> and experienced professionals. In essence, the project can heighten the growth, and productivity of the UK with an increased earning potential that the economy desperately needs in the post-Brexit phase.</w:t>
      </w:r>
    </w:p>
    <w:p w14:paraId="2B980FF3" w14:textId="77777777" w:rsidR="00440FAD" w:rsidRPr="00A644BE" w:rsidRDefault="008A52C1" w:rsidP="00A73207">
      <w:pPr>
        <w:pStyle w:val="Heading1"/>
        <w:rPr>
          <w:highlight w:val="white"/>
          <w:lang w:val="en-GB"/>
        </w:rPr>
      </w:pPr>
      <w:bookmarkStart w:id="1" w:name="_Toc162975116"/>
      <w:r>
        <w:rPr>
          <w:highlight w:val="white"/>
          <w:lang w:val="en-GB"/>
        </w:rPr>
        <w:t>Considering the success or failure</w:t>
      </w:r>
      <w:bookmarkEnd w:id="1"/>
    </w:p>
    <w:p w14:paraId="03A8A271"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It is evident that the new HQ at the King’s Cross is considered a space for connection. The location is situated at the heart of the Industrial Revolution which has an intricate connection with entrepreneurship, and innovation. For this reason, the setting up and choosing of this location augurs well as it can have future growth opportunities and potential. The newest development can take shape with the tremendous opportunities at the King’s Cross which is highly beneficial. Furthermore, the experience and space can provide tremendous opportunities for the local business, and local people. A culture of entrepreneurship can also be helmed with this project which can enhance the vibrancy of the area in a well-directed manner (Koivuniemi, 2024). The ambition of Google is, therefore, highly effective as the business ideas, and views are highly structured with the growing needs. Moreover, to meet the needs of the local area, Google is listening to the viewpoints of the residents and made partnerships with organisations namely </w:t>
      </w:r>
      <w:r w:rsidRPr="00A644BE">
        <w:rPr>
          <w:rFonts w:ascii="Times New Roman" w:eastAsia="Times New Roman" w:hAnsi="Times New Roman" w:cs="Times New Roman"/>
          <w:b/>
          <w:i/>
          <w:color w:val="1F1F1F"/>
          <w:sz w:val="24"/>
          <w:szCs w:val="24"/>
          <w:highlight w:val="white"/>
          <w:lang w:val="en-GB"/>
        </w:rPr>
        <w:t xml:space="preserve">Camden Giving. </w:t>
      </w:r>
      <w:r w:rsidRPr="00A644BE">
        <w:rPr>
          <w:rFonts w:ascii="Times New Roman" w:eastAsia="Times New Roman" w:hAnsi="Times New Roman" w:cs="Times New Roman"/>
          <w:color w:val="1F1F1F"/>
          <w:sz w:val="24"/>
          <w:szCs w:val="24"/>
          <w:highlight w:val="white"/>
          <w:lang w:val="en-GB"/>
        </w:rPr>
        <w:t>This partnership is highly meaningful and relevant in terms of setting up the HQ in the heart of London.</w:t>
      </w:r>
    </w:p>
    <w:p w14:paraId="776C6F43" w14:textId="77777777" w:rsidR="00440FAD" w:rsidRPr="00A644BE" w:rsidRDefault="00C463C2" w:rsidP="008A52C1">
      <w:pPr>
        <w:pStyle w:val="Heading2"/>
        <w:rPr>
          <w:highlight w:val="white"/>
          <w:lang w:val="en-GB"/>
        </w:rPr>
      </w:pPr>
      <w:bookmarkStart w:id="2" w:name="_Toc162975117"/>
      <w:r w:rsidRPr="00A644BE">
        <w:rPr>
          <w:highlight w:val="white"/>
          <w:lang w:val="en-GB"/>
        </w:rPr>
        <w:lastRenderedPageBreak/>
        <w:t>Contributing sustainability</w:t>
      </w:r>
      <w:bookmarkEnd w:id="2"/>
    </w:p>
    <w:p w14:paraId="15F54F9C"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Apart from these, the naturally ventilated green terraces are delightful as they offer a glimpse of nature in the working space. Sustainability is emphasised throughout the design of the building where the HQ is expected to create a more or less positive impact on the surrounding community. The ground floor includes space for retail use whereas the rooftop provides extensive landscaping for walking and outdoor amenities for employees (Brill and Conte</w:t>
      </w:r>
      <w:r w:rsidR="00A644BE">
        <w:rPr>
          <w:rFonts w:ascii="Times New Roman" w:eastAsia="Times New Roman" w:hAnsi="Times New Roman" w:cs="Times New Roman"/>
          <w:color w:val="1F1F1F"/>
          <w:sz w:val="24"/>
          <w:szCs w:val="24"/>
          <w:highlight w:val="white"/>
          <w:lang w:val="en-GB"/>
        </w:rPr>
        <w:t>,</w:t>
      </w:r>
      <w:r w:rsidRPr="00A644BE">
        <w:rPr>
          <w:rFonts w:ascii="Times New Roman" w:eastAsia="Times New Roman" w:hAnsi="Times New Roman" w:cs="Times New Roman"/>
          <w:color w:val="1F1F1F"/>
          <w:sz w:val="24"/>
          <w:szCs w:val="24"/>
          <w:highlight w:val="white"/>
          <w:lang w:val="en-GB"/>
        </w:rPr>
        <w:t xml:space="preserve"> 2020). Besides, the area is one of the biggest tech hubs of London which directly influences the establishment of the HQ. The shrewd decision of Google is reflected in choosing the destination as there are nearly 2000 homes, schools, a university, parks, restaurants, and above all retail, and office spaces (Koivuniemi, 2024). The project can be a huge success as there are top-notch people and business professionals and the place is not only bustling but offers significant visitors. Furthermore, an excellent connection regarding transportation is maintained with high-speed rail, and mainline stations connecting the UK and Europe. Therefore, the project is swamped with utter opportunities and unique features which are required for an IT hub with surplus mobility options.</w:t>
      </w:r>
    </w:p>
    <w:p w14:paraId="7EFBC74B"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68E1215A" wp14:editId="1FC9782D">
            <wp:extent cx="5427436" cy="3374752"/>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5427436" cy="3374752"/>
                    </a:xfrm>
                    <a:prstGeom prst="rect">
                      <a:avLst/>
                    </a:prstGeom>
                    <a:ln w="25400">
                      <a:solidFill>
                        <a:srgbClr val="000000"/>
                      </a:solidFill>
                      <a:prstDash val="solid"/>
                    </a:ln>
                  </pic:spPr>
                </pic:pic>
              </a:graphicData>
            </a:graphic>
          </wp:inline>
        </w:drawing>
      </w:r>
    </w:p>
    <w:p w14:paraId="1C198E38"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1: Passenger entries at King’s Cross</w:t>
      </w:r>
    </w:p>
    <w:p w14:paraId="1B71CB7E"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Statista, 2024)</w:t>
      </w:r>
    </w:p>
    <w:p w14:paraId="77986FBF"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lastRenderedPageBreak/>
        <w:t>As shown in the above figure, nearly 149,000 passengers entered the underground station of King's Cross leading to one of the busiest railway stations in the UK. Therefore, it is needless to say that the choice of location is highly effective for Google. Furthermore, the 11-storey building is highly purpose-built through the accommodation of 4500 employees resulting in the healthy materials program of Google (Buildington.co.uk, 2024). It is evident that Google would continue to support employees who aspire to work from home or remotely. For this reason, significant changes in policies are writ large as nearly 60% of Googlers come to the office for a few days a week whereas 20% are coming to the new locations and 20% are working from home (Officereality.co.uk, 2024).</w:t>
      </w:r>
    </w:p>
    <w:p w14:paraId="2E03DD76"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0F142134" wp14:editId="124A8CFA">
            <wp:extent cx="5405438" cy="3421711"/>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5405438" cy="3421711"/>
                    </a:xfrm>
                    <a:prstGeom prst="rect">
                      <a:avLst/>
                    </a:prstGeom>
                    <a:ln w="25400">
                      <a:solidFill>
                        <a:srgbClr val="000000"/>
                      </a:solidFill>
                      <a:prstDash val="solid"/>
                    </a:ln>
                  </pic:spPr>
                </pic:pic>
              </a:graphicData>
            </a:graphic>
          </wp:inline>
        </w:drawing>
      </w:r>
    </w:p>
    <w:p w14:paraId="6553C112"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2: IT service market in the UK</w:t>
      </w:r>
    </w:p>
    <w:p w14:paraId="5922BB23"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Statista, 2024)</w:t>
      </w:r>
    </w:p>
    <w:p w14:paraId="24720143"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Figure 2 highlights that the IT service market in the UK is flooded with opportunities as the revenue can reach 117 billion USD by 2028 which is much higher compared to the current year. Therefore, the project can be a huge success factor for future IT projects.</w:t>
      </w:r>
    </w:p>
    <w:p w14:paraId="44A72F1F" w14:textId="77777777" w:rsidR="00440FAD" w:rsidRPr="00A644BE" w:rsidRDefault="00C463C2" w:rsidP="00A644BE">
      <w:pPr>
        <w:pStyle w:val="Heading2"/>
        <w:rPr>
          <w:highlight w:val="white"/>
          <w:lang w:val="en-GB"/>
        </w:rPr>
      </w:pPr>
      <w:bookmarkStart w:id="3" w:name="_Toc162975118"/>
      <w:r w:rsidRPr="00A644BE">
        <w:rPr>
          <w:highlight w:val="white"/>
          <w:lang w:val="en-GB"/>
        </w:rPr>
        <w:lastRenderedPageBreak/>
        <w:t>Dunlop's system model of industrial relations</w:t>
      </w:r>
      <w:bookmarkEnd w:id="3"/>
    </w:p>
    <w:p w14:paraId="5CC7928D"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In basic terms, the “</w:t>
      </w:r>
      <w:r w:rsidRPr="00A644BE">
        <w:rPr>
          <w:rFonts w:ascii="Times New Roman" w:eastAsia="Times New Roman" w:hAnsi="Times New Roman" w:cs="Times New Roman"/>
          <w:b/>
          <w:i/>
          <w:color w:val="1F1F1F"/>
          <w:sz w:val="24"/>
          <w:szCs w:val="24"/>
          <w:highlight w:val="white"/>
          <w:lang w:val="en-GB"/>
        </w:rPr>
        <w:t>Dunlop Systems Theory in Industrial Relations</w:t>
      </w:r>
      <w:r w:rsidRPr="00A644BE">
        <w:rPr>
          <w:rFonts w:ascii="Times New Roman" w:eastAsia="Times New Roman" w:hAnsi="Times New Roman" w:cs="Times New Roman"/>
          <w:color w:val="1F1F1F"/>
          <w:sz w:val="24"/>
          <w:szCs w:val="24"/>
          <w:highlight w:val="white"/>
          <w:lang w:val="en-GB"/>
        </w:rPr>
        <w:t>” is all about the development, and structure of relationships between three key members of labour relations namely labour, government, and management. The core idea of the system was emphasised by Dunlop in the field of industrial relations where a group of arrangements are present and are collectively responsible for the outcome (</w:t>
      </w:r>
      <w:proofErr w:type="spellStart"/>
      <w:r w:rsidRPr="00A644BE">
        <w:rPr>
          <w:rFonts w:ascii="Times New Roman" w:eastAsia="Times New Roman" w:hAnsi="Times New Roman" w:cs="Times New Roman"/>
          <w:color w:val="1F1F1F"/>
          <w:sz w:val="24"/>
          <w:szCs w:val="24"/>
          <w:highlight w:val="white"/>
          <w:lang w:val="en-GB"/>
        </w:rPr>
        <w:t>Oginni</w:t>
      </w:r>
      <w:proofErr w:type="spellEnd"/>
      <w:r w:rsidRPr="00A644BE">
        <w:rPr>
          <w:rFonts w:ascii="Times New Roman" w:eastAsia="Times New Roman" w:hAnsi="Times New Roman" w:cs="Times New Roman"/>
          <w:color w:val="1F1F1F"/>
          <w:sz w:val="24"/>
          <w:szCs w:val="24"/>
          <w:highlight w:val="white"/>
          <w:lang w:val="en-GB"/>
        </w:rPr>
        <w:t xml:space="preserve"> </w:t>
      </w:r>
      <w:r w:rsidRPr="00A644BE">
        <w:rPr>
          <w:rFonts w:ascii="Times New Roman" w:eastAsia="Times New Roman" w:hAnsi="Times New Roman" w:cs="Times New Roman"/>
          <w:i/>
          <w:color w:val="1F1F1F"/>
          <w:sz w:val="24"/>
          <w:szCs w:val="24"/>
          <w:highlight w:val="white"/>
          <w:lang w:val="en-GB"/>
        </w:rPr>
        <w:t xml:space="preserve">et al. </w:t>
      </w:r>
      <w:r w:rsidRPr="00A644BE">
        <w:rPr>
          <w:rFonts w:ascii="Times New Roman" w:eastAsia="Times New Roman" w:hAnsi="Times New Roman" w:cs="Times New Roman"/>
          <w:color w:val="1F1F1F"/>
          <w:sz w:val="24"/>
          <w:szCs w:val="24"/>
          <w:highlight w:val="white"/>
          <w:lang w:val="en-GB"/>
        </w:rPr>
        <w:t xml:space="preserve">2022). Similarly, Google followed the </w:t>
      </w:r>
      <w:r w:rsidRPr="00A644BE">
        <w:rPr>
          <w:rFonts w:ascii="Times New Roman" w:eastAsia="Times New Roman" w:hAnsi="Times New Roman" w:cs="Times New Roman"/>
          <w:b/>
          <w:i/>
          <w:color w:val="1F1F1F"/>
          <w:sz w:val="24"/>
          <w:szCs w:val="24"/>
          <w:highlight w:val="white"/>
          <w:lang w:val="en-GB"/>
        </w:rPr>
        <w:t xml:space="preserve">IRS </w:t>
      </w:r>
      <w:r w:rsidRPr="00A644BE">
        <w:rPr>
          <w:rFonts w:ascii="Times New Roman" w:eastAsia="Times New Roman" w:hAnsi="Times New Roman" w:cs="Times New Roman"/>
          <w:color w:val="1F1F1F"/>
          <w:sz w:val="24"/>
          <w:szCs w:val="24"/>
          <w:highlight w:val="white"/>
          <w:lang w:val="en-GB"/>
        </w:rPr>
        <w:t>or industrial relations system where three key actors are employers, workers, associated organisations, or the government. The definition, and system identified by Dunlop are termed a “web of rules” where substantive norms and institutions constitute the framework.</w:t>
      </w:r>
    </w:p>
    <w:p w14:paraId="6F4E0057"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In theory, Dunlop identified the </w:t>
      </w:r>
      <w:r w:rsidRPr="00A644BE">
        <w:rPr>
          <w:rFonts w:ascii="Times New Roman" w:eastAsia="Times New Roman" w:hAnsi="Times New Roman" w:cs="Times New Roman"/>
          <w:b/>
          <w:i/>
          <w:color w:val="1F1F1F"/>
          <w:sz w:val="24"/>
          <w:szCs w:val="24"/>
          <w:highlight w:val="white"/>
          <w:lang w:val="en-GB"/>
        </w:rPr>
        <w:t xml:space="preserve">actors </w:t>
      </w:r>
      <w:r w:rsidRPr="00A644BE">
        <w:rPr>
          <w:rFonts w:ascii="Times New Roman" w:eastAsia="Times New Roman" w:hAnsi="Times New Roman" w:cs="Times New Roman"/>
          <w:color w:val="1F1F1F"/>
          <w:sz w:val="24"/>
          <w:szCs w:val="24"/>
          <w:highlight w:val="white"/>
          <w:lang w:val="en-GB"/>
        </w:rPr>
        <w:t xml:space="preserve">as managers and workers where three contexts of the industry are included such as industry market, technology, and power distribution. Similarly, Google is aimed at market penetration, technology advancement, and spreading its power. On the other hand, </w:t>
      </w:r>
      <w:r w:rsidRPr="00A644BE">
        <w:rPr>
          <w:rFonts w:ascii="Times New Roman" w:eastAsia="Times New Roman" w:hAnsi="Times New Roman" w:cs="Times New Roman"/>
          <w:b/>
          <w:i/>
          <w:color w:val="1F1F1F"/>
          <w:sz w:val="24"/>
          <w:szCs w:val="24"/>
          <w:highlight w:val="white"/>
          <w:lang w:val="en-GB"/>
        </w:rPr>
        <w:t xml:space="preserve">ideology </w:t>
      </w:r>
      <w:r w:rsidRPr="00A644BE">
        <w:rPr>
          <w:rFonts w:ascii="Times New Roman" w:eastAsia="Times New Roman" w:hAnsi="Times New Roman" w:cs="Times New Roman"/>
          <w:color w:val="1F1F1F"/>
          <w:sz w:val="24"/>
          <w:szCs w:val="24"/>
          <w:highlight w:val="white"/>
          <w:lang w:val="en-GB"/>
        </w:rPr>
        <w:t xml:space="preserve">is the set of beliefs concerning politics, culture, and religion (Morgan and </w:t>
      </w:r>
      <w:proofErr w:type="spellStart"/>
      <w:r w:rsidRPr="00A644BE">
        <w:rPr>
          <w:rFonts w:ascii="Times New Roman" w:eastAsia="Times New Roman" w:hAnsi="Times New Roman" w:cs="Times New Roman"/>
          <w:color w:val="1F1F1F"/>
          <w:sz w:val="24"/>
          <w:szCs w:val="24"/>
          <w:highlight w:val="white"/>
          <w:lang w:val="en-GB"/>
        </w:rPr>
        <w:t>Hauptmeier</w:t>
      </w:r>
      <w:proofErr w:type="spellEnd"/>
      <w:r w:rsidRPr="00A644BE">
        <w:rPr>
          <w:rFonts w:ascii="Times New Roman" w:eastAsia="Times New Roman" w:hAnsi="Times New Roman" w:cs="Times New Roman"/>
          <w:color w:val="1F1F1F"/>
          <w:sz w:val="24"/>
          <w:szCs w:val="24"/>
          <w:highlight w:val="white"/>
          <w:lang w:val="en-GB"/>
        </w:rPr>
        <w:t>, 2021). As Google is shifted to a new destination, a complex set of beliefs and cultures are writ large. Therefore, the theory of Dunlop is highly related to industrial relations where the economy, technology, and political powers are sublime in the industrial context. Google adhered to these concepts to determine the success rates.</w:t>
      </w:r>
    </w:p>
    <w:p w14:paraId="1E6FF0A2" w14:textId="77777777" w:rsidR="00440FAD" w:rsidRPr="00A644BE" w:rsidRDefault="00C463C2" w:rsidP="00A644BE">
      <w:pPr>
        <w:pStyle w:val="Heading2"/>
        <w:rPr>
          <w:highlight w:val="white"/>
          <w:lang w:val="en-GB"/>
        </w:rPr>
      </w:pPr>
      <w:bookmarkStart w:id="4" w:name="_Toc162975119"/>
      <w:r w:rsidRPr="00A644BE">
        <w:rPr>
          <w:highlight w:val="white"/>
          <w:lang w:val="en-GB"/>
        </w:rPr>
        <w:t>Business investment in the UK</w:t>
      </w:r>
      <w:bookmarkEnd w:id="4"/>
    </w:p>
    <w:p w14:paraId="476F4766" w14:textId="77777777" w:rsidR="00440FAD" w:rsidRPr="00A644BE" w:rsidRDefault="00C463C2">
      <w:pPr>
        <w:pStyle w:val="Normal1"/>
        <w:spacing w:line="360" w:lineRule="auto"/>
        <w:jc w:val="both"/>
        <w:rPr>
          <w:rFonts w:ascii="Times New Roman" w:eastAsia="Times New Roman" w:hAnsi="Times New Roman" w:cs="Times New Roman"/>
          <w:color w:val="121212"/>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12 investment zones have been created by the chancellor of the UK as he pledged to provide </w:t>
      </w:r>
      <w:r w:rsidRPr="00A644BE">
        <w:rPr>
          <w:rFonts w:ascii="Times New Roman" w:eastAsia="Times New Roman" w:hAnsi="Times New Roman" w:cs="Times New Roman"/>
          <w:b/>
          <w:i/>
          <w:color w:val="121212"/>
          <w:sz w:val="24"/>
          <w:szCs w:val="24"/>
          <w:highlight w:val="white"/>
          <w:lang w:val="en-GB"/>
        </w:rPr>
        <w:t xml:space="preserve">£80m </w:t>
      </w:r>
      <w:r w:rsidRPr="00A644BE">
        <w:rPr>
          <w:rFonts w:ascii="Times New Roman" w:eastAsia="Times New Roman" w:hAnsi="Times New Roman" w:cs="Times New Roman"/>
          <w:sz w:val="24"/>
          <w:szCs w:val="24"/>
          <w:highlight w:val="white"/>
          <w:lang w:val="en-GB"/>
        </w:rPr>
        <w:t xml:space="preserve">of government funding along with </w:t>
      </w:r>
      <w:r w:rsidRPr="00A644BE">
        <w:rPr>
          <w:rFonts w:ascii="Times New Roman" w:eastAsia="Times New Roman" w:hAnsi="Times New Roman" w:cs="Times New Roman"/>
          <w:b/>
          <w:i/>
          <w:sz w:val="24"/>
          <w:szCs w:val="24"/>
          <w:highlight w:val="white"/>
          <w:lang w:val="en-GB"/>
        </w:rPr>
        <w:t xml:space="preserve">£1bn </w:t>
      </w:r>
      <w:r w:rsidRPr="00A644BE">
        <w:rPr>
          <w:rFonts w:ascii="Times New Roman" w:eastAsia="Times New Roman" w:hAnsi="Times New Roman" w:cs="Times New Roman"/>
          <w:sz w:val="24"/>
          <w:szCs w:val="24"/>
          <w:highlight w:val="white"/>
          <w:lang w:val="en-GB"/>
        </w:rPr>
        <w:t xml:space="preserve">in extra funding while tech hubs are clustered around universities (The Guardian, 2023). The King’s Cross falls in this network of investment zones which ultimately enhances the success rate of the project. Moreover, the UK is creating more tech companies worth </w:t>
      </w:r>
      <w:r w:rsidRPr="00A644BE">
        <w:rPr>
          <w:rFonts w:ascii="Times New Roman" w:eastAsia="Times New Roman" w:hAnsi="Times New Roman" w:cs="Times New Roman"/>
          <w:b/>
          <w:i/>
          <w:color w:val="121212"/>
          <w:sz w:val="24"/>
          <w:szCs w:val="24"/>
          <w:highlight w:val="white"/>
          <w:lang w:val="en-GB"/>
        </w:rPr>
        <w:t xml:space="preserve">£786m </w:t>
      </w:r>
      <w:r w:rsidRPr="00A644BE">
        <w:rPr>
          <w:rFonts w:ascii="Times New Roman" w:eastAsia="Times New Roman" w:hAnsi="Times New Roman" w:cs="Times New Roman"/>
          <w:color w:val="121212"/>
          <w:sz w:val="24"/>
          <w:szCs w:val="24"/>
          <w:highlight w:val="white"/>
          <w:lang w:val="en-GB"/>
        </w:rPr>
        <w:t xml:space="preserve">and British technology has been growing more than one and a half times faster than the rest of the economy adding </w:t>
      </w:r>
      <w:r w:rsidRPr="00A644BE">
        <w:rPr>
          <w:rFonts w:ascii="Times New Roman" w:eastAsia="Times New Roman" w:hAnsi="Times New Roman" w:cs="Times New Roman"/>
          <w:b/>
          <w:i/>
          <w:color w:val="121212"/>
          <w:sz w:val="24"/>
          <w:szCs w:val="24"/>
          <w:highlight w:val="white"/>
          <w:lang w:val="en-GB"/>
        </w:rPr>
        <w:t xml:space="preserve">£130 </w:t>
      </w:r>
      <w:r w:rsidRPr="00A644BE">
        <w:rPr>
          <w:rFonts w:ascii="Times New Roman" w:eastAsia="Times New Roman" w:hAnsi="Times New Roman" w:cs="Times New Roman"/>
          <w:color w:val="121212"/>
          <w:sz w:val="24"/>
          <w:szCs w:val="24"/>
          <w:highlight w:val="white"/>
          <w:lang w:val="en-GB"/>
        </w:rPr>
        <w:t xml:space="preserve">billion each year (The Guardian, 2019). Besides, the </w:t>
      </w:r>
      <w:r w:rsidRPr="00A644BE">
        <w:rPr>
          <w:rFonts w:ascii="Times New Roman" w:eastAsia="Times New Roman" w:hAnsi="Times New Roman" w:cs="Times New Roman"/>
          <w:b/>
          <w:i/>
          <w:color w:val="121212"/>
          <w:sz w:val="24"/>
          <w:szCs w:val="24"/>
          <w:highlight w:val="white"/>
          <w:lang w:val="en-GB"/>
        </w:rPr>
        <w:t xml:space="preserve">4AR </w:t>
      </w:r>
      <w:r w:rsidRPr="00A644BE">
        <w:rPr>
          <w:rFonts w:ascii="Times New Roman" w:eastAsia="Times New Roman" w:hAnsi="Times New Roman" w:cs="Times New Roman"/>
          <w:color w:val="121212"/>
          <w:sz w:val="24"/>
          <w:szCs w:val="24"/>
          <w:highlight w:val="white"/>
          <w:lang w:val="en-GB"/>
        </w:rPr>
        <w:t xml:space="preserve">or fourth industrial revolution sped up in recent years with the adoption of novel technologies and nearly 75% of technologies are likely to get BDA, e-commerce, and cloud computing by 2027 (Statista, 2024). Because of this, it can be stated that the future of this project can be swamped with golden opportunities as the UK is one of the fastest-moving digitally advanced countries in the world. Furthermore, there can be ample investment which </w:t>
      </w:r>
      <w:r w:rsidRPr="00A644BE">
        <w:rPr>
          <w:rFonts w:ascii="Times New Roman" w:eastAsia="Times New Roman" w:hAnsi="Times New Roman" w:cs="Times New Roman"/>
          <w:color w:val="121212"/>
          <w:sz w:val="24"/>
          <w:szCs w:val="24"/>
          <w:highlight w:val="white"/>
          <w:lang w:val="en-GB"/>
        </w:rPr>
        <w:lastRenderedPageBreak/>
        <w:t>ultimately lowers the chances of failure of this project. Hence, the UK technology business can favour the project from many aspects and can attract investors as well as scientific talents.</w:t>
      </w:r>
    </w:p>
    <w:p w14:paraId="1312F803"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Apart from these, it is evident that London is one of the leading technology hubs across the globe and a robust investment is rife in the post-Brexit era. Therefore, the expansion can further strengthen the reputation of Google as a global leader in digital technology. After building the new HQ in London, Google confirmed 3000 jobs whereas the firm has the capacity to house 7000 staff (The Guardian, 2016). In this way, the future of computer science technology could bloom in a significant manner and passion for innovation could grow in the UK.</w:t>
      </w:r>
    </w:p>
    <w:p w14:paraId="59C14A67"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510F186E" wp14:editId="4B2903FC">
            <wp:extent cx="5424488" cy="3364225"/>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1"/>
                    <a:stretch>
                      <a:fillRect/>
                    </a:stretch>
                  </pic:blipFill>
                  <pic:spPr>
                    <a:xfrm>
                      <a:off x="0" y="0"/>
                      <a:ext cx="5424488" cy="3364225"/>
                    </a:xfrm>
                    <a:prstGeom prst="rect">
                      <a:avLst/>
                    </a:prstGeom>
                    <a:ln w="25400">
                      <a:solidFill>
                        <a:srgbClr val="000000"/>
                      </a:solidFill>
                      <a:prstDash val="solid"/>
                    </a:ln>
                  </pic:spPr>
                </pic:pic>
              </a:graphicData>
            </a:graphic>
          </wp:inline>
        </w:drawing>
      </w:r>
    </w:p>
    <w:p w14:paraId="67503DE9"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3: IoT-connected devices worldwide</w:t>
      </w:r>
    </w:p>
    <w:p w14:paraId="0C641473"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Statista, 2024)</w:t>
      </w:r>
    </w:p>
    <w:p w14:paraId="76713C77"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As shown in the above figure, the number of IoT devices is forecast to increase from 15 billion in 2020 to 29 billion in 2030 which is almost double. For this reason, the spreading of IoT devices across different nations augurs well for the future IT sector. Besides, the academic, and business community set out a clear-cut vision for a genuine ambition required for Britain to be a leader in the 4AR. Moreover, the UK has ample assets, skills, and brilliant knowledge which can be a positive factor for Google. In essence, the project can boost the growth, and productivity of the UK followed by an increased earning potential that the economy desperately needs.</w:t>
      </w:r>
    </w:p>
    <w:p w14:paraId="7129A660" w14:textId="77777777" w:rsidR="00440FAD" w:rsidRPr="00A644BE" w:rsidRDefault="00C463C2" w:rsidP="00A644BE">
      <w:pPr>
        <w:pStyle w:val="Heading2"/>
        <w:rPr>
          <w:b w:val="0"/>
          <w:highlight w:val="white"/>
          <w:lang w:val="en-GB"/>
        </w:rPr>
      </w:pPr>
      <w:bookmarkStart w:id="5" w:name="_Toc162975120"/>
      <w:r w:rsidRPr="00A644BE">
        <w:rPr>
          <w:highlight w:val="white"/>
          <w:lang w:val="en-GB"/>
        </w:rPr>
        <w:lastRenderedPageBreak/>
        <w:t>Analysing the future of the IT sector in the UK</w:t>
      </w:r>
      <w:bookmarkEnd w:id="5"/>
    </w:p>
    <w:p w14:paraId="65E0A889"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Currently, Google has launched one of its HQs at King’s Cross in London which can achieve success or face failure due to the changes in present market conduction as well as market demand. The scope of success or failure can be determined through analysis of the future of the IT sector in the UK. </w:t>
      </w:r>
      <w:r w:rsidR="00A644BE" w:rsidRPr="00A644BE">
        <w:rPr>
          <w:rFonts w:ascii="Times New Roman" w:eastAsia="Times New Roman" w:hAnsi="Times New Roman" w:cs="Times New Roman"/>
          <w:color w:val="1F1F1F"/>
          <w:sz w:val="24"/>
          <w:szCs w:val="24"/>
          <w:highlight w:val="white"/>
          <w:lang w:val="en-GB"/>
        </w:rPr>
        <w:t>It</w:t>
      </w:r>
      <w:r w:rsidRPr="00A644BE">
        <w:rPr>
          <w:rFonts w:ascii="Times New Roman" w:eastAsia="Times New Roman" w:hAnsi="Times New Roman" w:cs="Times New Roman"/>
          <w:color w:val="1F1F1F"/>
          <w:sz w:val="24"/>
          <w:szCs w:val="24"/>
          <w:highlight w:val="white"/>
          <w:lang w:val="en-GB"/>
        </w:rPr>
        <w:t xml:space="preserve"> will help Google to expand their business by adapting approaches and effective strategies in the new location.   </w:t>
      </w:r>
    </w:p>
    <w:p w14:paraId="76AE6CC1"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As per the survey, in 2022 the ICT market in the UK was valued at approximately US$ 152.55 billion. It is expected that the revenue of the ICT market will reach </w:t>
      </w:r>
      <w:r w:rsidR="00A644BE" w:rsidRPr="00A644BE">
        <w:rPr>
          <w:rFonts w:ascii="Times New Roman" w:eastAsia="Times New Roman" w:hAnsi="Times New Roman" w:cs="Times New Roman"/>
          <w:color w:val="1F1F1F"/>
          <w:sz w:val="24"/>
          <w:szCs w:val="24"/>
          <w:highlight w:val="white"/>
          <w:lang w:val="en-GB"/>
        </w:rPr>
        <w:t>approximately US</w:t>
      </w:r>
      <w:r w:rsidRPr="00A644BE">
        <w:rPr>
          <w:rFonts w:ascii="Times New Roman" w:eastAsia="Times New Roman" w:hAnsi="Times New Roman" w:cs="Times New Roman"/>
          <w:color w:val="1F1F1F"/>
          <w:sz w:val="24"/>
          <w:szCs w:val="24"/>
          <w:highlight w:val="white"/>
          <w:lang w:val="en-GB"/>
        </w:rPr>
        <w:t>$ 248.36 billion by 2027. Hence, the market size will gradually increase in the UK by 10.24% from 2022 to 2027(</w:t>
      </w:r>
      <w:proofErr w:type="spellStart"/>
      <w:r w:rsidRPr="00A644BE">
        <w:rPr>
          <w:rFonts w:ascii="Times New Roman" w:eastAsia="Times New Roman" w:hAnsi="Times New Roman" w:cs="Times New Roman"/>
          <w:color w:val="1F1F1F"/>
          <w:sz w:val="24"/>
          <w:szCs w:val="24"/>
          <w:highlight w:val="white"/>
          <w:lang w:val="en-GB"/>
        </w:rPr>
        <w:t>Globaldata</w:t>
      </w:r>
      <w:proofErr w:type="spellEnd"/>
      <w:r w:rsidRPr="00A644BE">
        <w:rPr>
          <w:rFonts w:ascii="Times New Roman" w:eastAsia="Times New Roman" w:hAnsi="Times New Roman" w:cs="Times New Roman"/>
          <w:color w:val="1F1F1F"/>
          <w:sz w:val="24"/>
          <w:szCs w:val="24"/>
          <w:highlight w:val="white"/>
          <w:lang w:val="en-GB"/>
        </w:rPr>
        <w:t xml:space="preserve">, 2024). In order to see the increment of revenue of IT services, it can be estimated that Google can achieve business success in their new location if ethics and sustainability rules are followed by the UK government.  </w:t>
      </w:r>
    </w:p>
    <w:p w14:paraId="1C8F11EA"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7F8AB415" wp14:editId="072B8C28">
            <wp:extent cx="5272088" cy="2627595"/>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5272088" cy="2627595"/>
                    </a:xfrm>
                    <a:prstGeom prst="rect">
                      <a:avLst/>
                    </a:prstGeom>
                    <a:ln w="25400">
                      <a:solidFill>
                        <a:srgbClr val="000000"/>
                      </a:solidFill>
                      <a:prstDash val="solid"/>
                    </a:ln>
                  </pic:spPr>
                </pic:pic>
              </a:graphicData>
            </a:graphic>
          </wp:inline>
        </w:drawing>
      </w:r>
    </w:p>
    <w:p w14:paraId="37AF03C4"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4: Revenue by segment of UK IT services</w:t>
      </w:r>
    </w:p>
    <w:p w14:paraId="5030542A"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Statista, 2024)</w:t>
      </w:r>
    </w:p>
    <w:p w14:paraId="6919A08E"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Along with that, the UK government commits to invest approximately up to  £3.5 billion in future tech and science (UK government, 2024). Therefore, the project of Google has a huge chance of getting support from the UK government which will help to make the project more effective and efficient in terms of quality and efficiency. Moreover, in the era of fast-paced, every industry in the UK needs to adopt advanced technologies like AI, machine learning and </w:t>
      </w:r>
      <w:r w:rsidRPr="00A644BE">
        <w:rPr>
          <w:rFonts w:ascii="Times New Roman" w:eastAsia="Times New Roman" w:hAnsi="Times New Roman" w:cs="Times New Roman"/>
          <w:color w:val="1F1F1F"/>
          <w:sz w:val="24"/>
          <w:szCs w:val="24"/>
          <w:highlight w:val="white"/>
          <w:lang w:val="en-GB"/>
        </w:rPr>
        <w:lastRenderedPageBreak/>
        <w:t xml:space="preserve">more to internationalise business. In that scenario, investing in IT services or markets will help the country to become economically strong and resilient. </w:t>
      </w:r>
    </w:p>
    <w:p w14:paraId="17314480"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2CAC9E31" wp14:editId="753D9876">
            <wp:extent cx="4462463" cy="2882007"/>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3"/>
                    <a:stretch>
                      <a:fillRect/>
                    </a:stretch>
                  </pic:blipFill>
                  <pic:spPr>
                    <a:xfrm>
                      <a:off x="0" y="0"/>
                      <a:ext cx="4462463" cy="2882007"/>
                    </a:xfrm>
                    <a:prstGeom prst="rect">
                      <a:avLst/>
                    </a:prstGeom>
                    <a:ln w="25400">
                      <a:solidFill>
                        <a:srgbClr val="000000"/>
                      </a:solidFill>
                      <a:prstDash val="solid"/>
                    </a:ln>
                  </pic:spPr>
                </pic:pic>
              </a:graphicData>
            </a:graphic>
          </wp:inline>
        </w:drawing>
      </w:r>
    </w:p>
    <w:p w14:paraId="581D9EF7"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5: Number of employees in the IT, software and computer services economy of the United Kingdom (UK) from 2011 to 2022</w:t>
      </w:r>
    </w:p>
    <w:p w14:paraId="036859FA"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Borgeaud, 2023)</w:t>
      </w:r>
    </w:p>
    <w:p w14:paraId="5550830B"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Moreover, the market research stated that approximately one million people in the UK were employed in IT and computer services in 2022 (Borgeaud, 2023). Hence, a wide range of people are technologically skilled and work in the IT sector. It can help Google to get a skilled workforce very easily. Due to this, the business operations of the company in the location will become more responsive and robust in the era of sustainable development. Moreover, diversity inclusion in the workforce can help the company to reduce language barriers. It helps to promote open communication as well as equality in the workplace. Besides this, the huge employment ability of the IT sector helps the company to attract government and other organisations for investing which has a huge influence in enhancing organisational performance and growth. </w:t>
      </w:r>
    </w:p>
    <w:p w14:paraId="0CC011D2"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lastRenderedPageBreak/>
        <w:drawing>
          <wp:inline distT="114300" distB="114300" distL="114300" distR="114300" wp14:anchorId="570EDED4" wp14:editId="70873D82">
            <wp:extent cx="4848225" cy="2977582"/>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4"/>
                    <a:stretch>
                      <a:fillRect/>
                    </a:stretch>
                  </pic:blipFill>
                  <pic:spPr>
                    <a:xfrm>
                      <a:off x="0" y="0"/>
                      <a:ext cx="4848225" cy="2977582"/>
                    </a:xfrm>
                    <a:prstGeom prst="rect">
                      <a:avLst/>
                    </a:prstGeom>
                    <a:ln w="25400">
                      <a:solidFill>
                        <a:srgbClr val="000000"/>
                      </a:solidFill>
                      <a:prstDash val="solid"/>
                    </a:ln>
                  </pic:spPr>
                </pic:pic>
              </a:graphicData>
            </a:graphic>
          </wp:inline>
        </w:drawing>
      </w:r>
    </w:p>
    <w:p w14:paraId="3F784A14"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6: Leading technology companies listed on the London Stock Exchange (UK) as of May 2023, by market capitalization</w:t>
      </w:r>
    </w:p>
    <w:p w14:paraId="04BEC23A"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Statista, 2023)</w:t>
      </w:r>
    </w:p>
    <w:p w14:paraId="252DE032"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In the era of sustainability, intense competition helps businesses to achieve success more quickly. This is because competition has a huge impact on increasing the competitive advantage of organisations. In that scenario, several leading IT organisations are present in the UK such as  Sage Group Plc, Auto Trader Group Plc, Ricoh Co. Ltd and more (Statista, 2023). This competition can help Google to improve their business strategy and infrastructure which has a huge contribution in achieving organisational goals in the era of digital transformation. However, London is considered the home of software developers and programmers as universities produce the best tech-focused graduates in the country. Moreover, a number of unicorns held by that city are valued at approximately over $1 billion (</w:t>
      </w:r>
      <w:proofErr w:type="spellStart"/>
      <w:r w:rsidRPr="00A644BE">
        <w:rPr>
          <w:rFonts w:ascii="Times New Roman" w:eastAsia="Times New Roman" w:hAnsi="Times New Roman" w:cs="Times New Roman"/>
          <w:color w:val="1F1F1F"/>
          <w:sz w:val="24"/>
          <w:szCs w:val="24"/>
          <w:highlight w:val="white"/>
          <w:lang w:val="en-GB"/>
        </w:rPr>
        <w:t>Knightfrank</w:t>
      </w:r>
      <w:proofErr w:type="spellEnd"/>
      <w:r w:rsidRPr="00A644BE">
        <w:rPr>
          <w:rFonts w:ascii="Times New Roman" w:eastAsia="Times New Roman" w:hAnsi="Times New Roman" w:cs="Times New Roman"/>
          <w:color w:val="1F1F1F"/>
          <w:sz w:val="24"/>
          <w:szCs w:val="24"/>
          <w:highlight w:val="white"/>
          <w:lang w:val="en-GB"/>
        </w:rPr>
        <w:t>, 2024). Therefore, it can be determined that Google's headquarters project in London can achieve success.</w:t>
      </w:r>
    </w:p>
    <w:p w14:paraId="6BFEAFAF" w14:textId="77777777" w:rsidR="00440FAD" w:rsidRPr="00A644BE" w:rsidRDefault="008704DB">
      <w:pPr>
        <w:pStyle w:val="Normal1"/>
        <w:spacing w:line="360" w:lineRule="auto"/>
        <w:jc w:val="center"/>
        <w:rPr>
          <w:rFonts w:ascii="Times New Roman" w:eastAsia="Times New Roman" w:hAnsi="Times New Roman" w:cs="Times New Roman"/>
          <w:color w:val="1F1F1F"/>
          <w:sz w:val="24"/>
          <w:szCs w:val="24"/>
          <w:highlight w:val="white"/>
          <w:lang w:val="en-GB"/>
        </w:rPr>
      </w:pPr>
      <w:r w:rsidRPr="008704DB">
        <w:rPr>
          <w:rFonts w:ascii="Times New Roman" w:eastAsia="Times New Roman" w:hAnsi="Times New Roman" w:cs="Times New Roman"/>
          <w:noProof/>
          <w:color w:val="1F1F1F"/>
          <w:sz w:val="24"/>
          <w:szCs w:val="24"/>
          <w:lang w:val="en-US"/>
        </w:rPr>
        <w:lastRenderedPageBreak/>
        <w:drawing>
          <wp:inline distT="0" distB="0" distL="0" distR="0" wp14:anchorId="0F4FA3E8" wp14:editId="7D4FC289">
            <wp:extent cx="5486400" cy="3200400"/>
            <wp:effectExtent l="19050" t="19050" r="0" b="19050"/>
            <wp:docPr id="1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4A6BE64"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Figure 7: Factors influence the success rate of the project of Google</w:t>
      </w:r>
    </w:p>
    <w:p w14:paraId="2BE2D8DF"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Influenced by Borgeaud, 2023)</w:t>
      </w:r>
    </w:p>
    <w:p w14:paraId="38A6B4FC" w14:textId="77777777" w:rsidR="00440FAD" w:rsidRPr="00A644BE" w:rsidRDefault="00A644BE" w:rsidP="00A644BE">
      <w:pPr>
        <w:pStyle w:val="Heading1"/>
        <w:rPr>
          <w:highlight w:val="white"/>
          <w:lang w:val="en-GB"/>
        </w:rPr>
      </w:pPr>
      <w:bookmarkStart w:id="6" w:name="_Toc162975121"/>
      <w:r w:rsidRPr="00A644BE">
        <w:rPr>
          <w:highlight w:val="white"/>
          <w:lang w:val="en-GB"/>
        </w:rPr>
        <w:t>Conclusion and Recommendations</w:t>
      </w:r>
      <w:bookmarkEnd w:id="6"/>
    </w:p>
    <w:p w14:paraId="6E79F672" w14:textId="77777777" w:rsidR="00440FAD" w:rsidRPr="00A644BE" w:rsidRDefault="00C463C2">
      <w:pPr>
        <w:pStyle w:val="Normal1"/>
        <w:spacing w:line="360" w:lineRule="auto"/>
        <w:jc w:val="both"/>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 xml:space="preserve">From the above-mentioned analysis, it can be concluded that Google’s headquarters project can achieve success in London due to the increment in IT service demand. Moreover, the city produces tech-focused graduates every year which helps to make the project more efficient and effective. Along with that, getting a skilled workforce will be easy for that location as it is one of the best IT hubs in the UK. However, for sustainable growth of the project, more technology inclusion and investment would be required which can be fulfilled by maintaining all rules and regulations in project management. </w:t>
      </w:r>
    </w:p>
    <w:p w14:paraId="57F05784" w14:textId="77777777" w:rsidR="00440FAD" w:rsidRPr="00A644BE" w:rsidRDefault="00C463C2">
      <w:pPr>
        <w:pStyle w:val="Normal1"/>
        <w:spacing w:line="360" w:lineRule="auto"/>
        <w:jc w:val="both"/>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color w:val="1F1F1F"/>
          <w:sz w:val="24"/>
          <w:szCs w:val="24"/>
          <w:highlight w:val="white"/>
          <w:lang w:val="en-GB"/>
        </w:rPr>
        <w:t>Diversity inclusion helps to enhance team collaboration</w:t>
      </w:r>
    </w:p>
    <w:p w14:paraId="3A5A5691" w14:textId="77777777" w:rsidR="00440FAD" w:rsidRPr="00A644BE" w:rsidRDefault="00C463C2">
      <w:pPr>
        <w:pStyle w:val="Normal1"/>
        <w:spacing w:line="360" w:lineRule="auto"/>
        <w:jc w:val="both"/>
        <w:rPr>
          <w:rFonts w:ascii="Times New Roman" w:eastAsia="Times New Roman" w:hAnsi="Times New Roman" w:cs="Times New Roman"/>
          <w:color w:val="0E101A"/>
          <w:sz w:val="24"/>
          <w:szCs w:val="24"/>
          <w:highlight w:val="white"/>
          <w:lang w:val="en-GB"/>
        </w:rPr>
      </w:pPr>
      <w:r w:rsidRPr="00A644BE">
        <w:rPr>
          <w:rFonts w:ascii="Times New Roman" w:eastAsia="Times New Roman" w:hAnsi="Times New Roman" w:cs="Times New Roman"/>
          <w:color w:val="0E101A"/>
          <w:sz w:val="24"/>
          <w:szCs w:val="24"/>
          <w:highlight w:val="white"/>
          <w:lang w:val="en-GB"/>
        </w:rPr>
        <w:t xml:space="preserve">Expanding business operations in the new location Google can face challenges regarding lack of skilled employees, less employee retention, hiring talents and more. The inclusion of diversity in the organisational work environment can help to reduce such challenges. It is because diversity inclusion helps to promote team collaboration which has a huge impact on retaining talents in the organisational environment (Bernstein </w:t>
      </w:r>
      <w:r w:rsidRPr="00A644BE">
        <w:rPr>
          <w:rFonts w:ascii="Times New Roman" w:eastAsia="Times New Roman" w:hAnsi="Times New Roman" w:cs="Times New Roman"/>
          <w:i/>
          <w:color w:val="0E101A"/>
          <w:sz w:val="24"/>
          <w:szCs w:val="24"/>
          <w:highlight w:val="white"/>
          <w:lang w:val="en-GB"/>
        </w:rPr>
        <w:t>et al.</w:t>
      </w:r>
      <w:r w:rsidRPr="00A644BE">
        <w:rPr>
          <w:rFonts w:ascii="Times New Roman" w:eastAsia="Times New Roman" w:hAnsi="Times New Roman" w:cs="Times New Roman"/>
          <w:color w:val="0E101A"/>
          <w:sz w:val="24"/>
          <w:szCs w:val="24"/>
          <w:highlight w:val="white"/>
          <w:lang w:val="en-GB"/>
        </w:rPr>
        <w:t xml:space="preserve"> 2020). Besides this, team collaboration has a huge </w:t>
      </w:r>
      <w:r w:rsidRPr="00A644BE">
        <w:rPr>
          <w:rFonts w:ascii="Times New Roman" w:eastAsia="Times New Roman" w:hAnsi="Times New Roman" w:cs="Times New Roman"/>
          <w:color w:val="0E101A"/>
          <w:sz w:val="24"/>
          <w:szCs w:val="24"/>
          <w:highlight w:val="white"/>
          <w:lang w:val="en-GB"/>
        </w:rPr>
        <w:lastRenderedPageBreak/>
        <w:t xml:space="preserve">contribution to enhancing productivity and job performance in the era of competitiveness. It helps to make the project more effective and robust.   </w:t>
      </w:r>
    </w:p>
    <w:p w14:paraId="36B7DCEE" w14:textId="77777777" w:rsidR="00440FAD" w:rsidRPr="00A644BE" w:rsidRDefault="00C463C2">
      <w:pPr>
        <w:pStyle w:val="Normal1"/>
        <w:spacing w:line="360" w:lineRule="auto"/>
        <w:jc w:val="both"/>
        <w:rPr>
          <w:rFonts w:ascii="Times New Roman" w:eastAsia="Times New Roman" w:hAnsi="Times New Roman" w:cs="Times New Roman"/>
          <w:b/>
          <w:color w:val="0E101A"/>
          <w:sz w:val="24"/>
          <w:szCs w:val="24"/>
          <w:highlight w:val="white"/>
          <w:lang w:val="en-GB"/>
        </w:rPr>
      </w:pPr>
      <w:r w:rsidRPr="00A644BE">
        <w:rPr>
          <w:rFonts w:ascii="Times New Roman" w:eastAsia="Times New Roman" w:hAnsi="Times New Roman" w:cs="Times New Roman"/>
          <w:b/>
          <w:color w:val="0E101A"/>
          <w:sz w:val="24"/>
          <w:szCs w:val="24"/>
          <w:highlight w:val="white"/>
          <w:lang w:val="en-GB"/>
        </w:rPr>
        <w:t>Effective communication has a huge impact on reducing language barriers or cultural differences</w:t>
      </w:r>
    </w:p>
    <w:p w14:paraId="46A371A6" w14:textId="77777777" w:rsidR="00440FAD" w:rsidRPr="00A644BE" w:rsidRDefault="00C463C2">
      <w:pPr>
        <w:pStyle w:val="Normal1"/>
        <w:spacing w:line="360" w:lineRule="auto"/>
        <w:jc w:val="both"/>
        <w:rPr>
          <w:rFonts w:ascii="Times New Roman" w:eastAsia="Times New Roman" w:hAnsi="Times New Roman" w:cs="Times New Roman"/>
          <w:color w:val="0E101A"/>
          <w:sz w:val="24"/>
          <w:szCs w:val="24"/>
          <w:highlight w:val="white"/>
          <w:lang w:val="en-GB"/>
        </w:rPr>
      </w:pPr>
      <w:r w:rsidRPr="00A644BE">
        <w:rPr>
          <w:rFonts w:ascii="Times New Roman" w:eastAsia="Times New Roman" w:hAnsi="Times New Roman" w:cs="Times New Roman"/>
          <w:color w:val="0E101A"/>
          <w:sz w:val="24"/>
          <w:szCs w:val="24"/>
          <w:highlight w:val="white"/>
          <w:lang w:val="en-GB"/>
        </w:rPr>
        <w:t xml:space="preserve">In order to make effective communication the project needs to include AI in the communication channel. It has a huge impact on promoting remote communication. Remote communication helps to reduce cultural differences and language barriers in the workplace (Bakar </w:t>
      </w:r>
      <w:r w:rsidRPr="00A644BE">
        <w:rPr>
          <w:rFonts w:ascii="Times New Roman" w:eastAsia="Times New Roman" w:hAnsi="Times New Roman" w:cs="Times New Roman"/>
          <w:i/>
          <w:color w:val="0E101A"/>
          <w:sz w:val="24"/>
          <w:szCs w:val="24"/>
          <w:highlight w:val="white"/>
          <w:lang w:val="en-GB"/>
        </w:rPr>
        <w:t>et al.</w:t>
      </w:r>
      <w:r w:rsidRPr="00A644BE">
        <w:rPr>
          <w:rFonts w:ascii="Times New Roman" w:eastAsia="Times New Roman" w:hAnsi="Times New Roman" w:cs="Times New Roman"/>
          <w:color w:val="0E101A"/>
          <w:sz w:val="24"/>
          <w:szCs w:val="24"/>
          <w:highlight w:val="white"/>
          <w:lang w:val="en-GB"/>
        </w:rPr>
        <w:t xml:space="preserve"> 2020). Most importantly, the company needs to provide diversity training to its employees which helps to mitigate risk regarding cultural differences in the new work environment. Moreover, effective communication in project management helps to improve performance and efficiency. Due to this, Google’s new project will be able to meet its goals or vision. </w:t>
      </w:r>
    </w:p>
    <w:p w14:paraId="074BC952" w14:textId="77777777" w:rsidR="00440FAD" w:rsidRPr="00A644BE" w:rsidRDefault="00C463C2">
      <w:pPr>
        <w:pStyle w:val="Normal1"/>
        <w:spacing w:line="360" w:lineRule="auto"/>
        <w:jc w:val="both"/>
        <w:rPr>
          <w:rFonts w:ascii="Times New Roman" w:eastAsia="Times New Roman" w:hAnsi="Times New Roman" w:cs="Times New Roman"/>
          <w:b/>
          <w:color w:val="0E101A"/>
          <w:sz w:val="24"/>
          <w:szCs w:val="24"/>
          <w:highlight w:val="white"/>
          <w:lang w:val="en-GB"/>
        </w:rPr>
      </w:pPr>
      <w:r w:rsidRPr="00A644BE">
        <w:rPr>
          <w:rFonts w:ascii="Times New Roman" w:eastAsia="Times New Roman" w:hAnsi="Times New Roman" w:cs="Times New Roman"/>
          <w:b/>
          <w:color w:val="0E101A"/>
          <w:sz w:val="24"/>
          <w:szCs w:val="24"/>
          <w:highlight w:val="white"/>
          <w:lang w:val="en-GB"/>
        </w:rPr>
        <w:t>Inclusion of innovation in terms of business strategy helps to achieve business success</w:t>
      </w:r>
    </w:p>
    <w:p w14:paraId="0177045E" w14:textId="77777777" w:rsidR="00440FAD" w:rsidRPr="00A644BE" w:rsidRDefault="00C463C2">
      <w:pPr>
        <w:pStyle w:val="Normal1"/>
        <w:spacing w:line="360" w:lineRule="auto"/>
        <w:jc w:val="both"/>
        <w:rPr>
          <w:rFonts w:ascii="Times New Roman" w:eastAsia="Times New Roman" w:hAnsi="Times New Roman" w:cs="Times New Roman"/>
          <w:color w:val="0E101A"/>
          <w:sz w:val="24"/>
          <w:szCs w:val="24"/>
          <w:highlight w:val="white"/>
          <w:lang w:val="en-GB"/>
        </w:rPr>
      </w:pPr>
      <w:r w:rsidRPr="00A644BE">
        <w:rPr>
          <w:rFonts w:ascii="Times New Roman" w:eastAsia="Times New Roman" w:hAnsi="Times New Roman" w:cs="Times New Roman"/>
          <w:color w:val="0E101A"/>
          <w:sz w:val="24"/>
          <w:szCs w:val="24"/>
          <w:highlight w:val="white"/>
          <w:lang w:val="en-GB"/>
        </w:rPr>
        <w:t xml:space="preserve">The project needs to focus on investing in R&amp;D to enhance innovation in business strategy. This is because innovation has a huge impact on generating new resources of business revenue. It can help to make the project more efficient and accurate in the present scenario of the IT sector in the context of the UK. Therefore, the inclusion of a strategic approach in business can help the company to enhance creativity which has a huge impact </w:t>
      </w:r>
      <w:r w:rsidR="007F4773" w:rsidRPr="00A644BE">
        <w:rPr>
          <w:rFonts w:ascii="Times New Roman" w:eastAsia="Times New Roman" w:hAnsi="Times New Roman" w:cs="Times New Roman"/>
          <w:color w:val="0E101A"/>
          <w:sz w:val="24"/>
          <w:szCs w:val="24"/>
          <w:highlight w:val="white"/>
          <w:lang w:val="en-GB"/>
        </w:rPr>
        <w:t xml:space="preserve">in achieving business success. </w:t>
      </w:r>
      <w:r w:rsidR="00F53272">
        <w:rPr>
          <w:rFonts w:ascii="Times New Roman" w:eastAsia="Times New Roman" w:hAnsi="Times New Roman" w:cs="Times New Roman"/>
          <w:color w:val="0E101A"/>
          <w:sz w:val="24"/>
          <w:szCs w:val="24"/>
          <w:highlight w:val="white"/>
          <w:lang w:val="en-GB"/>
        </w:rPr>
        <w:t xml:space="preserve">Hence, it can be stated that an effective business strategy </w:t>
      </w:r>
      <w:r w:rsidR="008308ED">
        <w:rPr>
          <w:rFonts w:ascii="Times New Roman" w:eastAsia="Times New Roman" w:hAnsi="Times New Roman" w:cs="Times New Roman"/>
          <w:color w:val="0E101A"/>
          <w:sz w:val="24"/>
          <w:szCs w:val="24"/>
          <w:highlight w:val="white"/>
          <w:lang w:val="en-GB"/>
        </w:rPr>
        <w:t>would</w:t>
      </w:r>
      <w:r w:rsidR="00F53272">
        <w:rPr>
          <w:rFonts w:ascii="Times New Roman" w:eastAsia="Times New Roman" w:hAnsi="Times New Roman" w:cs="Times New Roman"/>
          <w:color w:val="0E101A"/>
          <w:sz w:val="24"/>
          <w:szCs w:val="24"/>
          <w:highlight w:val="white"/>
          <w:lang w:val="en-GB"/>
        </w:rPr>
        <w:t xml:space="preserve"> highly influence </w:t>
      </w:r>
      <w:r w:rsidR="008308ED">
        <w:rPr>
          <w:rFonts w:ascii="Times New Roman" w:eastAsia="Times New Roman" w:hAnsi="Times New Roman" w:cs="Times New Roman"/>
          <w:color w:val="0E101A"/>
          <w:sz w:val="24"/>
          <w:szCs w:val="24"/>
          <w:highlight w:val="white"/>
          <w:lang w:val="en-GB"/>
        </w:rPr>
        <w:t>similar</w:t>
      </w:r>
      <w:r w:rsidR="00F53272">
        <w:rPr>
          <w:rFonts w:ascii="Times New Roman" w:eastAsia="Times New Roman" w:hAnsi="Times New Roman" w:cs="Times New Roman"/>
          <w:color w:val="0E101A"/>
          <w:sz w:val="24"/>
          <w:szCs w:val="24"/>
          <w:highlight w:val="white"/>
          <w:lang w:val="en-GB"/>
        </w:rPr>
        <w:t xml:space="preserve"> projects in this domain.</w:t>
      </w:r>
    </w:p>
    <w:p w14:paraId="4DEF38C1" w14:textId="77777777" w:rsidR="00440FAD" w:rsidRPr="00A644BE" w:rsidRDefault="00440FAD">
      <w:pPr>
        <w:pStyle w:val="Normal1"/>
        <w:spacing w:line="360" w:lineRule="auto"/>
        <w:jc w:val="both"/>
        <w:rPr>
          <w:rFonts w:ascii="Times New Roman" w:eastAsia="Times New Roman" w:hAnsi="Times New Roman" w:cs="Times New Roman"/>
          <w:color w:val="1F1F1F"/>
          <w:sz w:val="24"/>
          <w:szCs w:val="24"/>
          <w:highlight w:val="white"/>
          <w:lang w:val="en-GB"/>
        </w:rPr>
      </w:pPr>
    </w:p>
    <w:p w14:paraId="6D611D34" w14:textId="77777777" w:rsidR="00440FAD" w:rsidRPr="00A644BE" w:rsidRDefault="00440FAD">
      <w:pPr>
        <w:pStyle w:val="Normal1"/>
        <w:spacing w:line="360" w:lineRule="auto"/>
        <w:jc w:val="both"/>
        <w:rPr>
          <w:rFonts w:ascii="Times New Roman" w:eastAsia="Times New Roman" w:hAnsi="Times New Roman" w:cs="Times New Roman"/>
          <w:b/>
          <w:color w:val="1F1F1F"/>
          <w:sz w:val="24"/>
          <w:szCs w:val="24"/>
          <w:highlight w:val="white"/>
          <w:lang w:val="en-GB"/>
        </w:rPr>
      </w:pPr>
    </w:p>
    <w:p w14:paraId="41AA3812" w14:textId="77777777" w:rsidR="00440FAD" w:rsidRPr="00A644BE" w:rsidRDefault="00C463C2">
      <w:pPr>
        <w:pStyle w:val="Normal1"/>
        <w:spacing w:line="360" w:lineRule="auto"/>
        <w:jc w:val="both"/>
        <w:rPr>
          <w:rFonts w:ascii="Times New Roman" w:eastAsia="Times New Roman" w:hAnsi="Times New Roman" w:cs="Times New Roman"/>
          <w:b/>
          <w:color w:val="1F1F1F"/>
          <w:sz w:val="24"/>
          <w:szCs w:val="24"/>
          <w:highlight w:val="white"/>
          <w:lang w:val="en-GB"/>
        </w:rPr>
      </w:pPr>
      <w:r w:rsidRPr="00A644BE">
        <w:rPr>
          <w:lang w:val="en-GB"/>
        </w:rPr>
        <w:br w:type="page"/>
      </w:r>
    </w:p>
    <w:p w14:paraId="3A35DED6" w14:textId="77777777" w:rsidR="00440FAD" w:rsidRPr="00A644BE" w:rsidRDefault="00C463C2" w:rsidP="00FE1016">
      <w:pPr>
        <w:pStyle w:val="Heading1"/>
        <w:rPr>
          <w:highlight w:val="white"/>
          <w:lang w:val="en-GB"/>
        </w:rPr>
      </w:pPr>
      <w:bookmarkStart w:id="7" w:name="_Toc162975122"/>
      <w:r w:rsidRPr="00A644BE">
        <w:rPr>
          <w:highlight w:val="white"/>
          <w:lang w:val="en-GB"/>
        </w:rPr>
        <w:lastRenderedPageBreak/>
        <w:t>References</w:t>
      </w:r>
      <w:bookmarkEnd w:id="7"/>
    </w:p>
    <w:p w14:paraId="3FB2787B"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Alexandra Borgeaud(2023)Number of employees in the IT, software and computer services economy of United Kingdom (UK) from 2011 to 2022Avaialble at:</w:t>
      </w:r>
      <w:hyperlink r:id="rId20">
        <w:r w:rsidRPr="00A644BE">
          <w:rPr>
            <w:rFonts w:ascii="Times New Roman" w:hAnsi="Times New Roman" w:cs="Times New Roman"/>
            <w:color w:val="1155CC"/>
            <w:sz w:val="24"/>
            <w:szCs w:val="24"/>
            <w:highlight w:val="white"/>
            <w:u w:val="single"/>
            <w:lang w:val="en-GB"/>
          </w:rPr>
          <w:t>https://www.statista.com/statistics/284968/it-software-and-computer-services-economy-employment-in-the-united-kingdom-uk/</w:t>
        </w:r>
      </w:hyperlink>
      <w:r w:rsidRPr="00A644BE">
        <w:rPr>
          <w:rFonts w:ascii="Times New Roman" w:hAnsi="Times New Roman" w:cs="Times New Roman"/>
          <w:color w:val="222222"/>
          <w:sz w:val="24"/>
          <w:szCs w:val="24"/>
          <w:highlight w:val="white"/>
          <w:lang w:val="en-GB"/>
        </w:rPr>
        <w:t xml:space="preserve">[Accessed 2 April 2024] </w:t>
      </w:r>
    </w:p>
    <w:p w14:paraId="3CC4DE20"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 xml:space="preserve">Bakar, A., Shah, K. and Xu, Q., 2020. The effect of communication barriers on distance learners achievements. </w:t>
      </w:r>
      <w:proofErr w:type="spellStart"/>
      <w:r w:rsidRPr="00A644BE">
        <w:rPr>
          <w:rFonts w:ascii="Times New Roman" w:hAnsi="Times New Roman" w:cs="Times New Roman"/>
          <w:i/>
          <w:color w:val="222222"/>
          <w:sz w:val="24"/>
          <w:szCs w:val="24"/>
          <w:highlight w:val="white"/>
          <w:lang w:val="en-GB"/>
        </w:rPr>
        <w:t>Revista</w:t>
      </w:r>
      <w:proofErr w:type="spellEnd"/>
      <w:r w:rsidRPr="00A644BE">
        <w:rPr>
          <w:rFonts w:ascii="Times New Roman" w:hAnsi="Times New Roman" w:cs="Times New Roman"/>
          <w:i/>
          <w:color w:val="222222"/>
          <w:sz w:val="24"/>
          <w:szCs w:val="24"/>
          <w:highlight w:val="white"/>
          <w:lang w:val="en-GB"/>
        </w:rPr>
        <w:t xml:space="preserve"> Argentina de </w:t>
      </w:r>
      <w:proofErr w:type="spellStart"/>
      <w:r w:rsidRPr="00A644BE">
        <w:rPr>
          <w:rFonts w:ascii="Times New Roman" w:hAnsi="Times New Roman" w:cs="Times New Roman"/>
          <w:i/>
          <w:color w:val="222222"/>
          <w:sz w:val="24"/>
          <w:szCs w:val="24"/>
          <w:highlight w:val="white"/>
          <w:lang w:val="en-GB"/>
        </w:rPr>
        <w:t>Clínica</w:t>
      </w:r>
      <w:proofErr w:type="spellEnd"/>
      <w:r w:rsidRPr="00A644BE">
        <w:rPr>
          <w:rFonts w:ascii="Times New Roman" w:hAnsi="Times New Roman" w:cs="Times New Roman"/>
          <w:i/>
          <w:color w:val="222222"/>
          <w:sz w:val="24"/>
          <w:szCs w:val="24"/>
          <w:highlight w:val="white"/>
          <w:lang w:val="en-GB"/>
        </w:rPr>
        <w:t xml:space="preserve"> </w:t>
      </w:r>
      <w:proofErr w:type="spellStart"/>
      <w:r w:rsidRPr="00A644BE">
        <w:rPr>
          <w:rFonts w:ascii="Times New Roman" w:hAnsi="Times New Roman" w:cs="Times New Roman"/>
          <w:i/>
          <w:color w:val="222222"/>
          <w:sz w:val="24"/>
          <w:szCs w:val="24"/>
          <w:highlight w:val="white"/>
          <w:lang w:val="en-GB"/>
        </w:rPr>
        <w:t>Psicológica</w:t>
      </w:r>
      <w:proofErr w:type="spellEnd"/>
      <w:r w:rsidRPr="00A644BE">
        <w:rPr>
          <w:rFonts w:ascii="Times New Roman" w:hAnsi="Times New Roman" w:cs="Times New Roman"/>
          <w:color w:val="222222"/>
          <w:sz w:val="24"/>
          <w:szCs w:val="24"/>
          <w:highlight w:val="white"/>
          <w:lang w:val="en-GB"/>
        </w:rPr>
        <w:t xml:space="preserve">, </w:t>
      </w:r>
      <w:r w:rsidRPr="00A644BE">
        <w:rPr>
          <w:rFonts w:ascii="Times New Roman" w:hAnsi="Times New Roman" w:cs="Times New Roman"/>
          <w:i/>
          <w:color w:val="222222"/>
          <w:sz w:val="24"/>
          <w:szCs w:val="24"/>
          <w:highlight w:val="white"/>
          <w:lang w:val="en-GB"/>
        </w:rPr>
        <w:t>29</w:t>
      </w:r>
      <w:r w:rsidRPr="00A644BE">
        <w:rPr>
          <w:rFonts w:ascii="Times New Roman" w:hAnsi="Times New Roman" w:cs="Times New Roman"/>
          <w:color w:val="222222"/>
          <w:sz w:val="24"/>
          <w:szCs w:val="24"/>
          <w:highlight w:val="white"/>
          <w:lang w:val="en-GB"/>
        </w:rPr>
        <w:t>(5), p.248.</w:t>
      </w:r>
    </w:p>
    <w:p w14:paraId="678A4A7D"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 xml:space="preserve">Bernstein, R.S., Bulger, M., </w:t>
      </w:r>
      <w:proofErr w:type="spellStart"/>
      <w:r w:rsidRPr="00A644BE">
        <w:rPr>
          <w:rFonts w:ascii="Times New Roman" w:hAnsi="Times New Roman" w:cs="Times New Roman"/>
          <w:color w:val="222222"/>
          <w:sz w:val="24"/>
          <w:szCs w:val="24"/>
          <w:highlight w:val="white"/>
          <w:lang w:val="en-GB"/>
        </w:rPr>
        <w:t>Salipante</w:t>
      </w:r>
      <w:proofErr w:type="spellEnd"/>
      <w:r w:rsidRPr="00A644BE">
        <w:rPr>
          <w:rFonts w:ascii="Times New Roman" w:hAnsi="Times New Roman" w:cs="Times New Roman"/>
          <w:color w:val="222222"/>
          <w:sz w:val="24"/>
          <w:szCs w:val="24"/>
          <w:highlight w:val="white"/>
          <w:lang w:val="en-GB"/>
        </w:rPr>
        <w:t xml:space="preserve">, P. and Weisinger, J.Y., 2020. From diversity to inclusion to equity: A theory of generative interactions. </w:t>
      </w:r>
      <w:r w:rsidRPr="00A644BE">
        <w:rPr>
          <w:rFonts w:ascii="Times New Roman" w:hAnsi="Times New Roman" w:cs="Times New Roman"/>
          <w:i/>
          <w:color w:val="222222"/>
          <w:sz w:val="24"/>
          <w:szCs w:val="24"/>
          <w:highlight w:val="white"/>
          <w:lang w:val="en-GB"/>
        </w:rPr>
        <w:t>Journal of Business Ethics</w:t>
      </w:r>
      <w:r w:rsidRPr="00A644BE">
        <w:rPr>
          <w:rFonts w:ascii="Times New Roman" w:hAnsi="Times New Roman" w:cs="Times New Roman"/>
          <w:color w:val="222222"/>
          <w:sz w:val="24"/>
          <w:szCs w:val="24"/>
          <w:highlight w:val="white"/>
          <w:lang w:val="en-GB"/>
        </w:rPr>
        <w:t xml:space="preserve">, </w:t>
      </w:r>
      <w:r w:rsidRPr="00A644BE">
        <w:rPr>
          <w:rFonts w:ascii="Times New Roman" w:hAnsi="Times New Roman" w:cs="Times New Roman"/>
          <w:i/>
          <w:color w:val="222222"/>
          <w:sz w:val="24"/>
          <w:szCs w:val="24"/>
          <w:highlight w:val="white"/>
          <w:lang w:val="en-GB"/>
        </w:rPr>
        <w:t>167</w:t>
      </w:r>
      <w:r w:rsidRPr="00A644BE">
        <w:rPr>
          <w:rFonts w:ascii="Times New Roman" w:hAnsi="Times New Roman" w:cs="Times New Roman"/>
          <w:color w:val="222222"/>
          <w:sz w:val="24"/>
          <w:szCs w:val="24"/>
          <w:highlight w:val="white"/>
          <w:lang w:val="en-GB"/>
        </w:rPr>
        <w:t>, pp.395-410.</w:t>
      </w:r>
    </w:p>
    <w:p w14:paraId="3F588795"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Brill, F. and Conte, V., 2020. Understanding project mobility: The movement of King’s Cross to Brussels and Johannesburg. Environment and Planning C: Politics and Space, 38(1), pp.79-96.</w:t>
      </w:r>
    </w:p>
    <w:p w14:paraId="425647BB"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Buildington.co.uk, 2024. </w:t>
      </w:r>
      <w:r w:rsidRPr="00A644BE">
        <w:rPr>
          <w:rFonts w:ascii="Times New Roman" w:hAnsi="Times New Roman" w:cs="Times New Roman"/>
          <w:i/>
          <w:sz w:val="24"/>
          <w:szCs w:val="24"/>
          <w:lang w:val="en-GB"/>
        </w:rPr>
        <w:t xml:space="preserve">Google HQ King’s Cross KGX1 </w:t>
      </w:r>
      <w:r w:rsidRPr="00A644BE">
        <w:rPr>
          <w:rFonts w:ascii="Times New Roman" w:hAnsi="Times New Roman" w:cs="Times New Roman"/>
          <w:sz w:val="24"/>
          <w:szCs w:val="24"/>
          <w:lang w:val="en-GB"/>
        </w:rPr>
        <w:t>Available at: https://www.buildington.co.uk/buildings/6212/england/london-n1c/6-king-s-boulevard/google-hq-king-s-cross-kgx1#:~:text=Google's%20new%20London%20headquarters%20in,Google%20building%20outside%20the%20US. (Accessed on 2 April, 2022)</w:t>
      </w:r>
    </w:p>
    <w:p w14:paraId="030A9A4B"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proofErr w:type="spellStart"/>
      <w:r w:rsidRPr="00A644BE">
        <w:rPr>
          <w:rFonts w:ascii="Times New Roman" w:hAnsi="Times New Roman" w:cs="Times New Roman"/>
          <w:color w:val="222222"/>
          <w:sz w:val="24"/>
          <w:szCs w:val="24"/>
          <w:highlight w:val="white"/>
          <w:lang w:val="en-GB"/>
        </w:rPr>
        <w:t>Globaldata</w:t>
      </w:r>
      <w:proofErr w:type="spellEnd"/>
      <w:r w:rsidRPr="00A644BE">
        <w:rPr>
          <w:rFonts w:ascii="Times New Roman" w:hAnsi="Times New Roman" w:cs="Times New Roman"/>
          <w:color w:val="222222"/>
          <w:sz w:val="24"/>
          <w:szCs w:val="24"/>
          <w:highlight w:val="white"/>
          <w:lang w:val="en-GB"/>
        </w:rPr>
        <w:t xml:space="preserve">(2024)United Kingdom ICT Market </w:t>
      </w:r>
      <w:proofErr w:type="spellStart"/>
      <w:r w:rsidRPr="00A644BE">
        <w:rPr>
          <w:rFonts w:ascii="Times New Roman" w:hAnsi="Times New Roman" w:cs="Times New Roman"/>
          <w:color w:val="222222"/>
          <w:sz w:val="24"/>
          <w:szCs w:val="24"/>
          <w:highlight w:val="white"/>
          <w:lang w:val="en-GB"/>
        </w:rPr>
        <w:t>OverviewAvailable</w:t>
      </w:r>
      <w:proofErr w:type="spellEnd"/>
      <w:r w:rsidRPr="00A644BE">
        <w:rPr>
          <w:rFonts w:ascii="Times New Roman" w:hAnsi="Times New Roman" w:cs="Times New Roman"/>
          <w:color w:val="222222"/>
          <w:sz w:val="24"/>
          <w:szCs w:val="24"/>
          <w:highlight w:val="white"/>
          <w:lang w:val="en-GB"/>
        </w:rPr>
        <w:t xml:space="preserve"> at:</w:t>
      </w:r>
      <w:hyperlink r:id="rId21" w:anchor=":~:text=The%20United%20Kingdom%20ICT%20market,1%2C165.21%20billion%20for%202022%2D2027">
        <w:r w:rsidRPr="00A644BE">
          <w:rPr>
            <w:rFonts w:ascii="Times New Roman" w:hAnsi="Times New Roman" w:cs="Times New Roman"/>
            <w:color w:val="1155CC"/>
            <w:sz w:val="24"/>
            <w:szCs w:val="24"/>
            <w:highlight w:val="white"/>
            <w:u w:val="single"/>
            <w:lang w:val="en-GB"/>
          </w:rPr>
          <w:t>https://www.globaldata.com/store/report/uk-ict-market-analysis/#:~:text=The%20United%20Kingdom%20ICT%20market,1%2C165.21%20billion%20for%202022%2D2027</w:t>
        </w:r>
      </w:hyperlink>
      <w:r w:rsidRPr="00A644BE">
        <w:rPr>
          <w:rFonts w:ascii="Times New Roman" w:hAnsi="Times New Roman" w:cs="Times New Roman"/>
          <w:color w:val="222222"/>
          <w:sz w:val="24"/>
          <w:szCs w:val="24"/>
          <w:highlight w:val="white"/>
          <w:lang w:val="en-GB"/>
        </w:rPr>
        <w:t>.[Accessed 2 April 2024]</w:t>
      </w:r>
    </w:p>
    <w:p w14:paraId="48CDDC0E"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proofErr w:type="spellStart"/>
      <w:r w:rsidRPr="00A644BE">
        <w:rPr>
          <w:rFonts w:ascii="Times New Roman" w:hAnsi="Times New Roman" w:cs="Times New Roman"/>
          <w:color w:val="222222"/>
          <w:sz w:val="24"/>
          <w:szCs w:val="24"/>
          <w:highlight w:val="white"/>
          <w:lang w:val="en-GB"/>
        </w:rPr>
        <w:t>Knightfrank</w:t>
      </w:r>
      <w:proofErr w:type="spellEnd"/>
      <w:r w:rsidRPr="00A644BE">
        <w:rPr>
          <w:rFonts w:ascii="Times New Roman" w:hAnsi="Times New Roman" w:cs="Times New Roman"/>
          <w:color w:val="222222"/>
          <w:sz w:val="24"/>
          <w:szCs w:val="24"/>
          <w:highlight w:val="white"/>
          <w:lang w:val="en-GB"/>
        </w:rPr>
        <w:t xml:space="preserve">(2024)The Best Office Locations in London’s Tech </w:t>
      </w:r>
      <w:proofErr w:type="spellStart"/>
      <w:r w:rsidRPr="00A644BE">
        <w:rPr>
          <w:rFonts w:ascii="Times New Roman" w:hAnsi="Times New Roman" w:cs="Times New Roman"/>
          <w:color w:val="222222"/>
          <w:sz w:val="24"/>
          <w:szCs w:val="24"/>
          <w:highlight w:val="white"/>
          <w:lang w:val="en-GB"/>
        </w:rPr>
        <w:t>HubsAvailable</w:t>
      </w:r>
      <w:proofErr w:type="spellEnd"/>
      <w:r w:rsidRPr="00A644BE">
        <w:rPr>
          <w:rFonts w:ascii="Times New Roman" w:hAnsi="Times New Roman" w:cs="Times New Roman"/>
          <w:color w:val="222222"/>
          <w:sz w:val="24"/>
          <w:szCs w:val="24"/>
          <w:highlight w:val="white"/>
          <w:lang w:val="en-GB"/>
        </w:rPr>
        <w:t xml:space="preserve"> at:</w:t>
      </w:r>
      <w:hyperlink r:id="rId22" w:anchor=":~:text=London%20Universities%20produce%20some%20of,value%20of%20over%20%241%20billion">
        <w:r w:rsidRPr="00A644BE">
          <w:rPr>
            <w:rFonts w:ascii="Times New Roman" w:hAnsi="Times New Roman" w:cs="Times New Roman"/>
            <w:color w:val="1155CC"/>
            <w:sz w:val="24"/>
            <w:szCs w:val="24"/>
            <w:highlight w:val="white"/>
            <w:u w:val="single"/>
            <w:lang w:val="en-GB"/>
          </w:rPr>
          <w:t>https://www.knightfrank.co.uk/office-space/insights/culture-and-space/the-best-office-locations-in-londons-tech-hubs/#:~:text=London%20Universities%20produce%20some%20of,value%20of%20over%20%241%20billion</w:t>
        </w:r>
      </w:hyperlink>
      <w:r w:rsidRPr="00A644BE">
        <w:rPr>
          <w:rFonts w:ascii="Times New Roman" w:hAnsi="Times New Roman" w:cs="Times New Roman"/>
          <w:color w:val="222222"/>
          <w:sz w:val="24"/>
          <w:szCs w:val="24"/>
          <w:highlight w:val="white"/>
          <w:lang w:val="en-GB"/>
        </w:rPr>
        <w:t xml:space="preserve">.[Accessed 2 April 2024] </w:t>
      </w:r>
    </w:p>
    <w:p w14:paraId="1C7FD065"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Koivuniemi, M., 2024. Sustainable headquarters’ buildings: A multiple case study on multinational corporations in sustainable cities.</w:t>
      </w:r>
    </w:p>
    <w:p w14:paraId="6E6A6BDC" w14:textId="77777777" w:rsidR="00A644BE" w:rsidRPr="00A644BE" w:rsidRDefault="00A644BE" w:rsidP="00A644BE">
      <w:pPr>
        <w:spacing w:line="360" w:lineRule="auto"/>
        <w:jc w:val="both"/>
        <w:rPr>
          <w:rFonts w:ascii="Times New Roman" w:hAnsi="Times New Roman" w:cs="Times New Roman"/>
          <w:sz w:val="24"/>
          <w:szCs w:val="24"/>
          <w:lang w:val="en-GB"/>
        </w:rPr>
      </w:pPr>
      <w:r w:rsidRPr="00FB3FBF">
        <w:rPr>
          <w:rFonts w:ascii="Times New Roman" w:hAnsi="Times New Roman" w:cs="Times New Roman"/>
          <w:sz w:val="24"/>
          <w:szCs w:val="24"/>
          <w:lang w:val="de-DE"/>
        </w:rPr>
        <w:t xml:space="preserve">Morgan, G. and Hauptmeier, M., 2021. </w:t>
      </w:r>
      <w:r w:rsidRPr="00A644BE">
        <w:rPr>
          <w:rFonts w:ascii="Times New Roman" w:hAnsi="Times New Roman" w:cs="Times New Roman"/>
          <w:sz w:val="24"/>
          <w:szCs w:val="24"/>
          <w:lang w:val="en-GB"/>
        </w:rPr>
        <w:t>The social organization of ideas in employment relations. ILR Review, 74(3), pp.773-797.</w:t>
      </w:r>
    </w:p>
    <w:p w14:paraId="03B8C778"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Officereality.co.uk, 2024. </w:t>
      </w:r>
      <w:r w:rsidRPr="00A644BE">
        <w:rPr>
          <w:rFonts w:ascii="Times New Roman" w:hAnsi="Times New Roman" w:cs="Times New Roman"/>
          <w:i/>
          <w:sz w:val="24"/>
          <w:szCs w:val="24"/>
          <w:lang w:val="en-GB"/>
        </w:rPr>
        <w:t xml:space="preserve">Googles new HQ costs 1 billion pounds but is it enough to tempt people back in to the office?. </w:t>
      </w:r>
      <w:r w:rsidRPr="00A644BE">
        <w:rPr>
          <w:rFonts w:ascii="Times New Roman" w:hAnsi="Times New Roman" w:cs="Times New Roman"/>
          <w:sz w:val="24"/>
          <w:szCs w:val="24"/>
          <w:lang w:val="en-GB"/>
        </w:rPr>
        <w:t>Available at: https://www.officereality.co.uk/blog/googles-new-</w:t>
      </w:r>
      <w:r w:rsidRPr="00A644BE">
        <w:rPr>
          <w:rFonts w:ascii="Times New Roman" w:hAnsi="Times New Roman" w:cs="Times New Roman"/>
          <w:sz w:val="24"/>
          <w:szCs w:val="24"/>
          <w:lang w:val="en-GB"/>
        </w:rPr>
        <w:lastRenderedPageBreak/>
        <w:t>landscaper-hq-at-kings-cross-london-costs-1-billion-pounds-but-is-it-enough-to-tempt-people-back-in-to-the-office. (Accessed on 2 April, 2022)</w:t>
      </w:r>
    </w:p>
    <w:p w14:paraId="62C8F379" w14:textId="77777777" w:rsidR="00A644BE" w:rsidRPr="00A644BE" w:rsidRDefault="00A644BE" w:rsidP="00A644BE">
      <w:pPr>
        <w:spacing w:line="360" w:lineRule="auto"/>
        <w:jc w:val="both"/>
        <w:rPr>
          <w:rFonts w:ascii="Times New Roman" w:hAnsi="Times New Roman" w:cs="Times New Roman"/>
          <w:sz w:val="24"/>
          <w:szCs w:val="24"/>
          <w:lang w:val="en-GB"/>
        </w:rPr>
      </w:pPr>
      <w:proofErr w:type="spellStart"/>
      <w:r w:rsidRPr="00A644BE">
        <w:rPr>
          <w:rFonts w:ascii="Times New Roman" w:hAnsi="Times New Roman" w:cs="Times New Roman"/>
          <w:sz w:val="24"/>
          <w:szCs w:val="24"/>
          <w:lang w:val="en-GB"/>
        </w:rPr>
        <w:t>Oginni</w:t>
      </w:r>
      <w:proofErr w:type="spellEnd"/>
      <w:r w:rsidRPr="00A644BE">
        <w:rPr>
          <w:rFonts w:ascii="Times New Roman" w:hAnsi="Times New Roman" w:cs="Times New Roman"/>
          <w:sz w:val="24"/>
          <w:szCs w:val="24"/>
          <w:lang w:val="en-GB"/>
        </w:rPr>
        <w:t xml:space="preserve">, B.A., Olaniyan, T.S., Ajibola, K.S., </w:t>
      </w:r>
      <w:proofErr w:type="spellStart"/>
      <w:r w:rsidRPr="00A644BE">
        <w:rPr>
          <w:rFonts w:ascii="Times New Roman" w:hAnsi="Times New Roman" w:cs="Times New Roman"/>
          <w:sz w:val="24"/>
          <w:szCs w:val="24"/>
          <w:lang w:val="en-GB"/>
        </w:rPr>
        <w:t>Ajakaye</w:t>
      </w:r>
      <w:proofErr w:type="spellEnd"/>
      <w:r w:rsidRPr="00A644BE">
        <w:rPr>
          <w:rFonts w:ascii="Times New Roman" w:hAnsi="Times New Roman" w:cs="Times New Roman"/>
          <w:sz w:val="24"/>
          <w:szCs w:val="24"/>
          <w:lang w:val="en-GB"/>
        </w:rPr>
        <w:t xml:space="preserve">, T.A. and </w:t>
      </w:r>
      <w:proofErr w:type="spellStart"/>
      <w:r w:rsidRPr="00A644BE">
        <w:rPr>
          <w:rFonts w:ascii="Times New Roman" w:hAnsi="Times New Roman" w:cs="Times New Roman"/>
          <w:sz w:val="24"/>
          <w:szCs w:val="24"/>
          <w:lang w:val="en-GB"/>
        </w:rPr>
        <w:t>Abdulmaleek</w:t>
      </w:r>
      <w:proofErr w:type="spellEnd"/>
      <w:r w:rsidRPr="00A644BE">
        <w:rPr>
          <w:rFonts w:ascii="Times New Roman" w:hAnsi="Times New Roman" w:cs="Times New Roman"/>
          <w:sz w:val="24"/>
          <w:szCs w:val="24"/>
          <w:lang w:val="en-GB"/>
        </w:rPr>
        <w:t>, A.O., 2022. INDUSTRIAL RELATIONS: EVOLUTION AND SCOPE. UNIBEN JOURNAL OF HUMAN RESOURCE MANAGEMENT, 1(1), p.140.</w:t>
      </w:r>
    </w:p>
    <w:p w14:paraId="52316197"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 xml:space="preserve">Statista(2023)Leading technology companies listed on the London Stock Exchange (UK) as of May 2023, by market </w:t>
      </w:r>
      <w:proofErr w:type="spellStart"/>
      <w:r w:rsidRPr="00A644BE">
        <w:rPr>
          <w:rFonts w:ascii="Times New Roman" w:hAnsi="Times New Roman" w:cs="Times New Roman"/>
          <w:color w:val="222222"/>
          <w:sz w:val="24"/>
          <w:szCs w:val="24"/>
          <w:highlight w:val="white"/>
          <w:lang w:val="en-GB"/>
        </w:rPr>
        <w:t>capitalizationAvailable</w:t>
      </w:r>
      <w:proofErr w:type="spellEnd"/>
      <w:r w:rsidRPr="00A644BE">
        <w:rPr>
          <w:rFonts w:ascii="Times New Roman" w:hAnsi="Times New Roman" w:cs="Times New Roman"/>
          <w:color w:val="222222"/>
          <w:sz w:val="24"/>
          <w:szCs w:val="24"/>
          <w:highlight w:val="white"/>
          <w:lang w:val="en-GB"/>
        </w:rPr>
        <w:t xml:space="preserve"> at:</w:t>
      </w:r>
      <w:hyperlink r:id="rId23">
        <w:r w:rsidRPr="00A644BE">
          <w:rPr>
            <w:rFonts w:ascii="Times New Roman" w:hAnsi="Times New Roman" w:cs="Times New Roman"/>
            <w:color w:val="1155CC"/>
            <w:sz w:val="24"/>
            <w:szCs w:val="24"/>
            <w:highlight w:val="white"/>
            <w:u w:val="single"/>
            <w:lang w:val="en-GB"/>
          </w:rPr>
          <w:t>https://www.statista.com/statistics/889632/technology-companies-on-lse/</w:t>
        </w:r>
      </w:hyperlink>
      <w:r w:rsidRPr="00A644BE">
        <w:rPr>
          <w:rFonts w:ascii="Times New Roman" w:hAnsi="Times New Roman" w:cs="Times New Roman"/>
          <w:color w:val="222222"/>
          <w:sz w:val="24"/>
          <w:szCs w:val="24"/>
          <w:highlight w:val="white"/>
          <w:lang w:val="en-GB"/>
        </w:rPr>
        <w:t xml:space="preserve">[Accessed 2 April 2024]  </w:t>
      </w:r>
    </w:p>
    <w:p w14:paraId="4B79C8A1"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 xml:space="preserve">Statista(2024)REVENUE BY </w:t>
      </w:r>
      <w:proofErr w:type="spellStart"/>
      <w:r w:rsidRPr="00A644BE">
        <w:rPr>
          <w:rFonts w:ascii="Times New Roman" w:hAnsi="Times New Roman" w:cs="Times New Roman"/>
          <w:color w:val="222222"/>
          <w:sz w:val="24"/>
          <w:szCs w:val="24"/>
          <w:highlight w:val="white"/>
          <w:lang w:val="en-GB"/>
        </w:rPr>
        <w:t>SEGMENTAvailable</w:t>
      </w:r>
      <w:proofErr w:type="spellEnd"/>
      <w:r w:rsidRPr="00A644BE">
        <w:rPr>
          <w:rFonts w:ascii="Times New Roman" w:hAnsi="Times New Roman" w:cs="Times New Roman"/>
          <w:color w:val="222222"/>
          <w:sz w:val="24"/>
          <w:szCs w:val="24"/>
          <w:highlight w:val="white"/>
          <w:lang w:val="en-GB"/>
        </w:rPr>
        <w:t xml:space="preserve"> at: </w:t>
      </w:r>
      <w:hyperlink r:id="rId24" w:anchor="revenue">
        <w:r w:rsidRPr="00A644BE">
          <w:rPr>
            <w:rFonts w:ascii="Times New Roman" w:hAnsi="Times New Roman" w:cs="Times New Roman"/>
            <w:color w:val="1155CC"/>
            <w:sz w:val="24"/>
            <w:szCs w:val="24"/>
            <w:highlight w:val="white"/>
            <w:u w:val="single"/>
            <w:lang w:val="en-GB"/>
          </w:rPr>
          <w:t>https://www.statista.com/outlook/tmo/it-services/united-kingdom#revenue</w:t>
        </w:r>
      </w:hyperlink>
      <w:r w:rsidRPr="00A644BE">
        <w:rPr>
          <w:rFonts w:ascii="Times New Roman" w:hAnsi="Times New Roman" w:cs="Times New Roman"/>
          <w:color w:val="222222"/>
          <w:sz w:val="24"/>
          <w:szCs w:val="24"/>
          <w:highlight w:val="white"/>
          <w:lang w:val="en-GB"/>
        </w:rPr>
        <w:t xml:space="preserve">[Accessed 2 April 2024] </w:t>
      </w:r>
    </w:p>
    <w:p w14:paraId="1A129C1C"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Statista, 2024. </w:t>
      </w:r>
      <w:r w:rsidRPr="00A644BE">
        <w:rPr>
          <w:rFonts w:ascii="Times New Roman" w:hAnsi="Times New Roman" w:cs="Times New Roman"/>
          <w:i/>
          <w:sz w:val="24"/>
          <w:szCs w:val="24"/>
          <w:lang w:val="en-GB"/>
        </w:rPr>
        <w:t xml:space="preserve">Daily number of passenger entries at King's Cross St. Pancras underground station in London (UK) from 2007 to 2017, by weekday/weekend. </w:t>
      </w:r>
      <w:r w:rsidRPr="00A644BE">
        <w:rPr>
          <w:rFonts w:ascii="Times New Roman" w:hAnsi="Times New Roman" w:cs="Times New Roman"/>
          <w:sz w:val="24"/>
          <w:szCs w:val="24"/>
          <w:lang w:val="en-GB"/>
        </w:rPr>
        <w:t>Available at: https://www.statista.com/statistics/412756/london-underground-kings-cross-st-pancras-passengers/ (Accessed on 2 April, 2022)</w:t>
      </w:r>
    </w:p>
    <w:p w14:paraId="56FBACEC"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Statista, 2024. </w:t>
      </w:r>
      <w:r w:rsidRPr="00A644BE">
        <w:rPr>
          <w:rFonts w:ascii="Times New Roman" w:hAnsi="Times New Roman" w:cs="Times New Roman"/>
          <w:i/>
          <w:sz w:val="24"/>
          <w:szCs w:val="24"/>
          <w:lang w:val="en-GB"/>
        </w:rPr>
        <w:t xml:space="preserve">Global ranking of technologies to be adopted by companies from 2023 to 2027. </w:t>
      </w:r>
      <w:r w:rsidRPr="00A644BE">
        <w:rPr>
          <w:rFonts w:ascii="Times New Roman" w:hAnsi="Times New Roman" w:cs="Times New Roman"/>
          <w:sz w:val="24"/>
          <w:szCs w:val="24"/>
          <w:lang w:val="en-GB"/>
        </w:rPr>
        <w:t>Available at: https://www.statista.com/statistics/1382924/technology-adoption-forecast/ (Accessed on 2 April, 2022)</w:t>
      </w:r>
    </w:p>
    <w:p w14:paraId="1025AFE8"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Statista, 2024. </w:t>
      </w:r>
      <w:r w:rsidRPr="00A644BE">
        <w:rPr>
          <w:rFonts w:ascii="Times New Roman" w:hAnsi="Times New Roman" w:cs="Times New Roman"/>
          <w:i/>
          <w:sz w:val="24"/>
          <w:szCs w:val="24"/>
          <w:lang w:val="en-GB"/>
        </w:rPr>
        <w:t xml:space="preserve">Number of Internet of Things (IoT) connected devices worldwide from 2019 to 2023, with forecasts from 2022 to 2030. </w:t>
      </w:r>
      <w:r w:rsidRPr="00A644BE">
        <w:rPr>
          <w:rFonts w:ascii="Times New Roman" w:hAnsi="Times New Roman" w:cs="Times New Roman"/>
          <w:sz w:val="24"/>
          <w:szCs w:val="24"/>
          <w:lang w:val="en-GB"/>
        </w:rPr>
        <w:t>Available at: https://www.statista.com/statistics/1183457/iot-connected-devices-worldwide/ (Accessed on 2 April, 2022)</w:t>
      </w:r>
    </w:p>
    <w:p w14:paraId="10DA066A"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Statista, 2024. </w:t>
      </w:r>
      <w:r w:rsidRPr="00A644BE">
        <w:rPr>
          <w:rFonts w:ascii="Times New Roman" w:hAnsi="Times New Roman" w:cs="Times New Roman"/>
          <w:i/>
          <w:sz w:val="24"/>
          <w:szCs w:val="24"/>
          <w:lang w:val="en-GB"/>
        </w:rPr>
        <w:t xml:space="preserve">Revenue of the IT services market in the United Kingdom from 2019 to 2028. </w:t>
      </w:r>
      <w:r w:rsidRPr="00A644BE">
        <w:rPr>
          <w:rFonts w:ascii="Times New Roman" w:hAnsi="Times New Roman" w:cs="Times New Roman"/>
          <w:sz w:val="24"/>
          <w:szCs w:val="24"/>
          <w:lang w:val="en-GB"/>
        </w:rPr>
        <w:t>Available at: https://www.statista.com/forecasts/963831/it-services-revenue-in-united-kingdom (Accessed on 2 April, 2022)</w:t>
      </w:r>
    </w:p>
    <w:p w14:paraId="1734CDA7"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The Guardian, 2016. </w:t>
      </w:r>
      <w:r w:rsidRPr="00A644BE">
        <w:rPr>
          <w:rFonts w:ascii="Times New Roman" w:hAnsi="Times New Roman" w:cs="Times New Roman"/>
          <w:i/>
          <w:sz w:val="24"/>
          <w:szCs w:val="24"/>
          <w:lang w:val="en-GB"/>
        </w:rPr>
        <w:t xml:space="preserve">Google commits to massive new London headquarters. </w:t>
      </w:r>
      <w:r w:rsidRPr="00A644BE">
        <w:rPr>
          <w:rFonts w:ascii="Times New Roman" w:hAnsi="Times New Roman" w:cs="Times New Roman"/>
          <w:sz w:val="24"/>
          <w:szCs w:val="24"/>
          <w:lang w:val="en-GB"/>
        </w:rPr>
        <w:t>Available at: https://www.theguardian.com/technology/2016/nov/15/google-commits-to-massive-new-london-hq (Accessed on 2 April, 2022)</w:t>
      </w:r>
    </w:p>
    <w:p w14:paraId="5FC23B89"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t xml:space="preserve">The Guardian, 2019. </w:t>
      </w:r>
      <w:r w:rsidRPr="00A644BE">
        <w:rPr>
          <w:rFonts w:ascii="Times New Roman" w:hAnsi="Times New Roman" w:cs="Times New Roman"/>
          <w:i/>
          <w:sz w:val="24"/>
          <w:szCs w:val="24"/>
          <w:lang w:val="en-GB"/>
        </w:rPr>
        <w:t xml:space="preserve">More than a third of Europe's fastest-growing tech firms are in UK – study. </w:t>
      </w:r>
      <w:r w:rsidRPr="00A644BE">
        <w:rPr>
          <w:rFonts w:ascii="Times New Roman" w:hAnsi="Times New Roman" w:cs="Times New Roman"/>
          <w:sz w:val="24"/>
          <w:szCs w:val="24"/>
          <w:lang w:val="en-GB"/>
        </w:rPr>
        <w:t>Available at: https://www.theguardian.com/technology/2019/jun/10/more-than-a-third-of-europes-fastest-growing-tech-firms-are-in-uk-study (Accessed on 2 April, 2022)</w:t>
      </w:r>
    </w:p>
    <w:p w14:paraId="3972D5A1" w14:textId="77777777" w:rsidR="00A644BE" w:rsidRPr="00A644BE" w:rsidRDefault="00A644BE" w:rsidP="00A644BE">
      <w:pPr>
        <w:spacing w:line="360" w:lineRule="auto"/>
        <w:jc w:val="both"/>
        <w:rPr>
          <w:rFonts w:ascii="Times New Roman" w:hAnsi="Times New Roman" w:cs="Times New Roman"/>
          <w:sz w:val="24"/>
          <w:szCs w:val="24"/>
          <w:lang w:val="en-GB"/>
        </w:rPr>
      </w:pPr>
      <w:r w:rsidRPr="00A644BE">
        <w:rPr>
          <w:rFonts w:ascii="Times New Roman" w:hAnsi="Times New Roman" w:cs="Times New Roman"/>
          <w:sz w:val="24"/>
          <w:szCs w:val="24"/>
          <w:lang w:val="en-GB"/>
        </w:rPr>
        <w:lastRenderedPageBreak/>
        <w:t xml:space="preserve">The Guardian, 2023. </w:t>
      </w:r>
      <w:r w:rsidRPr="00A644BE">
        <w:rPr>
          <w:rFonts w:ascii="Times New Roman" w:hAnsi="Times New Roman" w:cs="Times New Roman"/>
          <w:i/>
          <w:sz w:val="24"/>
          <w:szCs w:val="24"/>
          <w:lang w:val="en-GB"/>
        </w:rPr>
        <w:t xml:space="preserve">Tech hubs near England’s universities to benefit from almost £1bn in extra funding. </w:t>
      </w:r>
      <w:r w:rsidRPr="00A644BE">
        <w:rPr>
          <w:rFonts w:ascii="Times New Roman" w:hAnsi="Times New Roman" w:cs="Times New Roman"/>
          <w:sz w:val="24"/>
          <w:szCs w:val="24"/>
          <w:lang w:val="en-GB"/>
        </w:rPr>
        <w:t>Available at: https://www.theguardian.com/uk-news/2023/mar/13/tech-hubs-near-englands-universities-to-benefit-from-almost-1bn-in-extra-funding (Accessed on 2 April, 2022)</w:t>
      </w:r>
    </w:p>
    <w:p w14:paraId="057A59AF" w14:textId="77777777" w:rsidR="00A644BE" w:rsidRPr="00A644BE" w:rsidRDefault="00A644BE" w:rsidP="00A644BE">
      <w:pPr>
        <w:pStyle w:val="Normal1"/>
        <w:spacing w:line="360" w:lineRule="auto"/>
        <w:jc w:val="both"/>
        <w:rPr>
          <w:rFonts w:ascii="Times New Roman" w:hAnsi="Times New Roman" w:cs="Times New Roman"/>
          <w:color w:val="222222"/>
          <w:sz w:val="24"/>
          <w:szCs w:val="24"/>
          <w:highlight w:val="white"/>
          <w:lang w:val="en-GB"/>
        </w:rPr>
      </w:pPr>
      <w:r w:rsidRPr="00A644BE">
        <w:rPr>
          <w:rFonts w:ascii="Times New Roman" w:hAnsi="Times New Roman" w:cs="Times New Roman"/>
          <w:color w:val="222222"/>
          <w:sz w:val="24"/>
          <w:szCs w:val="24"/>
          <w:highlight w:val="white"/>
          <w:lang w:val="en-GB"/>
        </w:rPr>
        <w:t xml:space="preserve">UK government (2024)Government commits up to £3.5 billion to future of tech and </w:t>
      </w:r>
      <w:proofErr w:type="spellStart"/>
      <w:r w:rsidRPr="00A644BE">
        <w:rPr>
          <w:rFonts w:ascii="Times New Roman" w:hAnsi="Times New Roman" w:cs="Times New Roman"/>
          <w:color w:val="222222"/>
          <w:sz w:val="24"/>
          <w:szCs w:val="24"/>
          <w:highlight w:val="white"/>
          <w:lang w:val="en-GB"/>
        </w:rPr>
        <w:t>scienceAvailable</w:t>
      </w:r>
      <w:proofErr w:type="spellEnd"/>
      <w:r w:rsidRPr="00A644BE">
        <w:rPr>
          <w:rFonts w:ascii="Times New Roman" w:hAnsi="Times New Roman" w:cs="Times New Roman"/>
          <w:color w:val="222222"/>
          <w:sz w:val="24"/>
          <w:szCs w:val="24"/>
          <w:highlight w:val="white"/>
          <w:lang w:val="en-GB"/>
        </w:rPr>
        <w:t xml:space="preserve"> at:</w:t>
      </w:r>
      <w:hyperlink r:id="rId25" w:anchor=":~:text=Press%20release-,Government%20commits%20up%20to%20%C2%A33.5%20billion%20to%20future%20of,the%20Chancellor%20in%20yesterday's%20Budget">
        <w:r w:rsidRPr="00A644BE">
          <w:rPr>
            <w:rFonts w:ascii="Times New Roman" w:hAnsi="Times New Roman" w:cs="Times New Roman"/>
            <w:color w:val="1155CC"/>
            <w:sz w:val="24"/>
            <w:szCs w:val="24"/>
            <w:highlight w:val="white"/>
            <w:u w:val="single"/>
            <w:lang w:val="en-GB"/>
          </w:rPr>
          <w:t>https://www.gov.uk/government/news/government-commits-up-to-35-billion-to-future-of-tech-and-science#:~:text=Press%20release-,Government%20commits%20up%20to%20%C2%A33.5%20billion%20to%20future%20of,the%20Chancellor%20in%20yesterday's%20Budget</w:t>
        </w:r>
      </w:hyperlink>
      <w:r w:rsidRPr="00A644BE">
        <w:rPr>
          <w:rFonts w:ascii="Times New Roman" w:hAnsi="Times New Roman" w:cs="Times New Roman"/>
          <w:color w:val="222222"/>
          <w:sz w:val="24"/>
          <w:szCs w:val="24"/>
          <w:highlight w:val="white"/>
          <w:lang w:val="en-GB"/>
        </w:rPr>
        <w:t xml:space="preserve">.[Accessed 2 April 2024] </w:t>
      </w:r>
    </w:p>
    <w:p w14:paraId="41CF3A08" w14:textId="77777777" w:rsidR="00440FAD" w:rsidRPr="00A644BE" w:rsidRDefault="00C463C2">
      <w:pPr>
        <w:pStyle w:val="Normal1"/>
        <w:spacing w:line="360" w:lineRule="auto"/>
        <w:jc w:val="both"/>
        <w:rPr>
          <w:rFonts w:ascii="Times New Roman" w:eastAsia="Times New Roman" w:hAnsi="Times New Roman" w:cs="Times New Roman"/>
          <w:b/>
          <w:color w:val="1F1F1F"/>
          <w:sz w:val="24"/>
          <w:szCs w:val="24"/>
          <w:highlight w:val="white"/>
          <w:lang w:val="en-GB"/>
        </w:rPr>
      </w:pPr>
      <w:r w:rsidRPr="00A644BE">
        <w:rPr>
          <w:lang w:val="en-GB"/>
        </w:rPr>
        <w:br w:type="page"/>
      </w:r>
    </w:p>
    <w:p w14:paraId="45F22C3B" w14:textId="77777777" w:rsidR="00440FAD" w:rsidRPr="00A644BE" w:rsidRDefault="00C463C2" w:rsidP="00FE1016">
      <w:pPr>
        <w:pStyle w:val="Heading1"/>
        <w:rPr>
          <w:highlight w:val="white"/>
          <w:lang w:val="en-GB"/>
        </w:rPr>
      </w:pPr>
      <w:bookmarkStart w:id="8" w:name="_Toc162975123"/>
      <w:r w:rsidRPr="00A644BE">
        <w:rPr>
          <w:highlight w:val="white"/>
          <w:lang w:val="en-GB"/>
        </w:rPr>
        <w:lastRenderedPageBreak/>
        <w:t>Appendices</w:t>
      </w:r>
      <w:bookmarkEnd w:id="8"/>
    </w:p>
    <w:p w14:paraId="7697BFC7" w14:textId="77777777" w:rsidR="00440FAD" w:rsidRPr="00A644BE" w:rsidRDefault="00C463C2" w:rsidP="00FE1016">
      <w:pPr>
        <w:pStyle w:val="Heading2"/>
        <w:rPr>
          <w:highlight w:val="white"/>
          <w:lang w:val="en-GB"/>
        </w:rPr>
      </w:pPr>
      <w:bookmarkStart w:id="9" w:name="_Toc162975124"/>
      <w:r w:rsidRPr="00A644BE">
        <w:rPr>
          <w:highlight w:val="white"/>
          <w:lang w:val="en-GB"/>
        </w:rPr>
        <w:t>Appendix 1: New building of Google</w:t>
      </w:r>
      <w:bookmarkEnd w:id="9"/>
    </w:p>
    <w:p w14:paraId="36A52829" w14:textId="77777777" w:rsidR="00440FAD" w:rsidRPr="00A644BE" w:rsidRDefault="00C463C2">
      <w:pPr>
        <w:pStyle w:val="Normal1"/>
        <w:spacing w:line="360" w:lineRule="auto"/>
        <w:jc w:val="center"/>
        <w:rPr>
          <w:rFonts w:ascii="Times New Roman" w:eastAsia="Times New Roman" w:hAnsi="Times New Roman" w:cs="Times New Roman"/>
          <w:b/>
          <w:color w:val="1F1F1F"/>
          <w:sz w:val="24"/>
          <w:szCs w:val="24"/>
          <w:highlight w:val="white"/>
          <w:lang w:val="en-GB"/>
        </w:rPr>
      </w:pPr>
      <w:r w:rsidRPr="00A644BE">
        <w:rPr>
          <w:rFonts w:ascii="Times New Roman" w:eastAsia="Times New Roman" w:hAnsi="Times New Roman" w:cs="Times New Roman"/>
          <w:b/>
          <w:noProof/>
          <w:color w:val="1F1F1F"/>
          <w:sz w:val="24"/>
          <w:szCs w:val="24"/>
          <w:highlight w:val="white"/>
          <w:lang w:val="en-US"/>
        </w:rPr>
        <w:drawing>
          <wp:inline distT="114300" distB="114300" distL="114300" distR="114300" wp14:anchorId="77E6F801" wp14:editId="72C5307A">
            <wp:extent cx="5286375" cy="3552825"/>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26"/>
                    <a:stretch>
                      <a:fillRect/>
                    </a:stretch>
                  </pic:blipFill>
                  <pic:spPr>
                    <a:xfrm>
                      <a:off x="0" y="0"/>
                      <a:ext cx="5286375" cy="3552825"/>
                    </a:xfrm>
                    <a:prstGeom prst="rect">
                      <a:avLst/>
                    </a:prstGeom>
                    <a:ln w="25400">
                      <a:solidFill>
                        <a:srgbClr val="000000"/>
                      </a:solidFill>
                      <a:prstDash val="solid"/>
                    </a:ln>
                  </pic:spPr>
                </pic:pic>
              </a:graphicData>
            </a:graphic>
          </wp:inline>
        </w:drawing>
      </w:r>
    </w:p>
    <w:p w14:paraId="790271E6"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(Source: Koivuniemi, 2024)</w:t>
      </w:r>
      <w:r w:rsidRPr="00A644BE">
        <w:rPr>
          <w:lang w:val="en-GB"/>
        </w:rPr>
        <w:br w:type="page"/>
      </w:r>
    </w:p>
    <w:p w14:paraId="6DD88FEB" w14:textId="77777777" w:rsidR="00440FAD" w:rsidRPr="00A644BE" w:rsidRDefault="00C463C2" w:rsidP="00FE1016">
      <w:pPr>
        <w:pStyle w:val="Heading2"/>
        <w:rPr>
          <w:highlight w:val="white"/>
          <w:lang w:val="en-GB"/>
        </w:rPr>
      </w:pPr>
      <w:bookmarkStart w:id="10" w:name="_Toc162975125"/>
      <w:r w:rsidRPr="00A644BE">
        <w:rPr>
          <w:highlight w:val="white"/>
          <w:lang w:val="en-GB"/>
        </w:rPr>
        <w:lastRenderedPageBreak/>
        <w:t>Appendix 2: Building design of the new HQ</w:t>
      </w:r>
      <w:bookmarkEnd w:id="10"/>
    </w:p>
    <w:p w14:paraId="281624E1"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noProof/>
          <w:color w:val="1F1F1F"/>
          <w:sz w:val="24"/>
          <w:szCs w:val="24"/>
          <w:highlight w:val="white"/>
          <w:lang w:val="en-US"/>
        </w:rPr>
        <w:drawing>
          <wp:inline distT="114300" distB="114300" distL="114300" distR="114300" wp14:anchorId="11E1AABD" wp14:editId="195FD63A">
            <wp:extent cx="5257800" cy="3724275"/>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7"/>
                    <a:stretch>
                      <a:fillRect/>
                    </a:stretch>
                  </pic:blipFill>
                  <pic:spPr>
                    <a:xfrm>
                      <a:off x="0" y="0"/>
                      <a:ext cx="5257800" cy="3724275"/>
                    </a:xfrm>
                    <a:prstGeom prst="rect">
                      <a:avLst/>
                    </a:prstGeom>
                    <a:ln w="25400">
                      <a:solidFill>
                        <a:srgbClr val="000000"/>
                      </a:solidFill>
                      <a:prstDash val="solid"/>
                    </a:ln>
                  </pic:spPr>
                </pic:pic>
              </a:graphicData>
            </a:graphic>
          </wp:inline>
        </w:drawing>
      </w:r>
    </w:p>
    <w:p w14:paraId="7491A4FA" w14:textId="77777777" w:rsidR="00440FAD" w:rsidRPr="00A644BE" w:rsidRDefault="00C463C2">
      <w:pPr>
        <w:pStyle w:val="Normal1"/>
        <w:spacing w:line="360" w:lineRule="auto"/>
        <w:jc w:val="center"/>
        <w:rPr>
          <w:rFonts w:ascii="Times New Roman" w:eastAsia="Times New Roman" w:hAnsi="Times New Roman" w:cs="Times New Roman"/>
          <w:color w:val="1F1F1F"/>
          <w:sz w:val="24"/>
          <w:szCs w:val="24"/>
          <w:highlight w:val="white"/>
          <w:lang w:val="en-GB"/>
        </w:rPr>
      </w:pPr>
      <w:r w:rsidRPr="00A644BE">
        <w:rPr>
          <w:rFonts w:ascii="Times New Roman" w:eastAsia="Times New Roman" w:hAnsi="Times New Roman" w:cs="Times New Roman"/>
          <w:color w:val="1F1F1F"/>
          <w:sz w:val="24"/>
          <w:szCs w:val="24"/>
          <w:highlight w:val="white"/>
          <w:lang w:val="en-GB"/>
        </w:rPr>
        <w:t>(https://www.sciencedirect.com/science/article/pii/S0016718518301453)</w:t>
      </w:r>
    </w:p>
    <w:p w14:paraId="1272F17A" w14:textId="77777777" w:rsidR="00440FAD" w:rsidRPr="00A644BE" w:rsidRDefault="00440FAD">
      <w:pPr>
        <w:pStyle w:val="Normal1"/>
        <w:spacing w:line="360" w:lineRule="auto"/>
        <w:jc w:val="both"/>
        <w:rPr>
          <w:rFonts w:ascii="Times New Roman" w:eastAsia="Times New Roman" w:hAnsi="Times New Roman" w:cs="Times New Roman"/>
          <w:b/>
          <w:color w:val="1F1F1F"/>
          <w:sz w:val="24"/>
          <w:szCs w:val="24"/>
          <w:highlight w:val="white"/>
          <w:lang w:val="en-GB"/>
        </w:rPr>
      </w:pPr>
    </w:p>
    <w:sectPr w:rsidR="00440FAD" w:rsidRPr="00A644BE" w:rsidSect="007E7189">
      <w:footerReference w:type="default" r:id="rId2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7B94D" w14:textId="77777777" w:rsidR="007E7189" w:rsidRDefault="007E7189" w:rsidP="00A73207">
      <w:pPr>
        <w:spacing w:line="240" w:lineRule="auto"/>
      </w:pPr>
      <w:r>
        <w:separator/>
      </w:r>
    </w:p>
  </w:endnote>
  <w:endnote w:type="continuationSeparator" w:id="0">
    <w:p w14:paraId="0A00D525" w14:textId="77777777" w:rsidR="007E7189" w:rsidRDefault="007E7189" w:rsidP="00A732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altName w:val="Times New Roman"/>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138683"/>
      <w:docPartObj>
        <w:docPartGallery w:val="Page Numbers (Bottom of Page)"/>
        <w:docPartUnique/>
      </w:docPartObj>
    </w:sdtPr>
    <w:sdtEndPr>
      <w:rPr>
        <w:rFonts w:ascii="Times New Roman" w:hAnsi="Times New Roman" w:cs="Times New Roman"/>
        <w:sz w:val="20"/>
      </w:rPr>
    </w:sdtEndPr>
    <w:sdtContent>
      <w:p w14:paraId="5362F759" w14:textId="77777777" w:rsidR="00A73207" w:rsidRPr="00A73207" w:rsidRDefault="00FC7D24">
        <w:pPr>
          <w:pStyle w:val="Footer"/>
          <w:jc w:val="right"/>
          <w:rPr>
            <w:rFonts w:ascii="Times New Roman" w:hAnsi="Times New Roman" w:cs="Times New Roman"/>
            <w:sz w:val="20"/>
          </w:rPr>
        </w:pPr>
        <w:r w:rsidRPr="00A73207">
          <w:rPr>
            <w:rFonts w:ascii="Times New Roman" w:hAnsi="Times New Roman" w:cs="Times New Roman"/>
            <w:sz w:val="20"/>
          </w:rPr>
          <w:fldChar w:fldCharType="begin"/>
        </w:r>
        <w:r w:rsidR="00A73207" w:rsidRPr="00A73207">
          <w:rPr>
            <w:rFonts w:ascii="Times New Roman" w:hAnsi="Times New Roman" w:cs="Times New Roman"/>
            <w:sz w:val="20"/>
          </w:rPr>
          <w:instrText xml:space="preserve"> PAGE   \* MERGEFORMAT </w:instrText>
        </w:r>
        <w:r w:rsidRPr="00A73207">
          <w:rPr>
            <w:rFonts w:ascii="Times New Roman" w:hAnsi="Times New Roman" w:cs="Times New Roman"/>
            <w:sz w:val="20"/>
          </w:rPr>
          <w:fldChar w:fldCharType="separate"/>
        </w:r>
        <w:r w:rsidR="0006096B">
          <w:rPr>
            <w:rFonts w:ascii="Times New Roman" w:hAnsi="Times New Roman" w:cs="Times New Roman"/>
            <w:noProof/>
            <w:sz w:val="20"/>
          </w:rPr>
          <w:t>18</w:t>
        </w:r>
        <w:r w:rsidRPr="00A73207">
          <w:rPr>
            <w:rFonts w:ascii="Times New Roman" w:hAnsi="Times New Roman" w:cs="Times New Roman"/>
            <w:sz w:val="20"/>
          </w:rPr>
          <w:fldChar w:fldCharType="end"/>
        </w:r>
      </w:p>
    </w:sdtContent>
  </w:sdt>
  <w:p w14:paraId="16B7E10F" w14:textId="77777777" w:rsidR="00A73207" w:rsidRDefault="00A73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FA5DF" w14:textId="77777777" w:rsidR="007E7189" w:rsidRDefault="007E7189" w:rsidP="00A73207">
      <w:pPr>
        <w:spacing w:line="240" w:lineRule="auto"/>
      </w:pPr>
      <w:r>
        <w:separator/>
      </w:r>
    </w:p>
  </w:footnote>
  <w:footnote w:type="continuationSeparator" w:id="0">
    <w:p w14:paraId="0319A92E" w14:textId="77777777" w:rsidR="007E7189" w:rsidRDefault="007E7189" w:rsidP="00A732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15A1E"/>
    <w:multiLevelType w:val="hybridMultilevel"/>
    <w:tmpl w:val="D0029C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F692B5E"/>
    <w:multiLevelType w:val="hybridMultilevel"/>
    <w:tmpl w:val="056451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5169771">
    <w:abstractNumId w:val="1"/>
  </w:num>
  <w:num w:numId="2" w16cid:durableId="1425489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0FAD"/>
    <w:rsid w:val="0006096B"/>
    <w:rsid w:val="001B02C6"/>
    <w:rsid w:val="00257B1D"/>
    <w:rsid w:val="00276913"/>
    <w:rsid w:val="002B4C9D"/>
    <w:rsid w:val="00407EA6"/>
    <w:rsid w:val="00440FAD"/>
    <w:rsid w:val="00451168"/>
    <w:rsid w:val="00647C90"/>
    <w:rsid w:val="007E7189"/>
    <w:rsid w:val="007F4773"/>
    <w:rsid w:val="008308ED"/>
    <w:rsid w:val="00831EDC"/>
    <w:rsid w:val="008704DB"/>
    <w:rsid w:val="008A52C1"/>
    <w:rsid w:val="009A2EA2"/>
    <w:rsid w:val="00A644BE"/>
    <w:rsid w:val="00A73207"/>
    <w:rsid w:val="00B7482B"/>
    <w:rsid w:val="00C463C2"/>
    <w:rsid w:val="00D44F36"/>
    <w:rsid w:val="00E326CD"/>
    <w:rsid w:val="00F53272"/>
    <w:rsid w:val="00FB3FBF"/>
    <w:rsid w:val="00FC02E4"/>
    <w:rsid w:val="00FC7D24"/>
    <w:rsid w:val="00FE10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D0B47"/>
  <w15:docId w15:val="{0E2428E2-4B4F-435C-AB7B-E3506FC32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A644B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A644BE"/>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440FAD"/>
    <w:pPr>
      <w:keepNext/>
      <w:keepLines/>
      <w:spacing w:before="320" w:after="80"/>
      <w:outlineLvl w:val="2"/>
    </w:pPr>
    <w:rPr>
      <w:color w:val="434343"/>
      <w:sz w:val="28"/>
      <w:szCs w:val="28"/>
    </w:rPr>
  </w:style>
  <w:style w:type="paragraph" w:styleId="Heading4">
    <w:name w:val="heading 4"/>
    <w:basedOn w:val="Normal1"/>
    <w:next w:val="Normal1"/>
    <w:rsid w:val="00440FAD"/>
    <w:pPr>
      <w:keepNext/>
      <w:keepLines/>
      <w:spacing w:before="280" w:after="80"/>
      <w:outlineLvl w:val="3"/>
    </w:pPr>
    <w:rPr>
      <w:color w:val="666666"/>
      <w:sz w:val="24"/>
      <w:szCs w:val="24"/>
    </w:rPr>
  </w:style>
  <w:style w:type="paragraph" w:styleId="Heading5">
    <w:name w:val="heading 5"/>
    <w:basedOn w:val="Normal1"/>
    <w:next w:val="Normal1"/>
    <w:rsid w:val="00440FAD"/>
    <w:pPr>
      <w:keepNext/>
      <w:keepLines/>
      <w:spacing w:before="240" w:after="80"/>
      <w:outlineLvl w:val="4"/>
    </w:pPr>
    <w:rPr>
      <w:color w:val="666666"/>
    </w:rPr>
  </w:style>
  <w:style w:type="paragraph" w:styleId="Heading6">
    <w:name w:val="heading 6"/>
    <w:basedOn w:val="Normal1"/>
    <w:next w:val="Normal1"/>
    <w:rsid w:val="00440F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0FAD"/>
  </w:style>
  <w:style w:type="table" w:customStyle="1" w:styleId="TableNormal1">
    <w:name w:val="Table Normal1"/>
    <w:rsid w:val="00440FAD"/>
    <w:tblPr>
      <w:tblCellMar>
        <w:top w:w="0" w:type="dxa"/>
        <w:left w:w="0" w:type="dxa"/>
        <w:bottom w:w="0" w:type="dxa"/>
        <w:right w:w="0" w:type="dxa"/>
      </w:tblCellMar>
    </w:tblPr>
  </w:style>
  <w:style w:type="paragraph" w:styleId="Title">
    <w:name w:val="Title"/>
    <w:basedOn w:val="Normal1"/>
    <w:next w:val="Normal1"/>
    <w:rsid w:val="00440FAD"/>
    <w:pPr>
      <w:keepNext/>
      <w:keepLines/>
      <w:spacing w:after="60"/>
    </w:pPr>
    <w:rPr>
      <w:sz w:val="52"/>
      <w:szCs w:val="52"/>
    </w:rPr>
  </w:style>
  <w:style w:type="paragraph" w:styleId="Subtitle">
    <w:name w:val="Subtitle"/>
    <w:basedOn w:val="Normal1"/>
    <w:next w:val="Normal1"/>
    <w:rsid w:val="00440FA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F47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773"/>
    <w:rPr>
      <w:rFonts w:ascii="Tahoma" w:hAnsi="Tahoma" w:cs="Tahoma"/>
      <w:sz w:val="16"/>
      <w:szCs w:val="16"/>
    </w:rPr>
  </w:style>
  <w:style w:type="paragraph" w:styleId="ListParagraph">
    <w:name w:val="List Paragraph"/>
    <w:basedOn w:val="Normal"/>
    <w:uiPriority w:val="34"/>
    <w:qFormat/>
    <w:rsid w:val="00A644BE"/>
    <w:pPr>
      <w:ind w:left="720"/>
      <w:contextualSpacing/>
    </w:pPr>
  </w:style>
  <w:style w:type="paragraph" w:styleId="Header">
    <w:name w:val="header"/>
    <w:basedOn w:val="Normal"/>
    <w:link w:val="HeaderChar"/>
    <w:uiPriority w:val="99"/>
    <w:semiHidden/>
    <w:unhideWhenUsed/>
    <w:rsid w:val="00A732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3207"/>
  </w:style>
  <w:style w:type="paragraph" w:styleId="Footer">
    <w:name w:val="footer"/>
    <w:basedOn w:val="Normal"/>
    <w:link w:val="FooterChar"/>
    <w:uiPriority w:val="99"/>
    <w:unhideWhenUsed/>
    <w:rsid w:val="00A73207"/>
    <w:pPr>
      <w:tabs>
        <w:tab w:val="center" w:pos="4680"/>
        <w:tab w:val="right" w:pos="9360"/>
      </w:tabs>
      <w:spacing w:line="240" w:lineRule="auto"/>
    </w:pPr>
  </w:style>
  <w:style w:type="character" w:customStyle="1" w:styleId="FooterChar">
    <w:name w:val="Footer Char"/>
    <w:basedOn w:val="DefaultParagraphFont"/>
    <w:link w:val="Footer"/>
    <w:uiPriority w:val="99"/>
    <w:rsid w:val="00A73207"/>
  </w:style>
  <w:style w:type="paragraph" w:styleId="TOCHeading">
    <w:name w:val="TOC Heading"/>
    <w:basedOn w:val="Heading1"/>
    <w:next w:val="Normal"/>
    <w:uiPriority w:val="39"/>
    <w:semiHidden/>
    <w:unhideWhenUsed/>
    <w:qFormat/>
    <w:rsid w:val="00407EA6"/>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07EA6"/>
    <w:pPr>
      <w:spacing w:after="100"/>
    </w:pPr>
  </w:style>
  <w:style w:type="paragraph" w:styleId="TOC2">
    <w:name w:val="toc 2"/>
    <w:basedOn w:val="Normal"/>
    <w:next w:val="Normal"/>
    <w:autoRedefine/>
    <w:uiPriority w:val="39"/>
    <w:unhideWhenUsed/>
    <w:rsid w:val="00407EA6"/>
    <w:pPr>
      <w:spacing w:after="100"/>
      <w:ind w:left="220"/>
    </w:pPr>
  </w:style>
  <w:style w:type="character" w:styleId="Hyperlink">
    <w:name w:val="Hyperlink"/>
    <w:basedOn w:val="DefaultParagraphFont"/>
    <w:uiPriority w:val="99"/>
    <w:unhideWhenUsed/>
    <w:rsid w:val="00407E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492058">
      <w:bodyDiv w:val="1"/>
      <w:marLeft w:val="0"/>
      <w:marRight w:val="0"/>
      <w:marTop w:val="0"/>
      <w:marBottom w:val="0"/>
      <w:divBdr>
        <w:top w:val="none" w:sz="0" w:space="0" w:color="auto"/>
        <w:left w:val="none" w:sz="0" w:space="0" w:color="auto"/>
        <w:bottom w:val="none" w:sz="0" w:space="0" w:color="auto"/>
        <w:right w:val="none" w:sz="0" w:space="0" w:color="auto"/>
      </w:divBdr>
      <w:divsChild>
        <w:div w:id="8919056">
          <w:marLeft w:val="0"/>
          <w:marRight w:val="0"/>
          <w:marTop w:val="0"/>
          <w:marBottom w:val="0"/>
          <w:divBdr>
            <w:top w:val="none" w:sz="0" w:space="0" w:color="auto"/>
            <w:left w:val="none" w:sz="0" w:space="0" w:color="auto"/>
            <w:bottom w:val="none" w:sz="0" w:space="0" w:color="auto"/>
            <w:right w:val="none" w:sz="0" w:space="0" w:color="auto"/>
          </w:divBdr>
          <w:divsChild>
            <w:div w:id="996956644">
              <w:marLeft w:val="0"/>
              <w:marRight w:val="0"/>
              <w:marTop w:val="0"/>
              <w:marBottom w:val="0"/>
              <w:divBdr>
                <w:top w:val="none" w:sz="0" w:space="0" w:color="auto"/>
                <w:left w:val="none" w:sz="0" w:space="0" w:color="auto"/>
                <w:bottom w:val="none" w:sz="0" w:space="0" w:color="auto"/>
                <w:right w:val="none" w:sz="0" w:space="0" w:color="auto"/>
              </w:divBdr>
            </w:div>
            <w:div w:id="729309441">
              <w:marLeft w:val="0"/>
              <w:marRight w:val="0"/>
              <w:marTop w:val="0"/>
              <w:marBottom w:val="0"/>
              <w:divBdr>
                <w:top w:val="none" w:sz="0" w:space="0" w:color="auto"/>
                <w:left w:val="none" w:sz="0" w:space="0" w:color="auto"/>
                <w:bottom w:val="none" w:sz="0" w:space="0" w:color="auto"/>
                <w:right w:val="none" w:sz="0" w:space="0" w:color="auto"/>
              </w:divBdr>
              <w:divsChild>
                <w:div w:id="861095716">
                  <w:marLeft w:val="0"/>
                  <w:marRight w:val="0"/>
                  <w:marTop w:val="0"/>
                  <w:marBottom w:val="0"/>
                  <w:divBdr>
                    <w:top w:val="none" w:sz="0" w:space="0" w:color="auto"/>
                    <w:left w:val="none" w:sz="0" w:space="0" w:color="auto"/>
                    <w:bottom w:val="none" w:sz="0" w:space="0" w:color="auto"/>
                    <w:right w:val="none" w:sz="0" w:space="0" w:color="auto"/>
                  </w:divBdr>
                </w:div>
                <w:div w:id="1471166195">
                  <w:marLeft w:val="0"/>
                  <w:marRight w:val="0"/>
                  <w:marTop w:val="0"/>
                  <w:marBottom w:val="0"/>
                  <w:divBdr>
                    <w:top w:val="none" w:sz="0" w:space="0" w:color="auto"/>
                    <w:left w:val="none" w:sz="0" w:space="0" w:color="auto"/>
                    <w:bottom w:val="none" w:sz="0" w:space="0" w:color="auto"/>
                    <w:right w:val="none" w:sz="0" w:space="0" w:color="auto"/>
                  </w:divBdr>
                </w:div>
                <w:div w:id="70852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233596">
      <w:bodyDiv w:val="1"/>
      <w:marLeft w:val="0"/>
      <w:marRight w:val="0"/>
      <w:marTop w:val="0"/>
      <w:marBottom w:val="0"/>
      <w:divBdr>
        <w:top w:val="none" w:sz="0" w:space="0" w:color="auto"/>
        <w:left w:val="none" w:sz="0" w:space="0" w:color="auto"/>
        <w:bottom w:val="none" w:sz="0" w:space="0" w:color="auto"/>
        <w:right w:val="none" w:sz="0" w:space="0" w:color="auto"/>
      </w:divBdr>
      <w:divsChild>
        <w:div w:id="794714875">
          <w:marLeft w:val="0"/>
          <w:marRight w:val="0"/>
          <w:marTop w:val="0"/>
          <w:marBottom w:val="0"/>
          <w:divBdr>
            <w:top w:val="none" w:sz="0" w:space="0" w:color="auto"/>
            <w:left w:val="none" w:sz="0" w:space="0" w:color="auto"/>
            <w:bottom w:val="none" w:sz="0" w:space="0" w:color="auto"/>
            <w:right w:val="none" w:sz="0" w:space="0" w:color="auto"/>
          </w:divBdr>
          <w:divsChild>
            <w:div w:id="166360407">
              <w:marLeft w:val="0"/>
              <w:marRight w:val="0"/>
              <w:marTop w:val="0"/>
              <w:marBottom w:val="0"/>
              <w:divBdr>
                <w:top w:val="none" w:sz="0" w:space="0" w:color="auto"/>
                <w:left w:val="none" w:sz="0" w:space="0" w:color="auto"/>
                <w:bottom w:val="none" w:sz="0" w:space="0" w:color="auto"/>
                <w:right w:val="none" w:sz="0" w:space="0" w:color="auto"/>
              </w:divBdr>
            </w:div>
            <w:div w:id="851990949">
              <w:marLeft w:val="0"/>
              <w:marRight w:val="0"/>
              <w:marTop w:val="0"/>
              <w:marBottom w:val="0"/>
              <w:divBdr>
                <w:top w:val="none" w:sz="0" w:space="0" w:color="auto"/>
                <w:left w:val="none" w:sz="0" w:space="0" w:color="auto"/>
                <w:bottom w:val="none" w:sz="0" w:space="0" w:color="auto"/>
                <w:right w:val="none" w:sz="0" w:space="0" w:color="auto"/>
              </w:divBdr>
              <w:divsChild>
                <w:div w:id="814569883">
                  <w:marLeft w:val="0"/>
                  <w:marRight w:val="0"/>
                  <w:marTop w:val="0"/>
                  <w:marBottom w:val="0"/>
                  <w:divBdr>
                    <w:top w:val="none" w:sz="0" w:space="0" w:color="auto"/>
                    <w:left w:val="none" w:sz="0" w:space="0" w:color="auto"/>
                    <w:bottom w:val="none" w:sz="0" w:space="0" w:color="auto"/>
                    <w:right w:val="none" w:sz="0" w:space="0" w:color="auto"/>
                  </w:divBdr>
                </w:div>
                <w:div w:id="805509206">
                  <w:marLeft w:val="0"/>
                  <w:marRight w:val="0"/>
                  <w:marTop w:val="0"/>
                  <w:marBottom w:val="0"/>
                  <w:divBdr>
                    <w:top w:val="none" w:sz="0" w:space="0" w:color="auto"/>
                    <w:left w:val="none" w:sz="0" w:space="0" w:color="auto"/>
                    <w:bottom w:val="none" w:sz="0" w:space="0" w:color="auto"/>
                    <w:right w:val="none" w:sz="0" w:space="0" w:color="auto"/>
                  </w:divBdr>
                </w:div>
                <w:div w:id="93922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www.globaldata.com/store/report/uk-ict-market-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hyperlink" Target="https://www.gov.uk/government/news/government-commits-up-to-35-billion-to-future-of-tech-and-science" TargetMode="Externa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hyperlink" Target="https://www.statista.com/statistics/284968/it-software-and-computer-services-economy-employment-in-the-united-kingdom-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outlook/tmo/it-services/united-kingdom"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www.statista.com/statistics/889632/technology-companies-on-lse/" TargetMode="External"/><Relationship Id="rId28" Type="http://schemas.openxmlformats.org/officeDocument/2006/relationships/footer" Target="footer1.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knightfrank.co.uk/office-space/insights/culture-and-space/the-best-office-locations-in-londons-tech-hubs/" TargetMode="External"/><Relationship Id="rId27" Type="http://schemas.openxmlformats.org/officeDocument/2006/relationships/image" Target="media/image9.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DBA79C-A49A-4B3E-A711-01D9FC41B385}" type="doc">
      <dgm:prSet loTypeId="urn:microsoft.com/office/officeart/2005/8/layout/target1" loCatId="relationship" qsTypeId="urn:microsoft.com/office/officeart/2005/8/quickstyle/3d2#1" qsCatId="3D" csTypeId="urn:microsoft.com/office/officeart/2005/8/colors/colorful5" csCatId="colorful" phldr="1"/>
      <dgm:spPr/>
    </dgm:pt>
    <dgm:pt modelId="{1E1EF911-FC16-4A43-93C9-1AA59101F0F6}">
      <dgm:prSet phldrT="[Text]" custT="1"/>
      <dgm:spPr/>
      <dgm:t>
        <a:bodyPr/>
        <a:lstStyle/>
        <a:p>
          <a:r>
            <a:rPr lang="en-US" sz="1200" b="0" i="0" u="none">
              <a:latin typeface="Times New Roman" pitchFamily="18" charset="0"/>
              <a:cs typeface="Times New Roman" pitchFamily="18" charset="0"/>
            </a:rPr>
            <a:t>Leading tech giant</a:t>
          </a:r>
          <a:endParaRPr lang="en-US" sz="1200" b="0" i="0">
            <a:latin typeface="Times New Roman" pitchFamily="18" charset="0"/>
            <a:cs typeface="Times New Roman" pitchFamily="18" charset="0"/>
          </a:endParaRPr>
        </a:p>
      </dgm:t>
    </dgm:pt>
    <dgm:pt modelId="{6F5094C4-93AC-4B41-8DC2-47FA4A22EDCF}" type="parTrans" cxnId="{A01DB5BF-D2E9-4D3E-883A-C62C17888113}">
      <dgm:prSet/>
      <dgm:spPr/>
      <dgm:t>
        <a:bodyPr/>
        <a:lstStyle/>
        <a:p>
          <a:endParaRPr lang="en-US"/>
        </a:p>
      </dgm:t>
    </dgm:pt>
    <dgm:pt modelId="{1484F09E-BE15-4360-8B22-67552798492C}" type="sibTrans" cxnId="{A01DB5BF-D2E9-4D3E-883A-C62C17888113}">
      <dgm:prSet/>
      <dgm:spPr/>
      <dgm:t>
        <a:bodyPr/>
        <a:lstStyle/>
        <a:p>
          <a:endParaRPr lang="en-US"/>
        </a:p>
      </dgm:t>
    </dgm:pt>
    <dgm:pt modelId="{B19C1633-227F-4C58-A781-7D4D83A158FB}">
      <dgm:prSet custT="1"/>
      <dgm:spPr/>
      <dgm:t>
        <a:bodyPr/>
        <a:lstStyle/>
        <a:p>
          <a:r>
            <a:rPr lang="en-US" sz="1200" b="0" i="0" u="none">
              <a:latin typeface="Times New Roman" pitchFamily="18" charset="0"/>
              <a:cs typeface="Times New Roman" pitchFamily="18" charset="0"/>
            </a:rPr>
            <a:t>sustainability</a:t>
          </a:r>
          <a:endParaRPr lang="en-US" sz="1200">
            <a:latin typeface="Times New Roman" pitchFamily="18" charset="0"/>
            <a:cs typeface="Times New Roman" pitchFamily="18" charset="0"/>
          </a:endParaRPr>
        </a:p>
      </dgm:t>
    </dgm:pt>
    <dgm:pt modelId="{C5511A56-8930-4359-B2BB-7F37868EF218}" type="sibTrans" cxnId="{8095D90E-9CF9-4541-8488-5B0E049DFF99}">
      <dgm:prSet/>
      <dgm:spPr/>
      <dgm:t>
        <a:bodyPr/>
        <a:lstStyle/>
        <a:p>
          <a:endParaRPr lang="en-US"/>
        </a:p>
      </dgm:t>
    </dgm:pt>
    <dgm:pt modelId="{D3E4B29A-57F2-4FE2-80EB-DAC628446EE2}" type="parTrans" cxnId="{8095D90E-9CF9-4541-8488-5B0E049DFF99}">
      <dgm:prSet/>
      <dgm:spPr/>
      <dgm:t>
        <a:bodyPr/>
        <a:lstStyle/>
        <a:p>
          <a:endParaRPr lang="en-US"/>
        </a:p>
      </dgm:t>
    </dgm:pt>
    <dgm:pt modelId="{F86FF631-6782-4897-8B7B-10A0110D831C}">
      <dgm:prSet custT="1"/>
      <dgm:spPr/>
      <dgm:t>
        <a:bodyPr/>
        <a:lstStyle/>
        <a:p>
          <a:pPr rtl="0"/>
          <a:r>
            <a:rPr lang="en-US" sz="1100" b="0" i="0" u="none">
              <a:latin typeface="Times New Roman" pitchFamily="18" charset="0"/>
              <a:cs typeface="Times New Roman" pitchFamily="18" charset="0"/>
            </a:rPr>
            <a:t>Business investment</a:t>
          </a:r>
          <a:endParaRPr lang="en-US" sz="1100">
            <a:latin typeface="Times New Roman" pitchFamily="18" charset="0"/>
            <a:cs typeface="Times New Roman" pitchFamily="18" charset="0"/>
          </a:endParaRPr>
        </a:p>
      </dgm:t>
    </dgm:pt>
    <dgm:pt modelId="{B0180AF5-837B-425C-9403-E628C246B226}" type="sibTrans" cxnId="{48E00CF1-3880-4AD1-A917-010445D4E403}">
      <dgm:prSet/>
      <dgm:spPr/>
      <dgm:t>
        <a:bodyPr/>
        <a:lstStyle/>
        <a:p>
          <a:endParaRPr lang="en-US"/>
        </a:p>
      </dgm:t>
    </dgm:pt>
    <dgm:pt modelId="{2E61563F-D0D1-4878-BC45-DED0DB92FAB4}" type="parTrans" cxnId="{48E00CF1-3880-4AD1-A917-010445D4E403}">
      <dgm:prSet/>
      <dgm:spPr/>
      <dgm:t>
        <a:bodyPr/>
        <a:lstStyle/>
        <a:p>
          <a:endParaRPr lang="en-US"/>
        </a:p>
      </dgm:t>
    </dgm:pt>
    <dgm:pt modelId="{5AF06DDD-C0DF-4287-8CC0-FF90B069CE2D}">
      <dgm:prSet custT="1"/>
      <dgm:spPr/>
      <dgm:t>
        <a:bodyPr/>
        <a:lstStyle/>
        <a:p>
          <a:pPr rtl="0"/>
          <a:r>
            <a:rPr lang="en-US" sz="1100" b="0" i="0" u="none">
              <a:latin typeface="Times New Roman" pitchFamily="18" charset="0"/>
              <a:cs typeface="Times New Roman" pitchFamily="18" charset="0"/>
            </a:rPr>
            <a:t>future of the IT sector</a:t>
          </a:r>
          <a:endParaRPr lang="en-US" sz="1100">
            <a:latin typeface="Times New Roman" pitchFamily="18" charset="0"/>
            <a:cs typeface="Times New Roman" pitchFamily="18" charset="0"/>
          </a:endParaRPr>
        </a:p>
      </dgm:t>
    </dgm:pt>
    <dgm:pt modelId="{B56E12C6-0959-49D3-B616-88A8A1C982EF}" type="sibTrans" cxnId="{DE8330D3-8D0B-4B5B-BB9A-9880FB29F239}">
      <dgm:prSet/>
      <dgm:spPr/>
      <dgm:t>
        <a:bodyPr/>
        <a:lstStyle/>
        <a:p>
          <a:endParaRPr lang="en-US"/>
        </a:p>
      </dgm:t>
    </dgm:pt>
    <dgm:pt modelId="{F8103FA7-9EBA-414F-82BA-1DAA9C89DFAD}" type="parTrans" cxnId="{DE8330D3-8D0B-4B5B-BB9A-9880FB29F239}">
      <dgm:prSet/>
      <dgm:spPr/>
      <dgm:t>
        <a:bodyPr/>
        <a:lstStyle/>
        <a:p>
          <a:endParaRPr lang="en-US"/>
        </a:p>
      </dgm:t>
    </dgm:pt>
    <dgm:pt modelId="{B2E720C5-7026-4448-82BD-736D698AA4B4}">
      <dgm:prSet phldrT="[Text]" custT="1"/>
      <dgm:spPr/>
      <dgm:t>
        <a:bodyPr/>
        <a:lstStyle/>
        <a:p>
          <a:pPr rtl="0"/>
          <a:r>
            <a:rPr lang="en-US" sz="1100" b="0" i="0" u="none">
              <a:latin typeface="Times New Roman" pitchFamily="18" charset="0"/>
              <a:cs typeface="Times New Roman" pitchFamily="18" charset="0"/>
            </a:rPr>
            <a:t>Number of employees in the IT</a:t>
          </a:r>
          <a:endParaRPr lang="en-US" sz="1100">
            <a:latin typeface="Times New Roman" pitchFamily="18" charset="0"/>
            <a:cs typeface="Times New Roman" pitchFamily="18" charset="0"/>
          </a:endParaRPr>
        </a:p>
      </dgm:t>
    </dgm:pt>
    <dgm:pt modelId="{241138E6-4749-481A-B0A7-DB0948121383}" type="sibTrans" cxnId="{8FA77878-0D13-48F0-83B9-F5E0E7B05ABC}">
      <dgm:prSet/>
      <dgm:spPr/>
      <dgm:t>
        <a:bodyPr/>
        <a:lstStyle/>
        <a:p>
          <a:endParaRPr lang="en-US"/>
        </a:p>
      </dgm:t>
    </dgm:pt>
    <dgm:pt modelId="{28F1404E-0BA5-4329-915E-3D76CA816493}" type="parTrans" cxnId="{8FA77878-0D13-48F0-83B9-F5E0E7B05ABC}">
      <dgm:prSet/>
      <dgm:spPr/>
      <dgm:t>
        <a:bodyPr/>
        <a:lstStyle/>
        <a:p>
          <a:endParaRPr lang="en-US"/>
        </a:p>
      </dgm:t>
    </dgm:pt>
    <dgm:pt modelId="{94B1B390-FCF8-4C61-86BC-142761E46A73}" type="pres">
      <dgm:prSet presAssocID="{F0DBA79C-A49A-4B3E-A711-01D9FC41B385}" presName="composite" presStyleCnt="0">
        <dgm:presLayoutVars>
          <dgm:chMax val="5"/>
          <dgm:dir/>
          <dgm:resizeHandles val="exact"/>
        </dgm:presLayoutVars>
      </dgm:prSet>
      <dgm:spPr/>
    </dgm:pt>
    <dgm:pt modelId="{AFD80098-D3B4-442B-B01B-BECEF390B8C4}" type="pres">
      <dgm:prSet presAssocID="{1E1EF911-FC16-4A43-93C9-1AA59101F0F6}" presName="circle1" presStyleLbl="lnNode1" presStyleIdx="0" presStyleCnt="5" custLinFactNeighborY="6645"/>
      <dgm:spPr/>
    </dgm:pt>
    <dgm:pt modelId="{5915CB72-00E4-4ACF-816D-78489D7A5B5B}" type="pres">
      <dgm:prSet presAssocID="{1E1EF911-FC16-4A43-93C9-1AA59101F0F6}" presName="text1" presStyleLbl="revTx" presStyleIdx="0" presStyleCnt="5">
        <dgm:presLayoutVars>
          <dgm:bulletEnabled val="1"/>
        </dgm:presLayoutVars>
      </dgm:prSet>
      <dgm:spPr/>
    </dgm:pt>
    <dgm:pt modelId="{7A8F7CB9-BC80-4D55-B3C7-F66DE986C267}" type="pres">
      <dgm:prSet presAssocID="{1E1EF911-FC16-4A43-93C9-1AA59101F0F6}" presName="line1" presStyleLbl="callout" presStyleIdx="0" presStyleCnt="10"/>
      <dgm:spPr/>
    </dgm:pt>
    <dgm:pt modelId="{866C5E3D-0657-40A4-9A61-7EA805FD2A4E}" type="pres">
      <dgm:prSet presAssocID="{1E1EF911-FC16-4A43-93C9-1AA59101F0F6}" presName="d1" presStyleLbl="callout" presStyleIdx="1" presStyleCnt="10"/>
      <dgm:spPr/>
    </dgm:pt>
    <dgm:pt modelId="{ED8B78AE-F835-45C0-BF77-9D849947B7DF}" type="pres">
      <dgm:prSet presAssocID="{B2E720C5-7026-4448-82BD-736D698AA4B4}" presName="circle2" presStyleLbl="lnNode1" presStyleIdx="1" presStyleCnt="5"/>
      <dgm:spPr/>
    </dgm:pt>
    <dgm:pt modelId="{4764CAC5-082D-46A4-A219-BDD0E1F4A958}" type="pres">
      <dgm:prSet presAssocID="{B2E720C5-7026-4448-82BD-736D698AA4B4}" presName="text2" presStyleLbl="revTx" presStyleIdx="1" presStyleCnt="5">
        <dgm:presLayoutVars>
          <dgm:bulletEnabled val="1"/>
        </dgm:presLayoutVars>
      </dgm:prSet>
      <dgm:spPr/>
    </dgm:pt>
    <dgm:pt modelId="{908FA742-DE98-432D-9C94-A57EFBC3F850}" type="pres">
      <dgm:prSet presAssocID="{B2E720C5-7026-4448-82BD-736D698AA4B4}" presName="line2" presStyleLbl="callout" presStyleIdx="2" presStyleCnt="10"/>
      <dgm:spPr/>
    </dgm:pt>
    <dgm:pt modelId="{6F146268-2C44-4ADA-A20C-A87F427F6A5E}" type="pres">
      <dgm:prSet presAssocID="{B2E720C5-7026-4448-82BD-736D698AA4B4}" presName="d2" presStyleLbl="callout" presStyleIdx="3" presStyleCnt="10"/>
      <dgm:spPr/>
    </dgm:pt>
    <dgm:pt modelId="{2F6E4973-FBD9-46BC-A3B9-CFFD63E28ED1}" type="pres">
      <dgm:prSet presAssocID="{5AF06DDD-C0DF-4287-8CC0-FF90B069CE2D}" presName="circle3" presStyleLbl="lnNode1" presStyleIdx="2" presStyleCnt="5"/>
      <dgm:spPr/>
    </dgm:pt>
    <dgm:pt modelId="{4B15E315-4DAA-4C9B-994A-61360D08BB3B}" type="pres">
      <dgm:prSet presAssocID="{5AF06DDD-C0DF-4287-8CC0-FF90B069CE2D}" presName="text3" presStyleLbl="revTx" presStyleIdx="2" presStyleCnt="5">
        <dgm:presLayoutVars>
          <dgm:bulletEnabled val="1"/>
        </dgm:presLayoutVars>
      </dgm:prSet>
      <dgm:spPr/>
    </dgm:pt>
    <dgm:pt modelId="{09CCBD75-E4E1-439A-9161-F0415E1C7CEF}" type="pres">
      <dgm:prSet presAssocID="{5AF06DDD-C0DF-4287-8CC0-FF90B069CE2D}" presName="line3" presStyleLbl="callout" presStyleIdx="4" presStyleCnt="10"/>
      <dgm:spPr/>
    </dgm:pt>
    <dgm:pt modelId="{03B9D204-9FF8-4898-8B44-049D90825CED}" type="pres">
      <dgm:prSet presAssocID="{5AF06DDD-C0DF-4287-8CC0-FF90B069CE2D}" presName="d3" presStyleLbl="callout" presStyleIdx="5" presStyleCnt="10"/>
      <dgm:spPr/>
    </dgm:pt>
    <dgm:pt modelId="{5E7ACF56-2153-45CB-B46F-88C97083B3EF}" type="pres">
      <dgm:prSet presAssocID="{F86FF631-6782-4897-8B7B-10A0110D831C}" presName="circle4" presStyleLbl="lnNode1" presStyleIdx="3" presStyleCnt="5"/>
      <dgm:spPr/>
    </dgm:pt>
    <dgm:pt modelId="{090F7887-D9C5-475B-9085-1034EAB365D3}" type="pres">
      <dgm:prSet presAssocID="{F86FF631-6782-4897-8B7B-10A0110D831C}" presName="text4" presStyleLbl="revTx" presStyleIdx="3" presStyleCnt="5">
        <dgm:presLayoutVars>
          <dgm:bulletEnabled val="1"/>
        </dgm:presLayoutVars>
      </dgm:prSet>
      <dgm:spPr/>
    </dgm:pt>
    <dgm:pt modelId="{2D5EFFD0-4DBF-4C11-8C2A-C66E498BBBD9}" type="pres">
      <dgm:prSet presAssocID="{F86FF631-6782-4897-8B7B-10A0110D831C}" presName="line4" presStyleLbl="callout" presStyleIdx="6" presStyleCnt="10"/>
      <dgm:spPr/>
    </dgm:pt>
    <dgm:pt modelId="{79E2AAE7-8504-47EA-9E9B-8F6F5B1A7D0D}" type="pres">
      <dgm:prSet presAssocID="{F86FF631-6782-4897-8B7B-10A0110D831C}" presName="d4" presStyleLbl="callout" presStyleIdx="7" presStyleCnt="10"/>
      <dgm:spPr/>
    </dgm:pt>
    <dgm:pt modelId="{213A089C-A41C-4415-8687-EE4C5CD872D5}" type="pres">
      <dgm:prSet presAssocID="{B19C1633-227F-4C58-A781-7D4D83A158FB}" presName="circle5" presStyleLbl="lnNode1" presStyleIdx="4" presStyleCnt="5"/>
      <dgm:spPr/>
    </dgm:pt>
    <dgm:pt modelId="{54C37831-AAB7-4674-B219-158D41705947}" type="pres">
      <dgm:prSet presAssocID="{B19C1633-227F-4C58-A781-7D4D83A158FB}" presName="text5" presStyleLbl="revTx" presStyleIdx="4" presStyleCnt="5" custScaleY="85706">
        <dgm:presLayoutVars>
          <dgm:bulletEnabled val="1"/>
        </dgm:presLayoutVars>
      </dgm:prSet>
      <dgm:spPr/>
    </dgm:pt>
    <dgm:pt modelId="{A9D8676E-F282-4D11-8A3C-7FECB6F91357}" type="pres">
      <dgm:prSet presAssocID="{B19C1633-227F-4C58-A781-7D4D83A158FB}" presName="line5" presStyleLbl="callout" presStyleIdx="8" presStyleCnt="10"/>
      <dgm:spPr/>
    </dgm:pt>
    <dgm:pt modelId="{50B240AE-6515-4308-8526-36B644B1435E}" type="pres">
      <dgm:prSet presAssocID="{B19C1633-227F-4C58-A781-7D4D83A158FB}" presName="d5" presStyleLbl="callout" presStyleIdx="9" presStyleCnt="10"/>
      <dgm:spPr/>
    </dgm:pt>
  </dgm:ptLst>
  <dgm:cxnLst>
    <dgm:cxn modelId="{8095D90E-9CF9-4541-8488-5B0E049DFF99}" srcId="{F0DBA79C-A49A-4B3E-A711-01D9FC41B385}" destId="{B19C1633-227F-4C58-A781-7D4D83A158FB}" srcOrd="4" destOrd="0" parTransId="{D3E4B29A-57F2-4FE2-80EB-DAC628446EE2}" sibTransId="{C5511A56-8930-4359-B2BB-7F37868EF218}"/>
    <dgm:cxn modelId="{7FCFC355-DE86-4C57-BC4D-DCE5E1E3769E}" type="presOf" srcId="{F0DBA79C-A49A-4B3E-A711-01D9FC41B385}" destId="{94B1B390-FCF8-4C61-86BC-142761E46A73}" srcOrd="0" destOrd="0" presId="urn:microsoft.com/office/officeart/2005/8/layout/target1"/>
    <dgm:cxn modelId="{8FA77878-0D13-48F0-83B9-F5E0E7B05ABC}" srcId="{F0DBA79C-A49A-4B3E-A711-01D9FC41B385}" destId="{B2E720C5-7026-4448-82BD-736D698AA4B4}" srcOrd="1" destOrd="0" parTransId="{28F1404E-0BA5-4329-915E-3D76CA816493}" sibTransId="{241138E6-4749-481A-B0A7-DB0948121383}"/>
    <dgm:cxn modelId="{F68FE959-26BD-41A8-985F-83AE9EFAFD9A}" type="presOf" srcId="{B19C1633-227F-4C58-A781-7D4D83A158FB}" destId="{54C37831-AAB7-4674-B219-158D41705947}" srcOrd="0" destOrd="0" presId="urn:microsoft.com/office/officeart/2005/8/layout/target1"/>
    <dgm:cxn modelId="{5E525C5A-5265-4575-9398-249035DA1873}" type="presOf" srcId="{1E1EF911-FC16-4A43-93C9-1AA59101F0F6}" destId="{5915CB72-00E4-4ACF-816D-78489D7A5B5B}" srcOrd="0" destOrd="0" presId="urn:microsoft.com/office/officeart/2005/8/layout/target1"/>
    <dgm:cxn modelId="{0D0EB69D-8971-4D96-A66F-B314CC4AB865}" type="presOf" srcId="{5AF06DDD-C0DF-4287-8CC0-FF90B069CE2D}" destId="{4B15E315-4DAA-4C9B-994A-61360D08BB3B}" srcOrd="0" destOrd="0" presId="urn:microsoft.com/office/officeart/2005/8/layout/target1"/>
    <dgm:cxn modelId="{59C6D7BE-9855-43E8-A477-CC25F0BA98BF}" type="presOf" srcId="{B2E720C5-7026-4448-82BD-736D698AA4B4}" destId="{4764CAC5-082D-46A4-A219-BDD0E1F4A958}" srcOrd="0" destOrd="0" presId="urn:microsoft.com/office/officeart/2005/8/layout/target1"/>
    <dgm:cxn modelId="{A01DB5BF-D2E9-4D3E-883A-C62C17888113}" srcId="{F0DBA79C-A49A-4B3E-A711-01D9FC41B385}" destId="{1E1EF911-FC16-4A43-93C9-1AA59101F0F6}" srcOrd="0" destOrd="0" parTransId="{6F5094C4-93AC-4B41-8DC2-47FA4A22EDCF}" sibTransId="{1484F09E-BE15-4360-8B22-67552798492C}"/>
    <dgm:cxn modelId="{DE8330D3-8D0B-4B5B-BB9A-9880FB29F239}" srcId="{F0DBA79C-A49A-4B3E-A711-01D9FC41B385}" destId="{5AF06DDD-C0DF-4287-8CC0-FF90B069CE2D}" srcOrd="2" destOrd="0" parTransId="{F8103FA7-9EBA-414F-82BA-1DAA9C89DFAD}" sibTransId="{B56E12C6-0959-49D3-B616-88A8A1C982EF}"/>
    <dgm:cxn modelId="{67EF80EE-C4C2-4CEE-B233-16E288324E63}" type="presOf" srcId="{F86FF631-6782-4897-8B7B-10A0110D831C}" destId="{090F7887-D9C5-475B-9085-1034EAB365D3}" srcOrd="0" destOrd="0" presId="urn:microsoft.com/office/officeart/2005/8/layout/target1"/>
    <dgm:cxn modelId="{48E00CF1-3880-4AD1-A917-010445D4E403}" srcId="{F0DBA79C-A49A-4B3E-A711-01D9FC41B385}" destId="{F86FF631-6782-4897-8B7B-10A0110D831C}" srcOrd="3" destOrd="0" parTransId="{2E61563F-D0D1-4878-BC45-DED0DB92FAB4}" sibTransId="{B0180AF5-837B-425C-9403-E628C246B226}"/>
    <dgm:cxn modelId="{8C5AAB6D-6311-4956-AE2C-B744F4CA81E7}" type="presParOf" srcId="{94B1B390-FCF8-4C61-86BC-142761E46A73}" destId="{AFD80098-D3B4-442B-B01B-BECEF390B8C4}" srcOrd="0" destOrd="0" presId="urn:microsoft.com/office/officeart/2005/8/layout/target1"/>
    <dgm:cxn modelId="{181CF590-8881-432A-A40F-D64BD4AE9C33}" type="presParOf" srcId="{94B1B390-FCF8-4C61-86BC-142761E46A73}" destId="{5915CB72-00E4-4ACF-816D-78489D7A5B5B}" srcOrd="1" destOrd="0" presId="urn:microsoft.com/office/officeart/2005/8/layout/target1"/>
    <dgm:cxn modelId="{521BED96-8AED-46C8-ACA1-1D1D9BF5F983}" type="presParOf" srcId="{94B1B390-FCF8-4C61-86BC-142761E46A73}" destId="{7A8F7CB9-BC80-4D55-B3C7-F66DE986C267}" srcOrd="2" destOrd="0" presId="urn:microsoft.com/office/officeart/2005/8/layout/target1"/>
    <dgm:cxn modelId="{10859218-FB31-4B57-B3B7-845D334F673C}" type="presParOf" srcId="{94B1B390-FCF8-4C61-86BC-142761E46A73}" destId="{866C5E3D-0657-40A4-9A61-7EA805FD2A4E}" srcOrd="3" destOrd="0" presId="urn:microsoft.com/office/officeart/2005/8/layout/target1"/>
    <dgm:cxn modelId="{F670B2CF-052A-4D9C-8EE7-D2F2FA1AF9B3}" type="presParOf" srcId="{94B1B390-FCF8-4C61-86BC-142761E46A73}" destId="{ED8B78AE-F835-45C0-BF77-9D849947B7DF}" srcOrd="4" destOrd="0" presId="urn:microsoft.com/office/officeart/2005/8/layout/target1"/>
    <dgm:cxn modelId="{DC0CEF75-B976-41C3-B833-5D645B5DF4D9}" type="presParOf" srcId="{94B1B390-FCF8-4C61-86BC-142761E46A73}" destId="{4764CAC5-082D-46A4-A219-BDD0E1F4A958}" srcOrd="5" destOrd="0" presId="urn:microsoft.com/office/officeart/2005/8/layout/target1"/>
    <dgm:cxn modelId="{831B5AB6-E95B-47E3-A01A-2A6B8DE72701}" type="presParOf" srcId="{94B1B390-FCF8-4C61-86BC-142761E46A73}" destId="{908FA742-DE98-432D-9C94-A57EFBC3F850}" srcOrd="6" destOrd="0" presId="urn:microsoft.com/office/officeart/2005/8/layout/target1"/>
    <dgm:cxn modelId="{94A14666-77DB-40D1-86D0-051C45C5DAD2}" type="presParOf" srcId="{94B1B390-FCF8-4C61-86BC-142761E46A73}" destId="{6F146268-2C44-4ADA-A20C-A87F427F6A5E}" srcOrd="7" destOrd="0" presId="urn:microsoft.com/office/officeart/2005/8/layout/target1"/>
    <dgm:cxn modelId="{0013DACE-CFDD-43FA-A2AD-C479EEA628F4}" type="presParOf" srcId="{94B1B390-FCF8-4C61-86BC-142761E46A73}" destId="{2F6E4973-FBD9-46BC-A3B9-CFFD63E28ED1}" srcOrd="8" destOrd="0" presId="urn:microsoft.com/office/officeart/2005/8/layout/target1"/>
    <dgm:cxn modelId="{FC2458F1-4D43-4833-8F5F-E7212B22D2A7}" type="presParOf" srcId="{94B1B390-FCF8-4C61-86BC-142761E46A73}" destId="{4B15E315-4DAA-4C9B-994A-61360D08BB3B}" srcOrd="9" destOrd="0" presId="urn:microsoft.com/office/officeart/2005/8/layout/target1"/>
    <dgm:cxn modelId="{AC6A65D5-C239-47A5-99D8-901883A56AD6}" type="presParOf" srcId="{94B1B390-FCF8-4C61-86BC-142761E46A73}" destId="{09CCBD75-E4E1-439A-9161-F0415E1C7CEF}" srcOrd="10" destOrd="0" presId="urn:microsoft.com/office/officeart/2005/8/layout/target1"/>
    <dgm:cxn modelId="{917AE27E-4C8D-4A18-A05E-FEDC040AAE36}" type="presParOf" srcId="{94B1B390-FCF8-4C61-86BC-142761E46A73}" destId="{03B9D204-9FF8-4898-8B44-049D90825CED}" srcOrd="11" destOrd="0" presId="urn:microsoft.com/office/officeart/2005/8/layout/target1"/>
    <dgm:cxn modelId="{FB469A66-F517-4B73-8FB8-29A16A41D769}" type="presParOf" srcId="{94B1B390-FCF8-4C61-86BC-142761E46A73}" destId="{5E7ACF56-2153-45CB-B46F-88C97083B3EF}" srcOrd="12" destOrd="0" presId="urn:microsoft.com/office/officeart/2005/8/layout/target1"/>
    <dgm:cxn modelId="{125E6E4C-C4FE-4573-881E-33515DC1D4E4}" type="presParOf" srcId="{94B1B390-FCF8-4C61-86BC-142761E46A73}" destId="{090F7887-D9C5-475B-9085-1034EAB365D3}" srcOrd="13" destOrd="0" presId="urn:microsoft.com/office/officeart/2005/8/layout/target1"/>
    <dgm:cxn modelId="{BAA7DDFF-B229-40C7-A738-84523903F795}" type="presParOf" srcId="{94B1B390-FCF8-4C61-86BC-142761E46A73}" destId="{2D5EFFD0-4DBF-4C11-8C2A-C66E498BBBD9}" srcOrd="14" destOrd="0" presId="urn:microsoft.com/office/officeart/2005/8/layout/target1"/>
    <dgm:cxn modelId="{AFE1D21F-9247-41DB-8AAB-206475ED4EB5}" type="presParOf" srcId="{94B1B390-FCF8-4C61-86BC-142761E46A73}" destId="{79E2AAE7-8504-47EA-9E9B-8F6F5B1A7D0D}" srcOrd="15" destOrd="0" presId="urn:microsoft.com/office/officeart/2005/8/layout/target1"/>
    <dgm:cxn modelId="{1472B4FC-59DB-4D91-90EE-C99A422747E5}" type="presParOf" srcId="{94B1B390-FCF8-4C61-86BC-142761E46A73}" destId="{213A089C-A41C-4415-8687-EE4C5CD872D5}" srcOrd="16" destOrd="0" presId="urn:microsoft.com/office/officeart/2005/8/layout/target1"/>
    <dgm:cxn modelId="{54B441FD-8575-4A1B-A416-AABDD1DB474E}" type="presParOf" srcId="{94B1B390-FCF8-4C61-86BC-142761E46A73}" destId="{54C37831-AAB7-4674-B219-158D41705947}" srcOrd="17" destOrd="0" presId="urn:microsoft.com/office/officeart/2005/8/layout/target1"/>
    <dgm:cxn modelId="{EC24E081-5222-4616-9AFF-EEA19DC1F4DF}" type="presParOf" srcId="{94B1B390-FCF8-4C61-86BC-142761E46A73}" destId="{A9D8676E-F282-4D11-8A3C-7FECB6F91357}" srcOrd="18" destOrd="0" presId="urn:microsoft.com/office/officeart/2005/8/layout/target1"/>
    <dgm:cxn modelId="{002ACA7A-6D7E-4403-93A6-14EEC022F8DD}" type="presParOf" srcId="{94B1B390-FCF8-4C61-86BC-142761E46A73}" destId="{50B240AE-6515-4308-8526-36B644B1435E}" srcOrd="19" destOrd="0" presId="urn:microsoft.com/office/officeart/2005/8/layout/target1"/>
  </dgm:cxnLst>
  <dgm:bg>
    <a:noFill/>
  </dgm:bg>
  <dgm:whole>
    <a:ln w="28575">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3A089C-A41C-4415-8687-EE4C5CD872D5}">
      <dsp:nvSpPr>
        <dsp:cNvPr id="0" name=""/>
        <dsp:cNvSpPr/>
      </dsp:nvSpPr>
      <dsp:spPr>
        <a:xfrm>
          <a:off x="742950" y="698007"/>
          <a:ext cx="2400300" cy="2400300"/>
        </a:xfrm>
        <a:prstGeom prst="ellipse">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1">
          <a:scrgbClr r="0" g="0" b="0"/>
        </a:lnRef>
        <a:fillRef idx="3">
          <a:scrgbClr r="0" g="0" b="0"/>
        </a:fillRef>
        <a:effectRef idx="2">
          <a:scrgbClr r="0" g="0" b="0"/>
        </a:effectRef>
        <a:fontRef idx="minor">
          <a:schemeClr val="lt1"/>
        </a:fontRef>
      </dsp:style>
    </dsp:sp>
    <dsp:sp modelId="{5E7ACF56-2153-45CB-B46F-88C97083B3EF}">
      <dsp:nvSpPr>
        <dsp:cNvPr id="0" name=""/>
        <dsp:cNvSpPr/>
      </dsp:nvSpPr>
      <dsp:spPr>
        <a:xfrm>
          <a:off x="1009583" y="964640"/>
          <a:ext cx="1867033" cy="1867033"/>
        </a:xfrm>
        <a:prstGeom prst="ellipse">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1">
          <a:scrgbClr r="0" g="0" b="0"/>
        </a:lnRef>
        <a:fillRef idx="3">
          <a:scrgbClr r="0" g="0" b="0"/>
        </a:fillRef>
        <a:effectRef idx="2">
          <a:scrgbClr r="0" g="0" b="0"/>
        </a:effectRef>
        <a:fontRef idx="minor">
          <a:schemeClr val="lt1"/>
        </a:fontRef>
      </dsp:style>
    </dsp:sp>
    <dsp:sp modelId="{2F6E4973-FBD9-46BC-A3B9-CFFD63E28ED1}">
      <dsp:nvSpPr>
        <dsp:cNvPr id="0" name=""/>
        <dsp:cNvSpPr/>
      </dsp:nvSpPr>
      <dsp:spPr>
        <a:xfrm>
          <a:off x="1276216" y="1231273"/>
          <a:ext cx="1333766" cy="1333766"/>
        </a:xfrm>
        <a:prstGeom prst="ellipse">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1">
          <a:scrgbClr r="0" g="0" b="0"/>
        </a:lnRef>
        <a:fillRef idx="3">
          <a:scrgbClr r="0" g="0" b="0"/>
        </a:fillRef>
        <a:effectRef idx="2">
          <a:scrgbClr r="0" g="0" b="0"/>
        </a:effectRef>
        <a:fontRef idx="minor">
          <a:schemeClr val="lt1"/>
        </a:fontRef>
      </dsp:style>
    </dsp:sp>
    <dsp:sp modelId="{ED8B78AE-F835-45C0-BF77-9D849947B7DF}">
      <dsp:nvSpPr>
        <dsp:cNvPr id="0" name=""/>
        <dsp:cNvSpPr/>
      </dsp:nvSpPr>
      <dsp:spPr>
        <a:xfrm>
          <a:off x="1543050" y="1498107"/>
          <a:ext cx="800100" cy="800100"/>
        </a:xfrm>
        <a:prstGeom prst="ellipse">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1">
          <a:scrgbClr r="0" g="0" b="0"/>
        </a:lnRef>
        <a:fillRef idx="3">
          <a:scrgbClr r="0" g="0" b="0"/>
        </a:fillRef>
        <a:effectRef idx="2">
          <a:scrgbClr r="0" g="0" b="0"/>
        </a:effectRef>
        <a:fontRef idx="minor">
          <a:schemeClr val="lt1"/>
        </a:fontRef>
      </dsp:style>
    </dsp:sp>
    <dsp:sp modelId="{AFD80098-D3B4-442B-B01B-BECEF390B8C4}">
      <dsp:nvSpPr>
        <dsp:cNvPr id="0" name=""/>
        <dsp:cNvSpPr/>
      </dsp:nvSpPr>
      <dsp:spPr>
        <a:xfrm>
          <a:off x="1809683" y="1782471"/>
          <a:ext cx="266833" cy="266833"/>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w="9525" cap="flat" cmpd="sng" algn="ctr">
          <a:solidFill>
            <a:schemeClr val="lt1">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1">
          <a:scrgbClr r="0" g="0" b="0"/>
        </a:lnRef>
        <a:fillRef idx="3">
          <a:scrgbClr r="0" g="0" b="0"/>
        </a:fillRef>
        <a:effectRef idx="2">
          <a:scrgbClr r="0" g="0" b="0"/>
        </a:effectRef>
        <a:fontRef idx="minor">
          <a:schemeClr val="lt1"/>
        </a:fontRef>
      </dsp:style>
    </dsp:sp>
    <dsp:sp modelId="{5915CB72-00E4-4ACF-816D-78489D7A5B5B}">
      <dsp:nvSpPr>
        <dsp:cNvPr id="0" name=""/>
        <dsp:cNvSpPr/>
      </dsp:nvSpPr>
      <dsp:spPr>
        <a:xfrm>
          <a:off x="3543300" y="102092"/>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b="0" i="0" u="none" kern="1200">
              <a:latin typeface="Times New Roman" pitchFamily="18" charset="0"/>
              <a:cs typeface="Times New Roman" pitchFamily="18" charset="0"/>
            </a:rPr>
            <a:t>Leading tech giant</a:t>
          </a:r>
          <a:endParaRPr lang="en-US" sz="1200" b="0" i="0" kern="1200">
            <a:latin typeface="Times New Roman" pitchFamily="18" charset="0"/>
            <a:cs typeface="Times New Roman" pitchFamily="18" charset="0"/>
          </a:endParaRPr>
        </a:p>
      </dsp:txBody>
      <dsp:txXfrm>
        <a:off x="3543300" y="102092"/>
        <a:ext cx="1200150" cy="423732"/>
      </dsp:txXfrm>
    </dsp:sp>
    <dsp:sp modelId="{7A8F7CB9-BC80-4D55-B3C7-F66DE986C267}">
      <dsp:nvSpPr>
        <dsp:cNvPr id="0" name=""/>
        <dsp:cNvSpPr/>
      </dsp:nvSpPr>
      <dsp:spPr>
        <a:xfrm>
          <a:off x="3243262" y="313959"/>
          <a:ext cx="300037" cy="0"/>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866C5E3D-0657-40A4-9A61-7EA805FD2A4E}">
      <dsp:nvSpPr>
        <dsp:cNvPr id="0" name=""/>
        <dsp:cNvSpPr/>
      </dsp:nvSpPr>
      <dsp:spPr>
        <a:xfrm rot="5400000">
          <a:off x="1800082" y="456977"/>
          <a:ext cx="1584198" cy="1298162"/>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4764CAC5-082D-46A4-A219-BDD0E1F4A958}">
      <dsp:nvSpPr>
        <dsp:cNvPr id="0" name=""/>
        <dsp:cNvSpPr/>
      </dsp:nvSpPr>
      <dsp:spPr>
        <a:xfrm>
          <a:off x="3543300" y="550148"/>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rtl="0">
            <a:lnSpc>
              <a:spcPct val="90000"/>
            </a:lnSpc>
            <a:spcBef>
              <a:spcPct val="0"/>
            </a:spcBef>
            <a:spcAft>
              <a:spcPct val="35000"/>
            </a:spcAft>
            <a:buNone/>
          </a:pPr>
          <a:r>
            <a:rPr lang="en-US" sz="1100" b="0" i="0" u="none" kern="1200">
              <a:latin typeface="Times New Roman" pitchFamily="18" charset="0"/>
              <a:cs typeface="Times New Roman" pitchFamily="18" charset="0"/>
            </a:rPr>
            <a:t>Number of employees in the IT</a:t>
          </a:r>
          <a:endParaRPr lang="en-US" sz="1100" kern="1200">
            <a:latin typeface="Times New Roman" pitchFamily="18" charset="0"/>
            <a:cs typeface="Times New Roman" pitchFamily="18" charset="0"/>
          </a:endParaRPr>
        </a:p>
      </dsp:txBody>
      <dsp:txXfrm>
        <a:off x="3543300" y="550148"/>
        <a:ext cx="1200150" cy="423732"/>
      </dsp:txXfrm>
    </dsp:sp>
    <dsp:sp modelId="{908FA742-DE98-432D-9C94-A57EFBC3F850}">
      <dsp:nvSpPr>
        <dsp:cNvPr id="0" name=""/>
        <dsp:cNvSpPr/>
      </dsp:nvSpPr>
      <dsp:spPr>
        <a:xfrm>
          <a:off x="3243262" y="762015"/>
          <a:ext cx="300037" cy="0"/>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6F146268-2C44-4ADA-A20C-A87F427F6A5E}">
      <dsp:nvSpPr>
        <dsp:cNvPr id="0" name=""/>
        <dsp:cNvSpPr/>
      </dsp:nvSpPr>
      <dsp:spPr>
        <a:xfrm rot="5400000">
          <a:off x="2032871" y="870988"/>
          <a:ext cx="1319044" cy="1100137"/>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4B15E315-4DAA-4C9B-994A-61360D08BB3B}">
      <dsp:nvSpPr>
        <dsp:cNvPr id="0" name=""/>
        <dsp:cNvSpPr/>
      </dsp:nvSpPr>
      <dsp:spPr>
        <a:xfrm>
          <a:off x="3543300" y="998204"/>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rtl="0">
            <a:lnSpc>
              <a:spcPct val="90000"/>
            </a:lnSpc>
            <a:spcBef>
              <a:spcPct val="0"/>
            </a:spcBef>
            <a:spcAft>
              <a:spcPct val="35000"/>
            </a:spcAft>
            <a:buNone/>
          </a:pPr>
          <a:r>
            <a:rPr lang="en-US" sz="1100" b="0" i="0" u="none" kern="1200">
              <a:latin typeface="Times New Roman" pitchFamily="18" charset="0"/>
              <a:cs typeface="Times New Roman" pitchFamily="18" charset="0"/>
            </a:rPr>
            <a:t>future of the IT sector</a:t>
          </a:r>
          <a:endParaRPr lang="en-US" sz="1100" kern="1200">
            <a:latin typeface="Times New Roman" pitchFamily="18" charset="0"/>
            <a:cs typeface="Times New Roman" pitchFamily="18" charset="0"/>
          </a:endParaRPr>
        </a:p>
      </dsp:txBody>
      <dsp:txXfrm>
        <a:off x="3543300" y="998204"/>
        <a:ext cx="1200150" cy="423732"/>
      </dsp:txXfrm>
    </dsp:sp>
    <dsp:sp modelId="{09CCBD75-E4E1-439A-9161-F0415E1C7CEF}">
      <dsp:nvSpPr>
        <dsp:cNvPr id="0" name=""/>
        <dsp:cNvSpPr/>
      </dsp:nvSpPr>
      <dsp:spPr>
        <a:xfrm>
          <a:off x="3243262" y="1210071"/>
          <a:ext cx="300037" cy="0"/>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03B9D204-9FF8-4898-8B44-049D90825CED}">
      <dsp:nvSpPr>
        <dsp:cNvPr id="0" name=""/>
        <dsp:cNvSpPr/>
      </dsp:nvSpPr>
      <dsp:spPr>
        <a:xfrm rot="5400000">
          <a:off x="2261139" y="1268078"/>
          <a:ext cx="1040130" cy="924115"/>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090F7887-D9C5-475B-9085-1034EAB365D3}">
      <dsp:nvSpPr>
        <dsp:cNvPr id="0" name=""/>
        <dsp:cNvSpPr/>
      </dsp:nvSpPr>
      <dsp:spPr>
        <a:xfrm>
          <a:off x="3543300" y="1436659"/>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13970" rIns="13970" bIns="13970" numCol="1" spcCol="1270" anchor="ctr" anchorCtr="0">
          <a:noAutofit/>
        </a:bodyPr>
        <a:lstStyle/>
        <a:p>
          <a:pPr marL="0" lvl="0" indent="0" algn="l" defTabSz="488950" rtl="0">
            <a:lnSpc>
              <a:spcPct val="90000"/>
            </a:lnSpc>
            <a:spcBef>
              <a:spcPct val="0"/>
            </a:spcBef>
            <a:spcAft>
              <a:spcPct val="35000"/>
            </a:spcAft>
            <a:buNone/>
          </a:pPr>
          <a:r>
            <a:rPr lang="en-US" sz="1100" b="0" i="0" u="none" kern="1200">
              <a:latin typeface="Times New Roman" pitchFamily="18" charset="0"/>
              <a:cs typeface="Times New Roman" pitchFamily="18" charset="0"/>
            </a:rPr>
            <a:t>Business investment</a:t>
          </a:r>
          <a:endParaRPr lang="en-US" sz="1100" kern="1200">
            <a:latin typeface="Times New Roman" pitchFamily="18" charset="0"/>
            <a:cs typeface="Times New Roman" pitchFamily="18" charset="0"/>
          </a:endParaRPr>
        </a:p>
      </dsp:txBody>
      <dsp:txXfrm>
        <a:off x="3543300" y="1436659"/>
        <a:ext cx="1200150" cy="423732"/>
      </dsp:txXfrm>
    </dsp:sp>
    <dsp:sp modelId="{2D5EFFD0-4DBF-4C11-8C2A-C66E498BBBD9}">
      <dsp:nvSpPr>
        <dsp:cNvPr id="0" name=""/>
        <dsp:cNvSpPr/>
      </dsp:nvSpPr>
      <dsp:spPr>
        <a:xfrm>
          <a:off x="3243262" y="1648526"/>
          <a:ext cx="300037" cy="0"/>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79E2AAE7-8504-47EA-9E9B-8F6F5B1A7D0D}">
      <dsp:nvSpPr>
        <dsp:cNvPr id="0" name=""/>
        <dsp:cNvSpPr/>
      </dsp:nvSpPr>
      <dsp:spPr>
        <a:xfrm rot="5400000">
          <a:off x="2488368" y="1687330"/>
          <a:ext cx="793699" cy="716089"/>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54C37831-AAB7-4674-B219-158D41705947}">
      <dsp:nvSpPr>
        <dsp:cNvPr id="0" name=""/>
        <dsp:cNvSpPr/>
      </dsp:nvSpPr>
      <dsp:spPr>
        <a:xfrm>
          <a:off x="3543300" y="1892596"/>
          <a:ext cx="1200150" cy="3631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15240" rIns="15240" bIns="15240" numCol="1" spcCol="1270" anchor="ctr" anchorCtr="0">
          <a:noAutofit/>
        </a:bodyPr>
        <a:lstStyle/>
        <a:p>
          <a:pPr marL="0" lvl="0" indent="0" algn="l" defTabSz="533400">
            <a:lnSpc>
              <a:spcPct val="90000"/>
            </a:lnSpc>
            <a:spcBef>
              <a:spcPct val="0"/>
            </a:spcBef>
            <a:spcAft>
              <a:spcPct val="35000"/>
            </a:spcAft>
            <a:buNone/>
          </a:pPr>
          <a:r>
            <a:rPr lang="en-US" sz="1200" b="0" i="0" u="none" kern="1200">
              <a:latin typeface="Times New Roman" pitchFamily="18" charset="0"/>
              <a:cs typeface="Times New Roman" pitchFamily="18" charset="0"/>
            </a:rPr>
            <a:t>sustainability</a:t>
          </a:r>
          <a:endParaRPr lang="en-US" sz="1200" kern="1200">
            <a:latin typeface="Times New Roman" pitchFamily="18" charset="0"/>
            <a:cs typeface="Times New Roman" pitchFamily="18" charset="0"/>
          </a:endParaRPr>
        </a:p>
      </dsp:txBody>
      <dsp:txXfrm>
        <a:off x="3543300" y="1892596"/>
        <a:ext cx="1200150" cy="363164"/>
      </dsp:txXfrm>
    </dsp:sp>
    <dsp:sp modelId="{A9D8676E-F282-4D11-8A3C-7FECB6F91357}">
      <dsp:nvSpPr>
        <dsp:cNvPr id="0" name=""/>
        <dsp:cNvSpPr/>
      </dsp:nvSpPr>
      <dsp:spPr>
        <a:xfrm>
          <a:off x="3243262" y="2074179"/>
          <a:ext cx="300037" cy="0"/>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 modelId="{50B240AE-6515-4308-8526-36B644B1435E}">
      <dsp:nvSpPr>
        <dsp:cNvPr id="0" name=""/>
        <dsp:cNvSpPr/>
      </dsp:nvSpPr>
      <dsp:spPr>
        <a:xfrm rot="5400000">
          <a:off x="2703195" y="2094181"/>
          <a:ext cx="560070" cy="520065"/>
        </a:xfrm>
        <a:prstGeom prst="line">
          <a:avLst/>
        </a:prstGeom>
        <a:solidFill>
          <a:schemeClr val="accent5">
            <a:hueOff val="0"/>
            <a:satOff val="0"/>
            <a:lumOff val="0"/>
            <a:alphaOff val="0"/>
          </a:schemeClr>
        </a:solidFill>
        <a:ln w="25400" cap="flat" cmpd="sng" algn="ctr">
          <a:solidFill>
            <a:schemeClr val="accent5">
              <a:tint val="50000"/>
              <a:hueOff val="0"/>
              <a:satOff val="0"/>
              <a:lumOff val="0"/>
              <a:alphaOff val="0"/>
            </a:schemeClr>
          </a:solidFill>
          <a:prstDash val="solid"/>
        </a:ln>
        <a:effectLst/>
        <a:scene3d>
          <a:camera prst="orthographicFront"/>
          <a:lightRig rig="threePt" dir="t">
            <a:rot lat="0" lon="0" rev="7500000"/>
          </a:lightRig>
        </a:scene3d>
        <a:sp3d z="127000" prstMaterial="matte"/>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140E0B-A5C4-C045-BD45-BEC03680E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3416</Words>
  <Characters>19475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 Cocea</dc:creator>
  <cp:keywords/>
  <dc:description/>
  <cp:lastModifiedBy>Florentin Cocea</cp:lastModifiedBy>
  <cp:revision>3</cp:revision>
  <dcterms:created xsi:type="dcterms:W3CDTF">2024-05-03T07:38:00Z</dcterms:created>
  <dcterms:modified xsi:type="dcterms:W3CDTF">2024-05-03T10:16:00Z</dcterms:modified>
  <cp:category/>
</cp:coreProperties>
</file>