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1261BA" w14:textId="77777777" w:rsidR="000D5042" w:rsidRDefault="00C32D1D">
      <w:pPr>
        <w:pStyle w:val="Title"/>
      </w:pPr>
      <w:r>
        <w:t>Augustine’s Notion of Evil</w:t>
      </w:r>
    </w:p>
    <w:p w14:paraId="1C3BE661" w14:textId="77777777" w:rsidR="000D5042" w:rsidRDefault="000D5042"/>
    <w:p w14:paraId="4101C77E" w14:textId="77777777" w:rsidR="000D5042" w:rsidRDefault="00C32D1D">
      <w:r>
        <w:t xml:space="preserve">In this essay I aim to evaluate the effectiveness of Augustine’s notion of evil by taking a philosophical angle. Although there are many different ways to look at this, I have decided to look specifically at how Augustine splits his justification of the existence of evil into two main frameworks, psychological and ontological. As a result, I can examine how each of these frameworks are shown through the </w:t>
      </w:r>
      <w:r>
        <w:rPr>
          <w:i/>
          <w:iCs/>
        </w:rPr>
        <w:t>Confessions</w:t>
      </w:r>
      <w:r>
        <w:t>, looking specifically at books two and three.</w:t>
      </w:r>
    </w:p>
    <w:p w14:paraId="7C4F05B6" w14:textId="645F26FC" w:rsidR="000D5042" w:rsidRDefault="00C32D1D">
      <w:r>
        <w:t>The first framework that Augustine uses to explain his notion of evil is psychological. Within this framework Augustine argues that it is the attachment that the will has to earthly goods that results in evil as we are drawn to the beauty and contingency of objects in the world rather than to the beauty and grace of God.</w:t>
      </w:r>
      <w:r>
        <w:rPr>
          <w:rStyle w:val="FootnoteReference"/>
        </w:rPr>
        <w:footnoteReference w:id="1"/>
      </w:r>
      <w:r>
        <w:t xml:space="preserve"> This issue with the will’s attachment to worldly goods can be seen at the end of </w:t>
      </w:r>
      <w:r w:rsidR="00BB05BE">
        <w:t>b</w:t>
      </w:r>
      <w:r>
        <w:t xml:space="preserve">ook </w:t>
      </w:r>
      <w:r w:rsidR="00BB05BE">
        <w:t>o</w:t>
      </w:r>
      <w:r>
        <w:t xml:space="preserve">ne of the </w:t>
      </w:r>
      <w:r>
        <w:rPr>
          <w:i/>
          <w:iCs/>
        </w:rPr>
        <w:t>Confessions</w:t>
      </w:r>
      <w:r>
        <w:t xml:space="preserve"> “my sin consisted in this, that I sought pleasure, sublimity, and not truth in God but in his creatures, in myself and other created beings”,</w:t>
      </w:r>
      <w:r>
        <w:rPr>
          <w:rStyle w:val="FootnoteReference"/>
        </w:rPr>
        <w:footnoteReference w:id="2"/>
      </w:r>
      <w:r>
        <w:t xml:space="preserve"> thus highlighting that early within the </w:t>
      </w:r>
      <w:r>
        <w:rPr>
          <w:i/>
          <w:iCs/>
        </w:rPr>
        <w:t>Confessions</w:t>
      </w:r>
      <w:r>
        <w:t xml:space="preserve"> Augustine was concerned with the significance that our attachment has and how this can lead to a rejection of God, and therefore leads to evil.</w:t>
      </w:r>
    </w:p>
    <w:p w14:paraId="7E9B0841" w14:textId="0BD5A7DB" w:rsidR="000D5042" w:rsidRDefault="00C32D1D">
      <w:r>
        <w:t xml:space="preserve">The psychological framework of Augustine’s notion of evil can also be seen within the </w:t>
      </w:r>
      <w:r>
        <w:rPr>
          <w:i/>
          <w:iCs/>
        </w:rPr>
        <w:t xml:space="preserve">Confessions </w:t>
      </w:r>
      <w:r>
        <w:t xml:space="preserve">in </w:t>
      </w:r>
      <w:r w:rsidR="009A107D">
        <w:t>book two</w:t>
      </w:r>
      <w:r>
        <w:t>, specifically within the story of the pear theft. Augustine provides three arguments for the justification of the theft and therefore explanations for evil. The first justification for sin that Augustine provides is that love has been twisted to the material world, where Augustine explains that he stole the pears because the “fruit was beautiful”.</w:t>
      </w:r>
      <w:r>
        <w:rPr>
          <w:rStyle w:val="FootnoteReference"/>
        </w:rPr>
        <w:footnoteReference w:id="3"/>
      </w:r>
      <w:r>
        <w:t xml:space="preserve"> This highlights that Augustine’s notion of evil is linked to the love of material objects for the items themselves rather than the loving creation from God. The second justification that Augustine provides is that evil is a result of the soul turning into itself. This is linked to pride, and is referred to as the imitation argument where an individual participates in sin as a way to imitate virtue.</w:t>
      </w:r>
      <w:r>
        <w:rPr>
          <w:rStyle w:val="FootnoteReference"/>
        </w:rPr>
        <w:footnoteReference w:id="4"/>
      </w:r>
      <w:r>
        <w:t xml:space="preserve"> This is highlighted within the </w:t>
      </w:r>
      <w:r>
        <w:rPr>
          <w:i/>
          <w:iCs/>
        </w:rPr>
        <w:t xml:space="preserve">Confessions </w:t>
      </w:r>
      <w:r>
        <w:t>in book two: “pride imitates what is lofty”.</w:t>
      </w:r>
      <w:r>
        <w:rPr>
          <w:rStyle w:val="FootnoteReference"/>
        </w:rPr>
        <w:footnoteReference w:id="5"/>
      </w:r>
      <w:r>
        <w:t xml:space="preserve"> Furthermore Gaul argues that participating in sin is an attempt to achieve what is normally only available with the help of God but at the same time also wants to reject God.</w:t>
      </w:r>
      <w:r>
        <w:rPr>
          <w:rStyle w:val="FootnoteReference"/>
        </w:rPr>
        <w:footnoteReference w:id="6"/>
      </w:r>
      <w:r>
        <w:t xml:space="preserve"> The final justification for sin that Augustine provides in book two is that love is directed towards other people rather than directed to God.</w:t>
      </w:r>
      <w:r>
        <w:rPr>
          <w:rStyle w:val="FootnoteReference"/>
        </w:rPr>
        <w:footnoteReference w:id="7"/>
      </w:r>
      <w:r>
        <w:t xml:space="preserve"> This is known as the consortium argument,</w:t>
      </w:r>
      <w:r>
        <w:rPr>
          <w:rStyle w:val="FootnoteReference"/>
        </w:rPr>
        <w:footnoteReference w:id="8"/>
      </w:r>
      <w:r>
        <w:t xml:space="preserve"> which emphasizes the social aspect of sin, which Augustine highlights in the </w:t>
      </w:r>
      <w:r>
        <w:rPr>
          <w:i/>
          <w:iCs/>
        </w:rPr>
        <w:t>Confessions</w:t>
      </w:r>
      <w:r>
        <w:t>:</w:t>
      </w:r>
      <w:r>
        <w:rPr>
          <w:i/>
          <w:iCs/>
        </w:rPr>
        <w:t xml:space="preserve"> </w:t>
      </w:r>
      <w:r>
        <w:t>“but alone I would not have done it, could not conceivably have done it by myself”.</w:t>
      </w:r>
      <w:r>
        <w:rPr>
          <w:rStyle w:val="FootnoteReference"/>
        </w:rPr>
        <w:footnoteReference w:id="9"/>
      </w:r>
      <w:r>
        <w:t xml:space="preserve"> Throughout the </w:t>
      </w:r>
      <w:r>
        <w:rPr>
          <w:i/>
          <w:iCs/>
        </w:rPr>
        <w:t xml:space="preserve">Confessions </w:t>
      </w:r>
      <w:r>
        <w:t xml:space="preserve">Augustine places significant importance on friendship; first in book two, where he depicts friendship as a motivator of evil, and later in </w:t>
      </w:r>
      <w:r w:rsidR="00BB05BE">
        <w:t>b</w:t>
      </w:r>
      <w:r>
        <w:t xml:space="preserve">ook </w:t>
      </w:r>
      <w:r w:rsidR="00BB05BE">
        <w:t>n</w:t>
      </w:r>
      <w:r>
        <w:t xml:space="preserve">ine of the </w:t>
      </w:r>
      <w:r>
        <w:rPr>
          <w:i/>
          <w:iCs/>
        </w:rPr>
        <w:t>Confessions</w:t>
      </w:r>
      <w:r>
        <w:t xml:space="preserve"> where</w:t>
      </w:r>
      <w:r>
        <w:rPr>
          <w:i/>
          <w:iCs/>
        </w:rPr>
        <w:t xml:space="preserve"> </w:t>
      </w:r>
      <w:r>
        <w:t xml:space="preserve">friendship is portrayed in a better light, with Augustine’s conversion with his friends.  These three elements that make up the psychological framework help in explaining Augustine’s notion of evil as it provides reasoning to why evil takes place, which is mainly as a rejection of God. </w:t>
      </w:r>
    </w:p>
    <w:p w14:paraId="1C98B09C" w14:textId="77777777" w:rsidR="000D5042" w:rsidRDefault="00C32D1D">
      <w:r>
        <w:lastRenderedPageBreak/>
        <w:t>Augustine’s notion of evil can therefore be seen as an effective argument when considering the causes of evil, as his argument highlights the significance of individual choice and the role this has on the existence of evil. As a result of this, Augustine’s notion of evil can be considered a more effective argument for the existence of evil over Platonism and Manichaeism, because unlike Augustine neither Platonism nor Manichaeism attempt to provide an explanation as to why evil exists and therefore they both fail to adequately address the depth and scope of evil, which in turn trivializes its complex character.</w:t>
      </w:r>
      <w:r>
        <w:rPr>
          <w:rStyle w:val="FootnoteReference"/>
        </w:rPr>
        <w:footnoteReference w:id="10"/>
      </w:r>
      <w:r>
        <w:t xml:space="preserve"> In contrast to this, throughout his notion of evil Augustine addresses questions about evil such as where it comes from and why it exists, from which he concludes that evil is a privation rather than a substance within itself, and he considers the personal and individual characteristics of evil. Furthermore, by Augustine’s notion of evil highlighting the significance of individual choice when considering the causes of evil, it encourages individuals to review their own actions and the effects these may have had on the existence of evil. This can most clearly be seen within book two of the </w:t>
      </w:r>
      <w:r>
        <w:rPr>
          <w:i/>
          <w:iCs/>
        </w:rPr>
        <w:t xml:space="preserve">Confessions </w:t>
      </w:r>
      <w:r>
        <w:t>as Augustine provides many examples of evil being a result of individual choice by choosing to reject God, and instead following one’s own desires and choosing pride over anything else. As a result of the reasons highlighted above, Augustine’s notion of evil can be considered an effective argument in explaining the notion of evil as it is more direct than that of Platonism,</w:t>
      </w:r>
      <w:r>
        <w:rPr>
          <w:rStyle w:val="FootnoteReference"/>
        </w:rPr>
        <w:footnoteReference w:id="11"/>
      </w:r>
      <w:r>
        <w:t xml:space="preserve"> and it allows for personal responsibility which can therefore lead to a change in one’s actions.</w:t>
      </w:r>
    </w:p>
    <w:p w14:paraId="28BC020D" w14:textId="77777777" w:rsidR="000D5042" w:rsidRDefault="00C32D1D">
      <w:r>
        <w:t>Despite the above strengths of Augustine’s psychological framework for his notion of evil, there are however also criticisms of this framework, one being that it is unable to characterise the paradigmatic cases of evil, particularly that related to moral evils.</w:t>
      </w:r>
      <w:r>
        <w:rPr>
          <w:rStyle w:val="FootnoteReference"/>
        </w:rPr>
        <w:footnoteReference w:id="12"/>
      </w:r>
      <w:r>
        <w:t xml:space="preserve"> This is because it is not sufficient to argue that all cases of evil are only a lack of goodness as a result of rejecting God. In some </w:t>
      </w:r>
      <w:proofErr w:type="gramStart"/>
      <w:r>
        <w:t>cases</w:t>
      </w:r>
      <w:proofErr w:type="gramEnd"/>
      <w:r>
        <w:t xml:space="preserve"> there must be a desire to create evil rather than trying to imitate God and the power that He has, which is suggested by Augustine’s psychological framework of evil. One example that can be used to demonstrate this is that pain is more than just a lack of pleasure but instead is a feeling within itself, as a lack of physical feeling is paralysis.</w:t>
      </w:r>
      <w:r>
        <w:rPr>
          <w:rStyle w:val="FootnoteReference"/>
        </w:rPr>
        <w:footnoteReference w:id="13"/>
      </w:r>
      <w:r>
        <w:t xml:space="preserve"> Consequently it can also be argued that like pain, evil is more than just a lack of goodness but instead is a substance within itself. This point can be further developed by looking at torture as an example of evil. This is because torture is an extreme evil and by following Augustine’s notion of evil it would be too simplistic to argue that in cases of torture it is only a lack of goodness present that results in the pain and evil caused, but instead there must be a positive evil present to result in so much pain being caused. Furthermore, Augustine’s notion of evil is unable to distinguish a difference between different types of evil. For example, when considering the moral difference between murder and allowing starvation, if following Augustine’s notion of evil, it would have to be concluded that both are equally evil as both result in death and are therefore a non-fulfilment of duties. However, many people would argue that murder is a greater evil as there is an active, and intended, non-fulfilment of duties. As a result, to separate the different types of evil we refer to the intention of someone doing evil, for example, in book two of the Confessions when Augustine stated that “my desire was to enjoy what I sought by stealing”.</w:t>
      </w:r>
      <w:r>
        <w:rPr>
          <w:rStyle w:val="FootnoteReference"/>
        </w:rPr>
        <w:footnoteReference w:id="14"/>
      </w:r>
      <w:r>
        <w:t xml:space="preserve"> To separate different types of evil by an individual’s intention, it can therefore be argued that there is a desire present, and a desire is the opposite to a privation.</w:t>
      </w:r>
      <w:r>
        <w:rPr>
          <w:rStyle w:val="FootnoteReference"/>
        </w:rPr>
        <w:footnoteReference w:id="15"/>
      </w:r>
      <w:r>
        <w:t xml:space="preserve"> Therefore Augustine’s framework of evil fails to explain many examples of evil and distinguish between different types of evil as his notion is too simplistic and is unable to explain more extreme examples of evil, such as torture.</w:t>
      </w:r>
    </w:p>
    <w:p w14:paraId="4FA77B19" w14:textId="77777777" w:rsidR="000D5042" w:rsidRDefault="00C32D1D">
      <w:r>
        <w:lastRenderedPageBreak/>
        <w:t>The second framework that Augustine uses to explain his notion of evil is the ontological framework. Within this framework Augustine argues that evil is a deficiency, rather than a substance itself.</w:t>
      </w:r>
      <w:r>
        <w:rPr>
          <w:rStyle w:val="FootnoteReference"/>
        </w:rPr>
        <w:footnoteReference w:id="16"/>
      </w:r>
      <w:r>
        <w:t xml:space="preserve"> This is the first of Augustine’s three theses of evil, along with moral evil being a result of free will, and that all suffering is morally justified.</w:t>
      </w:r>
      <w:r>
        <w:rPr>
          <w:rStyle w:val="FootnoteReference"/>
        </w:rPr>
        <w:footnoteReference w:id="17"/>
      </w:r>
      <w:r>
        <w:t xml:space="preserve"> Within this argument that evil is a privation Augustine starts with the thesis that as God is omnipotent and omnibenevolent, He would not allow evil to exist and so instead evil must be a privation of His goodness. This can again be demonstrated throughout the story of the stolen pears as Augustine asserts that it was the rejection, and therefore lack of God’s goodness that caused Augustine and his peers to steal the pears. This highlights again that the story of the pear theft is a significant reference for Augustine’s notion of evil and also demonstrates that from an early point Augustine was concerned with the problem and nature of evil.</w:t>
      </w:r>
      <w:r>
        <w:rPr>
          <w:rStyle w:val="FootnoteReference"/>
        </w:rPr>
        <w:footnoteReference w:id="18"/>
      </w:r>
    </w:p>
    <w:p w14:paraId="672A47C5" w14:textId="7BDAF052" w:rsidR="000D5042" w:rsidRDefault="00C32D1D">
      <w:r>
        <w:t xml:space="preserve">Augustine’s ontological framework of evil can be seen throughout the </w:t>
      </w:r>
      <w:r>
        <w:rPr>
          <w:i/>
          <w:iCs/>
        </w:rPr>
        <w:t>Confessions</w:t>
      </w:r>
      <w:r>
        <w:t xml:space="preserve"> and is formally introduced within book three, “I did not know that evil has no existence except as a privation of good, down to that level which is altogether without being”.</w:t>
      </w:r>
      <w:r>
        <w:rPr>
          <w:rStyle w:val="FootnoteReference"/>
        </w:rPr>
        <w:footnoteReference w:id="19"/>
      </w:r>
      <w:r>
        <w:t xml:space="preserve"> Here, Augustine’s ideas on evil depart from that presented from the </w:t>
      </w:r>
      <w:proofErr w:type="spellStart"/>
      <w:r>
        <w:t>Manichees</w:t>
      </w:r>
      <w:proofErr w:type="spellEnd"/>
      <w:r>
        <w:t>, as rather than maintaining the idea of there being a good and an evil force, instead Augustine rejects the idea of an evil force as it would compromise God’s characteristics. As an alternative, Augustine argues that evil does not exist as a substance because it is nothing, a privation of goodness,</w:t>
      </w:r>
      <w:r>
        <w:rPr>
          <w:rStyle w:val="FootnoteReference"/>
        </w:rPr>
        <w:footnoteReference w:id="20"/>
      </w:r>
      <w:r>
        <w:t xml:space="preserve"> however Augustine does still acknowledge that evil does exist in the sense that it affects the world. Within book three of the </w:t>
      </w:r>
      <w:r>
        <w:rPr>
          <w:i/>
          <w:iCs/>
        </w:rPr>
        <w:t xml:space="preserve">Confessions </w:t>
      </w:r>
      <w:r>
        <w:t xml:space="preserve">Augustine suggests that the ideas that are presented by the </w:t>
      </w:r>
      <w:proofErr w:type="spellStart"/>
      <w:r>
        <w:t>Manichees</w:t>
      </w:r>
      <w:proofErr w:type="spellEnd"/>
      <w:r>
        <w:t xml:space="preserve"> are evil as they lack goodness, in this case truth: “their hearts were empty of truth”.</w:t>
      </w:r>
      <w:r>
        <w:rPr>
          <w:rStyle w:val="FootnoteReference"/>
        </w:rPr>
        <w:footnoteReference w:id="21"/>
      </w:r>
      <w:r>
        <w:t xml:space="preserve"> Augustine develops on this by stating that the </w:t>
      </w:r>
      <w:proofErr w:type="spellStart"/>
      <w:r>
        <w:t>Manichees</w:t>
      </w:r>
      <w:proofErr w:type="spellEnd"/>
      <w:r>
        <w:t xml:space="preserve"> “uttered false statements”</w:t>
      </w:r>
      <w:r>
        <w:rPr>
          <w:rStyle w:val="FootnoteReference"/>
        </w:rPr>
        <w:footnoteReference w:id="22"/>
      </w:r>
      <w:r>
        <w:t xml:space="preserve"> about God and creation with no desire to learn of the truth. These comments about the </w:t>
      </w:r>
      <w:proofErr w:type="spellStart"/>
      <w:r>
        <w:t>Manichees</w:t>
      </w:r>
      <w:proofErr w:type="spellEnd"/>
      <w:r>
        <w:t xml:space="preserve"> within book three also once again highlight Augustine’s idea on how pride is the key factor in causing evil. This is because Augustine highlights how the </w:t>
      </w:r>
      <w:proofErr w:type="spellStart"/>
      <w:r>
        <w:t>Manichees</w:t>
      </w:r>
      <w:proofErr w:type="spellEnd"/>
      <w:r>
        <w:t xml:space="preserve"> believe that they are correct and refuse to consider different explanations for the cause of </w:t>
      </w:r>
      <w:r w:rsidR="009A107D">
        <w:t>evil and</w:t>
      </w:r>
      <w:r>
        <w:t xml:space="preserve"> reflects on his own personal issues with pride</w:t>
      </w:r>
      <w:r w:rsidR="009A107D">
        <w:t>:</w:t>
      </w:r>
      <w:r>
        <w:t xml:space="preserve"> “puffed up with pride I considered myself a mature adult”.</w:t>
      </w:r>
      <w:r>
        <w:rPr>
          <w:rStyle w:val="FootnoteReference"/>
        </w:rPr>
        <w:footnoteReference w:id="23"/>
      </w:r>
      <w:r>
        <w:t xml:space="preserve"> A further example of evil that Augustine highlights in book three of the </w:t>
      </w:r>
      <w:r>
        <w:rPr>
          <w:i/>
          <w:iCs/>
        </w:rPr>
        <w:t xml:space="preserve">Confessions </w:t>
      </w:r>
      <w:r>
        <w:t>was the three types of wickedness. Here Augustine highlights that the relationship that we should have with God is “polluted by a perversion of sexual desire”.</w:t>
      </w:r>
      <w:r>
        <w:rPr>
          <w:rStyle w:val="FootnoteReference"/>
        </w:rPr>
        <w:footnoteReference w:id="24"/>
      </w:r>
      <w:r>
        <w:t xml:space="preserve"> This is therefore an example of where Augustine highlights that evil is a result of not having something that should naturally be there to allow for something to flourish;</w:t>
      </w:r>
      <w:r>
        <w:rPr>
          <w:rStyle w:val="FootnoteReference"/>
        </w:rPr>
        <w:footnoteReference w:id="25"/>
      </w:r>
      <w:r>
        <w:t xml:space="preserve"> in this example there is the lack of a relationship with God that we need to flourish.  The examples that Augustine uses within book three of the </w:t>
      </w:r>
      <w:r>
        <w:rPr>
          <w:i/>
          <w:iCs/>
        </w:rPr>
        <w:t xml:space="preserve">Confessions </w:t>
      </w:r>
      <w:r>
        <w:t xml:space="preserve">therefore highlight his notion of evil as being a privation of goodness, as during this time Augustine rejected the teaching of God as he was invested in the Manichean notion of evil. Furthermore, the ideas presented within book three also highlight how Augustine’s three theses of evil are interconnected, with people choosing to reject God which leads to a privation of His goodness, and therefore results in evil.  </w:t>
      </w:r>
    </w:p>
    <w:p w14:paraId="5C103AAA" w14:textId="77777777" w:rsidR="000D5042" w:rsidRDefault="00C32D1D">
      <w:r>
        <w:t xml:space="preserve">As a result of Augustine’s ontological framework of evil, it can be considered that Augustine’s notion of evil is effective as it is compatible with Christian theism. This is because by accepting Augustine’s </w:t>
      </w:r>
      <w:r>
        <w:lastRenderedPageBreak/>
        <w:t>argument that evil is a privation rather than a substance within itself, we can also accept God’s attributes of omnibenevolence (all-loving) and omnipotence (all-powerful). This is significant as without Augustine’s privation of evil theory we are left with the problem of evil, which questions how there can be an omnibenevolent, omnipotent God, as well as the existence of evil. This argument was highlighted by Mackie as he argues that it is impossible to have an omnibenevolent, omnipotent God, and evil, as if God was omnipotent, he could prevent evil and if he was also omnibenevolent then he would not allow evil.</w:t>
      </w:r>
      <w:r>
        <w:rPr>
          <w:rStyle w:val="FootnoteReference"/>
        </w:rPr>
        <w:footnoteReference w:id="26"/>
      </w:r>
      <w:r>
        <w:t xml:space="preserve"> However, Augustine’s privation of evil theory is able to overcome the challenge to God’s attributes that are presented by Mackie, as it takes away the existence of evil as a substance and therefore removes the issue of God allowing or not being powerful enough to remove evil, as how could God remove a privation? Consequently, Augustine’s ontological framework is effective as it is able to provide a convincing argument that deals with Mackie’s problem of evil and is therefore compatible with traditional theological ideas on God’s attributes.  </w:t>
      </w:r>
    </w:p>
    <w:p w14:paraId="75A76D63" w14:textId="7CFB1F46" w:rsidR="000D5042" w:rsidRDefault="00C32D1D">
      <w:r>
        <w:t>However, in response to Augustine’s ontological framework that states that evil is a deficiency of goodness, the opposite could also be argued: that goodness is the absence of evil.</w:t>
      </w:r>
      <w:r>
        <w:rPr>
          <w:rStyle w:val="FootnoteReference"/>
        </w:rPr>
        <w:footnoteReference w:id="27"/>
      </w:r>
      <w:r>
        <w:t xml:space="preserve"> Although the argument may seem a peculiar </w:t>
      </w:r>
      <w:r w:rsidR="009A107D">
        <w:t xml:space="preserve">assertion </w:t>
      </w:r>
      <w:r>
        <w:t>to make, when considering the effectiveness of the privation of evil theory it has the same arguments that Augustine presents, that one of the substances of goodness or evil does not exist. However, this argument is limited as it is much easier to conceptualise goodness without evil than it is to conceptualise evil without goodness. This can be highlighted through the example of health.</w:t>
      </w:r>
      <w:r>
        <w:rPr>
          <w:rStyle w:val="FootnoteReference"/>
        </w:rPr>
        <w:footnoteReference w:id="28"/>
      </w:r>
      <w:r>
        <w:t xml:space="preserve"> This is because we can accept that we have good health without the experience of having ill health, however, would we be able to know what good health was without experiencing it? Although this argument is not significant enough to reject Augustine’s ontological framework of evil, it is worth considering other theories concerning the problem of evil. As a result, Augustine’s privation of evil theory is successful in providing an explanation for the ‘existence’ of evil as it provides an account that is compatible with theism. </w:t>
      </w:r>
    </w:p>
    <w:p w14:paraId="331C62CE" w14:textId="77777777" w:rsidR="000D5042" w:rsidRDefault="00C32D1D">
      <w:r>
        <w:t xml:space="preserve">In conclusion, Augustine’s notion of evil, when viewed by considering the psychological and ontological frameworks, is valuable for two main reasons: it results in people having to take individual responsibility for their actions and the consequences, and it is compatible with Christian theism and the characteristics of God. However, while Augustine is able to provide examples throughout the </w:t>
      </w:r>
      <w:r>
        <w:rPr>
          <w:i/>
          <w:iCs/>
        </w:rPr>
        <w:t xml:space="preserve">Confessions </w:t>
      </w:r>
      <w:r>
        <w:t xml:space="preserve">of his notion of evil, such as the example of the pear theft in book two and the example of sexual desires in book three, Augustine’s notion of evil is not able to effectively explain all forms of evil. This is because some cases of evil must be more than a lack of goodness because of the pain and suffering that is caused as a result, the most notable example being torture. Consequently, Augustine’s notion of evil is effective to an extent when considering his ontological and psychological framework, however his ideas do not go far enough or acknowledge the more extreme forms of evil. </w:t>
      </w:r>
    </w:p>
    <w:p w14:paraId="63074BC8" w14:textId="7EFC5A00" w:rsidR="000D5042" w:rsidRDefault="00C32D1D">
      <w:pPr>
        <w:jc w:val="right"/>
      </w:pPr>
      <w:r>
        <w:t>Word Count: 2</w:t>
      </w:r>
      <w:r w:rsidR="009A107D">
        <w:t>386</w:t>
      </w:r>
    </w:p>
    <w:p w14:paraId="29F3146B" w14:textId="77777777" w:rsidR="000D5042" w:rsidRDefault="000D5042">
      <w:pPr>
        <w:jc w:val="right"/>
      </w:pPr>
    </w:p>
    <w:p w14:paraId="6D6321C3" w14:textId="77777777" w:rsidR="000D5042" w:rsidRDefault="000D5042">
      <w:pPr>
        <w:jc w:val="right"/>
      </w:pPr>
    </w:p>
    <w:p w14:paraId="0F132E54" w14:textId="77777777" w:rsidR="000D5042" w:rsidRDefault="000D5042">
      <w:pPr>
        <w:jc w:val="right"/>
      </w:pPr>
    </w:p>
    <w:p w14:paraId="6DE502FC" w14:textId="77777777" w:rsidR="000D5042" w:rsidRDefault="000D5042">
      <w:pPr>
        <w:jc w:val="right"/>
      </w:pPr>
    </w:p>
    <w:p w14:paraId="05B07FC7" w14:textId="77777777" w:rsidR="000D5042" w:rsidRDefault="000D5042">
      <w:pPr>
        <w:pStyle w:val="Heading2"/>
      </w:pPr>
    </w:p>
    <w:p w14:paraId="5F229D14" w14:textId="77777777" w:rsidR="000D5042" w:rsidRDefault="000D5042"/>
    <w:p w14:paraId="4DF0F36A" w14:textId="77777777" w:rsidR="000D5042" w:rsidRDefault="00C32D1D">
      <w:r>
        <w:t>Bibliography:</w:t>
      </w:r>
    </w:p>
    <w:p w14:paraId="2FB6F99C" w14:textId="77777777" w:rsidR="000D5042" w:rsidRDefault="00C32D1D">
      <w:pPr>
        <w:pStyle w:val="ListParagraph"/>
        <w:numPr>
          <w:ilvl w:val="0"/>
          <w:numId w:val="1"/>
        </w:numPr>
      </w:pPr>
      <w:r>
        <w:t xml:space="preserve">Beebe, J. </w:t>
      </w:r>
      <w:r>
        <w:rPr>
          <w:i/>
          <w:iCs/>
        </w:rPr>
        <w:t xml:space="preserve">Logical Problem if Evil, </w:t>
      </w:r>
      <w:r>
        <w:t xml:space="preserve">date unknown, &lt; </w:t>
      </w:r>
      <w:hyperlink r:id="rId7" w:anchor="H7" w:history="1">
        <w:r>
          <w:rPr>
            <w:rStyle w:val="Hyperlink"/>
          </w:rPr>
          <w:t>https://iep.utm.edu/evil-log/#H7</w:t>
        </w:r>
      </w:hyperlink>
      <w:r>
        <w:t>&gt; [Accessed 08</w:t>
      </w:r>
      <w:r>
        <w:rPr>
          <w:vertAlign w:val="superscript"/>
        </w:rPr>
        <w:t>th</w:t>
      </w:r>
      <w:r>
        <w:t xml:space="preserve"> February 2021].</w:t>
      </w:r>
    </w:p>
    <w:p w14:paraId="19928FD2" w14:textId="77777777" w:rsidR="000D5042" w:rsidRDefault="00C32D1D">
      <w:pPr>
        <w:pStyle w:val="ListParagraph"/>
        <w:numPr>
          <w:ilvl w:val="0"/>
          <w:numId w:val="1"/>
        </w:numPr>
      </w:pPr>
      <w:r>
        <w:rPr>
          <w:rFonts w:cs="Calibri"/>
        </w:rPr>
        <w:t xml:space="preserve">Calder, T. ‘Is the Privation Theory of Evil Dead?’ </w:t>
      </w:r>
      <w:r>
        <w:rPr>
          <w:rFonts w:cs="Calibri"/>
          <w:i/>
          <w:iCs/>
        </w:rPr>
        <w:t xml:space="preserve">American Philosophical Quarterly, </w:t>
      </w:r>
      <w:r>
        <w:rPr>
          <w:rFonts w:cs="Calibri"/>
        </w:rPr>
        <w:t>44 (4) (2007) pp. 371-381 &lt;</w:t>
      </w:r>
      <w:hyperlink r:id="rId8" w:history="1">
        <w:r>
          <w:rPr>
            <w:rStyle w:val="Hyperlink"/>
            <w:rFonts w:cs="Calibri"/>
            <w:spacing w:val="-5"/>
            <w:shd w:val="clear" w:color="auto" w:fill="FFFFFF"/>
          </w:rPr>
          <w:t>https://www.jstor.org/stable/20464387</w:t>
        </w:r>
      </w:hyperlink>
      <w:r>
        <w:rPr>
          <w:rFonts w:cs="Calibri"/>
          <w:spacing w:val="-5"/>
          <w:shd w:val="clear" w:color="auto" w:fill="FFFFFF"/>
        </w:rPr>
        <w:t>&gt; [Accessed 30</w:t>
      </w:r>
      <w:r>
        <w:rPr>
          <w:rFonts w:cs="Calibri"/>
          <w:spacing w:val="-5"/>
          <w:shd w:val="clear" w:color="auto" w:fill="FFFFFF"/>
          <w:vertAlign w:val="superscript"/>
        </w:rPr>
        <w:t>th</w:t>
      </w:r>
      <w:r>
        <w:rPr>
          <w:rFonts w:cs="Calibri"/>
          <w:spacing w:val="-5"/>
          <w:shd w:val="clear" w:color="auto" w:fill="FFFFFF"/>
        </w:rPr>
        <w:t xml:space="preserve"> January 2021]</w:t>
      </w:r>
    </w:p>
    <w:p w14:paraId="26A41CF8" w14:textId="77777777" w:rsidR="000D5042" w:rsidRDefault="00C32D1D">
      <w:pPr>
        <w:pStyle w:val="ListParagraph"/>
        <w:numPr>
          <w:ilvl w:val="0"/>
          <w:numId w:val="1"/>
        </w:numPr>
        <w:shd w:val="clear" w:color="auto" w:fill="FFFFFF"/>
        <w:suppressAutoHyphens w:val="0"/>
      </w:pPr>
      <w:r>
        <w:rPr>
          <w:rFonts w:cs="Calibri"/>
        </w:rPr>
        <w:t xml:space="preserve">King, P. ‘Augustine on Evil’, in </w:t>
      </w:r>
      <w:proofErr w:type="spellStart"/>
      <w:r>
        <w:rPr>
          <w:rFonts w:cs="Calibri"/>
        </w:rPr>
        <w:t>Chingnell</w:t>
      </w:r>
      <w:proofErr w:type="spellEnd"/>
      <w:r>
        <w:rPr>
          <w:rFonts w:cs="Calibri"/>
        </w:rPr>
        <w:t xml:space="preserve">. A (ed.) </w:t>
      </w:r>
      <w:r>
        <w:rPr>
          <w:rFonts w:cs="Calibri"/>
          <w:i/>
          <w:iCs/>
        </w:rPr>
        <w:t>Evil: A History</w:t>
      </w:r>
      <w:r>
        <w:rPr>
          <w:rFonts w:cs="Calibri"/>
        </w:rPr>
        <w:t xml:space="preserve">. (New York: Oxford University Press, 2019)  </w:t>
      </w:r>
    </w:p>
    <w:p w14:paraId="00F819FC" w14:textId="77777777" w:rsidR="000D5042" w:rsidRDefault="00C32D1D">
      <w:pPr>
        <w:pStyle w:val="ListParagraph"/>
        <w:numPr>
          <w:ilvl w:val="0"/>
          <w:numId w:val="1"/>
        </w:numPr>
        <w:shd w:val="clear" w:color="auto" w:fill="FFFFFF"/>
        <w:suppressAutoHyphens w:val="0"/>
      </w:pPr>
      <w:r>
        <w:rPr>
          <w:rFonts w:eastAsia="Times New Roman" w:cs="Calibri"/>
          <w:spacing w:val="-5"/>
          <w:lang w:eastAsia="en-GB"/>
        </w:rPr>
        <w:t xml:space="preserve">Maker, W. ‘Augustine on Evil: The Dilemma of the Philosophers’ </w:t>
      </w:r>
      <w:r>
        <w:rPr>
          <w:rFonts w:eastAsia="Times New Roman" w:cs="Calibri"/>
          <w:i/>
          <w:iCs/>
          <w:spacing w:val="-5"/>
          <w:lang w:eastAsia="en-GB"/>
        </w:rPr>
        <w:t xml:space="preserve">International Journal for Philosophy of Religion, </w:t>
      </w:r>
      <w:r>
        <w:rPr>
          <w:rFonts w:eastAsia="Times New Roman" w:cs="Calibri"/>
          <w:spacing w:val="-5"/>
          <w:lang w:eastAsia="en-GB"/>
        </w:rPr>
        <w:t>15 (3) (1984) pp. 149-160 &lt;</w:t>
      </w:r>
      <w:hyperlink r:id="rId9" w:history="1">
        <w:r>
          <w:rPr>
            <w:rStyle w:val="Hyperlink"/>
            <w:rFonts w:cs="Calibri"/>
            <w:spacing w:val="-5"/>
            <w:shd w:val="clear" w:color="auto" w:fill="FFFFFF"/>
          </w:rPr>
          <w:t>https://www.jstor.org/stable/40024973</w:t>
        </w:r>
      </w:hyperlink>
      <w:r>
        <w:rPr>
          <w:rFonts w:cs="Calibri"/>
          <w:spacing w:val="-5"/>
          <w:shd w:val="clear" w:color="auto" w:fill="FFFFFF"/>
        </w:rPr>
        <w:t>&gt; [Accessed 30</w:t>
      </w:r>
      <w:r>
        <w:rPr>
          <w:rFonts w:cs="Calibri"/>
          <w:spacing w:val="-5"/>
          <w:shd w:val="clear" w:color="auto" w:fill="FFFFFF"/>
          <w:vertAlign w:val="superscript"/>
        </w:rPr>
        <w:t>th</w:t>
      </w:r>
      <w:r>
        <w:rPr>
          <w:rFonts w:cs="Calibri"/>
          <w:spacing w:val="-5"/>
          <w:shd w:val="clear" w:color="auto" w:fill="FFFFFF"/>
        </w:rPr>
        <w:t xml:space="preserve"> January 2021]</w:t>
      </w:r>
      <w:r>
        <w:rPr>
          <w:rFonts w:cs="Calibri"/>
        </w:rPr>
        <w:t xml:space="preserve">  </w:t>
      </w:r>
    </w:p>
    <w:p w14:paraId="49097B63" w14:textId="77777777" w:rsidR="000D5042" w:rsidRDefault="00C32D1D">
      <w:pPr>
        <w:pStyle w:val="ListParagraph"/>
        <w:numPr>
          <w:ilvl w:val="0"/>
          <w:numId w:val="1"/>
        </w:numPr>
        <w:shd w:val="clear" w:color="auto" w:fill="FFFFFF"/>
        <w:suppressAutoHyphens w:val="0"/>
      </w:pPr>
      <w:r>
        <w:rPr>
          <w:rFonts w:cs="Calibri"/>
        </w:rPr>
        <w:t xml:space="preserve">Miller, R. ‘Evil, Friendship, and Iconic realism in Augustine’s “Confessions”’ </w:t>
      </w:r>
      <w:r>
        <w:rPr>
          <w:rFonts w:cs="Calibri"/>
          <w:i/>
          <w:iCs/>
        </w:rPr>
        <w:t>The Harvard Theological Review</w:t>
      </w:r>
      <w:r>
        <w:rPr>
          <w:rFonts w:cs="Calibri"/>
        </w:rPr>
        <w:t>, 104 (4) (2011) pp. 387-409 &lt;</w:t>
      </w:r>
      <w:hyperlink r:id="rId10" w:history="1">
        <w:r>
          <w:rPr>
            <w:rStyle w:val="Hyperlink"/>
            <w:rFonts w:cs="Calibri"/>
            <w:spacing w:val="-5"/>
            <w:shd w:val="clear" w:color="auto" w:fill="FFFFFF"/>
          </w:rPr>
          <w:t>https://www.jstor.org/stable/41234096</w:t>
        </w:r>
      </w:hyperlink>
      <w:r>
        <w:rPr>
          <w:rFonts w:cs="Calibri"/>
          <w:spacing w:val="-5"/>
          <w:shd w:val="clear" w:color="auto" w:fill="FFFFFF"/>
        </w:rPr>
        <w:t>&gt;</w:t>
      </w:r>
      <w:r>
        <w:rPr>
          <w:rFonts w:cs="Calibri"/>
        </w:rPr>
        <w:t xml:space="preserve"> [Accessed 31</w:t>
      </w:r>
      <w:r>
        <w:rPr>
          <w:rFonts w:cs="Calibri"/>
          <w:vertAlign w:val="superscript"/>
        </w:rPr>
        <w:t>st</w:t>
      </w:r>
      <w:r>
        <w:rPr>
          <w:rFonts w:cs="Calibri"/>
        </w:rPr>
        <w:t xml:space="preserve"> January 2021]</w:t>
      </w:r>
    </w:p>
    <w:p w14:paraId="0BCF7091" w14:textId="77777777" w:rsidR="000D5042" w:rsidRDefault="00C32D1D">
      <w:pPr>
        <w:pStyle w:val="ListParagraph"/>
        <w:numPr>
          <w:ilvl w:val="0"/>
          <w:numId w:val="1"/>
        </w:numPr>
      </w:pPr>
      <w:r>
        <w:rPr>
          <w:rFonts w:cs="Calibri"/>
        </w:rPr>
        <w:t>Strozynski, M. ‘The Fall of the Soul in Book Two of Augustine’s “Confessions”’,</w:t>
      </w:r>
      <w:r>
        <w:rPr>
          <w:rFonts w:cs="Calibri"/>
          <w:i/>
          <w:iCs/>
        </w:rPr>
        <w:t xml:space="preserve"> Vigiliae Christianae</w:t>
      </w:r>
      <w:r>
        <w:rPr>
          <w:rFonts w:cs="Calibri"/>
        </w:rPr>
        <w:t>, 70 (1) (2016) pp 77-100. &lt;</w:t>
      </w:r>
      <w:hyperlink r:id="rId11" w:history="1">
        <w:r>
          <w:rPr>
            <w:rStyle w:val="Hyperlink"/>
            <w:rFonts w:cs="Calibri"/>
            <w:spacing w:val="-5"/>
            <w:shd w:val="clear" w:color="auto" w:fill="FFFFFF"/>
          </w:rPr>
          <w:t>https://www.jstor.org/stable/24754433</w:t>
        </w:r>
      </w:hyperlink>
      <w:r>
        <w:rPr>
          <w:rFonts w:cs="Calibri"/>
          <w:spacing w:val="-5"/>
          <w:shd w:val="clear" w:color="auto" w:fill="FFFFFF"/>
        </w:rPr>
        <w:t xml:space="preserve">&gt; </w:t>
      </w:r>
      <w:r>
        <w:rPr>
          <w:rFonts w:cs="Calibri"/>
        </w:rPr>
        <w:t>[Accessed 31</w:t>
      </w:r>
      <w:r>
        <w:rPr>
          <w:rFonts w:cs="Calibri"/>
          <w:vertAlign w:val="superscript"/>
        </w:rPr>
        <w:t>st</w:t>
      </w:r>
      <w:r>
        <w:rPr>
          <w:rFonts w:cs="Calibri"/>
        </w:rPr>
        <w:t xml:space="preserve"> January 2021] </w:t>
      </w:r>
    </w:p>
    <w:p w14:paraId="301E2353" w14:textId="77777777" w:rsidR="000D5042" w:rsidRDefault="00C32D1D">
      <w:pPr>
        <w:pStyle w:val="ListParagraph"/>
        <w:numPr>
          <w:ilvl w:val="0"/>
          <w:numId w:val="1"/>
        </w:numPr>
      </w:pPr>
      <w:proofErr w:type="spellStart"/>
      <w:r>
        <w:t>Tooly</w:t>
      </w:r>
      <w:proofErr w:type="spellEnd"/>
      <w:r>
        <w:t xml:space="preserve">, M. </w:t>
      </w:r>
      <w:r>
        <w:rPr>
          <w:i/>
          <w:iCs/>
        </w:rPr>
        <w:t>The Problem of Evil</w:t>
      </w:r>
      <w:r>
        <w:t xml:space="preserve">, 2015,&lt; </w:t>
      </w:r>
      <w:hyperlink r:id="rId12" w:history="1">
        <w:r>
          <w:rPr>
            <w:rStyle w:val="Hyperlink"/>
          </w:rPr>
          <w:t>https://plato.stanford.edu/entries/evil/</w:t>
        </w:r>
      </w:hyperlink>
      <w:r>
        <w:t>&gt; [Accessed 8</w:t>
      </w:r>
      <w:r>
        <w:rPr>
          <w:vertAlign w:val="superscript"/>
        </w:rPr>
        <w:t>th</w:t>
      </w:r>
      <w:r>
        <w:t xml:space="preserve"> February 2021]</w:t>
      </w:r>
    </w:p>
    <w:p w14:paraId="0F3DE6EB" w14:textId="77777777" w:rsidR="000D5042" w:rsidRDefault="00C32D1D">
      <w:pPr>
        <w:pStyle w:val="ListParagraph"/>
        <w:numPr>
          <w:ilvl w:val="0"/>
          <w:numId w:val="1"/>
        </w:numPr>
      </w:pPr>
      <w:proofErr w:type="spellStart"/>
      <w:r>
        <w:t>Tornau</w:t>
      </w:r>
      <w:proofErr w:type="spellEnd"/>
      <w:r>
        <w:t xml:space="preserve">, C. </w:t>
      </w:r>
      <w:r>
        <w:rPr>
          <w:i/>
          <w:iCs/>
        </w:rPr>
        <w:t xml:space="preserve">Saint Augustine, </w:t>
      </w:r>
      <w:r>
        <w:t>2019, &lt;</w:t>
      </w:r>
      <w:hyperlink r:id="rId13" w:history="1">
        <w:r>
          <w:rPr>
            <w:rStyle w:val="Hyperlink"/>
          </w:rPr>
          <w:t>https://plato.stanford.edu/entries/augustine/</w:t>
        </w:r>
      </w:hyperlink>
      <w:r>
        <w:t>&gt; [Accessed 8</w:t>
      </w:r>
      <w:r>
        <w:rPr>
          <w:vertAlign w:val="superscript"/>
        </w:rPr>
        <w:t>th</w:t>
      </w:r>
      <w:r>
        <w:t xml:space="preserve"> February 2021].</w:t>
      </w:r>
    </w:p>
    <w:p w14:paraId="54D08EF3" w14:textId="77777777" w:rsidR="000D5042" w:rsidRDefault="000D5042">
      <w:pPr>
        <w:pStyle w:val="ListParagraph"/>
      </w:pPr>
    </w:p>
    <w:sectPr w:rsidR="000D504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B79632" w14:textId="77777777" w:rsidR="00CD6B52" w:rsidRDefault="00CD6B52">
      <w:pPr>
        <w:spacing w:after="0"/>
      </w:pPr>
      <w:r>
        <w:separator/>
      </w:r>
    </w:p>
  </w:endnote>
  <w:endnote w:type="continuationSeparator" w:id="0">
    <w:p w14:paraId="60CBB3E8" w14:textId="77777777" w:rsidR="00CD6B52" w:rsidRDefault="00CD6B5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177122" w14:textId="77777777" w:rsidR="00CD6B52" w:rsidRDefault="00CD6B52">
      <w:pPr>
        <w:spacing w:after="0"/>
      </w:pPr>
      <w:r>
        <w:rPr>
          <w:color w:val="000000"/>
        </w:rPr>
        <w:separator/>
      </w:r>
    </w:p>
  </w:footnote>
  <w:footnote w:type="continuationSeparator" w:id="0">
    <w:p w14:paraId="7A830FB8" w14:textId="77777777" w:rsidR="00CD6B52" w:rsidRDefault="00CD6B52">
      <w:pPr>
        <w:spacing w:after="0"/>
      </w:pPr>
      <w:r>
        <w:continuationSeparator/>
      </w:r>
    </w:p>
  </w:footnote>
  <w:footnote w:id="1">
    <w:p w14:paraId="1ABDE7D1" w14:textId="77777777" w:rsidR="000D5042" w:rsidRDefault="00C32D1D">
      <w:pPr>
        <w:shd w:val="clear" w:color="auto" w:fill="FFFFFF"/>
        <w:suppressAutoHyphens w:val="0"/>
        <w:spacing w:after="0"/>
      </w:pPr>
      <w:r>
        <w:rPr>
          <w:rStyle w:val="FootnoteReference"/>
        </w:rPr>
        <w:footnoteRef/>
      </w:r>
      <w:r>
        <w:rPr>
          <w:sz w:val="20"/>
          <w:szCs w:val="20"/>
        </w:rPr>
        <w:t xml:space="preserve"> R. </w:t>
      </w:r>
      <w:r>
        <w:rPr>
          <w:rFonts w:cs="Calibri"/>
          <w:sz w:val="20"/>
          <w:szCs w:val="20"/>
        </w:rPr>
        <w:t xml:space="preserve">Miller, ‘Evil, Friendship, and Iconic realism in Augustine’s “Confessions”’ </w:t>
      </w:r>
      <w:r>
        <w:rPr>
          <w:rFonts w:cs="Calibri"/>
          <w:i/>
          <w:iCs/>
          <w:sz w:val="20"/>
          <w:szCs w:val="20"/>
        </w:rPr>
        <w:t>The Harvard Theological Review</w:t>
      </w:r>
      <w:r>
        <w:rPr>
          <w:rFonts w:cs="Calibri"/>
          <w:sz w:val="20"/>
          <w:szCs w:val="20"/>
        </w:rPr>
        <w:t>, 104 (4) (2011) pp. 387-409. (</w:t>
      </w:r>
      <w:r>
        <w:rPr>
          <w:sz w:val="20"/>
          <w:szCs w:val="20"/>
        </w:rPr>
        <w:t>p. 388).</w:t>
      </w:r>
    </w:p>
  </w:footnote>
  <w:footnote w:id="2">
    <w:p w14:paraId="0272FD4B" w14:textId="77777777" w:rsidR="000D5042" w:rsidRDefault="00C32D1D">
      <w:pPr>
        <w:pStyle w:val="FootnoteText"/>
      </w:pPr>
      <w:r>
        <w:rPr>
          <w:rStyle w:val="FootnoteReference"/>
        </w:rPr>
        <w:footnoteRef/>
      </w:r>
      <w:r>
        <w:t xml:space="preserve"> </w:t>
      </w:r>
      <w:r>
        <w:rPr>
          <w:i/>
          <w:iCs/>
        </w:rPr>
        <w:t>Confessions</w:t>
      </w:r>
      <w:r>
        <w:t>. Oxford World Classics. Trans. Chadwick, H. (Oxford: Oxford University Press, 2008) 1.20.31</w:t>
      </w:r>
    </w:p>
  </w:footnote>
  <w:footnote w:id="3">
    <w:p w14:paraId="106BDAD9" w14:textId="77777777" w:rsidR="000D5042" w:rsidRDefault="00C32D1D">
      <w:pPr>
        <w:pStyle w:val="FootnoteText"/>
      </w:pPr>
      <w:r>
        <w:rPr>
          <w:rStyle w:val="FootnoteReference"/>
        </w:rPr>
        <w:footnoteRef/>
      </w:r>
      <w:r>
        <w:t xml:space="preserve"> </w:t>
      </w:r>
      <w:r>
        <w:rPr>
          <w:i/>
          <w:iCs/>
        </w:rPr>
        <w:t>Confessions</w:t>
      </w:r>
      <w:r>
        <w:t>. 2.6.12</w:t>
      </w:r>
    </w:p>
  </w:footnote>
  <w:footnote w:id="4">
    <w:p w14:paraId="14B77DF2" w14:textId="77777777" w:rsidR="000D5042" w:rsidRDefault="00C32D1D">
      <w:pPr>
        <w:pStyle w:val="FootnoteText"/>
      </w:pPr>
      <w:r>
        <w:rPr>
          <w:rStyle w:val="FootnoteReference"/>
        </w:rPr>
        <w:footnoteRef/>
      </w:r>
      <w:r>
        <w:t xml:space="preserve"> M, </w:t>
      </w:r>
      <w:r>
        <w:rPr>
          <w:rFonts w:cs="Calibri"/>
        </w:rPr>
        <w:t>Strozynski. ‘The Fall of the Soul in Book Two of Augustine’s “Confessions”’,</w:t>
      </w:r>
      <w:r>
        <w:rPr>
          <w:rFonts w:cs="Calibri"/>
          <w:i/>
          <w:iCs/>
        </w:rPr>
        <w:t xml:space="preserve"> Vigiliae Christianae</w:t>
      </w:r>
      <w:r>
        <w:rPr>
          <w:rFonts w:cs="Calibri"/>
        </w:rPr>
        <w:t xml:space="preserve">, 70 (1) (2016) pp 77-100. </w:t>
      </w:r>
      <w:r>
        <w:t>(p. 90).</w:t>
      </w:r>
    </w:p>
  </w:footnote>
  <w:footnote w:id="5">
    <w:p w14:paraId="5E675F7D" w14:textId="77777777" w:rsidR="000D5042" w:rsidRDefault="00C32D1D">
      <w:pPr>
        <w:pStyle w:val="FootnoteText"/>
      </w:pPr>
      <w:r>
        <w:rPr>
          <w:rStyle w:val="FootnoteReference"/>
        </w:rPr>
        <w:footnoteRef/>
      </w:r>
      <w:r>
        <w:t xml:space="preserve"> </w:t>
      </w:r>
      <w:r>
        <w:rPr>
          <w:i/>
          <w:iCs/>
        </w:rPr>
        <w:t>Confessions</w:t>
      </w:r>
      <w:r>
        <w:t>. 2.6.13</w:t>
      </w:r>
    </w:p>
  </w:footnote>
  <w:footnote w:id="6">
    <w:p w14:paraId="3EC72F8D" w14:textId="77777777" w:rsidR="000D5042" w:rsidRDefault="00C32D1D">
      <w:pPr>
        <w:pStyle w:val="FootnoteText"/>
      </w:pPr>
      <w:r>
        <w:rPr>
          <w:rStyle w:val="FootnoteReference"/>
        </w:rPr>
        <w:footnoteRef/>
      </w:r>
      <w:r>
        <w:t xml:space="preserve"> M, </w:t>
      </w:r>
      <w:r>
        <w:rPr>
          <w:rFonts w:cs="Calibri"/>
        </w:rPr>
        <w:t>Strozynski. ‘The Fall of the Soul in Book Two of Augustine’s “Confessions”’</w:t>
      </w:r>
      <w:r>
        <w:t xml:space="preserve"> p. 90</w:t>
      </w:r>
    </w:p>
  </w:footnote>
  <w:footnote w:id="7">
    <w:p w14:paraId="7A7818B3" w14:textId="77777777" w:rsidR="000D5042" w:rsidRDefault="00C32D1D">
      <w:pPr>
        <w:pStyle w:val="FootnoteText"/>
      </w:pPr>
      <w:r>
        <w:rPr>
          <w:rStyle w:val="FootnoteReference"/>
        </w:rPr>
        <w:footnoteRef/>
      </w:r>
      <w:r>
        <w:t xml:space="preserve"> M, </w:t>
      </w:r>
      <w:r>
        <w:rPr>
          <w:rFonts w:cs="Calibri"/>
        </w:rPr>
        <w:t>Strozynski. ‘The Fall of the Soul in Book Two of Augustine’s “Confessions”’</w:t>
      </w:r>
      <w:r>
        <w:t xml:space="preserve"> p. 91-92</w:t>
      </w:r>
    </w:p>
  </w:footnote>
  <w:footnote w:id="8">
    <w:p w14:paraId="6C587B1E" w14:textId="77777777" w:rsidR="000D5042" w:rsidRDefault="00C32D1D">
      <w:pPr>
        <w:pStyle w:val="FootnoteText"/>
      </w:pPr>
      <w:r>
        <w:rPr>
          <w:rStyle w:val="FootnoteReference"/>
        </w:rPr>
        <w:footnoteRef/>
      </w:r>
      <w:r>
        <w:t xml:space="preserve"> M, </w:t>
      </w:r>
      <w:r>
        <w:rPr>
          <w:rFonts w:cs="Calibri"/>
        </w:rPr>
        <w:t>Strozynski. ‘The Fall of the Soul in Book Two of Augustine’s “Confessions”’</w:t>
      </w:r>
      <w:r>
        <w:t xml:space="preserve"> p. 91</w:t>
      </w:r>
    </w:p>
  </w:footnote>
  <w:footnote w:id="9">
    <w:p w14:paraId="197823EA" w14:textId="77777777" w:rsidR="000D5042" w:rsidRDefault="00C32D1D">
      <w:pPr>
        <w:pStyle w:val="FootnoteText"/>
      </w:pPr>
      <w:r>
        <w:rPr>
          <w:rStyle w:val="FootnoteReference"/>
        </w:rPr>
        <w:footnoteRef/>
      </w:r>
      <w:r>
        <w:t xml:space="preserve"> </w:t>
      </w:r>
      <w:r>
        <w:rPr>
          <w:i/>
          <w:iCs/>
        </w:rPr>
        <w:t>Confessions</w:t>
      </w:r>
      <w:r>
        <w:t>. 2.9.17</w:t>
      </w:r>
    </w:p>
  </w:footnote>
  <w:footnote w:id="10">
    <w:p w14:paraId="31067EC8" w14:textId="77777777" w:rsidR="000D5042" w:rsidRDefault="00C32D1D">
      <w:pPr>
        <w:shd w:val="clear" w:color="auto" w:fill="FFFFFF"/>
        <w:suppressAutoHyphens w:val="0"/>
        <w:spacing w:after="0"/>
      </w:pPr>
      <w:r>
        <w:rPr>
          <w:rStyle w:val="FootnoteReference"/>
        </w:rPr>
        <w:footnoteRef/>
      </w:r>
      <w:r>
        <w:rPr>
          <w:rFonts w:eastAsia="Times New Roman" w:cs="Calibri"/>
          <w:spacing w:val="-5"/>
          <w:sz w:val="20"/>
          <w:szCs w:val="20"/>
          <w:lang w:eastAsia="en-GB"/>
        </w:rPr>
        <w:t xml:space="preserve"> W. Maker, ‘Augustine on Evil: The Dilemma of the Philosophers’ </w:t>
      </w:r>
      <w:r>
        <w:rPr>
          <w:rFonts w:eastAsia="Times New Roman" w:cs="Calibri"/>
          <w:i/>
          <w:iCs/>
          <w:spacing w:val="-5"/>
          <w:sz w:val="20"/>
          <w:szCs w:val="20"/>
          <w:lang w:eastAsia="en-GB"/>
        </w:rPr>
        <w:t xml:space="preserve">International Journal for Philosophy of Religion, </w:t>
      </w:r>
      <w:r>
        <w:rPr>
          <w:rFonts w:eastAsia="Times New Roman" w:cs="Calibri"/>
          <w:spacing w:val="-5"/>
          <w:sz w:val="20"/>
          <w:szCs w:val="20"/>
          <w:lang w:eastAsia="en-GB"/>
        </w:rPr>
        <w:t>15 (3) (1984) pp. 149-160</w:t>
      </w:r>
      <w:r>
        <w:rPr>
          <w:sz w:val="20"/>
          <w:szCs w:val="20"/>
        </w:rPr>
        <w:t xml:space="preserve"> (p. 151).</w:t>
      </w:r>
      <w:r>
        <w:t xml:space="preserve"> </w:t>
      </w:r>
    </w:p>
  </w:footnote>
  <w:footnote w:id="11">
    <w:p w14:paraId="613A9007" w14:textId="77777777" w:rsidR="000D5042" w:rsidRDefault="00C32D1D">
      <w:pPr>
        <w:pStyle w:val="FootnoteText"/>
      </w:pPr>
      <w:r>
        <w:rPr>
          <w:rStyle w:val="FootnoteReference"/>
        </w:rPr>
        <w:footnoteRef/>
      </w:r>
      <w:r>
        <w:t xml:space="preserve"> </w:t>
      </w:r>
      <w:r>
        <w:rPr>
          <w:rFonts w:eastAsia="Times New Roman" w:cs="Calibri"/>
          <w:spacing w:val="-5"/>
          <w:lang w:eastAsia="en-GB"/>
        </w:rPr>
        <w:t>W. Maker, ‘Augustine on Evil: The Dilemma of the Philosophers’</w:t>
      </w:r>
      <w:r>
        <w:t xml:space="preserve"> p. 154.</w:t>
      </w:r>
    </w:p>
  </w:footnote>
  <w:footnote w:id="12">
    <w:p w14:paraId="1EB4406D" w14:textId="77777777" w:rsidR="000D5042" w:rsidRDefault="00C32D1D">
      <w:pPr>
        <w:pStyle w:val="FootnoteText"/>
      </w:pPr>
      <w:r>
        <w:rPr>
          <w:rStyle w:val="FootnoteReference"/>
        </w:rPr>
        <w:footnoteRef/>
      </w:r>
      <w:r>
        <w:t xml:space="preserve"> T. Calder, ‘Is the Privation Theory of Evil Dead?’ American Philosophical Quarterly, 44 (4) (2007) pp. 371-381 (p. 372).</w:t>
      </w:r>
    </w:p>
  </w:footnote>
  <w:footnote w:id="13">
    <w:p w14:paraId="04184DF3" w14:textId="77777777" w:rsidR="000D5042" w:rsidRDefault="00C32D1D">
      <w:pPr>
        <w:pStyle w:val="FootnoteText"/>
      </w:pPr>
      <w:r>
        <w:rPr>
          <w:rStyle w:val="FootnoteReference"/>
        </w:rPr>
        <w:footnoteRef/>
      </w:r>
      <w:r>
        <w:t xml:space="preserve"> T. Calder, ‘Is the Privation Theory of Evil Dead?’ p. 373.</w:t>
      </w:r>
    </w:p>
  </w:footnote>
  <w:footnote w:id="14">
    <w:p w14:paraId="3373072B" w14:textId="77777777" w:rsidR="000D5042" w:rsidRDefault="00C32D1D">
      <w:pPr>
        <w:pStyle w:val="FootnoteText"/>
      </w:pPr>
      <w:r>
        <w:rPr>
          <w:rStyle w:val="FootnoteReference"/>
        </w:rPr>
        <w:footnoteRef/>
      </w:r>
      <w:r>
        <w:t xml:space="preserve"> </w:t>
      </w:r>
      <w:r>
        <w:rPr>
          <w:i/>
          <w:iCs/>
        </w:rPr>
        <w:t>Confessions</w:t>
      </w:r>
      <w:r>
        <w:t>. 2.4.9</w:t>
      </w:r>
    </w:p>
  </w:footnote>
  <w:footnote w:id="15">
    <w:p w14:paraId="5EE6D6AF" w14:textId="77777777" w:rsidR="000D5042" w:rsidRDefault="00C32D1D">
      <w:pPr>
        <w:pStyle w:val="FootnoteText"/>
      </w:pPr>
      <w:r>
        <w:rPr>
          <w:rStyle w:val="FootnoteReference"/>
        </w:rPr>
        <w:footnoteRef/>
      </w:r>
      <w:r>
        <w:t xml:space="preserve"> T. Calder, ‘Is the Privation Theory of Evil Dead?’ p. 374.</w:t>
      </w:r>
    </w:p>
  </w:footnote>
  <w:footnote w:id="16">
    <w:p w14:paraId="58C6DE26" w14:textId="77777777" w:rsidR="000D5042" w:rsidRDefault="00C32D1D">
      <w:pPr>
        <w:pStyle w:val="FootnoteText"/>
      </w:pPr>
      <w:r>
        <w:rPr>
          <w:rStyle w:val="FootnoteReference"/>
        </w:rPr>
        <w:footnoteRef/>
      </w:r>
      <w:r>
        <w:t xml:space="preserve"> R. </w:t>
      </w:r>
      <w:r>
        <w:rPr>
          <w:rFonts w:cs="Calibri"/>
        </w:rPr>
        <w:t xml:space="preserve">Miller, ‘Evil, Friendship, and Iconic realism in Augustine’s “Confessions”’ </w:t>
      </w:r>
      <w:r>
        <w:t>p. 390.</w:t>
      </w:r>
    </w:p>
  </w:footnote>
  <w:footnote w:id="17">
    <w:p w14:paraId="60454B31" w14:textId="77777777" w:rsidR="000D5042" w:rsidRDefault="00C32D1D">
      <w:pPr>
        <w:pStyle w:val="FootnoteText"/>
      </w:pPr>
      <w:r>
        <w:rPr>
          <w:rStyle w:val="FootnoteReference"/>
        </w:rPr>
        <w:footnoteRef/>
      </w:r>
      <w:r>
        <w:t xml:space="preserve"> P. King, ‘Augustine on Evil’, in </w:t>
      </w:r>
      <w:proofErr w:type="spellStart"/>
      <w:r>
        <w:t>Chingnell</w:t>
      </w:r>
      <w:proofErr w:type="spellEnd"/>
      <w:r>
        <w:t>. A (ed.) Evil: A History. (New York: Oxford University Press, 2019) p. 156.</w:t>
      </w:r>
    </w:p>
  </w:footnote>
  <w:footnote w:id="18">
    <w:p w14:paraId="5D628C83" w14:textId="77777777" w:rsidR="000D5042" w:rsidRDefault="00C32D1D">
      <w:pPr>
        <w:pStyle w:val="FootnoteText"/>
      </w:pPr>
      <w:r>
        <w:rPr>
          <w:rStyle w:val="FootnoteReference"/>
        </w:rPr>
        <w:footnoteRef/>
      </w:r>
      <w:r>
        <w:t xml:space="preserve"> C. </w:t>
      </w:r>
      <w:proofErr w:type="spellStart"/>
      <w:r>
        <w:t>Tornau</w:t>
      </w:r>
      <w:proofErr w:type="spellEnd"/>
      <w:r>
        <w:t xml:space="preserve">, </w:t>
      </w:r>
      <w:r>
        <w:rPr>
          <w:i/>
          <w:iCs/>
        </w:rPr>
        <w:t xml:space="preserve">Saint Augustine, </w:t>
      </w:r>
      <w:r>
        <w:t xml:space="preserve">2019, &lt; </w:t>
      </w:r>
      <w:hyperlink r:id="rId1" w:history="1">
        <w:r>
          <w:rPr>
            <w:rStyle w:val="Hyperlink"/>
          </w:rPr>
          <w:t>https://plato.stanford.edu/entries/augustine/</w:t>
        </w:r>
      </w:hyperlink>
      <w:r>
        <w:t>&gt; [Accessed 8</w:t>
      </w:r>
      <w:r>
        <w:rPr>
          <w:vertAlign w:val="superscript"/>
        </w:rPr>
        <w:t>th</w:t>
      </w:r>
      <w:r>
        <w:t xml:space="preserve"> February 2021]</w:t>
      </w:r>
    </w:p>
  </w:footnote>
  <w:footnote w:id="19">
    <w:p w14:paraId="28B56524" w14:textId="77777777" w:rsidR="000D5042" w:rsidRDefault="00C32D1D">
      <w:pPr>
        <w:pStyle w:val="FootnoteText"/>
      </w:pPr>
      <w:r>
        <w:rPr>
          <w:rStyle w:val="FootnoteReference"/>
        </w:rPr>
        <w:footnoteRef/>
      </w:r>
      <w:r>
        <w:t xml:space="preserve"> </w:t>
      </w:r>
      <w:r>
        <w:rPr>
          <w:i/>
          <w:iCs/>
        </w:rPr>
        <w:t>Confessions</w:t>
      </w:r>
      <w:r>
        <w:t xml:space="preserve">. 3.7.12 </w:t>
      </w:r>
    </w:p>
  </w:footnote>
  <w:footnote w:id="20">
    <w:p w14:paraId="51F5F0F7" w14:textId="77777777" w:rsidR="000D5042" w:rsidRDefault="00C32D1D">
      <w:pPr>
        <w:pStyle w:val="FootnoteText"/>
      </w:pPr>
      <w:r>
        <w:rPr>
          <w:rStyle w:val="FootnoteReference"/>
        </w:rPr>
        <w:footnoteRef/>
      </w:r>
      <w:r>
        <w:t xml:space="preserve"> King, ‘Augustine on Evil’, in </w:t>
      </w:r>
      <w:proofErr w:type="spellStart"/>
      <w:r>
        <w:t>Chingnell</w:t>
      </w:r>
      <w:proofErr w:type="spellEnd"/>
      <w:r>
        <w:t>. A (ed.) Evil: A History. p. 163.</w:t>
      </w:r>
    </w:p>
  </w:footnote>
  <w:footnote w:id="21">
    <w:p w14:paraId="632A1A3B" w14:textId="77777777" w:rsidR="000D5042" w:rsidRDefault="00C32D1D">
      <w:pPr>
        <w:pStyle w:val="FootnoteText"/>
      </w:pPr>
      <w:r>
        <w:rPr>
          <w:rStyle w:val="FootnoteReference"/>
        </w:rPr>
        <w:footnoteRef/>
      </w:r>
      <w:r>
        <w:t xml:space="preserve"> </w:t>
      </w:r>
      <w:r>
        <w:rPr>
          <w:i/>
          <w:iCs/>
        </w:rPr>
        <w:t>Confessions</w:t>
      </w:r>
      <w:r>
        <w:t>. 3.6.10</w:t>
      </w:r>
    </w:p>
  </w:footnote>
  <w:footnote w:id="22">
    <w:p w14:paraId="613D35DA" w14:textId="77777777" w:rsidR="000D5042" w:rsidRDefault="00C32D1D">
      <w:pPr>
        <w:pStyle w:val="FootnoteText"/>
      </w:pPr>
      <w:r>
        <w:rPr>
          <w:rStyle w:val="FootnoteReference"/>
        </w:rPr>
        <w:footnoteRef/>
      </w:r>
      <w:r>
        <w:t xml:space="preserve"> </w:t>
      </w:r>
      <w:r>
        <w:rPr>
          <w:i/>
          <w:iCs/>
        </w:rPr>
        <w:t>Confessions</w:t>
      </w:r>
      <w:r>
        <w:t>. 3.6.10</w:t>
      </w:r>
    </w:p>
  </w:footnote>
  <w:footnote w:id="23">
    <w:p w14:paraId="0447E608" w14:textId="77777777" w:rsidR="000D5042" w:rsidRDefault="00C32D1D">
      <w:pPr>
        <w:pStyle w:val="FootnoteText"/>
      </w:pPr>
      <w:r>
        <w:rPr>
          <w:rStyle w:val="FootnoteReference"/>
        </w:rPr>
        <w:footnoteRef/>
      </w:r>
      <w:r>
        <w:t xml:space="preserve"> </w:t>
      </w:r>
      <w:r>
        <w:rPr>
          <w:i/>
          <w:iCs/>
        </w:rPr>
        <w:t>Confessions</w:t>
      </w:r>
      <w:r>
        <w:t>. 3.5.9</w:t>
      </w:r>
    </w:p>
  </w:footnote>
  <w:footnote w:id="24">
    <w:p w14:paraId="555081B8" w14:textId="77777777" w:rsidR="000D5042" w:rsidRDefault="00C32D1D">
      <w:pPr>
        <w:pStyle w:val="FootnoteText"/>
      </w:pPr>
      <w:r>
        <w:rPr>
          <w:rStyle w:val="FootnoteReference"/>
        </w:rPr>
        <w:footnoteRef/>
      </w:r>
      <w:r>
        <w:t xml:space="preserve"> </w:t>
      </w:r>
      <w:r>
        <w:rPr>
          <w:i/>
          <w:iCs/>
        </w:rPr>
        <w:t>Confessions</w:t>
      </w:r>
      <w:r>
        <w:t>. 3.8.15</w:t>
      </w:r>
    </w:p>
  </w:footnote>
  <w:footnote w:id="25">
    <w:p w14:paraId="0C8D4E42" w14:textId="77777777" w:rsidR="000D5042" w:rsidRDefault="00C32D1D">
      <w:pPr>
        <w:pStyle w:val="FootnoteText"/>
      </w:pPr>
      <w:r>
        <w:rPr>
          <w:rStyle w:val="FootnoteReference"/>
        </w:rPr>
        <w:footnoteRef/>
      </w:r>
      <w:r>
        <w:t xml:space="preserve"> King, ‘Augustine on Evil’, in </w:t>
      </w:r>
      <w:proofErr w:type="spellStart"/>
      <w:r>
        <w:t>Chingnell</w:t>
      </w:r>
      <w:proofErr w:type="spellEnd"/>
      <w:r>
        <w:t>. A (ed.) Evil: A History. p. 162.</w:t>
      </w:r>
    </w:p>
  </w:footnote>
  <w:footnote w:id="26">
    <w:p w14:paraId="23FFE85C" w14:textId="77777777" w:rsidR="000D5042" w:rsidRDefault="00C32D1D">
      <w:pPr>
        <w:pStyle w:val="FootnoteText"/>
      </w:pPr>
      <w:r>
        <w:rPr>
          <w:rStyle w:val="FootnoteReference"/>
        </w:rPr>
        <w:footnoteRef/>
      </w:r>
      <w:r>
        <w:t xml:space="preserve"> J. Beebe, </w:t>
      </w:r>
      <w:r>
        <w:rPr>
          <w:i/>
          <w:iCs/>
        </w:rPr>
        <w:t xml:space="preserve">Logical Problem if Evil, </w:t>
      </w:r>
      <w:r>
        <w:t xml:space="preserve">date unknown, &lt; </w:t>
      </w:r>
      <w:hyperlink r:id="rId2" w:anchor="H7" w:history="1">
        <w:r>
          <w:rPr>
            <w:rStyle w:val="Hyperlink"/>
          </w:rPr>
          <w:t>https://iep.utm.edu/evil-log/#H7</w:t>
        </w:r>
      </w:hyperlink>
      <w:r>
        <w:t>&gt; [Accessed 08</w:t>
      </w:r>
      <w:r>
        <w:rPr>
          <w:vertAlign w:val="superscript"/>
        </w:rPr>
        <w:t>th</w:t>
      </w:r>
      <w:r>
        <w:t xml:space="preserve"> February 2021].</w:t>
      </w:r>
    </w:p>
  </w:footnote>
  <w:footnote w:id="27">
    <w:p w14:paraId="2B81D59C" w14:textId="77777777" w:rsidR="000D5042" w:rsidRDefault="00C32D1D">
      <w:pPr>
        <w:pStyle w:val="FootnoteText"/>
      </w:pPr>
      <w:r>
        <w:rPr>
          <w:rStyle w:val="FootnoteReference"/>
        </w:rPr>
        <w:footnoteRef/>
      </w:r>
      <w:r>
        <w:t xml:space="preserve"> T. Calder, ‘Is the Privation Theory of Evil Dead?’ p. 375.</w:t>
      </w:r>
    </w:p>
  </w:footnote>
  <w:footnote w:id="28">
    <w:p w14:paraId="2EEC8063" w14:textId="77777777" w:rsidR="000D5042" w:rsidRDefault="00C32D1D">
      <w:pPr>
        <w:pStyle w:val="FootnoteText"/>
      </w:pPr>
      <w:r>
        <w:rPr>
          <w:rStyle w:val="FootnoteReference"/>
        </w:rPr>
        <w:footnoteRef/>
      </w:r>
      <w:r>
        <w:t xml:space="preserve"> T. Calder, ‘Is the Privation Theory of Evil Dead?’ p. 376.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5C7AF8"/>
    <w:multiLevelType w:val="multilevel"/>
    <w:tmpl w:val="7ECA891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5042"/>
    <w:rsid w:val="000D5042"/>
    <w:rsid w:val="009A107D"/>
    <w:rsid w:val="00BB05BE"/>
    <w:rsid w:val="00C32D1D"/>
    <w:rsid w:val="00CD6B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5A33C2"/>
  <w15:docId w15:val="{38A4BB27-7B74-4BDF-8715-0F7188838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pPr>
      <w:spacing w:after="0"/>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 w:type="paragraph" w:styleId="NoSpacing">
    <w:name w:val="No Spacing"/>
    <w:pPr>
      <w:suppressAutoHyphens/>
      <w:spacing w:after="0"/>
    </w:pPr>
  </w:style>
  <w:style w:type="paragraph" w:styleId="Title">
    <w:name w:val="Title"/>
    <w:basedOn w:val="Normal"/>
    <w:next w:val="Normal"/>
    <w:uiPriority w:val="10"/>
    <w:qFormat/>
    <w:pPr>
      <w:spacing w:after="0"/>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ListParagraph">
    <w:name w:val="List Paragraph"/>
    <w:basedOn w:val="Normal"/>
    <w:pPr>
      <w:ind w:left="720"/>
    </w:p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www.jstor.org/stable/20464387" TargetMode="External"/><Relationship Id="rId13" Type="http://schemas.openxmlformats.org/officeDocument/2006/relationships/hyperlink" Target="https://plato.stanford.edu/entries/augustine/" TargetMode="External"/><Relationship Id="rId3" Type="http://schemas.openxmlformats.org/officeDocument/2006/relationships/settings" Target="settings.xml"/><Relationship Id="rId7" Type="http://schemas.openxmlformats.org/officeDocument/2006/relationships/hyperlink" Target="https://iep.utm.edu/evil-log/" TargetMode="External"/><Relationship Id="rId12" Type="http://schemas.openxmlformats.org/officeDocument/2006/relationships/hyperlink" Target="https://plato.stanford.edu/entries/evi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24754433"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jstor.org/stable/41234096" TargetMode="External"/><Relationship Id="rId4" Type="http://schemas.openxmlformats.org/officeDocument/2006/relationships/webSettings" Target="webSettings.xml"/><Relationship Id="rId9" Type="http://schemas.openxmlformats.org/officeDocument/2006/relationships/hyperlink" Target="https://www.jstor.org/stable/40024973"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iep.utm.edu/evil-log/" TargetMode="External"/><Relationship Id="rId1" Type="http://schemas.openxmlformats.org/officeDocument/2006/relationships/hyperlink" Target="https://plato.stanford.edu/entries/august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2396</Words>
  <Characters>13659</Characters>
  <Application>Microsoft Office Word</Application>
  <DocSecurity>0</DocSecurity>
  <Lines>113</Lines>
  <Paragraphs>32</Paragraphs>
  <ScaleCrop>false</ScaleCrop>
  <Company/>
  <LinksUpToDate>false</LinksUpToDate>
  <CharactersWithSpaces>16023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Rhiannon Watts (1901401)</dc:creator>
  <dc:description/>
  <cp:lastModifiedBy>Caitlin Rhiannon Watts (1901401)</cp:lastModifiedBy>
  <cp:revision>3</cp:revision>
  <dcterms:created xsi:type="dcterms:W3CDTF">2021-02-11T15:38:00Z</dcterms:created>
  <dcterms:modified xsi:type="dcterms:W3CDTF">2021-02-11T15:39:00Z</dcterms:modified>
</cp:coreProperties>
</file>