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CFBC8" w14:textId="77777777" w:rsidR="00DD1402" w:rsidRDefault="00DD1402" w:rsidP="00DD1402">
      <w:pPr>
        <w:spacing w:line="360" w:lineRule="auto"/>
        <w:jc w:val="center"/>
        <w:rPr>
          <w:rFonts w:ascii="Times New Roman" w:eastAsia="Times New Roman" w:hAnsi="Times New Roman" w:cs="Times New Roman"/>
          <w:b/>
          <w:color w:val="222222"/>
          <w:sz w:val="32"/>
          <w:szCs w:val="32"/>
          <w:lang w:val="en-GB"/>
        </w:rPr>
      </w:pPr>
    </w:p>
    <w:p w14:paraId="03223F17" w14:textId="77777777" w:rsidR="00DD1402" w:rsidRDefault="00DD1402" w:rsidP="00DD1402">
      <w:pPr>
        <w:spacing w:line="360" w:lineRule="auto"/>
        <w:jc w:val="center"/>
        <w:rPr>
          <w:rFonts w:ascii="Times New Roman" w:eastAsia="Times New Roman" w:hAnsi="Times New Roman" w:cs="Times New Roman"/>
          <w:b/>
          <w:color w:val="222222"/>
          <w:sz w:val="32"/>
          <w:szCs w:val="32"/>
          <w:lang w:val="en-GB"/>
        </w:rPr>
      </w:pPr>
    </w:p>
    <w:p w14:paraId="14256E1C" w14:textId="77777777" w:rsidR="00DD1402" w:rsidRDefault="00DD1402" w:rsidP="00DD1402">
      <w:pPr>
        <w:spacing w:line="360" w:lineRule="auto"/>
        <w:jc w:val="center"/>
        <w:rPr>
          <w:rFonts w:ascii="Times New Roman" w:eastAsia="Times New Roman" w:hAnsi="Times New Roman" w:cs="Times New Roman"/>
          <w:b/>
          <w:color w:val="222222"/>
          <w:sz w:val="32"/>
          <w:szCs w:val="32"/>
          <w:lang w:val="en-GB"/>
        </w:rPr>
      </w:pPr>
    </w:p>
    <w:p w14:paraId="787E59DC" w14:textId="77777777" w:rsidR="00DD1402" w:rsidRDefault="00DD1402" w:rsidP="00DD1402">
      <w:pPr>
        <w:spacing w:line="360" w:lineRule="auto"/>
        <w:jc w:val="center"/>
        <w:rPr>
          <w:rFonts w:ascii="Times New Roman" w:eastAsia="Times New Roman" w:hAnsi="Times New Roman" w:cs="Times New Roman"/>
          <w:b/>
          <w:color w:val="222222"/>
          <w:sz w:val="32"/>
          <w:szCs w:val="32"/>
          <w:lang w:val="en-GB"/>
        </w:rPr>
      </w:pPr>
    </w:p>
    <w:p w14:paraId="17F650F1" w14:textId="77777777" w:rsidR="00DD1402" w:rsidRDefault="00DD1402" w:rsidP="00DD1402">
      <w:pPr>
        <w:spacing w:line="360" w:lineRule="auto"/>
        <w:jc w:val="center"/>
        <w:rPr>
          <w:rFonts w:ascii="Times New Roman" w:eastAsia="Times New Roman" w:hAnsi="Times New Roman" w:cs="Times New Roman"/>
          <w:b/>
          <w:color w:val="222222"/>
          <w:sz w:val="32"/>
          <w:szCs w:val="32"/>
          <w:lang w:val="en-GB"/>
        </w:rPr>
      </w:pPr>
    </w:p>
    <w:p w14:paraId="180D4FA2" w14:textId="77777777" w:rsidR="00DD1402" w:rsidRDefault="00DD1402" w:rsidP="00DD1402">
      <w:pPr>
        <w:spacing w:line="360" w:lineRule="auto"/>
        <w:jc w:val="center"/>
        <w:rPr>
          <w:rFonts w:ascii="Times New Roman" w:eastAsia="Times New Roman" w:hAnsi="Times New Roman" w:cs="Times New Roman"/>
          <w:b/>
          <w:color w:val="222222"/>
          <w:sz w:val="32"/>
          <w:szCs w:val="32"/>
          <w:lang w:val="en-GB"/>
        </w:rPr>
      </w:pPr>
    </w:p>
    <w:p w14:paraId="17C3ADBE" w14:textId="47C9CBE9" w:rsidR="00DD1402" w:rsidRDefault="00DD1402" w:rsidP="00DD1402">
      <w:pPr>
        <w:spacing w:line="360" w:lineRule="auto"/>
        <w:jc w:val="center"/>
        <w:rPr>
          <w:rFonts w:ascii="Times New Roman" w:eastAsia="Times New Roman" w:hAnsi="Times New Roman" w:cs="Times New Roman"/>
          <w:b/>
          <w:color w:val="222222"/>
          <w:sz w:val="32"/>
          <w:szCs w:val="32"/>
          <w:lang w:val="en-GB"/>
        </w:rPr>
      </w:pPr>
      <w:r w:rsidRPr="00DD1402">
        <w:rPr>
          <w:rFonts w:ascii="Times New Roman" w:eastAsia="Times New Roman" w:hAnsi="Times New Roman" w:cs="Times New Roman"/>
          <w:b/>
          <w:color w:val="222222"/>
          <w:sz w:val="32"/>
          <w:szCs w:val="32"/>
          <w:lang w:val="en-GB"/>
        </w:rPr>
        <w:t>Component 1: Essay</w:t>
      </w:r>
    </w:p>
    <w:p w14:paraId="23A0929F" w14:textId="77777777" w:rsidR="00DD1402" w:rsidRDefault="00DD1402">
      <w:pP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br w:type="page"/>
      </w:r>
    </w:p>
    <w:sdt>
      <w:sdtPr>
        <w:id w:val="-830441304"/>
        <w:docPartObj>
          <w:docPartGallery w:val="Table of Contents"/>
          <w:docPartUnique/>
        </w:docPartObj>
      </w:sdtPr>
      <w:sdtEndPr>
        <w:rPr>
          <w:rFonts w:ascii="Arial" w:eastAsia="Arial" w:hAnsi="Arial" w:cs="Arial"/>
          <w:b/>
          <w:bCs/>
          <w:noProof/>
          <w:color w:val="auto"/>
          <w:sz w:val="22"/>
          <w:szCs w:val="22"/>
          <w:lang w:val="en" w:eastAsia="en-IN"/>
        </w:rPr>
      </w:sdtEndPr>
      <w:sdtContent>
        <w:p w14:paraId="647E74D7" w14:textId="5D537F20" w:rsidR="00DD1402" w:rsidRPr="00DD1402" w:rsidRDefault="00DD1402" w:rsidP="00DD1402">
          <w:pPr>
            <w:pStyle w:val="TOCHeading"/>
            <w:spacing w:line="360" w:lineRule="auto"/>
            <w:jc w:val="center"/>
            <w:rPr>
              <w:rFonts w:ascii="Times New Roman" w:hAnsi="Times New Roman" w:cs="Times New Roman"/>
              <w:b/>
              <w:bCs/>
              <w:color w:val="auto"/>
              <w:sz w:val="28"/>
              <w:szCs w:val="28"/>
            </w:rPr>
          </w:pPr>
          <w:r w:rsidRPr="00DD1402">
            <w:rPr>
              <w:rFonts w:ascii="Times New Roman" w:hAnsi="Times New Roman" w:cs="Times New Roman"/>
              <w:b/>
              <w:bCs/>
              <w:color w:val="auto"/>
              <w:sz w:val="28"/>
              <w:szCs w:val="28"/>
            </w:rPr>
            <w:t>Table of Contents</w:t>
          </w:r>
        </w:p>
        <w:p w14:paraId="32E1FECA" w14:textId="74E51E63" w:rsidR="00DD1402" w:rsidRPr="00DD1402" w:rsidRDefault="00DD1402" w:rsidP="00DD1402">
          <w:pPr>
            <w:pStyle w:val="TOC1"/>
            <w:tabs>
              <w:tab w:val="right" w:leader="dot" w:pos="9350"/>
            </w:tabs>
            <w:spacing w:line="360" w:lineRule="auto"/>
            <w:jc w:val="both"/>
            <w:rPr>
              <w:rFonts w:ascii="Times New Roman" w:hAnsi="Times New Roman" w:cs="Times New Roman"/>
              <w:noProof/>
              <w:sz w:val="24"/>
              <w:szCs w:val="24"/>
            </w:rPr>
          </w:pPr>
          <w:r w:rsidRPr="00DD1402">
            <w:rPr>
              <w:rFonts w:ascii="Times New Roman" w:hAnsi="Times New Roman" w:cs="Times New Roman"/>
              <w:sz w:val="24"/>
              <w:szCs w:val="24"/>
            </w:rPr>
            <w:fldChar w:fldCharType="begin"/>
          </w:r>
          <w:r w:rsidRPr="00DD1402">
            <w:rPr>
              <w:rFonts w:ascii="Times New Roman" w:hAnsi="Times New Roman" w:cs="Times New Roman"/>
              <w:sz w:val="24"/>
              <w:szCs w:val="24"/>
            </w:rPr>
            <w:instrText xml:space="preserve"> TOC \o "1-3" \h \z \u </w:instrText>
          </w:r>
          <w:r w:rsidRPr="00DD1402">
            <w:rPr>
              <w:rFonts w:ascii="Times New Roman" w:hAnsi="Times New Roman" w:cs="Times New Roman"/>
              <w:sz w:val="24"/>
              <w:szCs w:val="24"/>
            </w:rPr>
            <w:fldChar w:fldCharType="separate"/>
          </w:r>
          <w:hyperlink w:anchor="_Toc152236260" w:history="1">
            <w:r w:rsidRPr="00DD1402">
              <w:rPr>
                <w:rStyle w:val="Hyperlink"/>
                <w:rFonts w:ascii="Times New Roman" w:hAnsi="Times New Roman" w:cs="Times New Roman"/>
                <w:noProof/>
                <w:sz w:val="24"/>
                <w:szCs w:val="24"/>
                <w:highlight w:val="white"/>
                <w:lang w:val="en-GB"/>
              </w:rPr>
              <w:t>Introduction</w:t>
            </w:r>
            <w:r w:rsidRPr="00DD1402">
              <w:rPr>
                <w:rFonts w:ascii="Times New Roman" w:hAnsi="Times New Roman" w:cs="Times New Roman"/>
                <w:noProof/>
                <w:webHidden/>
                <w:sz w:val="24"/>
                <w:szCs w:val="24"/>
              </w:rPr>
              <w:tab/>
            </w:r>
            <w:r w:rsidRPr="00DD1402">
              <w:rPr>
                <w:rFonts w:ascii="Times New Roman" w:hAnsi="Times New Roman" w:cs="Times New Roman"/>
                <w:noProof/>
                <w:webHidden/>
                <w:sz w:val="24"/>
                <w:szCs w:val="24"/>
              </w:rPr>
              <w:fldChar w:fldCharType="begin"/>
            </w:r>
            <w:r w:rsidRPr="00DD1402">
              <w:rPr>
                <w:rFonts w:ascii="Times New Roman" w:hAnsi="Times New Roman" w:cs="Times New Roman"/>
                <w:noProof/>
                <w:webHidden/>
                <w:sz w:val="24"/>
                <w:szCs w:val="24"/>
              </w:rPr>
              <w:instrText xml:space="preserve"> PAGEREF _Toc152236260 \h </w:instrText>
            </w:r>
            <w:r w:rsidRPr="00DD1402">
              <w:rPr>
                <w:rFonts w:ascii="Times New Roman" w:hAnsi="Times New Roman" w:cs="Times New Roman"/>
                <w:noProof/>
                <w:webHidden/>
                <w:sz w:val="24"/>
                <w:szCs w:val="24"/>
              </w:rPr>
            </w:r>
            <w:r w:rsidRPr="00DD1402">
              <w:rPr>
                <w:rFonts w:ascii="Times New Roman" w:hAnsi="Times New Roman" w:cs="Times New Roman"/>
                <w:noProof/>
                <w:webHidden/>
                <w:sz w:val="24"/>
                <w:szCs w:val="24"/>
              </w:rPr>
              <w:fldChar w:fldCharType="separate"/>
            </w:r>
            <w:r w:rsidRPr="00DD1402">
              <w:rPr>
                <w:rFonts w:ascii="Times New Roman" w:hAnsi="Times New Roman" w:cs="Times New Roman"/>
                <w:noProof/>
                <w:webHidden/>
                <w:sz w:val="24"/>
                <w:szCs w:val="24"/>
              </w:rPr>
              <w:t>3</w:t>
            </w:r>
            <w:r w:rsidRPr="00DD1402">
              <w:rPr>
                <w:rFonts w:ascii="Times New Roman" w:hAnsi="Times New Roman" w:cs="Times New Roman"/>
                <w:noProof/>
                <w:webHidden/>
                <w:sz w:val="24"/>
                <w:szCs w:val="24"/>
              </w:rPr>
              <w:fldChar w:fldCharType="end"/>
            </w:r>
          </w:hyperlink>
        </w:p>
        <w:p w14:paraId="22F86706" w14:textId="15F37C29" w:rsidR="00DD1402" w:rsidRPr="00DD1402" w:rsidRDefault="00DD1402" w:rsidP="00DD1402">
          <w:pPr>
            <w:pStyle w:val="TOC1"/>
            <w:tabs>
              <w:tab w:val="right" w:leader="dot" w:pos="9350"/>
            </w:tabs>
            <w:spacing w:line="360" w:lineRule="auto"/>
            <w:jc w:val="both"/>
            <w:rPr>
              <w:rFonts w:ascii="Times New Roman" w:hAnsi="Times New Roman" w:cs="Times New Roman"/>
              <w:noProof/>
              <w:sz w:val="24"/>
              <w:szCs w:val="24"/>
            </w:rPr>
          </w:pPr>
          <w:hyperlink w:anchor="_Toc152236261" w:history="1">
            <w:r w:rsidRPr="00DD1402">
              <w:rPr>
                <w:rStyle w:val="Hyperlink"/>
                <w:rFonts w:ascii="Times New Roman" w:hAnsi="Times New Roman" w:cs="Times New Roman"/>
                <w:noProof/>
                <w:sz w:val="24"/>
                <w:szCs w:val="24"/>
                <w:highlight w:val="white"/>
                <w:lang w:val="en-GB"/>
              </w:rPr>
              <w:t>Discussion</w:t>
            </w:r>
            <w:r w:rsidRPr="00DD1402">
              <w:rPr>
                <w:rFonts w:ascii="Times New Roman" w:hAnsi="Times New Roman" w:cs="Times New Roman"/>
                <w:noProof/>
                <w:webHidden/>
                <w:sz w:val="24"/>
                <w:szCs w:val="24"/>
              </w:rPr>
              <w:tab/>
            </w:r>
            <w:r w:rsidRPr="00DD1402">
              <w:rPr>
                <w:rFonts w:ascii="Times New Roman" w:hAnsi="Times New Roman" w:cs="Times New Roman"/>
                <w:noProof/>
                <w:webHidden/>
                <w:sz w:val="24"/>
                <w:szCs w:val="24"/>
              </w:rPr>
              <w:fldChar w:fldCharType="begin"/>
            </w:r>
            <w:r w:rsidRPr="00DD1402">
              <w:rPr>
                <w:rFonts w:ascii="Times New Roman" w:hAnsi="Times New Roman" w:cs="Times New Roman"/>
                <w:noProof/>
                <w:webHidden/>
                <w:sz w:val="24"/>
                <w:szCs w:val="24"/>
              </w:rPr>
              <w:instrText xml:space="preserve"> PAGEREF _Toc152236261 \h </w:instrText>
            </w:r>
            <w:r w:rsidRPr="00DD1402">
              <w:rPr>
                <w:rFonts w:ascii="Times New Roman" w:hAnsi="Times New Roman" w:cs="Times New Roman"/>
                <w:noProof/>
                <w:webHidden/>
                <w:sz w:val="24"/>
                <w:szCs w:val="24"/>
              </w:rPr>
            </w:r>
            <w:r w:rsidRPr="00DD1402">
              <w:rPr>
                <w:rFonts w:ascii="Times New Roman" w:hAnsi="Times New Roman" w:cs="Times New Roman"/>
                <w:noProof/>
                <w:webHidden/>
                <w:sz w:val="24"/>
                <w:szCs w:val="24"/>
              </w:rPr>
              <w:fldChar w:fldCharType="separate"/>
            </w:r>
            <w:r w:rsidRPr="00DD1402">
              <w:rPr>
                <w:rFonts w:ascii="Times New Roman" w:hAnsi="Times New Roman" w:cs="Times New Roman"/>
                <w:noProof/>
                <w:webHidden/>
                <w:sz w:val="24"/>
                <w:szCs w:val="24"/>
              </w:rPr>
              <w:t>3</w:t>
            </w:r>
            <w:r w:rsidRPr="00DD1402">
              <w:rPr>
                <w:rFonts w:ascii="Times New Roman" w:hAnsi="Times New Roman" w:cs="Times New Roman"/>
                <w:noProof/>
                <w:webHidden/>
                <w:sz w:val="24"/>
                <w:szCs w:val="24"/>
              </w:rPr>
              <w:fldChar w:fldCharType="end"/>
            </w:r>
          </w:hyperlink>
        </w:p>
        <w:p w14:paraId="2E950A47" w14:textId="2D7C8EB8" w:rsidR="00DD1402" w:rsidRPr="00DD1402" w:rsidRDefault="00DD1402" w:rsidP="00DD1402">
          <w:pPr>
            <w:pStyle w:val="TOC1"/>
            <w:tabs>
              <w:tab w:val="right" w:leader="dot" w:pos="9350"/>
            </w:tabs>
            <w:spacing w:line="360" w:lineRule="auto"/>
            <w:jc w:val="both"/>
            <w:rPr>
              <w:rFonts w:ascii="Times New Roman" w:hAnsi="Times New Roman" w:cs="Times New Roman"/>
              <w:noProof/>
              <w:sz w:val="24"/>
              <w:szCs w:val="24"/>
            </w:rPr>
          </w:pPr>
          <w:hyperlink w:anchor="_Toc152236262" w:history="1">
            <w:r w:rsidRPr="00DD1402">
              <w:rPr>
                <w:rStyle w:val="Hyperlink"/>
                <w:rFonts w:ascii="Times New Roman" w:hAnsi="Times New Roman" w:cs="Times New Roman"/>
                <w:noProof/>
                <w:sz w:val="24"/>
                <w:szCs w:val="24"/>
                <w:highlight w:val="white"/>
                <w:lang w:val="en-GB"/>
              </w:rPr>
              <w:t>Conclusion and Recommendations</w:t>
            </w:r>
            <w:r w:rsidRPr="00DD1402">
              <w:rPr>
                <w:rFonts w:ascii="Times New Roman" w:hAnsi="Times New Roman" w:cs="Times New Roman"/>
                <w:noProof/>
                <w:webHidden/>
                <w:sz w:val="24"/>
                <w:szCs w:val="24"/>
              </w:rPr>
              <w:tab/>
            </w:r>
            <w:r w:rsidRPr="00DD1402">
              <w:rPr>
                <w:rFonts w:ascii="Times New Roman" w:hAnsi="Times New Roman" w:cs="Times New Roman"/>
                <w:noProof/>
                <w:webHidden/>
                <w:sz w:val="24"/>
                <w:szCs w:val="24"/>
              </w:rPr>
              <w:fldChar w:fldCharType="begin"/>
            </w:r>
            <w:r w:rsidRPr="00DD1402">
              <w:rPr>
                <w:rFonts w:ascii="Times New Roman" w:hAnsi="Times New Roman" w:cs="Times New Roman"/>
                <w:noProof/>
                <w:webHidden/>
                <w:sz w:val="24"/>
                <w:szCs w:val="24"/>
              </w:rPr>
              <w:instrText xml:space="preserve"> PAGEREF _Toc152236262 \h </w:instrText>
            </w:r>
            <w:r w:rsidRPr="00DD1402">
              <w:rPr>
                <w:rFonts w:ascii="Times New Roman" w:hAnsi="Times New Roman" w:cs="Times New Roman"/>
                <w:noProof/>
                <w:webHidden/>
                <w:sz w:val="24"/>
                <w:szCs w:val="24"/>
              </w:rPr>
            </w:r>
            <w:r w:rsidRPr="00DD1402">
              <w:rPr>
                <w:rFonts w:ascii="Times New Roman" w:hAnsi="Times New Roman" w:cs="Times New Roman"/>
                <w:noProof/>
                <w:webHidden/>
                <w:sz w:val="24"/>
                <w:szCs w:val="24"/>
              </w:rPr>
              <w:fldChar w:fldCharType="separate"/>
            </w:r>
            <w:r w:rsidRPr="00DD1402">
              <w:rPr>
                <w:rFonts w:ascii="Times New Roman" w:hAnsi="Times New Roman" w:cs="Times New Roman"/>
                <w:noProof/>
                <w:webHidden/>
                <w:sz w:val="24"/>
                <w:szCs w:val="24"/>
              </w:rPr>
              <w:t>9</w:t>
            </w:r>
            <w:r w:rsidRPr="00DD1402">
              <w:rPr>
                <w:rFonts w:ascii="Times New Roman" w:hAnsi="Times New Roman" w:cs="Times New Roman"/>
                <w:noProof/>
                <w:webHidden/>
                <w:sz w:val="24"/>
                <w:szCs w:val="24"/>
              </w:rPr>
              <w:fldChar w:fldCharType="end"/>
            </w:r>
          </w:hyperlink>
        </w:p>
        <w:p w14:paraId="26B80901" w14:textId="1352C77C" w:rsidR="00DD1402" w:rsidRPr="00DD1402" w:rsidRDefault="00DD1402" w:rsidP="00DD1402">
          <w:pPr>
            <w:pStyle w:val="TOC1"/>
            <w:tabs>
              <w:tab w:val="right" w:leader="dot" w:pos="9350"/>
            </w:tabs>
            <w:spacing w:line="360" w:lineRule="auto"/>
            <w:jc w:val="both"/>
            <w:rPr>
              <w:rFonts w:ascii="Times New Roman" w:hAnsi="Times New Roman" w:cs="Times New Roman"/>
              <w:noProof/>
              <w:sz w:val="24"/>
              <w:szCs w:val="24"/>
            </w:rPr>
          </w:pPr>
          <w:hyperlink w:anchor="_Toc152236263" w:history="1">
            <w:r w:rsidRPr="00DD1402">
              <w:rPr>
                <w:rStyle w:val="Hyperlink"/>
                <w:rFonts w:ascii="Times New Roman" w:hAnsi="Times New Roman" w:cs="Times New Roman"/>
                <w:noProof/>
                <w:sz w:val="24"/>
                <w:szCs w:val="24"/>
                <w:highlight w:val="white"/>
                <w:lang w:val="en-GB"/>
              </w:rPr>
              <w:t>Reference List</w:t>
            </w:r>
            <w:r w:rsidRPr="00DD1402">
              <w:rPr>
                <w:rFonts w:ascii="Times New Roman" w:hAnsi="Times New Roman" w:cs="Times New Roman"/>
                <w:noProof/>
                <w:webHidden/>
                <w:sz w:val="24"/>
                <w:szCs w:val="24"/>
              </w:rPr>
              <w:tab/>
            </w:r>
            <w:r w:rsidRPr="00DD1402">
              <w:rPr>
                <w:rFonts w:ascii="Times New Roman" w:hAnsi="Times New Roman" w:cs="Times New Roman"/>
                <w:noProof/>
                <w:webHidden/>
                <w:sz w:val="24"/>
                <w:szCs w:val="24"/>
              </w:rPr>
              <w:fldChar w:fldCharType="begin"/>
            </w:r>
            <w:r w:rsidRPr="00DD1402">
              <w:rPr>
                <w:rFonts w:ascii="Times New Roman" w:hAnsi="Times New Roman" w:cs="Times New Roman"/>
                <w:noProof/>
                <w:webHidden/>
                <w:sz w:val="24"/>
                <w:szCs w:val="24"/>
              </w:rPr>
              <w:instrText xml:space="preserve"> PAGEREF _Toc152236263 \h </w:instrText>
            </w:r>
            <w:r w:rsidRPr="00DD1402">
              <w:rPr>
                <w:rFonts w:ascii="Times New Roman" w:hAnsi="Times New Roman" w:cs="Times New Roman"/>
                <w:noProof/>
                <w:webHidden/>
                <w:sz w:val="24"/>
                <w:szCs w:val="24"/>
              </w:rPr>
            </w:r>
            <w:r w:rsidRPr="00DD1402">
              <w:rPr>
                <w:rFonts w:ascii="Times New Roman" w:hAnsi="Times New Roman" w:cs="Times New Roman"/>
                <w:noProof/>
                <w:webHidden/>
                <w:sz w:val="24"/>
                <w:szCs w:val="24"/>
              </w:rPr>
              <w:fldChar w:fldCharType="separate"/>
            </w:r>
            <w:r w:rsidRPr="00DD1402">
              <w:rPr>
                <w:rFonts w:ascii="Times New Roman" w:hAnsi="Times New Roman" w:cs="Times New Roman"/>
                <w:noProof/>
                <w:webHidden/>
                <w:sz w:val="24"/>
                <w:szCs w:val="24"/>
              </w:rPr>
              <w:t>10</w:t>
            </w:r>
            <w:r w:rsidRPr="00DD1402">
              <w:rPr>
                <w:rFonts w:ascii="Times New Roman" w:hAnsi="Times New Roman" w:cs="Times New Roman"/>
                <w:noProof/>
                <w:webHidden/>
                <w:sz w:val="24"/>
                <w:szCs w:val="24"/>
              </w:rPr>
              <w:fldChar w:fldCharType="end"/>
            </w:r>
          </w:hyperlink>
        </w:p>
        <w:p w14:paraId="625553FD" w14:textId="69BB9BC3" w:rsidR="00DD1402" w:rsidRDefault="00DD1402" w:rsidP="00DD1402">
          <w:pPr>
            <w:spacing w:line="360" w:lineRule="auto"/>
            <w:jc w:val="both"/>
          </w:pPr>
          <w:r w:rsidRPr="00DD1402">
            <w:rPr>
              <w:rFonts w:ascii="Times New Roman" w:hAnsi="Times New Roman" w:cs="Times New Roman"/>
              <w:b/>
              <w:bCs/>
              <w:noProof/>
              <w:sz w:val="24"/>
              <w:szCs w:val="24"/>
            </w:rPr>
            <w:fldChar w:fldCharType="end"/>
          </w:r>
        </w:p>
      </w:sdtContent>
    </w:sdt>
    <w:p w14:paraId="3D92E78C" w14:textId="77777777" w:rsidR="00DD1402" w:rsidRPr="00DD1402" w:rsidRDefault="00DD1402" w:rsidP="00DD1402">
      <w:pPr>
        <w:spacing w:line="360" w:lineRule="auto"/>
        <w:jc w:val="center"/>
        <w:rPr>
          <w:rFonts w:ascii="Times New Roman" w:eastAsia="Times New Roman" w:hAnsi="Times New Roman" w:cs="Times New Roman"/>
          <w:b/>
          <w:color w:val="222222"/>
          <w:sz w:val="32"/>
          <w:szCs w:val="32"/>
          <w:highlight w:val="white"/>
          <w:lang w:val="en-GB"/>
        </w:rPr>
      </w:pPr>
    </w:p>
    <w:p w14:paraId="00000001" w14:textId="2269188E" w:rsidR="00D51757" w:rsidRPr="00DD1402" w:rsidRDefault="00DD1402" w:rsidP="00DD1402">
      <w:pPr>
        <w:pStyle w:val="Heading1"/>
        <w:rPr>
          <w:highlight w:val="white"/>
          <w:lang w:val="en-GB"/>
        </w:rPr>
      </w:pPr>
      <w:r w:rsidRPr="00DD1402">
        <w:rPr>
          <w:highlight w:val="white"/>
          <w:lang w:val="en-GB"/>
        </w:rPr>
        <w:br w:type="page"/>
      </w:r>
      <w:bookmarkStart w:id="0" w:name="_Toc152236260"/>
      <w:r w:rsidR="00000000" w:rsidRPr="00DD1402">
        <w:rPr>
          <w:highlight w:val="white"/>
          <w:lang w:val="en-GB"/>
        </w:rPr>
        <w:lastRenderedPageBreak/>
        <w:t>Introduction</w:t>
      </w:r>
      <w:bookmarkEnd w:id="0"/>
      <w:r w:rsidR="00000000" w:rsidRPr="00DD1402">
        <w:rPr>
          <w:highlight w:val="white"/>
          <w:lang w:val="en-GB"/>
        </w:rPr>
        <w:t xml:space="preserve"> </w:t>
      </w:r>
    </w:p>
    <w:p w14:paraId="00000002"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color w:val="222222"/>
          <w:sz w:val="24"/>
          <w:szCs w:val="24"/>
          <w:highlight w:val="white"/>
          <w:lang w:val="en-GB"/>
        </w:rPr>
        <w:t xml:space="preserve">Several critical aspects must be considered while designing the vast rooftop garden for Google's new headquarters in King's Cross. The partnership of renowned architects Heatherwick Studio and Bjarke Ingels Group, as well as the appointment of </w:t>
      </w:r>
      <w:proofErr w:type="spellStart"/>
      <w:r w:rsidRPr="00DD1402">
        <w:rPr>
          <w:rFonts w:ascii="Times New Roman" w:eastAsia="Times New Roman" w:hAnsi="Times New Roman" w:cs="Times New Roman"/>
          <w:color w:val="222222"/>
          <w:sz w:val="24"/>
          <w:szCs w:val="24"/>
          <w:highlight w:val="white"/>
          <w:lang w:val="en-GB"/>
        </w:rPr>
        <w:t>Gillespies</w:t>
      </w:r>
      <w:proofErr w:type="spellEnd"/>
      <w:r w:rsidRPr="00DD1402">
        <w:rPr>
          <w:rFonts w:ascii="Times New Roman" w:eastAsia="Times New Roman" w:hAnsi="Times New Roman" w:cs="Times New Roman"/>
          <w:color w:val="222222"/>
          <w:sz w:val="24"/>
          <w:szCs w:val="24"/>
          <w:highlight w:val="white"/>
          <w:lang w:val="en-GB"/>
        </w:rPr>
        <w:t xml:space="preserve"> for the rooftop garden and BDP as the design delivery architect, demonstrates a commitment to innovation and sustainability. The project's natural concept is consistent with Google's commitment to environmental responsibility, as evidenced by the use of materials purchased through Google's healthy materials programme (Levy, 2021., p. 124). This not only assures a consistent design but also demonstrates a careful approach to building. The 11-story project, Google's first entirely owned and designed structure outside of the United States, is a strategic expansion that adds to the Knowledge Quarter and strengthens King's Cross' knowledge-based economy.</w:t>
      </w:r>
    </w:p>
    <w:p w14:paraId="00000003"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color w:val="222222"/>
          <w:sz w:val="24"/>
          <w:szCs w:val="24"/>
          <w:highlight w:val="white"/>
          <w:lang w:val="en-GB"/>
        </w:rPr>
        <w:t xml:space="preserve">The rooftop garden is a striking feature, spanning </w:t>
      </w:r>
      <w:r w:rsidRPr="00DD1402">
        <w:rPr>
          <w:rFonts w:ascii="Times New Roman" w:eastAsia="Times New Roman" w:hAnsi="Times New Roman" w:cs="Times New Roman"/>
          <w:b/>
          <w:color w:val="222222"/>
          <w:sz w:val="24"/>
          <w:szCs w:val="24"/>
          <w:highlight w:val="white"/>
          <w:lang w:val="en-GB"/>
        </w:rPr>
        <w:t xml:space="preserve">300 </w:t>
      </w:r>
      <w:r w:rsidRPr="00DD1402">
        <w:rPr>
          <w:rFonts w:ascii="Times New Roman" w:eastAsia="Times New Roman" w:hAnsi="Times New Roman" w:cs="Times New Roman"/>
          <w:color w:val="222222"/>
          <w:sz w:val="24"/>
          <w:szCs w:val="24"/>
          <w:highlight w:val="white"/>
          <w:lang w:val="en-GB"/>
        </w:rPr>
        <w:t xml:space="preserve">meters in length. Its clever zone division into open lawns, wooden decking, a wild meadow, huge trees, and a purpose-built "trim trail" for runners illustrates a diverse and dynamic use of space. This design reflects Google's dedication to creating a healthy and engaging workplace environment for the campus's </w:t>
      </w:r>
      <w:r w:rsidRPr="00DD1402">
        <w:rPr>
          <w:rFonts w:ascii="Times New Roman" w:eastAsia="Times New Roman" w:hAnsi="Times New Roman" w:cs="Times New Roman"/>
          <w:b/>
          <w:color w:val="222222"/>
          <w:sz w:val="24"/>
          <w:szCs w:val="24"/>
          <w:highlight w:val="white"/>
          <w:lang w:val="en-GB"/>
        </w:rPr>
        <w:t xml:space="preserve">7,000 </w:t>
      </w:r>
      <w:r w:rsidRPr="00DD1402">
        <w:rPr>
          <w:rFonts w:ascii="Times New Roman" w:eastAsia="Times New Roman" w:hAnsi="Times New Roman" w:cs="Times New Roman"/>
          <w:color w:val="222222"/>
          <w:sz w:val="24"/>
          <w:szCs w:val="24"/>
          <w:highlight w:val="white"/>
          <w:lang w:val="en-GB"/>
        </w:rPr>
        <w:t>potential employees (Dorst, 2019., p. 70). The provision of performance areas, grow gardens, and moveable planters, which accommodate shifting space requirements, demonstrates the emphasis on flexibility. This versatility not only improves Googler's user experience but also coincides with modern workplace trends, emphasising the necessity of multipurpose and adaptable environments (</w:t>
      </w:r>
      <w:proofErr w:type="spellStart"/>
      <w:r w:rsidRPr="00DD1402">
        <w:rPr>
          <w:rFonts w:ascii="Times New Roman" w:eastAsia="Times New Roman" w:hAnsi="Times New Roman" w:cs="Times New Roman"/>
          <w:color w:val="222222"/>
          <w:sz w:val="24"/>
          <w:szCs w:val="24"/>
          <w:highlight w:val="white"/>
          <w:lang w:val="en-GB"/>
        </w:rPr>
        <w:t>Gillespies</w:t>
      </w:r>
      <w:proofErr w:type="spellEnd"/>
      <w:r w:rsidRPr="00DD1402">
        <w:rPr>
          <w:rFonts w:ascii="Times New Roman" w:eastAsia="Times New Roman" w:hAnsi="Times New Roman" w:cs="Times New Roman"/>
          <w:color w:val="222222"/>
          <w:sz w:val="24"/>
          <w:szCs w:val="24"/>
          <w:highlight w:val="white"/>
          <w:lang w:val="en-GB"/>
        </w:rPr>
        <w:t>, 2023). The assessment will be approached with an eye toward the seamless integration of architectural and landscaping components, ensuring that the rooftop garden not only complements the building's architecture but also acts as a practical and visually pleasant extension of Google's workspace.</w:t>
      </w:r>
    </w:p>
    <w:p w14:paraId="00000004" w14:textId="77777777" w:rsidR="00D51757" w:rsidRPr="00DD1402" w:rsidRDefault="00000000" w:rsidP="00DD1402">
      <w:pPr>
        <w:pStyle w:val="Heading1"/>
        <w:rPr>
          <w:highlight w:val="white"/>
          <w:lang w:val="en-GB"/>
        </w:rPr>
      </w:pPr>
      <w:bookmarkStart w:id="1" w:name="_Toc152236261"/>
      <w:r w:rsidRPr="00DD1402">
        <w:rPr>
          <w:highlight w:val="white"/>
          <w:lang w:val="en-GB"/>
        </w:rPr>
        <w:t>Discussion</w:t>
      </w:r>
      <w:bookmarkEnd w:id="1"/>
      <w:r w:rsidRPr="00DD1402">
        <w:rPr>
          <w:highlight w:val="white"/>
          <w:lang w:val="en-GB"/>
        </w:rPr>
        <w:t xml:space="preserve"> </w:t>
      </w:r>
    </w:p>
    <w:p w14:paraId="00000005" w14:textId="77777777" w:rsidR="00D51757" w:rsidRPr="00DD1402" w:rsidRDefault="00000000" w:rsidP="00DD1402">
      <w:pPr>
        <w:spacing w:after="240" w:line="360" w:lineRule="auto"/>
        <w:jc w:val="both"/>
        <w:rPr>
          <w:rFonts w:ascii="Times New Roman" w:eastAsia="Times New Roman" w:hAnsi="Times New Roman" w:cs="Times New Roman"/>
          <w:b/>
          <w:color w:val="222222"/>
          <w:sz w:val="24"/>
          <w:szCs w:val="24"/>
          <w:highlight w:val="white"/>
          <w:lang w:val="en-GB"/>
        </w:rPr>
      </w:pPr>
      <w:r w:rsidRPr="00DD1402">
        <w:rPr>
          <w:rFonts w:ascii="Times New Roman" w:eastAsia="Times New Roman" w:hAnsi="Times New Roman" w:cs="Times New Roman"/>
          <w:b/>
          <w:color w:val="222222"/>
          <w:sz w:val="24"/>
          <w:szCs w:val="24"/>
          <w:highlight w:val="white"/>
          <w:lang w:val="en-GB"/>
        </w:rPr>
        <w:t>Core Elements of this Project</w:t>
      </w:r>
    </w:p>
    <w:p w14:paraId="00000006" w14:textId="3FBE6090"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color w:val="222222"/>
          <w:sz w:val="24"/>
          <w:szCs w:val="24"/>
          <w:highlight w:val="white"/>
          <w:lang w:val="en-GB"/>
        </w:rPr>
        <w:t xml:space="preserve">The advancement of the Google headquarters project in King's Cross necessitates a thorough examination of key factors to ensure its successful completion. To measure the project's trajectory, key criteria such as budget, time, quality, stakeholders, and risk factors must be thoroughly </w:t>
      </w:r>
      <w:r w:rsidRPr="00DD1402">
        <w:rPr>
          <w:rFonts w:ascii="Times New Roman" w:eastAsia="Times New Roman" w:hAnsi="Times New Roman" w:cs="Times New Roman"/>
          <w:color w:val="222222"/>
          <w:sz w:val="24"/>
          <w:szCs w:val="24"/>
          <w:highlight w:val="white"/>
          <w:lang w:val="en-GB"/>
        </w:rPr>
        <w:lastRenderedPageBreak/>
        <w:t xml:space="preserve">examined. </w:t>
      </w:r>
      <w:r w:rsidRPr="00DD1402">
        <w:rPr>
          <w:rFonts w:ascii="Times New Roman" w:eastAsia="Times New Roman" w:hAnsi="Times New Roman" w:cs="Times New Roman"/>
          <w:b/>
          <w:color w:val="222222"/>
          <w:sz w:val="24"/>
          <w:szCs w:val="24"/>
          <w:highlight w:val="white"/>
          <w:lang w:val="en-GB"/>
        </w:rPr>
        <w:t xml:space="preserve">Budget: </w:t>
      </w:r>
      <w:r w:rsidRPr="00DD1402">
        <w:rPr>
          <w:rFonts w:ascii="Times New Roman" w:eastAsia="Times New Roman" w:hAnsi="Times New Roman" w:cs="Times New Roman"/>
          <w:color w:val="222222"/>
          <w:sz w:val="24"/>
          <w:szCs w:val="24"/>
          <w:highlight w:val="white"/>
          <w:lang w:val="en-GB"/>
        </w:rPr>
        <w:t xml:space="preserve">Good financial management is critical to project success. Budget estimates must be reviewed regularly, especially for a project of this magnitude. According to Abueg </w:t>
      </w:r>
      <w:r w:rsidRPr="00DD1402">
        <w:rPr>
          <w:rFonts w:ascii="Times New Roman" w:eastAsia="Times New Roman" w:hAnsi="Times New Roman" w:cs="Times New Roman"/>
          <w:i/>
          <w:color w:val="222222"/>
          <w:sz w:val="24"/>
          <w:szCs w:val="24"/>
          <w:highlight w:val="white"/>
          <w:lang w:val="en-GB"/>
        </w:rPr>
        <w:t>et al.,</w:t>
      </w:r>
      <w:r w:rsidRPr="00DD1402">
        <w:rPr>
          <w:rFonts w:ascii="Times New Roman" w:eastAsia="Times New Roman" w:hAnsi="Times New Roman" w:cs="Times New Roman"/>
          <w:color w:val="222222"/>
          <w:sz w:val="24"/>
          <w:szCs w:val="24"/>
          <w:highlight w:val="white"/>
          <w:lang w:val="en-GB"/>
        </w:rPr>
        <w:t xml:space="preserve"> (2020., p. </w:t>
      </w:r>
      <w:r w:rsidR="00DD1402" w:rsidRPr="00DD1402">
        <w:rPr>
          <w:rFonts w:ascii="Times New Roman" w:eastAsia="Times New Roman" w:hAnsi="Times New Roman" w:cs="Times New Roman"/>
          <w:color w:val="222222"/>
          <w:sz w:val="24"/>
          <w:szCs w:val="24"/>
          <w:highlight w:val="white"/>
          <w:lang w:val="en-GB"/>
        </w:rPr>
        <w:t>2020) the</w:t>
      </w:r>
      <w:r w:rsidRPr="00DD1402">
        <w:rPr>
          <w:rFonts w:ascii="Times New Roman" w:eastAsia="Times New Roman" w:hAnsi="Times New Roman" w:cs="Times New Roman"/>
          <w:color w:val="222222"/>
          <w:sz w:val="24"/>
          <w:szCs w:val="24"/>
          <w:highlight w:val="white"/>
          <w:lang w:val="en-GB"/>
        </w:rPr>
        <w:t xml:space="preserve"> budget for Google's headquarters in King's Cross is roughly 130 million dollars. Tracking actual expenditures against planned amounts is critical for identifying potential overruns and implementing remedial actions promptly. It is critical to consider the financial consequences of design changes, material selections, and any unforeseen issues that may affect costs. Collaboration between the finance team and project managers is critical for preserving fiscal discipline and staying within the project's financial parameters. </w:t>
      </w:r>
      <w:r w:rsidRPr="00DD1402">
        <w:rPr>
          <w:rFonts w:ascii="Times New Roman" w:eastAsia="Times New Roman" w:hAnsi="Times New Roman" w:cs="Times New Roman"/>
          <w:b/>
          <w:color w:val="222222"/>
          <w:sz w:val="24"/>
          <w:szCs w:val="24"/>
          <w:highlight w:val="white"/>
          <w:lang w:val="en-GB"/>
        </w:rPr>
        <w:t xml:space="preserve">Time: </w:t>
      </w:r>
      <w:r w:rsidRPr="00DD1402">
        <w:rPr>
          <w:rFonts w:ascii="Times New Roman" w:eastAsia="Times New Roman" w:hAnsi="Times New Roman" w:cs="Times New Roman"/>
          <w:color w:val="222222"/>
          <w:sz w:val="24"/>
          <w:szCs w:val="24"/>
          <w:highlight w:val="white"/>
          <w:lang w:val="en-GB"/>
        </w:rPr>
        <w:t xml:space="preserve">Project timeframes are critical in meeting stakeholder expectations. The project timetable is 5 years as of the current assessment. It is critical to receive regular information on project milestones, completion percentages, and any variations from the planned timetable. Construction delays, design changes, or unforeseen obstacles can all have an impact on the project timetable (Al-Saeed </w:t>
      </w:r>
      <w:r w:rsidRPr="00DD1402">
        <w:rPr>
          <w:rFonts w:ascii="Times New Roman" w:eastAsia="Times New Roman" w:hAnsi="Times New Roman" w:cs="Times New Roman"/>
          <w:i/>
          <w:color w:val="222222"/>
          <w:sz w:val="24"/>
          <w:szCs w:val="24"/>
          <w:highlight w:val="white"/>
          <w:lang w:val="en-GB"/>
        </w:rPr>
        <w:t xml:space="preserve">et al., </w:t>
      </w:r>
      <w:r w:rsidRPr="00DD1402">
        <w:rPr>
          <w:rFonts w:ascii="Times New Roman" w:eastAsia="Times New Roman" w:hAnsi="Times New Roman" w:cs="Times New Roman"/>
          <w:color w:val="222222"/>
          <w:sz w:val="24"/>
          <w:szCs w:val="24"/>
          <w:highlight w:val="white"/>
          <w:lang w:val="en-GB"/>
        </w:rPr>
        <w:t>2020., p. 377). It is crucial to analyse the critical path and potential bottlenecks. Using project management tools and processes can help identify areas where acceleration or corrective action is required. Close collaboration between project managers, architects, and construction teams is required to ensure that the project is completed on time.</w:t>
      </w:r>
    </w:p>
    <w:p w14:paraId="00000007"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b/>
          <w:color w:val="222222"/>
          <w:sz w:val="24"/>
          <w:szCs w:val="24"/>
          <w:highlight w:val="white"/>
          <w:lang w:val="en-GB"/>
        </w:rPr>
        <w:t xml:space="preserve">Quality: </w:t>
      </w:r>
      <w:r w:rsidRPr="00DD1402">
        <w:rPr>
          <w:rFonts w:ascii="Times New Roman" w:eastAsia="Times New Roman" w:hAnsi="Times New Roman" w:cs="Times New Roman"/>
          <w:color w:val="222222"/>
          <w:sz w:val="24"/>
          <w:szCs w:val="24"/>
          <w:highlight w:val="white"/>
          <w:lang w:val="en-GB"/>
        </w:rPr>
        <w:t xml:space="preserve">The final deliverable's quality is a non-negotiable part of any construction project. According to the most recent study, adherence to design specifications and building standards is critical. Quality control procedures, inspections, and tests must be by industry best practises as well as statutory standards (Norouzi </w:t>
      </w:r>
      <w:r w:rsidRPr="00DD1402">
        <w:rPr>
          <w:rFonts w:ascii="Times New Roman" w:eastAsia="Times New Roman" w:hAnsi="Times New Roman" w:cs="Times New Roman"/>
          <w:i/>
          <w:color w:val="222222"/>
          <w:sz w:val="24"/>
          <w:szCs w:val="24"/>
          <w:highlight w:val="white"/>
          <w:lang w:val="en-GB"/>
        </w:rPr>
        <w:t>et al.,</w:t>
      </w:r>
      <w:r w:rsidRPr="00DD1402">
        <w:rPr>
          <w:rFonts w:ascii="Times New Roman" w:eastAsia="Times New Roman" w:hAnsi="Times New Roman" w:cs="Times New Roman"/>
          <w:color w:val="222222"/>
          <w:sz w:val="24"/>
          <w:szCs w:val="24"/>
          <w:highlight w:val="white"/>
          <w:lang w:val="en-GB"/>
        </w:rPr>
        <w:t xml:space="preserve"> 2021., p. 102704). Quantitative measures, such as the percentage of completed quality inspections and any reported defects, provide insights into the project's quality status. Collaborating with quality assurance teams and incorporating feedback from architects and engineers is crucial for maintaining and enhancing the overall quality of the project. </w:t>
      </w:r>
      <w:r w:rsidRPr="00DD1402">
        <w:rPr>
          <w:rFonts w:ascii="Times New Roman" w:eastAsia="Times New Roman" w:hAnsi="Times New Roman" w:cs="Times New Roman"/>
          <w:b/>
          <w:color w:val="222222"/>
          <w:sz w:val="24"/>
          <w:szCs w:val="24"/>
          <w:highlight w:val="white"/>
          <w:lang w:val="en-GB"/>
        </w:rPr>
        <w:t xml:space="preserve">Stakeholders: </w:t>
      </w:r>
      <w:r w:rsidRPr="00DD1402">
        <w:rPr>
          <w:rFonts w:ascii="Times New Roman" w:eastAsia="Times New Roman" w:hAnsi="Times New Roman" w:cs="Times New Roman"/>
          <w:color w:val="222222"/>
          <w:sz w:val="24"/>
          <w:szCs w:val="24"/>
          <w:highlight w:val="white"/>
          <w:lang w:val="en-GB"/>
        </w:rPr>
        <w:t xml:space="preserve">The stakeholders for the Google headquarters project in King's Cross include Google as the client, architects from Heatherwick Studio and Bjarke Ingels Group, </w:t>
      </w:r>
      <w:proofErr w:type="spellStart"/>
      <w:r w:rsidRPr="00DD1402">
        <w:rPr>
          <w:rFonts w:ascii="Times New Roman" w:eastAsia="Times New Roman" w:hAnsi="Times New Roman" w:cs="Times New Roman"/>
          <w:color w:val="222222"/>
          <w:sz w:val="24"/>
          <w:szCs w:val="24"/>
          <w:highlight w:val="white"/>
          <w:lang w:val="en-GB"/>
        </w:rPr>
        <w:t>Gillespies</w:t>
      </w:r>
      <w:proofErr w:type="spellEnd"/>
      <w:r w:rsidRPr="00DD1402">
        <w:rPr>
          <w:rFonts w:ascii="Times New Roman" w:eastAsia="Times New Roman" w:hAnsi="Times New Roman" w:cs="Times New Roman"/>
          <w:color w:val="222222"/>
          <w:sz w:val="24"/>
          <w:szCs w:val="24"/>
          <w:highlight w:val="white"/>
          <w:lang w:val="en-GB"/>
        </w:rPr>
        <w:t xml:space="preserve"> for the rooftop garden, BDP as the design delivery architect, and the local community. It is critical to keep lines of communication open with stakeholders. Stakeholder satisfaction, comments, and any reported issues or concerns should all be analysed. Regular stakeholder meetings, progress reports, and open communication channels all help to an informed and collaborative decision-making process. </w:t>
      </w:r>
      <w:r w:rsidRPr="00DD1402">
        <w:rPr>
          <w:rFonts w:ascii="Times New Roman" w:eastAsia="Times New Roman" w:hAnsi="Times New Roman" w:cs="Times New Roman"/>
          <w:b/>
          <w:color w:val="222222"/>
          <w:sz w:val="24"/>
          <w:szCs w:val="24"/>
          <w:highlight w:val="white"/>
          <w:lang w:val="en-GB"/>
        </w:rPr>
        <w:t xml:space="preserve">Risk Factors: </w:t>
      </w:r>
      <w:r w:rsidRPr="00DD1402">
        <w:rPr>
          <w:rFonts w:ascii="Times New Roman" w:eastAsia="Times New Roman" w:hAnsi="Times New Roman" w:cs="Times New Roman"/>
          <w:color w:val="222222"/>
          <w:sz w:val="24"/>
          <w:szCs w:val="24"/>
          <w:highlight w:val="white"/>
          <w:lang w:val="en-GB"/>
        </w:rPr>
        <w:t>Effective risk management is critical in mitigating any obstacles that could jeopardise the project's success (</w:t>
      </w:r>
      <w:proofErr w:type="spellStart"/>
      <w:r w:rsidRPr="00DD1402">
        <w:rPr>
          <w:rFonts w:ascii="Times New Roman" w:eastAsia="Times New Roman" w:hAnsi="Times New Roman" w:cs="Times New Roman"/>
          <w:color w:val="222222"/>
          <w:sz w:val="24"/>
          <w:szCs w:val="24"/>
          <w:highlight w:val="white"/>
          <w:lang w:val="en-GB"/>
        </w:rPr>
        <w:t>Forcael</w:t>
      </w:r>
      <w:proofErr w:type="spellEnd"/>
      <w:r w:rsidRPr="00DD1402">
        <w:rPr>
          <w:rFonts w:ascii="Times New Roman" w:eastAsia="Times New Roman" w:hAnsi="Times New Roman" w:cs="Times New Roman"/>
          <w:color w:val="222222"/>
          <w:sz w:val="24"/>
          <w:szCs w:val="24"/>
          <w:highlight w:val="white"/>
          <w:lang w:val="en-GB"/>
        </w:rPr>
        <w:t xml:space="preserve"> </w:t>
      </w:r>
      <w:r w:rsidRPr="00DD1402">
        <w:rPr>
          <w:rFonts w:ascii="Times New Roman" w:eastAsia="Times New Roman" w:hAnsi="Times New Roman" w:cs="Times New Roman"/>
          <w:i/>
          <w:color w:val="222222"/>
          <w:sz w:val="24"/>
          <w:szCs w:val="24"/>
          <w:highlight w:val="white"/>
          <w:lang w:val="en-GB"/>
        </w:rPr>
        <w:t xml:space="preserve">et al., </w:t>
      </w:r>
      <w:r w:rsidRPr="00DD1402">
        <w:rPr>
          <w:rFonts w:ascii="Times New Roman" w:eastAsia="Times New Roman" w:hAnsi="Times New Roman" w:cs="Times New Roman"/>
          <w:color w:val="222222"/>
          <w:sz w:val="24"/>
          <w:szCs w:val="24"/>
          <w:highlight w:val="white"/>
          <w:lang w:val="en-GB"/>
        </w:rPr>
        <w:t xml:space="preserve">2020., p. 9755). </w:t>
      </w:r>
      <w:r w:rsidRPr="00DD1402">
        <w:rPr>
          <w:rFonts w:ascii="Times New Roman" w:eastAsia="Times New Roman" w:hAnsi="Times New Roman" w:cs="Times New Roman"/>
          <w:color w:val="222222"/>
          <w:sz w:val="24"/>
          <w:szCs w:val="24"/>
          <w:highlight w:val="white"/>
          <w:lang w:val="en-GB"/>
        </w:rPr>
        <w:lastRenderedPageBreak/>
        <w:t>An examination of risk variables, both predicted and unexpected, is required. Environmental issues, supply chain interruptions, legislative changes, and any other external forces that may have an impact on the project are all included. Risk exposure can be quantified using statistical models and scenario studies, allowing for a more proactive approach to risk management. Regular risk assessments, mitigation methods, and contingency plans help the project to be resilient in the face of uncertainty. Collaboration with risk management professionals and the use of past data from similar projects help to build a strong risk management framework. It can be summarised that the continuous evaluation of Google's headquarters project in King's Cross demands a thorough examination of the budget, timeline, quality, stakeholders, and risk factors. Using data, feedback, and collaborative efforts among project teams will help to influence decision-making and ensure the successful completion of this ambitious and unique endeavour.</w:t>
      </w:r>
    </w:p>
    <w:p w14:paraId="00000008" w14:textId="77777777" w:rsidR="00D51757" w:rsidRPr="00DD1402" w:rsidRDefault="00000000" w:rsidP="00DD1402">
      <w:pPr>
        <w:spacing w:after="240" w:line="360" w:lineRule="auto"/>
        <w:jc w:val="both"/>
        <w:rPr>
          <w:rFonts w:ascii="Times New Roman" w:eastAsia="Times New Roman" w:hAnsi="Times New Roman" w:cs="Times New Roman"/>
          <w:b/>
          <w:color w:val="222222"/>
          <w:sz w:val="24"/>
          <w:szCs w:val="24"/>
          <w:highlight w:val="white"/>
          <w:lang w:val="en-GB"/>
        </w:rPr>
      </w:pPr>
      <w:r w:rsidRPr="00DD1402">
        <w:rPr>
          <w:rFonts w:ascii="Times New Roman" w:eastAsia="Times New Roman" w:hAnsi="Times New Roman" w:cs="Times New Roman"/>
          <w:b/>
          <w:color w:val="222222"/>
          <w:sz w:val="24"/>
          <w:szCs w:val="24"/>
          <w:highlight w:val="white"/>
          <w:lang w:val="en-GB"/>
        </w:rPr>
        <w:t>Impact of This Project</w:t>
      </w:r>
    </w:p>
    <w:p w14:paraId="00000009"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color w:val="222222"/>
          <w:sz w:val="24"/>
          <w:szCs w:val="24"/>
          <w:highlight w:val="white"/>
          <w:lang w:val="en-GB"/>
        </w:rPr>
        <w:t xml:space="preserve">The Google headquarters proposal in King's Cross has the potential to revolutionise several dimensions, from the local economy and environment to the global technology landscape. The varied consequences of this initiative are expected to reverberate across numerous sectors, leaving a lasting imprint on the region's physical and socioeconomic fabric. </w:t>
      </w:r>
      <w:r w:rsidRPr="00DD1402">
        <w:rPr>
          <w:rFonts w:ascii="Times New Roman" w:eastAsia="Times New Roman" w:hAnsi="Times New Roman" w:cs="Times New Roman"/>
          <w:b/>
          <w:color w:val="222222"/>
          <w:sz w:val="24"/>
          <w:szCs w:val="24"/>
          <w:highlight w:val="white"/>
          <w:lang w:val="en-GB"/>
        </w:rPr>
        <w:t xml:space="preserve">Economic Impact:  </w:t>
      </w:r>
      <w:r w:rsidRPr="00DD1402">
        <w:rPr>
          <w:rFonts w:ascii="Times New Roman" w:eastAsia="Times New Roman" w:hAnsi="Times New Roman" w:cs="Times New Roman"/>
          <w:color w:val="222222"/>
          <w:sz w:val="24"/>
          <w:szCs w:val="24"/>
          <w:highlight w:val="white"/>
          <w:lang w:val="en-GB"/>
        </w:rPr>
        <w:t>At its core, the project will work as an economic accelerator, considerably contributing to the local and national economies (Wang</w:t>
      </w:r>
      <w:r w:rsidRPr="00DD1402">
        <w:rPr>
          <w:rFonts w:ascii="Times New Roman" w:eastAsia="Times New Roman" w:hAnsi="Times New Roman" w:cs="Times New Roman"/>
          <w:i/>
          <w:color w:val="222222"/>
          <w:sz w:val="24"/>
          <w:szCs w:val="24"/>
          <w:highlight w:val="white"/>
          <w:lang w:val="en-GB"/>
        </w:rPr>
        <w:t xml:space="preserve"> et al., </w:t>
      </w:r>
      <w:r w:rsidRPr="00DD1402">
        <w:rPr>
          <w:rFonts w:ascii="Times New Roman" w:eastAsia="Times New Roman" w:hAnsi="Times New Roman" w:cs="Times New Roman"/>
          <w:color w:val="222222"/>
          <w:sz w:val="24"/>
          <w:szCs w:val="24"/>
          <w:highlight w:val="white"/>
          <w:lang w:val="en-GB"/>
        </w:rPr>
        <w:t xml:space="preserve">2020., p. 207). The construction process alone creates career opportunities for architects, engineers, construction workers, and support personnel. The infusion of trained individuals and related service providers is projected to boost the local economy, ranging from hospitality to retail. When finished, the Google headquarters will be a dynamic magnet for technology and creativity. The existence of a Google site with a capacity of 7,000 people represents a significant growth of King's Cross' knowledge-based economy. This flood of expertise and intellectual capital will almost certainly attract related industries, promoting a dynamic ecosystem of collaboration and growth. </w:t>
      </w:r>
      <w:r w:rsidRPr="00DD1402">
        <w:rPr>
          <w:rFonts w:ascii="Times New Roman" w:eastAsia="Times New Roman" w:hAnsi="Times New Roman" w:cs="Times New Roman"/>
          <w:b/>
          <w:color w:val="222222"/>
          <w:sz w:val="24"/>
          <w:szCs w:val="24"/>
          <w:highlight w:val="white"/>
          <w:lang w:val="en-GB"/>
        </w:rPr>
        <w:t xml:space="preserve">Environmental Impact:  </w:t>
      </w:r>
      <w:r w:rsidRPr="00DD1402">
        <w:rPr>
          <w:rFonts w:ascii="Times New Roman" w:eastAsia="Times New Roman" w:hAnsi="Times New Roman" w:cs="Times New Roman"/>
          <w:color w:val="222222"/>
          <w:sz w:val="24"/>
          <w:szCs w:val="24"/>
          <w:highlight w:val="white"/>
          <w:lang w:val="en-GB"/>
        </w:rPr>
        <w:t xml:space="preserve">The rooftop garden, a project highlight, demonstrates a commitment to environmental sustainability. The garden, which spans 300 meters and includes a variety of zones such as open lawns, a wild meadow, and a </w:t>
      </w:r>
      <w:r w:rsidRPr="00DD1402">
        <w:rPr>
          <w:rFonts w:ascii="Times New Roman" w:eastAsia="Times New Roman" w:hAnsi="Times New Roman" w:cs="Times New Roman"/>
          <w:b/>
          <w:color w:val="222222"/>
          <w:sz w:val="24"/>
          <w:szCs w:val="24"/>
          <w:highlight w:val="white"/>
          <w:lang w:val="en-GB"/>
        </w:rPr>
        <w:t>"trim trail,"</w:t>
      </w:r>
      <w:r w:rsidRPr="00DD1402">
        <w:rPr>
          <w:rFonts w:ascii="Times New Roman" w:eastAsia="Times New Roman" w:hAnsi="Times New Roman" w:cs="Times New Roman"/>
          <w:color w:val="222222"/>
          <w:sz w:val="24"/>
          <w:szCs w:val="24"/>
          <w:highlight w:val="white"/>
          <w:lang w:val="en-GB"/>
        </w:rPr>
        <w:t xml:space="preserve"> acts as a green sanctuary in an urban scene (Bertram </w:t>
      </w:r>
      <w:r w:rsidRPr="00DD1402">
        <w:rPr>
          <w:rFonts w:ascii="Times New Roman" w:eastAsia="Times New Roman" w:hAnsi="Times New Roman" w:cs="Times New Roman"/>
          <w:i/>
          <w:color w:val="222222"/>
          <w:sz w:val="24"/>
          <w:szCs w:val="24"/>
          <w:highlight w:val="white"/>
          <w:lang w:val="en-GB"/>
        </w:rPr>
        <w:t>et al.</w:t>
      </w:r>
      <w:r w:rsidRPr="00DD1402">
        <w:rPr>
          <w:rFonts w:ascii="Times New Roman" w:eastAsia="Times New Roman" w:hAnsi="Times New Roman" w:cs="Times New Roman"/>
          <w:color w:val="222222"/>
          <w:sz w:val="24"/>
          <w:szCs w:val="24"/>
          <w:highlight w:val="white"/>
          <w:lang w:val="en-GB"/>
        </w:rPr>
        <w:t xml:space="preserve">, 2019., p. 34). This not only improves the aesthetic appeal of the area, but it also contributes to biodiversity, reduces urban heat island effects, and promotes sustainability. Furthermore, the emphasis on material procurement via Google's </w:t>
      </w:r>
      <w:r w:rsidRPr="00DD1402">
        <w:rPr>
          <w:rFonts w:ascii="Times New Roman" w:eastAsia="Times New Roman" w:hAnsi="Times New Roman" w:cs="Times New Roman"/>
          <w:color w:val="222222"/>
          <w:sz w:val="24"/>
          <w:szCs w:val="24"/>
          <w:highlight w:val="white"/>
          <w:lang w:val="en-GB"/>
        </w:rPr>
        <w:lastRenderedPageBreak/>
        <w:t>healthy materials programme matches with global sustainability aims. The project sends a strong statement about the significance of environmental stewardship in large-scale developments by creating a standard for responsible construction practises.</w:t>
      </w:r>
    </w:p>
    <w:p w14:paraId="0000000A" w14:textId="442E61B3"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b/>
          <w:color w:val="222222"/>
          <w:sz w:val="24"/>
          <w:szCs w:val="24"/>
          <w:highlight w:val="white"/>
          <w:lang w:val="en-GB"/>
        </w:rPr>
        <w:t xml:space="preserve">Technological Implications: </w:t>
      </w:r>
      <w:r w:rsidRPr="00DD1402">
        <w:rPr>
          <w:rFonts w:ascii="Times New Roman" w:eastAsia="Times New Roman" w:hAnsi="Times New Roman" w:cs="Times New Roman"/>
          <w:color w:val="222222"/>
          <w:sz w:val="24"/>
          <w:szCs w:val="24"/>
          <w:highlight w:val="white"/>
          <w:lang w:val="en-GB"/>
        </w:rPr>
        <w:t>The project represents the company's dedication to worldwide expansion and innovation as the first completely owned and designed Google building outside of the United States. Heatherwick Studio and Bjarke Ingels Group's partnership demonstrates cutting-edge architectural and design prowess, pushing the frontiers of what is possible in modern construction. The technical influence extends beyond the architecture of the structure to the possible incorporation of modern technologies within the workstation (Charef</w:t>
      </w:r>
      <w:r w:rsidRPr="00DD1402">
        <w:rPr>
          <w:rFonts w:ascii="Times New Roman" w:eastAsia="Times New Roman" w:hAnsi="Times New Roman" w:cs="Times New Roman"/>
          <w:i/>
          <w:color w:val="222222"/>
          <w:sz w:val="24"/>
          <w:szCs w:val="24"/>
          <w:highlight w:val="white"/>
          <w:lang w:val="en-GB"/>
        </w:rPr>
        <w:t xml:space="preserve"> et al., </w:t>
      </w:r>
      <w:r w:rsidRPr="00DD1402">
        <w:rPr>
          <w:rFonts w:ascii="Times New Roman" w:eastAsia="Times New Roman" w:hAnsi="Times New Roman" w:cs="Times New Roman"/>
          <w:color w:val="222222"/>
          <w:sz w:val="24"/>
          <w:szCs w:val="24"/>
          <w:highlight w:val="white"/>
          <w:lang w:val="en-GB"/>
        </w:rPr>
        <w:t xml:space="preserve">2019., p. 100777). Google, which is known for emphasising technology and innovation, may use the new headquarters to display and implement cutting-edge workplace solutions, influencing future office design and technology adoption trends. </w:t>
      </w:r>
      <w:r w:rsidRPr="00DD1402">
        <w:rPr>
          <w:rFonts w:ascii="Times New Roman" w:eastAsia="Times New Roman" w:hAnsi="Times New Roman" w:cs="Times New Roman"/>
          <w:b/>
          <w:color w:val="222222"/>
          <w:sz w:val="24"/>
          <w:szCs w:val="24"/>
          <w:highlight w:val="white"/>
          <w:lang w:val="en-GB"/>
        </w:rPr>
        <w:t xml:space="preserve">Cultural and Social Impact: </w:t>
      </w:r>
      <w:r w:rsidRPr="00DD1402">
        <w:rPr>
          <w:rFonts w:ascii="Times New Roman" w:eastAsia="Times New Roman" w:hAnsi="Times New Roman" w:cs="Times New Roman"/>
          <w:color w:val="222222"/>
          <w:sz w:val="24"/>
          <w:szCs w:val="24"/>
          <w:highlight w:val="white"/>
          <w:lang w:val="en-GB"/>
        </w:rPr>
        <w:t xml:space="preserve">The creation of a Google campus in King's Cross will not only transform the physical landscape but will also contribute to the cultural and social dynamics of the neighbourhood. The influx of a broad workforce, including tech professionals, creatives, and support personnel, is likely to result in a rich tapestry of ideas, viewpoints, and collaborations. The rooftop garden, which is intended to be flexible and user-friendly, becomes a social space that promotes well-being and community connection. Cultural events and activities are made possible by performance spaces and growing gardens, which develop a sense of community among Google employees and residents. It can </w:t>
      </w:r>
      <w:r w:rsidR="00DD1402" w:rsidRPr="00DD1402">
        <w:rPr>
          <w:rFonts w:ascii="Times New Roman" w:eastAsia="Times New Roman" w:hAnsi="Times New Roman" w:cs="Times New Roman"/>
          <w:color w:val="222222"/>
          <w:sz w:val="24"/>
          <w:szCs w:val="24"/>
          <w:highlight w:val="white"/>
          <w:lang w:val="en-GB"/>
        </w:rPr>
        <w:t>summarise</w:t>
      </w:r>
      <w:r w:rsidRPr="00DD1402">
        <w:rPr>
          <w:rFonts w:ascii="Times New Roman" w:eastAsia="Times New Roman" w:hAnsi="Times New Roman" w:cs="Times New Roman"/>
          <w:color w:val="222222"/>
          <w:sz w:val="24"/>
          <w:szCs w:val="24"/>
          <w:highlight w:val="white"/>
          <w:lang w:val="en-GB"/>
        </w:rPr>
        <w:t xml:space="preserve"> that the Google headquarters project in King's Cross has had a profound and far-reaching influence. This initiative exemplifies the power of large-scale undertakings in altering the future of urban spaces and the communities that occupy them, from economic stimulation and environmental sustainability to technological innovation and cultural enrichment.</w:t>
      </w:r>
    </w:p>
    <w:p w14:paraId="0000000B" w14:textId="77777777" w:rsidR="00D51757" w:rsidRPr="00DD1402" w:rsidRDefault="00000000" w:rsidP="00DD1402">
      <w:pPr>
        <w:spacing w:after="240" w:line="360" w:lineRule="auto"/>
        <w:jc w:val="both"/>
        <w:rPr>
          <w:rFonts w:ascii="Times New Roman" w:eastAsia="Times New Roman" w:hAnsi="Times New Roman" w:cs="Times New Roman"/>
          <w:b/>
          <w:color w:val="222222"/>
          <w:sz w:val="24"/>
          <w:szCs w:val="24"/>
          <w:highlight w:val="white"/>
          <w:lang w:val="en-GB"/>
        </w:rPr>
      </w:pPr>
      <w:r w:rsidRPr="00DD1402">
        <w:rPr>
          <w:rFonts w:ascii="Times New Roman" w:eastAsia="Times New Roman" w:hAnsi="Times New Roman" w:cs="Times New Roman"/>
          <w:b/>
          <w:color w:val="222222"/>
          <w:sz w:val="24"/>
          <w:szCs w:val="24"/>
          <w:highlight w:val="white"/>
          <w:lang w:val="en-GB"/>
        </w:rPr>
        <w:t>Impact on Other Projects</w:t>
      </w:r>
    </w:p>
    <w:p w14:paraId="0000000C"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color w:val="222222"/>
          <w:sz w:val="24"/>
          <w:szCs w:val="24"/>
          <w:highlight w:val="white"/>
          <w:lang w:val="en-GB"/>
        </w:rPr>
        <w:t xml:space="preserve">The Google headquarters project at King's Cross is a notable influencer and trendsetter, establishing standards for future developments in a variety of fields. Its influence extends beyond its physical presence, affecting architecture, urban planning, sustainable construction, and workplace design. </w:t>
      </w:r>
      <w:r w:rsidRPr="00DD1402">
        <w:rPr>
          <w:rFonts w:ascii="Times New Roman" w:eastAsia="Times New Roman" w:hAnsi="Times New Roman" w:cs="Times New Roman"/>
          <w:b/>
          <w:i/>
          <w:color w:val="222222"/>
          <w:sz w:val="24"/>
          <w:szCs w:val="24"/>
          <w:highlight w:val="white"/>
          <w:lang w:val="en-GB"/>
        </w:rPr>
        <w:t>Sustainable Building Practises:</w:t>
      </w:r>
      <w:r w:rsidRPr="00DD1402">
        <w:rPr>
          <w:rFonts w:ascii="Times New Roman" w:eastAsia="Times New Roman" w:hAnsi="Times New Roman" w:cs="Times New Roman"/>
          <w:color w:val="222222"/>
          <w:sz w:val="24"/>
          <w:szCs w:val="24"/>
          <w:highlight w:val="white"/>
          <w:lang w:val="en-GB"/>
        </w:rPr>
        <w:t xml:space="preserve"> The attention to sustainability, as seen by the use of materials procured through Google's healthy materials programme and the installation of a </w:t>
      </w:r>
      <w:r w:rsidRPr="00DD1402">
        <w:rPr>
          <w:rFonts w:ascii="Times New Roman" w:eastAsia="Times New Roman" w:hAnsi="Times New Roman" w:cs="Times New Roman"/>
          <w:color w:val="222222"/>
          <w:sz w:val="24"/>
          <w:szCs w:val="24"/>
          <w:highlight w:val="white"/>
          <w:lang w:val="en-GB"/>
        </w:rPr>
        <w:lastRenderedPageBreak/>
        <w:t xml:space="preserve">huge rooftop garden, establishes a precedent for ecologically responsible building. To correspond with global sustainability goals, future projects may be encouraged to prioritise sustainable building practises, using green spaces and eco-friendly materials (Bertram </w:t>
      </w:r>
      <w:r w:rsidRPr="00DD1402">
        <w:rPr>
          <w:rFonts w:ascii="Times New Roman" w:eastAsia="Times New Roman" w:hAnsi="Times New Roman" w:cs="Times New Roman"/>
          <w:i/>
          <w:color w:val="222222"/>
          <w:sz w:val="24"/>
          <w:szCs w:val="24"/>
          <w:highlight w:val="white"/>
          <w:lang w:val="en-GB"/>
        </w:rPr>
        <w:t>et al.,</w:t>
      </w:r>
      <w:r w:rsidRPr="00DD1402">
        <w:rPr>
          <w:rFonts w:ascii="Times New Roman" w:eastAsia="Times New Roman" w:hAnsi="Times New Roman" w:cs="Times New Roman"/>
          <w:color w:val="222222"/>
          <w:sz w:val="24"/>
          <w:szCs w:val="24"/>
          <w:highlight w:val="white"/>
          <w:lang w:val="en-GB"/>
        </w:rPr>
        <w:t xml:space="preserve"> 2019., p. 300. </w:t>
      </w:r>
      <w:r w:rsidRPr="00DD1402">
        <w:rPr>
          <w:rFonts w:ascii="Times New Roman" w:eastAsia="Times New Roman" w:hAnsi="Times New Roman" w:cs="Times New Roman"/>
          <w:b/>
          <w:i/>
          <w:color w:val="222222"/>
          <w:sz w:val="24"/>
          <w:szCs w:val="24"/>
          <w:highlight w:val="white"/>
          <w:lang w:val="en-GB"/>
        </w:rPr>
        <w:t>Innovative Workplace Design:</w:t>
      </w:r>
      <w:r w:rsidRPr="00DD1402">
        <w:rPr>
          <w:rFonts w:ascii="Times New Roman" w:eastAsia="Times New Roman" w:hAnsi="Times New Roman" w:cs="Times New Roman"/>
          <w:color w:val="222222"/>
          <w:sz w:val="24"/>
          <w:szCs w:val="24"/>
          <w:highlight w:val="white"/>
          <w:lang w:val="en-GB"/>
        </w:rPr>
        <w:t xml:space="preserve"> Heatherwick Studio and Bjarke Ingels Group's design of the Google headquarters exemplifies an innovative approach to workplace design. The adaptable rooftop garden, complete with performance areas and varied zones for employee involvement, displays a comprehensive grasp of the modern workplace. Other businesses and architects may take inspiration from this initiative when designing dynamic, adaptive, and employee-centric workplaces. </w:t>
      </w:r>
      <w:r w:rsidRPr="00DD1402">
        <w:rPr>
          <w:rFonts w:ascii="Times New Roman" w:eastAsia="Times New Roman" w:hAnsi="Times New Roman" w:cs="Times New Roman"/>
          <w:b/>
          <w:i/>
          <w:color w:val="222222"/>
          <w:sz w:val="24"/>
          <w:szCs w:val="24"/>
          <w:highlight w:val="white"/>
          <w:lang w:val="en-GB"/>
        </w:rPr>
        <w:t xml:space="preserve">Technology Integration: </w:t>
      </w:r>
      <w:r w:rsidRPr="00DD1402">
        <w:rPr>
          <w:rFonts w:ascii="Times New Roman" w:eastAsia="Times New Roman" w:hAnsi="Times New Roman" w:cs="Times New Roman"/>
          <w:color w:val="222222"/>
          <w:sz w:val="24"/>
          <w:szCs w:val="24"/>
          <w:highlight w:val="white"/>
          <w:lang w:val="en-GB"/>
        </w:rPr>
        <w:t xml:space="preserve">As a Google-owned structure, this project is planned to incorporate cutting-edge technologies both during construction and as part of its operational infrastructure. The technological advances made in this project may have an impact on future developments in smart buildings, encouraging the use of advanced technology for energy efficiency, security, and increased user experience (Brown </w:t>
      </w:r>
      <w:r w:rsidRPr="00DD1402">
        <w:rPr>
          <w:rFonts w:ascii="Times New Roman" w:eastAsia="Times New Roman" w:hAnsi="Times New Roman" w:cs="Times New Roman"/>
          <w:i/>
          <w:color w:val="222222"/>
          <w:sz w:val="24"/>
          <w:szCs w:val="24"/>
          <w:highlight w:val="white"/>
          <w:lang w:val="en-GB"/>
        </w:rPr>
        <w:t>et al.,</w:t>
      </w:r>
      <w:r w:rsidRPr="00DD1402">
        <w:rPr>
          <w:rFonts w:ascii="Times New Roman" w:eastAsia="Times New Roman" w:hAnsi="Times New Roman" w:cs="Times New Roman"/>
          <w:color w:val="222222"/>
          <w:sz w:val="24"/>
          <w:szCs w:val="24"/>
          <w:highlight w:val="white"/>
          <w:lang w:val="en-GB"/>
        </w:rPr>
        <w:t xml:space="preserve"> 2019., p. 110984). </w:t>
      </w:r>
      <w:r w:rsidRPr="00DD1402">
        <w:rPr>
          <w:rFonts w:ascii="Times New Roman" w:eastAsia="Times New Roman" w:hAnsi="Times New Roman" w:cs="Times New Roman"/>
          <w:b/>
          <w:i/>
          <w:color w:val="222222"/>
          <w:sz w:val="24"/>
          <w:szCs w:val="24"/>
          <w:highlight w:val="white"/>
          <w:lang w:val="en-GB"/>
        </w:rPr>
        <w:t xml:space="preserve">Community-Focused Urban Planning: </w:t>
      </w:r>
      <w:r w:rsidRPr="00DD1402">
        <w:rPr>
          <w:rFonts w:ascii="Times New Roman" w:eastAsia="Times New Roman" w:hAnsi="Times New Roman" w:cs="Times New Roman"/>
          <w:color w:val="222222"/>
          <w:sz w:val="24"/>
          <w:szCs w:val="24"/>
          <w:highlight w:val="white"/>
          <w:lang w:val="en-GB"/>
        </w:rPr>
        <w:t xml:space="preserve">The establishment of a Google campus adds to the King's Cross urban fabric. This strategy of developing a campus atmosphere inside an urban setting, with a focus on community participation via the rooftop garden and social areas, may inspire urban planners to prioritise community-centric features in future buildings. The incorporation of cultural and social components in urban planning initiatives may become a common consideration. </w:t>
      </w:r>
      <w:r w:rsidRPr="00DD1402">
        <w:rPr>
          <w:rFonts w:ascii="Times New Roman" w:eastAsia="Times New Roman" w:hAnsi="Times New Roman" w:cs="Times New Roman"/>
          <w:b/>
          <w:i/>
          <w:color w:val="222222"/>
          <w:sz w:val="24"/>
          <w:szCs w:val="24"/>
          <w:highlight w:val="white"/>
          <w:lang w:val="en-GB"/>
        </w:rPr>
        <w:t>Large-Scale Campus Development:</w:t>
      </w:r>
      <w:r w:rsidRPr="00DD1402">
        <w:rPr>
          <w:rFonts w:ascii="Times New Roman" w:eastAsia="Times New Roman" w:hAnsi="Times New Roman" w:cs="Times New Roman"/>
          <w:color w:val="222222"/>
          <w:sz w:val="24"/>
          <w:szCs w:val="24"/>
          <w:highlight w:val="white"/>
          <w:lang w:val="en-GB"/>
        </w:rPr>
        <w:t xml:space="preserve"> The growth of the King's Cross project into a campus with a capacity of 7,000 employees exemplifies the trend of large-scale campus projects. Other technology and innovation-driven organisations may pursue comparable campus-style projects to enhance employee collaboration, creativity, and a sense of community.</w:t>
      </w:r>
    </w:p>
    <w:p w14:paraId="0000000D"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b/>
          <w:i/>
          <w:color w:val="222222"/>
          <w:sz w:val="24"/>
          <w:szCs w:val="24"/>
          <w:highlight w:val="white"/>
          <w:lang w:val="en-GB"/>
        </w:rPr>
        <w:t xml:space="preserve">Green Roofs and Urban Biodiversity: </w:t>
      </w:r>
      <w:r w:rsidRPr="00DD1402">
        <w:rPr>
          <w:rFonts w:ascii="Times New Roman" w:eastAsia="Times New Roman" w:hAnsi="Times New Roman" w:cs="Times New Roman"/>
          <w:color w:val="222222"/>
          <w:sz w:val="24"/>
          <w:szCs w:val="24"/>
          <w:highlight w:val="white"/>
          <w:lang w:val="en-GB"/>
        </w:rPr>
        <w:t xml:space="preserve">The huge rooftop garden not only improves the building's aesthetic appeal but also contributes to urban biodiversity. This green roof concept may have an impact on other developments, promoting the inclusion of comparable elements to mitigate urban heat island effects, increase biodiversity, and create visually beautiful and functional spaces. </w:t>
      </w:r>
      <w:r w:rsidRPr="00DD1402">
        <w:rPr>
          <w:rFonts w:ascii="Times New Roman" w:eastAsia="Times New Roman" w:hAnsi="Times New Roman" w:cs="Times New Roman"/>
          <w:b/>
          <w:i/>
          <w:color w:val="222222"/>
          <w:sz w:val="24"/>
          <w:szCs w:val="24"/>
          <w:highlight w:val="white"/>
          <w:lang w:val="en-GB"/>
        </w:rPr>
        <w:t xml:space="preserve">Global Expansion Goals: </w:t>
      </w:r>
      <w:r w:rsidRPr="00DD1402">
        <w:rPr>
          <w:rFonts w:ascii="Times New Roman" w:eastAsia="Times New Roman" w:hAnsi="Times New Roman" w:cs="Times New Roman"/>
          <w:color w:val="222222"/>
          <w:sz w:val="24"/>
          <w:szCs w:val="24"/>
          <w:highlight w:val="white"/>
          <w:lang w:val="en-GB"/>
        </w:rPr>
        <w:t>The fact that this is Google's first entirely owned and designed structure outside of the United States highlights the internet giants' global expansion goals (Sawhney</w:t>
      </w:r>
      <w:r w:rsidRPr="00DD1402">
        <w:rPr>
          <w:rFonts w:ascii="Times New Roman" w:eastAsia="Times New Roman" w:hAnsi="Times New Roman" w:cs="Times New Roman"/>
          <w:i/>
          <w:color w:val="222222"/>
          <w:sz w:val="24"/>
          <w:szCs w:val="24"/>
          <w:highlight w:val="white"/>
          <w:lang w:val="en-GB"/>
        </w:rPr>
        <w:t xml:space="preserve"> et al.,</w:t>
      </w:r>
      <w:r w:rsidRPr="00DD1402">
        <w:rPr>
          <w:rFonts w:ascii="Times New Roman" w:eastAsia="Times New Roman" w:hAnsi="Times New Roman" w:cs="Times New Roman"/>
          <w:color w:val="222222"/>
          <w:sz w:val="24"/>
          <w:szCs w:val="24"/>
          <w:highlight w:val="white"/>
          <w:lang w:val="en-GB"/>
        </w:rPr>
        <w:t xml:space="preserve"> 2020., p. 230). This could persuade other multinational corporations to invest in purpose-built headquarters in crucial global locations, providing a physical presence that is consistent with their corporate brand and strategic aims. The Google headquarters project at King's Cross is a </w:t>
      </w:r>
      <w:r w:rsidRPr="00DD1402">
        <w:rPr>
          <w:rFonts w:ascii="Times New Roman" w:eastAsia="Times New Roman" w:hAnsi="Times New Roman" w:cs="Times New Roman"/>
          <w:color w:val="222222"/>
          <w:sz w:val="24"/>
          <w:szCs w:val="24"/>
          <w:highlight w:val="white"/>
          <w:lang w:val="en-GB"/>
        </w:rPr>
        <w:lastRenderedPageBreak/>
        <w:t xml:space="preserve">trailblazer, influencing and directing the course of future developments in a variety of industries. Its dedication to sustainability, innovation, and community participation sets a high bar for projects seeking to have a long-term influence on the built environment as well as the communities they serve. </w:t>
      </w:r>
    </w:p>
    <w:p w14:paraId="0000000E" w14:textId="77777777" w:rsidR="00D51757" w:rsidRPr="00DD1402" w:rsidRDefault="00000000" w:rsidP="00DD1402">
      <w:pPr>
        <w:spacing w:after="240" w:line="360" w:lineRule="auto"/>
        <w:jc w:val="both"/>
        <w:rPr>
          <w:rFonts w:ascii="Times New Roman" w:eastAsia="Times New Roman" w:hAnsi="Times New Roman" w:cs="Times New Roman"/>
          <w:b/>
          <w:color w:val="222222"/>
          <w:sz w:val="24"/>
          <w:szCs w:val="24"/>
          <w:highlight w:val="white"/>
          <w:lang w:val="en-GB"/>
        </w:rPr>
      </w:pPr>
      <w:r w:rsidRPr="00DD1402">
        <w:rPr>
          <w:rFonts w:ascii="Times New Roman" w:eastAsia="Times New Roman" w:hAnsi="Times New Roman" w:cs="Times New Roman"/>
          <w:b/>
          <w:color w:val="222222"/>
          <w:sz w:val="24"/>
          <w:szCs w:val="24"/>
          <w:highlight w:val="white"/>
          <w:lang w:val="en-GB"/>
        </w:rPr>
        <w:t>Future Impact of this Project</w:t>
      </w:r>
    </w:p>
    <w:p w14:paraId="0000000F"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color w:val="222222"/>
          <w:sz w:val="24"/>
          <w:szCs w:val="24"/>
          <w:highlight w:val="white"/>
          <w:lang w:val="en-GB"/>
        </w:rPr>
        <w:t>The Google headquarters project in King's Cross is expected to have long-lasting and far-reaching consequences. Future effects will range from the local economy and technical innovation to sustainable practises and urban development. Here are some crucial factors concerning this groundbreaking project's future impact:</w:t>
      </w:r>
    </w:p>
    <w:p w14:paraId="00000010"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b/>
          <w:i/>
          <w:color w:val="222222"/>
          <w:sz w:val="24"/>
          <w:szCs w:val="24"/>
          <w:highlight w:val="white"/>
          <w:lang w:val="en-GB"/>
        </w:rPr>
        <w:t>Economic Growth and Job Opportunities:</w:t>
      </w:r>
      <w:r w:rsidRPr="00DD1402">
        <w:rPr>
          <w:rFonts w:ascii="Times New Roman" w:eastAsia="Times New Roman" w:hAnsi="Times New Roman" w:cs="Times New Roman"/>
          <w:color w:val="222222"/>
          <w:sz w:val="24"/>
          <w:szCs w:val="24"/>
          <w:highlight w:val="white"/>
          <w:lang w:val="en-GB"/>
        </w:rPr>
        <w:t xml:space="preserve"> The completion of the Google headquarters will most certainly continue to drive regional economic growth. The continued presence of a Google site with the capacity to house 7,000 people will sustain job opportunities and stimulate local businesses when the development phase is completed. The project's contribution to the knowledge-based economy is intended to attract new businesses, creating a dynamic business ecosystem. </w:t>
      </w:r>
      <w:r w:rsidRPr="00DD1402">
        <w:rPr>
          <w:rFonts w:ascii="Times New Roman" w:eastAsia="Times New Roman" w:hAnsi="Times New Roman" w:cs="Times New Roman"/>
          <w:b/>
          <w:i/>
          <w:color w:val="222222"/>
          <w:sz w:val="24"/>
          <w:szCs w:val="24"/>
          <w:highlight w:val="white"/>
          <w:lang w:val="en-GB"/>
        </w:rPr>
        <w:t>Technology Innovation Hub:</w:t>
      </w:r>
      <w:r w:rsidRPr="00DD1402">
        <w:rPr>
          <w:rFonts w:ascii="Times New Roman" w:eastAsia="Times New Roman" w:hAnsi="Times New Roman" w:cs="Times New Roman"/>
          <w:color w:val="222222"/>
          <w:sz w:val="24"/>
          <w:szCs w:val="24"/>
          <w:highlight w:val="white"/>
          <w:lang w:val="en-GB"/>
        </w:rPr>
        <w:t xml:space="preserve"> As a major Google site, the King's Cross headquarters is positioned to become a technology innovation hub (Singh and Kumar, 2020., p. 470). This influence is anticipated to extend beyond the confines of the facility, with the possibility of collaboration, research, and development activities contributing to improvements in numerous technical fields. The project may inspire others to follow suit, transforming the surrounding area into a technology and innovation district. </w:t>
      </w:r>
      <w:r w:rsidRPr="00DD1402">
        <w:rPr>
          <w:rFonts w:ascii="Times New Roman" w:eastAsia="Times New Roman" w:hAnsi="Times New Roman" w:cs="Times New Roman"/>
          <w:b/>
          <w:i/>
          <w:color w:val="222222"/>
          <w:sz w:val="24"/>
          <w:szCs w:val="24"/>
          <w:highlight w:val="white"/>
          <w:lang w:val="en-GB"/>
        </w:rPr>
        <w:t xml:space="preserve">Standardisation of Sustainable Construction Practises: </w:t>
      </w:r>
      <w:r w:rsidRPr="00DD1402">
        <w:rPr>
          <w:rFonts w:ascii="Times New Roman" w:eastAsia="Times New Roman" w:hAnsi="Times New Roman" w:cs="Times New Roman"/>
          <w:color w:val="222222"/>
          <w:sz w:val="24"/>
          <w:szCs w:val="24"/>
          <w:highlight w:val="white"/>
          <w:lang w:val="en-GB"/>
        </w:rPr>
        <w:t>The project's commitment to sustainability and healthy construction practises is expected to create a precedent for future developments. The use of environmentally friendly materials and the inclusion of a large rooftop garden may catalyse a trend towards more sustainable construction practises in future projects, affecting industry norms and regulatory expectations.</w:t>
      </w:r>
    </w:p>
    <w:p w14:paraId="00000011"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b/>
          <w:i/>
          <w:color w:val="222222"/>
          <w:sz w:val="24"/>
          <w:szCs w:val="24"/>
          <w:highlight w:val="white"/>
          <w:lang w:val="en-GB"/>
        </w:rPr>
        <w:t>Green Urban Areas and Biodiversity Promotion:</w:t>
      </w:r>
      <w:r w:rsidRPr="00DD1402">
        <w:rPr>
          <w:rFonts w:ascii="Times New Roman" w:eastAsia="Times New Roman" w:hAnsi="Times New Roman" w:cs="Times New Roman"/>
          <w:color w:val="222222"/>
          <w:sz w:val="24"/>
          <w:szCs w:val="24"/>
          <w:highlight w:val="white"/>
          <w:lang w:val="en-GB"/>
        </w:rPr>
        <w:t xml:space="preserve"> The enormous rooftop garden, which was built with diverse zones and a focus on biodiversity, is expected to inspire future urban developments to include comparable green areas (</w:t>
      </w:r>
      <w:proofErr w:type="spellStart"/>
      <w:r w:rsidRPr="00DD1402">
        <w:rPr>
          <w:rFonts w:ascii="Times New Roman" w:eastAsia="Times New Roman" w:hAnsi="Times New Roman" w:cs="Times New Roman"/>
          <w:color w:val="222222"/>
          <w:sz w:val="24"/>
          <w:szCs w:val="24"/>
          <w:highlight w:val="white"/>
          <w:lang w:val="en-GB"/>
        </w:rPr>
        <w:t>Denicol</w:t>
      </w:r>
      <w:proofErr w:type="spellEnd"/>
      <w:r w:rsidRPr="00DD1402">
        <w:rPr>
          <w:rFonts w:ascii="Times New Roman" w:eastAsia="Times New Roman" w:hAnsi="Times New Roman" w:cs="Times New Roman"/>
          <w:i/>
          <w:color w:val="222222"/>
          <w:sz w:val="24"/>
          <w:szCs w:val="24"/>
          <w:highlight w:val="white"/>
          <w:lang w:val="en-GB"/>
        </w:rPr>
        <w:t xml:space="preserve"> et al.,</w:t>
      </w:r>
      <w:r w:rsidRPr="00DD1402">
        <w:rPr>
          <w:rFonts w:ascii="Times New Roman" w:eastAsia="Times New Roman" w:hAnsi="Times New Roman" w:cs="Times New Roman"/>
          <w:color w:val="222222"/>
          <w:sz w:val="24"/>
          <w:szCs w:val="24"/>
          <w:highlight w:val="white"/>
          <w:lang w:val="en-GB"/>
        </w:rPr>
        <w:t xml:space="preserve"> 2020., p. 375). The success of the project in establishing an aesthetically beautiful and environmentally beneficial rooftop garden may result in a greater emphasis on urban biodiversity and green infrastructure in global city design. </w:t>
      </w:r>
      <w:r w:rsidRPr="00DD1402">
        <w:rPr>
          <w:rFonts w:ascii="Times New Roman" w:eastAsia="Times New Roman" w:hAnsi="Times New Roman" w:cs="Times New Roman"/>
          <w:b/>
          <w:i/>
          <w:color w:val="222222"/>
          <w:sz w:val="24"/>
          <w:szCs w:val="24"/>
          <w:highlight w:val="white"/>
          <w:lang w:val="en-GB"/>
        </w:rPr>
        <w:t xml:space="preserve">Trends in </w:t>
      </w:r>
      <w:r w:rsidRPr="00DD1402">
        <w:rPr>
          <w:rFonts w:ascii="Times New Roman" w:eastAsia="Times New Roman" w:hAnsi="Times New Roman" w:cs="Times New Roman"/>
          <w:b/>
          <w:i/>
          <w:color w:val="222222"/>
          <w:sz w:val="24"/>
          <w:szCs w:val="24"/>
          <w:highlight w:val="white"/>
          <w:lang w:val="en-GB"/>
        </w:rPr>
        <w:lastRenderedPageBreak/>
        <w:t xml:space="preserve">Creative Workplace Design: </w:t>
      </w:r>
      <w:r w:rsidRPr="00DD1402">
        <w:rPr>
          <w:rFonts w:ascii="Times New Roman" w:eastAsia="Times New Roman" w:hAnsi="Times New Roman" w:cs="Times New Roman"/>
          <w:color w:val="222222"/>
          <w:sz w:val="24"/>
          <w:szCs w:val="24"/>
          <w:highlight w:val="white"/>
          <w:lang w:val="en-GB"/>
        </w:rPr>
        <w:t xml:space="preserve">The Google headquarters' creative workplace design is expected to influence future trends in office architecture and design. The flexible workspaces, performance areas, and emphasis on employee well-being could serve as models for businesses looking to establish dynamic and creative work environments. </w:t>
      </w:r>
      <w:r w:rsidRPr="00DD1402">
        <w:rPr>
          <w:rFonts w:ascii="Times New Roman" w:eastAsia="Times New Roman" w:hAnsi="Times New Roman" w:cs="Times New Roman"/>
          <w:b/>
          <w:i/>
          <w:color w:val="222222"/>
          <w:sz w:val="24"/>
          <w:szCs w:val="24"/>
          <w:highlight w:val="white"/>
          <w:lang w:val="en-GB"/>
        </w:rPr>
        <w:t>Impact on Local Culture and Community Dynamics:</w:t>
      </w:r>
      <w:r w:rsidRPr="00DD1402">
        <w:rPr>
          <w:rFonts w:ascii="Times New Roman" w:eastAsia="Times New Roman" w:hAnsi="Times New Roman" w:cs="Times New Roman"/>
          <w:color w:val="222222"/>
          <w:sz w:val="24"/>
          <w:szCs w:val="24"/>
          <w:highlight w:val="white"/>
          <w:lang w:val="en-GB"/>
        </w:rPr>
        <w:t xml:space="preserve"> The project's impact on local culture and community dynamics is likely to last (Sawhney </w:t>
      </w:r>
      <w:r w:rsidRPr="00DD1402">
        <w:rPr>
          <w:rFonts w:ascii="Times New Roman" w:eastAsia="Times New Roman" w:hAnsi="Times New Roman" w:cs="Times New Roman"/>
          <w:i/>
          <w:color w:val="222222"/>
          <w:sz w:val="24"/>
          <w:szCs w:val="24"/>
          <w:highlight w:val="white"/>
          <w:lang w:val="en-GB"/>
        </w:rPr>
        <w:t>et al.,</w:t>
      </w:r>
      <w:r w:rsidRPr="00DD1402">
        <w:rPr>
          <w:rFonts w:ascii="Times New Roman" w:eastAsia="Times New Roman" w:hAnsi="Times New Roman" w:cs="Times New Roman"/>
          <w:color w:val="222222"/>
          <w:sz w:val="24"/>
          <w:szCs w:val="24"/>
          <w:highlight w:val="white"/>
          <w:lang w:val="en-GB"/>
        </w:rPr>
        <w:t xml:space="preserve"> 2020., p. 145). The communal areas, cultural activities, and the building's integration into the fabric of King's Cross may inspire similar community-focused initiatives in the future. The Google campus's sense of community could serve as a model for firms trying to develop a good and integrated presence in metropolitan surroundings.</w:t>
      </w:r>
    </w:p>
    <w:p w14:paraId="00000012" w14:textId="77777777" w:rsidR="00D51757" w:rsidRPr="00DD1402" w:rsidRDefault="00000000" w:rsidP="00DD1402">
      <w:pPr>
        <w:pStyle w:val="Heading1"/>
        <w:rPr>
          <w:highlight w:val="white"/>
          <w:lang w:val="en-GB"/>
        </w:rPr>
      </w:pPr>
      <w:bookmarkStart w:id="2" w:name="_Toc152236262"/>
      <w:r w:rsidRPr="00DD1402">
        <w:rPr>
          <w:highlight w:val="white"/>
          <w:lang w:val="en-GB"/>
        </w:rPr>
        <w:t>Conclusion and Recommendations</w:t>
      </w:r>
      <w:bookmarkEnd w:id="2"/>
    </w:p>
    <w:p w14:paraId="00000013" w14:textId="77777777"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color w:val="222222"/>
          <w:sz w:val="24"/>
          <w:szCs w:val="24"/>
          <w:highlight w:val="white"/>
          <w:lang w:val="en-GB"/>
        </w:rPr>
        <w:t>It can be concluded that the Google headquarters project at King's Cross is a trailblazing endeavour that combines innovation, sustainability, and community engagement. From its strategic design by Heatherwick Studio and Bjarke Ingels Group to its commitment to a massive rooftop garden, the project establishes precedents in a variety of fields, affecting not only the local landscape but also global trends in architecture, technology, and workplace design.</w:t>
      </w:r>
    </w:p>
    <w:p w14:paraId="00000014" w14:textId="6A6F168D" w:rsidR="00D51757" w:rsidRPr="00DD1402" w:rsidRDefault="00000000" w:rsidP="00DD1402">
      <w:pPr>
        <w:spacing w:after="240" w:line="360" w:lineRule="auto"/>
        <w:jc w:val="both"/>
        <w:rPr>
          <w:rFonts w:ascii="Times New Roman" w:eastAsia="Times New Roman" w:hAnsi="Times New Roman" w:cs="Times New Roman"/>
          <w:color w:val="222222"/>
          <w:sz w:val="24"/>
          <w:szCs w:val="24"/>
          <w:highlight w:val="white"/>
          <w:lang w:val="en-GB"/>
        </w:rPr>
      </w:pPr>
      <w:r w:rsidRPr="00DD1402">
        <w:rPr>
          <w:rFonts w:ascii="Times New Roman" w:eastAsia="Times New Roman" w:hAnsi="Times New Roman" w:cs="Times New Roman"/>
          <w:color w:val="222222"/>
          <w:sz w:val="24"/>
          <w:szCs w:val="24"/>
          <w:highlight w:val="white"/>
          <w:lang w:val="en-GB"/>
        </w:rPr>
        <w:t xml:space="preserve">It is </w:t>
      </w:r>
      <w:r w:rsidRPr="00DD1402">
        <w:rPr>
          <w:rFonts w:ascii="Times New Roman" w:eastAsia="Times New Roman" w:hAnsi="Times New Roman" w:cs="Times New Roman"/>
          <w:b/>
          <w:i/>
          <w:color w:val="222222"/>
          <w:sz w:val="24"/>
          <w:szCs w:val="24"/>
          <w:highlight w:val="white"/>
          <w:lang w:val="en-GB"/>
        </w:rPr>
        <w:t>recommended</w:t>
      </w:r>
      <w:r w:rsidRPr="00DD1402">
        <w:rPr>
          <w:rFonts w:ascii="Times New Roman" w:eastAsia="Times New Roman" w:hAnsi="Times New Roman" w:cs="Times New Roman"/>
          <w:color w:val="222222"/>
          <w:sz w:val="24"/>
          <w:szCs w:val="24"/>
          <w:highlight w:val="white"/>
          <w:lang w:val="en-GB"/>
        </w:rPr>
        <w:t xml:space="preserve"> that as this project </w:t>
      </w:r>
      <w:r w:rsidR="00DD1402" w:rsidRPr="00DD1402">
        <w:rPr>
          <w:rFonts w:ascii="Times New Roman" w:eastAsia="Times New Roman" w:hAnsi="Times New Roman" w:cs="Times New Roman"/>
          <w:color w:val="222222"/>
          <w:sz w:val="24"/>
          <w:szCs w:val="24"/>
          <w:highlight w:val="white"/>
          <w:lang w:val="en-GB"/>
        </w:rPr>
        <w:t>advances, keep</w:t>
      </w:r>
      <w:r w:rsidRPr="00DD1402">
        <w:rPr>
          <w:rFonts w:ascii="Times New Roman" w:eastAsia="Times New Roman" w:hAnsi="Times New Roman" w:cs="Times New Roman"/>
          <w:color w:val="222222"/>
          <w:sz w:val="24"/>
          <w:szCs w:val="24"/>
          <w:highlight w:val="white"/>
          <w:lang w:val="en-GB"/>
        </w:rPr>
        <w:t xml:space="preserve"> a close eye on budget adherence, time management, and quality control. To address any new concerns, regular stakeholder engagement, and open communication channels should be maintained. Furthermore, the rooftop garden's success as a green and flexible place stimulates the research of comparable features in future urban constructions (Bertram </w:t>
      </w:r>
      <w:r w:rsidRPr="00DD1402">
        <w:rPr>
          <w:rFonts w:ascii="Times New Roman" w:eastAsia="Times New Roman" w:hAnsi="Times New Roman" w:cs="Times New Roman"/>
          <w:i/>
          <w:color w:val="222222"/>
          <w:sz w:val="24"/>
          <w:szCs w:val="24"/>
          <w:highlight w:val="white"/>
          <w:lang w:val="en-GB"/>
        </w:rPr>
        <w:t>et al.,</w:t>
      </w:r>
      <w:r w:rsidRPr="00DD1402">
        <w:rPr>
          <w:rFonts w:ascii="Times New Roman" w:eastAsia="Times New Roman" w:hAnsi="Times New Roman" w:cs="Times New Roman"/>
          <w:color w:val="222222"/>
          <w:sz w:val="24"/>
          <w:szCs w:val="24"/>
          <w:highlight w:val="white"/>
          <w:lang w:val="en-GB"/>
        </w:rPr>
        <w:t xml:space="preserve"> 2019., p. 28). The project's emphasis on sustainability and technological integration should be continuously watched to learn lessons that can be used to educate and inspire future large-scale innovations. Furthermore, collaboration among multiple stakeholders, as well as active community participation, should be maintained to ensure the long-term success and beneficial impact of this transformative endeavour.</w:t>
      </w:r>
    </w:p>
    <w:p w14:paraId="00000015"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6"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7"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8" w14:textId="12CB1921" w:rsidR="00D51757" w:rsidRDefault="00DD1402" w:rsidP="00DD1402">
      <w:pPr>
        <w:pStyle w:val="Heading1"/>
        <w:rPr>
          <w:highlight w:val="white"/>
          <w:lang w:val="en-GB"/>
        </w:rPr>
      </w:pPr>
      <w:bookmarkStart w:id="3" w:name="_Toc152236263"/>
      <w:r>
        <w:rPr>
          <w:highlight w:val="white"/>
          <w:lang w:val="en-GB"/>
        </w:rPr>
        <w:lastRenderedPageBreak/>
        <w:t>Reference List</w:t>
      </w:r>
      <w:bookmarkEnd w:id="3"/>
    </w:p>
    <w:p w14:paraId="6A9BF0C6"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Levy, S., (2021). </w:t>
      </w:r>
      <w:r>
        <w:rPr>
          <w:i/>
          <w:iCs/>
          <w:color w:val="222222"/>
          <w:shd w:val="clear" w:color="auto" w:fill="FFFFFF"/>
        </w:rPr>
        <w:t>In the plex: How Google thinks, works, and shapes our lives</w:t>
      </w:r>
      <w:r>
        <w:rPr>
          <w:color w:val="222222"/>
          <w:shd w:val="clear" w:color="auto" w:fill="FFFFFF"/>
        </w:rPr>
        <w:t xml:space="preserve">. Simon &amp; Schuster. </w:t>
      </w:r>
      <w:hyperlink r:id="rId7" w:history="1">
        <w:r>
          <w:rPr>
            <w:rStyle w:val="Hyperlink"/>
            <w:color w:val="1155CC"/>
            <w:shd w:val="clear" w:color="auto" w:fill="FFFFFF"/>
          </w:rPr>
          <w:t>https://books.google.com/books?hl=en&amp;lr=&amp;id=RS8SEAAAQBAJ&amp;oi=fnd&amp;pg=PA1&amp;dq=Google%27s+new+headquarters+in+King%27s+Cross&amp;ots=oFwIrI-hrR&amp;sig=W16AzhTn7Zs1t5F0skHVddBf_Hs</w:t>
        </w:r>
      </w:hyperlink>
      <w:r>
        <w:rPr>
          <w:color w:val="222222"/>
          <w:shd w:val="clear" w:color="auto" w:fill="FFFFFF"/>
        </w:rPr>
        <w:t> </w:t>
      </w:r>
    </w:p>
    <w:p w14:paraId="7B70C2A7"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Dorst, K., (2019). Co-evolution and emergence in design. </w:t>
      </w:r>
      <w:r>
        <w:rPr>
          <w:i/>
          <w:iCs/>
          <w:color w:val="222222"/>
          <w:shd w:val="clear" w:color="auto" w:fill="FFFFFF"/>
        </w:rPr>
        <w:t>Design Studies</w:t>
      </w:r>
      <w:r>
        <w:rPr>
          <w:color w:val="222222"/>
          <w:shd w:val="clear" w:color="auto" w:fill="FFFFFF"/>
        </w:rPr>
        <w:t xml:space="preserve">, </w:t>
      </w:r>
      <w:r>
        <w:rPr>
          <w:i/>
          <w:iCs/>
          <w:color w:val="222222"/>
          <w:shd w:val="clear" w:color="auto" w:fill="FFFFFF"/>
        </w:rPr>
        <w:t>65</w:t>
      </w:r>
      <w:r>
        <w:rPr>
          <w:color w:val="222222"/>
          <w:shd w:val="clear" w:color="auto" w:fill="FFFFFF"/>
        </w:rPr>
        <w:t xml:space="preserve">, pp.60-77. </w:t>
      </w:r>
      <w:hyperlink r:id="rId8" w:history="1">
        <w:r>
          <w:rPr>
            <w:rStyle w:val="Hyperlink"/>
            <w:color w:val="1155CC"/>
            <w:shd w:val="clear" w:color="auto" w:fill="FFFFFF"/>
          </w:rPr>
          <w:t>https://www.sciencedirect.com/science/article/pii/S0142694X19300614</w:t>
        </w:r>
      </w:hyperlink>
      <w:r>
        <w:rPr>
          <w:color w:val="222222"/>
          <w:shd w:val="clear" w:color="auto" w:fill="FFFFFF"/>
        </w:rPr>
        <w:t> </w:t>
      </w:r>
    </w:p>
    <w:p w14:paraId="2FE881FF"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Abueg, M., Hinch, R., Wu, N., Liu, L., Probert, W., Wu, A., Eastham, P., Shafi, Y., Rosencrantz, M., </w:t>
      </w:r>
      <w:proofErr w:type="spellStart"/>
      <w:r>
        <w:rPr>
          <w:color w:val="222222"/>
          <w:shd w:val="clear" w:color="auto" w:fill="FFFFFF"/>
        </w:rPr>
        <w:t>Dikovsky</w:t>
      </w:r>
      <w:proofErr w:type="spellEnd"/>
      <w:r>
        <w:rPr>
          <w:color w:val="222222"/>
          <w:shd w:val="clear" w:color="auto" w:fill="FFFFFF"/>
        </w:rPr>
        <w:t xml:space="preserve">, M. and Cheng, Z., (2020). </w:t>
      </w:r>
      <w:proofErr w:type="spellStart"/>
      <w:r>
        <w:rPr>
          <w:color w:val="222222"/>
          <w:shd w:val="clear" w:color="auto" w:fill="FFFFFF"/>
        </w:rPr>
        <w:t>Modeling</w:t>
      </w:r>
      <w:proofErr w:type="spellEnd"/>
      <w:r>
        <w:rPr>
          <w:color w:val="222222"/>
          <w:shd w:val="clear" w:color="auto" w:fill="FFFFFF"/>
        </w:rPr>
        <w:t xml:space="preserve"> the combined effect of digital exposure notification and non-pharmaceutical interventions on the COVID-19 epidemic in Washington state. </w:t>
      </w:r>
      <w:proofErr w:type="spellStart"/>
      <w:r>
        <w:rPr>
          <w:i/>
          <w:iCs/>
          <w:color w:val="222222"/>
          <w:shd w:val="clear" w:color="auto" w:fill="FFFFFF"/>
        </w:rPr>
        <w:t>MedRxiv</w:t>
      </w:r>
      <w:proofErr w:type="spellEnd"/>
      <w:r>
        <w:rPr>
          <w:color w:val="222222"/>
          <w:shd w:val="clear" w:color="auto" w:fill="FFFFFF"/>
        </w:rPr>
        <w:t xml:space="preserve">, pp.2020-08. </w:t>
      </w:r>
      <w:hyperlink r:id="rId9" w:history="1">
        <w:r>
          <w:rPr>
            <w:rStyle w:val="Hyperlink"/>
            <w:color w:val="1155CC"/>
            <w:shd w:val="clear" w:color="auto" w:fill="FFFFFF"/>
          </w:rPr>
          <w:t>https://www.medrxiv.org/content/10.1101/2020.08.29.20184135.abstract</w:t>
        </w:r>
      </w:hyperlink>
      <w:r>
        <w:rPr>
          <w:color w:val="222222"/>
          <w:shd w:val="clear" w:color="auto" w:fill="FFFFFF"/>
        </w:rPr>
        <w:t> </w:t>
      </w:r>
    </w:p>
    <w:p w14:paraId="05CFDAE6"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Al-Saeed, Y., Edwards, D.J. and </w:t>
      </w:r>
      <w:proofErr w:type="spellStart"/>
      <w:r>
        <w:rPr>
          <w:color w:val="222222"/>
          <w:shd w:val="clear" w:color="auto" w:fill="FFFFFF"/>
        </w:rPr>
        <w:t>Scaysbrook</w:t>
      </w:r>
      <w:proofErr w:type="spellEnd"/>
      <w:r>
        <w:rPr>
          <w:color w:val="222222"/>
          <w:shd w:val="clear" w:color="auto" w:fill="FFFFFF"/>
        </w:rPr>
        <w:t xml:space="preserve">, S., (2020). Automating construction manufacturing procedures using BIM digital objects (BDOs) Case study of knowledge transfer partnership project in UK. </w:t>
      </w:r>
      <w:r>
        <w:rPr>
          <w:i/>
          <w:iCs/>
          <w:color w:val="222222"/>
          <w:shd w:val="clear" w:color="auto" w:fill="FFFFFF"/>
        </w:rPr>
        <w:t>Construction Innovation</w:t>
      </w:r>
      <w:r>
        <w:rPr>
          <w:color w:val="222222"/>
          <w:shd w:val="clear" w:color="auto" w:fill="FFFFFF"/>
        </w:rPr>
        <w:t xml:space="preserve">, </w:t>
      </w:r>
      <w:r>
        <w:rPr>
          <w:i/>
          <w:iCs/>
          <w:color w:val="222222"/>
          <w:shd w:val="clear" w:color="auto" w:fill="FFFFFF"/>
        </w:rPr>
        <w:t>20</w:t>
      </w:r>
      <w:r>
        <w:rPr>
          <w:color w:val="222222"/>
          <w:shd w:val="clear" w:color="auto" w:fill="FFFFFF"/>
        </w:rPr>
        <w:t xml:space="preserve">(3), pp.345-377. </w:t>
      </w:r>
      <w:hyperlink r:id="rId10" w:history="1">
        <w:r>
          <w:rPr>
            <w:rStyle w:val="Hyperlink"/>
            <w:color w:val="1155CC"/>
            <w:shd w:val="clear" w:color="auto" w:fill="FFFFFF"/>
          </w:rPr>
          <w:t>https://www.emerald.com/insight/content/doi/10.1108/CI-12-2019-0141/full/html</w:t>
        </w:r>
      </w:hyperlink>
      <w:r>
        <w:rPr>
          <w:color w:val="222222"/>
          <w:shd w:val="clear" w:color="auto" w:fill="FFFFFF"/>
        </w:rPr>
        <w:t> </w:t>
      </w:r>
    </w:p>
    <w:p w14:paraId="120D5311"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Norouzi, M., </w:t>
      </w:r>
      <w:proofErr w:type="spellStart"/>
      <w:r>
        <w:rPr>
          <w:color w:val="222222"/>
          <w:shd w:val="clear" w:color="auto" w:fill="FFFFFF"/>
        </w:rPr>
        <w:t>Chàfer</w:t>
      </w:r>
      <w:proofErr w:type="spellEnd"/>
      <w:r>
        <w:rPr>
          <w:color w:val="222222"/>
          <w:shd w:val="clear" w:color="auto" w:fill="FFFFFF"/>
        </w:rPr>
        <w:t xml:space="preserve">, M., Cabeza, L.F., Jiménez, L. and Boer, D., (2021). Circular economy in the building and construction sector: A scientific evolution analysis. </w:t>
      </w:r>
      <w:r>
        <w:rPr>
          <w:i/>
          <w:iCs/>
          <w:color w:val="222222"/>
          <w:shd w:val="clear" w:color="auto" w:fill="FFFFFF"/>
        </w:rPr>
        <w:t>Journal of Building Engineering</w:t>
      </w:r>
      <w:r>
        <w:rPr>
          <w:color w:val="222222"/>
          <w:shd w:val="clear" w:color="auto" w:fill="FFFFFF"/>
        </w:rPr>
        <w:t xml:space="preserve">, </w:t>
      </w:r>
      <w:r>
        <w:rPr>
          <w:i/>
          <w:iCs/>
          <w:color w:val="222222"/>
          <w:shd w:val="clear" w:color="auto" w:fill="FFFFFF"/>
        </w:rPr>
        <w:t>44</w:t>
      </w:r>
      <w:r>
        <w:rPr>
          <w:color w:val="222222"/>
          <w:shd w:val="clear" w:color="auto" w:fill="FFFFFF"/>
        </w:rPr>
        <w:t xml:space="preserve">, p.102704. </w:t>
      </w:r>
      <w:hyperlink r:id="rId11" w:history="1">
        <w:r>
          <w:rPr>
            <w:rStyle w:val="Hyperlink"/>
            <w:color w:val="1155CC"/>
            <w:shd w:val="clear" w:color="auto" w:fill="FFFFFF"/>
          </w:rPr>
          <w:t>https://www.sciencedirect.com/science/article/pii/S2352710221005623</w:t>
        </w:r>
      </w:hyperlink>
      <w:r>
        <w:rPr>
          <w:color w:val="222222"/>
          <w:shd w:val="clear" w:color="auto" w:fill="FFFFFF"/>
        </w:rPr>
        <w:t> </w:t>
      </w:r>
    </w:p>
    <w:p w14:paraId="24387EC8" w14:textId="77777777" w:rsidR="00DD1402" w:rsidRDefault="00DD1402" w:rsidP="00DD1402">
      <w:pPr>
        <w:pStyle w:val="NormalWeb"/>
        <w:spacing w:before="240" w:beforeAutospacing="0" w:after="240" w:afterAutospacing="0" w:line="360" w:lineRule="auto"/>
        <w:jc w:val="both"/>
      </w:pPr>
      <w:proofErr w:type="spellStart"/>
      <w:r>
        <w:rPr>
          <w:color w:val="222222"/>
          <w:shd w:val="clear" w:color="auto" w:fill="FFFFFF"/>
        </w:rPr>
        <w:t>Forcael</w:t>
      </w:r>
      <w:proofErr w:type="spellEnd"/>
      <w:r>
        <w:rPr>
          <w:color w:val="222222"/>
          <w:shd w:val="clear" w:color="auto" w:fill="FFFFFF"/>
        </w:rPr>
        <w:t xml:space="preserve">, E., Ferrari, I., </w:t>
      </w:r>
      <w:proofErr w:type="spellStart"/>
      <w:r>
        <w:rPr>
          <w:color w:val="222222"/>
          <w:shd w:val="clear" w:color="auto" w:fill="FFFFFF"/>
        </w:rPr>
        <w:t>Opazo</w:t>
      </w:r>
      <w:proofErr w:type="spellEnd"/>
      <w:r>
        <w:rPr>
          <w:color w:val="222222"/>
          <w:shd w:val="clear" w:color="auto" w:fill="FFFFFF"/>
        </w:rPr>
        <w:t>-Vega, A. and Pulido-</w:t>
      </w:r>
      <w:proofErr w:type="spellStart"/>
      <w:r>
        <w:rPr>
          <w:color w:val="222222"/>
          <w:shd w:val="clear" w:color="auto" w:fill="FFFFFF"/>
        </w:rPr>
        <w:t>Arcas</w:t>
      </w:r>
      <w:proofErr w:type="spellEnd"/>
      <w:r>
        <w:rPr>
          <w:color w:val="222222"/>
          <w:shd w:val="clear" w:color="auto" w:fill="FFFFFF"/>
        </w:rPr>
        <w:t xml:space="preserve">, J.A., (2020). Construction 4.0: A literature review. </w:t>
      </w:r>
      <w:r>
        <w:rPr>
          <w:i/>
          <w:iCs/>
          <w:color w:val="222222"/>
          <w:shd w:val="clear" w:color="auto" w:fill="FFFFFF"/>
        </w:rPr>
        <w:t>Sustainability</w:t>
      </w:r>
      <w:r>
        <w:rPr>
          <w:color w:val="222222"/>
          <w:shd w:val="clear" w:color="auto" w:fill="FFFFFF"/>
        </w:rPr>
        <w:t xml:space="preserve">, </w:t>
      </w:r>
      <w:r>
        <w:rPr>
          <w:i/>
          <w:iCs/>
          <w:color w:val="222222"/>
          <w:shd w:val="clear" w:color="auto" w:fill="FFFFFF"/>
        </w:rPr>
        <w:t>12</w:t>
      </w:r>
      <w:r>
        <w:rPr>
          <w:color w:val="222222"/>
          <w:shd w:val="clear" w:color="auto" w:fill="FFFFFF"/>
        </w:rPr>
        <w:t xml:space="preserve">(22), p.9755. </w:t>
      </w:r>
      <w:hyperlink r:id="rId12" w:history="1">
        <w:r>
          <w:rPr>
            <w:rStyle w:val="Hyperlink"/>
            <w:color w:val="1155CC"/>
            <w:shd w:val="clear" w:color="auto" w:fill="FFFFFF"/>
          </w:rPr>
          <w:t>https://www.mdpi.com/2071-1050/12/22/9755</w:t>
        </w:r>
      </w:hyperlink>
      <w:r>
        <w:rPr>
          <w:color w:val="222222"/>
          <w:shd w:val="clear" w:color="auto" w:fill="FFFFFF"/>
        </w:rPr>
        <w:t> </w:t>
      </w:r>
    </w:p>
    <w:p w14:paraId="26647CB3"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Wang, M., Wang, C.C., </w:t>
      </w:r>
      <w:proofErr w:type="spellStart"/>
      <w:r>
        <w:rPr>
          <w:color w:val="222222"/>
          <w:shd w:val="clear" w:color="auto" w:fill="FFFFFF"/>
        </w:rPr>
        <w:t>Sepasgozar</w:t>
      </w:r>
      <w:proofErr w:type="spellEnd"/>
      <w:r>
        <w:rPr>
          <w:color w:val="222222"/>
          <w:shd w:val="clear" w:color="auto" w:fill="FFFFFF"/>
        </w:rPr>
        <w:t xml:space="preserve">, S. and </w:t>
      </w:r>
      <w:proofErr w:type="spellStart"/>
      <w:r>
        <w:rPr>
          <w:color w:val="222222"/>
          <w:shd w:val="clear" w:color="auto" w:fill="FFFFFF"/>
        </w:rPr>
        <w:t>Zlatanova</w:t>
      </w:r>
      <w:proofErr w:type="spellEnd"/>
      <w:r>
        <w:rPr>
          <w:color w:val="222222"/>
          <w:shd w:val="clear" w:color="auto" w:fill="FFFFFF"/>
        </w:rPr>
        <w:t xml:space="preserve">, S., (2020). A systematic review of digital technology adoption in off-site construction: Current status and future direction towards industry 4.0. </w:t>
      </w:r>
      <w:r>
        <w:rPr>
          <w:i/>
          <w:iCs/>
          <w:color w:val="222222"/>
          <w:shd w:val="clear" w:color="auto" w:fill="FFFFFF"/>
        </w:rPr>
        <w:t>Buildings</w:t>
      </w:r>
      <w:r>
        <w:rPr>
          <w:color w:val="222222"/>
          <w:shd w:val="clear" w:color="auto" w:fill="FFFFFF"/>
        </w:rPr>
        <w:t xml:space="preserve">, </w:t>
      </w:r>
      <w:r>
        <w:rPr>
          <w:i/>
          <w:iCs/>
          <w:color w:val="222222"/>
          <w:shd w:val="clear" w:color="auto" w:fill="FFFFFF"/>
        </w:rPr>
        <w:t>10</w:t>
      </w:r>
      <w:r>
        <w:rPr>
          <w:color w:val="222222"/>
          <w:shd w:val="clear" w:color="auto" w:fill="FFFFFF"/>
        </w:rPr>
        <w:t xml:space="preserve">(11), p.204. </w:t>
      </w:r>
      <w:hyperlink r:id="rId13" w:history="1">
        <w:r>
          <w:rPr>
            <w:rStyle w:val="Hyperlink"/>
            <w:color w:val="1155CC"/>
            <w:shd w:val="clear" w:color="auto" w:fill="FFFFFF"/>
          </w:rPr>
          <w:t>https://www.mdpi.com/2075-5309/10/11/204</w:t>
        </w:r>
      </w:hyperlink>
      <w:r>
        <w:rPr>
          <w:color w:val="222222"/>
          <w:shd w:val="clear" w:color="auto" w:fill="FFFFFF"/>
        </w:rPr>
        <w:t> </w:t>
      </w:r>
    </w:p>
    <w:p w14:paraId="7810A1C9" w14:textId="77777777" w:rsidR="00DD1402" w:rsidRDefault="00DD1402" w:rsidP="00DD1402">
      <w:pPr>
        <w:pStyle w:val="NormalWeb"/>
        <w:spacing w:before="240" w:beforeAutospacing="0" w:after="240" w:afterAutospacing="0" w:line="360" w:lineRule="auto"/>
        <w:jc w:val="both"/>
      </w:pPr>
      <w:r>
        <w:rPr>
          <w:color w:val="222222"/>
          <w:shd w:val="clear" w:color="auto" w:fill="FFFFFF"/>
        </w:rPr>
        <w:lastRenderedPageBreak/>
        <w:t xml:space="preserve">Charef, R., Emmitt, S., Alaka, H. and </w:t>
      </w:r>
      <w:proofErr w:type="spellStart"/>
      <w:r>
        <w:rPr>
          <w:color w:val="222222"/>
          <w:shd w:val="clear" w:color="auto" w:fill="FFFFFF"/>
        </w:rPr>
        <w:t>Fouchal</w:t>
      </w:r>
      <w:proofErr w:type="spellEnd"/>
      <w:r>
        <w:rPr>
          <w:color w:val="222222"/>
          <w:shd w:val="clear" w:color="auto" w:fill="FFFFFF"/>
        </w:rPr>
        <w:t xml:space="preserve">, F., (2019). Building information modelling adoption in the European Union: An overview. </w:t>
      </w:r>
      <w:r>
        <w:rPr>
          <w:i/>
          <w:iCs/>
          <w:color w:val="222222"/>
          <w:shd w:val="clear" w:color="auto" w:fill="FFFFFF"/>
        </w:rPr>
        <w:t>Journal of Building Engineering</w:t>
      </w:r>
      <w:r>
        <w:rPr>
          <w:color w:val="222222"/>
          <w:shd w:val="clear" w:color="auto" w:fill="FFFFFF"/>
        </w:rPr>
        <w:t xml:space="preserve">, </w:t>
      </w:r>
      <w:r>
        <w:rPr>
          <w:i/>
          <w:iCs/>
          <w:color w:val="222222"/>
          <w:shd w:val="clear" w:color="auto" w:fill="FFFFFF"/>
        </w:rPr>
        <w:t>25</w:t>
      </w:r>
      <w:r>
        <w:rPr>
          <w:color w:val="222222"/>
          <w:shd w:val="clear" w:color="auto" w:fill="FFFFFF"/>
        </w:rPr>
        <w:t xml:space="preserve">, p.100777. </w:t>
      </w:r>
      <w:hyperlink r:id="rId14" w:history="1">
        <w:r>
          <w:rPr>
            <w:rStyle w:val="Hyperlink"/>
            <w:color w:val="1155CC"/>
            <w:shd w:val="clear" w:color="auto" w:fill="FFFFFF"/>
          </w:rPr>
          <w:t>https://www.sciencedirect.com/science/article/pii/S2352710218312257</w:t>
        </w:r>
      </w:hyperlink>
      <w:r>
        <w:rPr>
          <w:color w:val="222222"/>
          <w:shd w:val="clear" w:color="auto" w:fill="FFFFFF"/>
        </w:rPr>
        <w:t> </w:t>
      </w:r>
    </w:p>
    <w:p w14:paraId="311B9627"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Bertram, N., Fuchs, S., Mischke, J., Palter, R., Strube, G. and Woetzel, J., (2019). Modular construction: From projects to products. </w:t>
      </w:r>
      <w:r>
        <w:rPr>
          <w:i/>
          <w:iCs/>
          <w:color w:val="222222"/>
          <w:shd w:val="clear" w:color="auto" w:fill="FFFFFF"/>
        </w:rPr>
        <w:t>McKinsey &amp; Company: Capital Projects &amp; Infrastructure</w:t>
      </w:r>
      <w:r>
        <w:rPr>
          <w:color w:val="222222"/>
          <w:shd w:val="clear" w:color="auto" w:fill="FFFFFF"/>
        </w:rPr>
        <w:t xml:space="preserve">, pp.1-34. </w:t>
      </w:r>
      <w:hyperlink r:id="rId15" w:history="1">
        <w:r>
          <w:rPr>
            <w:rStyle w:val="Hyperlink"/>
            <w:color w:val="1155CC"/>
            <w:shd w:val="clear" w:color="auto" w:fill="FFFFFF"/>
          </w:rPr>
          <w:t>https://www.ivvd.nl/wp-content/uploads/2019/12/Modular-construction-from-projects-to-products-full-report-NEW.pdf</w:t>
        </w:r>
      </w:hyperlink>
      <w:r>
        <w:rPr>
          <w:color w:val="222222"/>
          <w:shd w:val="clear" w:color="auto" w:fill="FFFFFF"/>
        </w:rPr>
        <w:t> </w:t>
      </w:r>
    </w:p>
    <w:p w14:paraId="0A5C3302"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Brown, D., Hall, S. and Davis, M.E., (2019). Prosumers in the post subsidy era: an exploration of new prosumer business models in the UK. </w:t>
      </w:r>
      <w:r>
        <w:rPr>
          <w:i/>
          <w:iCs/>
          <w:color w:val="222222"/>
          <w:shd w:val="clear" w:color="auto" w:fill="FFFFFF"/>
        </w:rPr>
        <w:t>Energy policy</w:t>
      </w:r>
      <w:r>
        <w:rPr>
          <w:color w:val="222222"/>
          <w:shd w:val="clear" w:color="auto" w:fill="FFFFFF"/>
        </w:rPr>
        <w:t xml:space="preserve">, </w:t>
      </w:r>
      <w:r>
        <w:rPr>
          <w:i/>
          <w:iCs/>
          <w:color w:val="222222"/>
          <w:shd w:val="clear" w:color="auto" w:fill="FFFFFF"/>
        </w:rPr>
        <w:t>135</w:t>
      </w:r>
      <w:r>
        <w:rPr>
          <w:color w:val="222222"/>
          <w:shd w:val="clear" w:color="auto" w:fill="FFFFFF"/>
        </w:rPr>
        <w:t xml:space="preserve">, p.110984. </w:t>
      </w:r>
      <w:hyperlink r:id="rId16" w:history="1">
        <w:r>
          <w:rPr>
            <w:rStyle w:val="Hyperlink"/>
            <w:color w:val="1155CC"/>
            <w:shd w:val="clear" w:color="auto" w:fill="FFFFFF"/>
          </w:rPr>
          <w:t>https://www.sciencedirect.com/science/article/pii/S0301421519305713</w:t>
        </w:r>
      </w:hyperlink>
      <w:r>
        <w:rPr>
          <w:color w:val="222222"/>
          <w:shd w:val="clear" w:color="auto" w:fill="FFFFFF"/>
        </w:rPr>
        <w:t> </w:t>
      </w:r>
    </w:p>
    <w:p w14:paraId="0E1D893B"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Sawhney, A., Riley, M., Irizarry, J. and Riley, M., (2020). Construction 4.0. </w:t>
      </w:r>
      <w:r>
        <w:rPr>
          <w:i/>
          <w:iCs/>
          <w:color w:val="222222"/>
          <w:shd w:val="clear" w:color="auto" w:fill="FFFFFF"/>
        </w:rPr>
        <w:t>Sawhney, A., Riley, M., Irizarry, J., Eds</w:t>
      </w:r>
      <w:r>
        <w:rPr>
          <w:color w:val="222222"/>
          <w:shd w:val="clear" w:color="auto" w:fill="FFFFFF"/>
        </w:rPr>
        <w:t xml:space="preserve">. </w:t>
      </w:r>
      <w:hyperlink r:id="rId17" w:history="1">
        <w:r>
          <w:rPr>
            <w:rStyle w:val="Hyperlink"/>
            <w:color w:val="1155CC"/>
            <w:shd w:val="clear" w:color="auto" w:fill="FFFFFF"/>
          </w:rPr>
          <w:t>https://api.pageplace.de/preview/DT0400.9780429675119_A38620781/preview-9780429675119_A38620781.pdf</w:t>
        </w:r>
      </w:hyperlink>
      <w:r>
        <w:rPr>
          <w:color w:val="222222"/>
          <w:shd w:val="clear" w:color="auto" w:fill="FFFFFF"/>
        </w:rPr>
        <w:t> </w:t>
      </w:r>
    </w:p>
    <w:p w14:paraId="1E264413" w14:textId="77777777" w:rsidR="00DD1402" w:rsidRDefault="00DD1402" w:rsidP="00DD1402">
      <w:pPr>
        <w:pStyle w:val="NormalWeb"/>
        <w:spacing w:before="240" w:beforeAutospacing="0" w:after="240" w:afterAutospacing="0" w:line="360" w:lineRule="auto"/>
        <w:jc w:val="both"/>
      </w:pPr>
      <w:r>
        <w:rPr>
          <w:color w:val="222222"/>
          <w:shd w:val="clear" w:color="auto" w:fill="FFFFFF"/>
        </w:rPr>
        <w:t xml:space="preserve">Singh, S. and Kumar, K., (2020). Review of literature of lean construction and lean tools using systematic literature review technique (2008–2018). </w:t>
      </w:r>
      <w:r>
        <w:rPr>
          <w:i/>
          <w:iCs/>
          <w:color w:val="222222"/>
          <w:shd w:val="clear" w:color="auto" w:fill="FFFFFF"/>
        </w:rPr>
        <w:t>Ain Shams Engineering Journal</w:t>
      </w:r>
      <w:r>
        <w:rPr>
          <w:color w:val="222222"/>
          <w:shd w:val="clear" w:color="auto" w:fill="FFFFFF"/>
        </w:rPr>
        <w:t xml:space="preserve">, </w:t>
      </w:r>
      <w:r>
        <w:rPr>
          <w:i/>
          <w:iCs/>
          <w:color w:val="222222"/>
          <w:shd w:val="clear" w:color="auto" w:fill="FFFFFF"/>
        </w:rPr>
        <w:t>11</w:t>
      </w:r>
      <w:r>
        <w:rPr>
          <w:color w:val="222222"/>
          <w:shd w:val="clear" w:color="auto" w:fill="FFFFFF"/>
        </w:rPr>
        <w:t xml:space="preserve">(2), pp.465-471. </w:t>
      </w:r>
      <w:hyperlink r:id="rId18" w:history="1">
        <w:r>
          <w:rPr>
            <w:rStyle w:val="Hyperlink"/>
            <w:color w:val="1155CC"/>
            <w:shd w:val="clear" w:color="auto" w:fill="FFFFFF"/>
          </w:rPr>
          <w:t>https://www.sciencedirect.com/science/article/pii/S2090447919301212</w:t>
        </w:r>
      </w:hyperlink>
      <w:r>
        <w:rPr>
          <w:color w:val="222222"/>
          <w:shd w:val="clear" w:color="auto" w:fill="FFFFFF"/>
        </w:rPr>
        <w:t> </w:t>
      </w:r>
    </w:p>
    <w:p w14:paraId="3D0E43C0" w14:textId="77777777" w:rsidR="00DD1402" w:rsidRDefault="00DD1402" w:rsidP="00DD1402">
      <w:pPr>
        <w:pStyle w:val="NormalWeb"/>
        <w:spacing w:before="240" w:beforeAutospacing="0" w:after="240" w:afterAutospacing="0" w:line="360" w:lineRule="auto"/>
        <w:jc w:val="both"/>
      </w:pPr>
      <w:proofErr w:type="spellStart"/>
      <w:r>
        <w:rPr>
          <w:color w:val="222222"/>
          <w:shd w:val="clear" w:color="auto" w:fill="FFFFFF"/>
        </w:rPr>
        <w:t>Denicol</w:t>
      </w:r>
      <w:proofErr w:type="spellEnd"/>
      <w:r>
        <w:rPr>
          <w:color w:val="222222"/>
          <w:shd w:val="clear" w:color="auto" w:fill="FFFFFF"/>
        </w:rPr>
        <w:t xml:space="preserve">, J., Davies, A. and </w:t>
      </w:r>
      <w:proofErr w:type="spellStart"/>
      <w:r>
        <w:rPr>
          <w:color w:val="222222"/>
          <w:shd w:val="clear" w:color="auto" w:fill="FFFFFF"/>
        </w:rPr>
        <w:t>Krystallis</w:t>
      </w:r>
      <w:proofErr w:type="spellEnd"/>
      <w:r>
        <w:rPr>
          <w:color w:val="222222"/>
          <w:shd w:val="clear" w:color="auto" w:fill="FFFFFF"/>
        </w:rPr>
        <w:t xml:space="preserve">, I., (2020). What are the causes and cures of poor megaproject performance? A systematic literature review and research agenda. </w:t>
      </w:r>
      <w:r>
        <w:rPr>
          <w:i/>
          <w:iCs/>
          <w:color w:val="222222"/>
          <w:shd w:val="clear" w:color="auto" w:fill="FFFFFF"/>
        </w:rPr>
        <w:t>Project management journal</w:t>
      </w:r>
      <w:r>
        <w:rPr>
          <w:color w:val="222222"/>
          <w:shd w:val="clear" w:color="auto" w:fill="FFFFFF"/>
        </w:rPr>
        <w:t xml:space="preserve">, </w:t>
      </w:r>
      <w:r>
        <w:rPr>
          <w:i/>
          <w:iCs/>
          <w:color w:val="222222"/>
          <w:shd w:val="clear" w:color="auto" w:fill="FFFFFF"/>
        </w:rPr>
        <w:t>51</w:t>
      </w:r>
      <w:r>
        <w:rPr>
          <w:color w:val="222222"/>
          <w:shd w:val="clear" w:color="auto" w:fill="FFFFFF"/>
        </w:rPr>
        <w:t xml:space="preserve">(3), pp.328-345. </w:t>
      </w:r>
      <w:hyperlink r:id="rId19" w:history="1">
        <w:r>
          <w:rPr>
            <w:rStyle w:val="Hyperlink"/>
            <w:color w:val="1155CC"/>
            <w:shd w:val="clear" w:color="auto" w:fill="FFFFFF"/>
          </w:rPr>
          <w:t>https://journals.sagepub.com/doi/abs/10.1177/8756972819896113</w:t>
        </w:r>
      </w:hyperlink>
      <w:r>
        <w:rPr>
          <w:color w:val="222222"/>
          <w:shd w:val="clear" w:color="auto" w:fill="FFFFFF"/>
        </w:rPr>
        <w:t> </w:t>
      </w:r>
    </w:p>
    <w:p w14:paraId="6749F517" w14:textId="77777777" w:rsidR="00DD1402" w:rsidRDefault="00DD1402" w:rsidP="00DD1402">
      <w:pPr>
        <w:pStyle w:val="NormalWeb"/>
        <w:spacing w:before="240" w:beforeAutospacing="0" w:after="240" w:afterAutospacing="0" w:line="360" w:lineRule="auto"/>
        <w:jc w:val="both"/>
      </w:pPr>
      <w:proofErr w:type="spellStart"/>
      <w:r>
        <w:rPr>
          <w:color w:val="222222"/>
          <w:shd w:val="clear" w:color="auto" w:fill="FFFFFF"/>
        </w:rPr>
        <w:t>Gillespies</w:t>
      </w:r>
      <w:proofErr w:type="spellEnd"/>
      <w:r>
        <w:rPr>
          <w:color w:val="222222"/>
          <w:shd w:val="clear" w:color="auto" w:fill="FFFFFF"/>
        </w:rPr>
        <w:t xml:space="preserve">, (2023). </w:t>
      </w:r>
      <w:r>
        <w:rPr>
          <w:b/>
          <w:bCs/>
          <w:i/>
          <w:iCs/>
          <w:color w:val="3C3C3B"/>
          <w:shd w:val="clear" w:color="auto" w:fill="FFFFFF"/>
        </w:rPr>
        <w:t xml:space="preserve">Google Headquarters. </w:t>
      </w:r>
      <w:hyperlink r:id="rId20" w:history="1">
        <w:r>
          <w:rPr>
            <w:rStyle w:val="Hyperlink"/>
            <w:color w:val="1155CC"/>
            <w:shd w:val="clear" w:color="auto" w:fill="FFFFFF"/>
          </w:rPr>
          <w:t>https://www.gillespies.co.uk/projects/google-headquarters</w:t>
        </w:r>
      </w:hyperlink>
      <w:r>
        <w:rPr>
          <w:color w:val="222222"/>
          <w:shd w:val="clear" w:color="auto" w:fill="FFFFFF"/>
        </w:rPr>
        <w:t> </w:t>
      </w:r>
    </w:p>
    <w:p w14:paraId="68A39C64" w14:textId="77777777" w:rsidR="00DD1402" w:rsidRPr="00DD1402" w:rsidRDefault="00DD1402"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9"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A"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B"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C"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D"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E"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1F"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20"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21"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22"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23"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24"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25"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26"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p w14:paraId="00000027" w14:textId="77777777" w:rsidR="00D51757" w:rsidRPr="00DD1402" w:rsidRDefault="00D51757" w:rsidP="00DD1402">
      <w:pPr>
        <w:spacing w:after="240" w:line="360" w:lineRule="auto"/>
        <w:jc w:val="both"/>
        <w:rPr>
          <w:rFonts w:ascii="Times New Roman" w:eastAsia="Times New Roman" w:hAnsi="Times New Roman" w:cs="Times New Roman"/>
          <w:color w:val="222222"/>
          <w:sz w:val="24"/>
          <w:szCs w:val="24"/>
          <w:highlight w:val="white"/>
          <w:lang w:val="en-GB"/>
        </w:rPr>
      </w:pPr>
    </w:p>
    <w:sectPr w:rsidR="00D51757" w:rsidRPr="00DD1402" w:rsidSect="00DD1402">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7096E" w14:textId="77777777" w:rsidR="005954BD" w:rsidRDefault="005954BD" w:rsidP="00DD1402">
      <w:pPr>
        <w:spacing w:line="240" w:lineRule="auto"/>
      </w:pPr>
      <w:r>
        <w:separator/>
      </w:r>
    </w:p>
  </w:endnote>
  <w:endnote w:type="continuationSeparator" w:id="0">
    <w:p w14:paraId="2C049314" w14:textId="77777777" w:rsidR="005954BD" w:rsidRDefault="005954BD" w:rsidP="00DD14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87373358"/>
      <w:docPartObj>
        <w:docPartGallery w:val="Page Numbers (Bottom of Page)"/>
        <w:docPartUnique/>
      </w:docPartObj>
    </w:sdtPr>
    <w:sdtEndPr>
      <w:rPr>
        <w:noProof/>
      </w:rPr>
    </w:sdtEndPr>
    <w:sdtContent>
      <w:p w14:paraId="3F9A1733" w14:textId="5604562B" w:rsidR="00DD1402" w:rsidRPr="00DD1402" w:rsidRDefault="00DD1402">
        <w:pPr>
          <w:pStyle w:val="Footer"/>
          <w:jc w:val="right"/>
          <w:rPr>
            <w:rFonts w:ascii="Times New Roman" w:hAnsi="Times New Roman" w:cs="Times New Roman"/>
            <w:sz w:val="20"/>
            <w:szCs w:val="20"/>
          </w:rPr>
        </w:pPr>
        <w:r w:rsidRPr="00DD1402">
          <w:rPr>
            <w:rFonts w:ascii="Times New Roman" w:hAnsi="Times New Roman" w:cs="Times New Roman"/>
            <w:sz w:val="20"/>
            <w:szCs w:val="20"/>
          </w:rPr>
          <w:fldChar w:fldCharType="begin"/>
        </w:r>
        <w:r w:rsidRPr="00DD1402">
          <w:rPr>
            <w:rFonts w:ascii="Times New Roman" w:hAnsi="Times New Roman" w:cs="Times New Roman"/>
            <w:sz w:val="20"/>
            <w:szCs w:val="20"/>
          </w:rPr>
          <w:instrText xml:space="preserve"> PAGE   \* MERGEFORMAT </w:instrText>
        </w:r>
        <w:r w:rsidRPr="00DD1402">
          <w:rPr>
            <w:rFonts w:ascii="Times New Roman" w:hAnsi="Times New Roman" w:cs="Times New Roman"/>
            <w:sz w:val="20"/>
            <w:szCs w:val="20"/>
          </w:rPr>
          <w:fldChar w:fldCharType="separate"/>
        </w:r>
        <w:r w:rsidRPr="00DD1402">
          <w:rPr>
            <w:rFonts w:ascii="Times New Roman" w:hAnsi="Times New Roman" w:cs="Times New Roman"/>
            <w:noProof/>
            <w:sz w:val="20"/>
            <w:szCs w:val="20"/>
          </w:rPr>
          <w:t>2</w:t>
        </w:r>
        <w:r w:rsidRPr="00DD1402">
          <w:rPr>
            <w:rFonts w:ascii="Times New Roman" w:hAnsi="Times New Roman" w:cs="Times New Roman"/>
            <w:noProof/>
            <w:sz w:val="20"/>
            <w:szCs w:val="20"/>
          </w:rPr>
          <w:fldChar w:fldCharType="end"/>
        </w:r>
      </w:p>
    </w:sdtContent>
  </w:sdt>
  <w:p w14:paraId="18BD8382" w14:textId="77777777" w:rsidR="00DD1402" w:rsidRPr="00DD1402" w:rsidRDefault="00DD1402">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9A3D8" w14:textId="77777777" w:rsidR="005954BD" w:rsidRDefault="005954BD" w:rsidP="00DD1402">
      <w:pPr>
        <w:spacing w:line="240" w:lineRule="auto"/>
      </w:pPr>
      <w:r>
        <w:separator/>
      </w:r>
    </w:p>
  </w:footnote>
  <w:footnote w:type="continuationSeparator" w:id="0">
    <w:p w14:paraId="74FFB2B8" w14:textId="77777777" w:rsidR="005954BD" w:rsidRDefault="005954BD" w:rsidP="00DD140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1757"/>
    <w:rsid w:val="005954BD"/>
    <w:rsid w:val="00AF7CE2"/>
    <w:rsid w:val="00D51757"/>
    <w:rsid w:val="00DD14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80B63"/>
  <w15:docId w15:val="{3C71EFA6-B690-450F-A7BC-D370A541A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D140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D1402"/>
    <w:pPr>
      <w:tabs>
        <w:tab w:val="center" w:pos="4513"/>
        <w:tab w:val="right" w:pos="9026"/>
      </w:tabs>
      <w:spacing w:line="240" w:lineRule="auto"/>
    </w:pPr>
  </w:style>
  <w:style w:type="character" w:customStyle="1" w:styleId="HeaderChar">
    <w:name w:val="Header Char"/>
    <w:basedOn w:val="DefaultParagraphFont"/>
    <w:link w:val="Header"/>
    <w:uiPriority w:val="99"/>
    <w:rsid w:val="00DD1402"/>
  </w:style>
  <w:style w:type="paragraph" w:styleId="Footer">
    <w:name w:val="footer"/>
    <w:basedOn w:val="Normal"/>
    <w:link w:val="FooterChar"/>
    <w:uiPriority w:val="99"/>
    <w:unhideWhenUsed/>
    <w:rsid w:val="00DD1402"/>
    <w:pPr>
      <w:tabs>
        <w:tab w:val="center" w:pos="4513"/>
        <w:tab w:val="right" w:pos="9026"/>
      </w:tabs>
      <w:spacing w:line="240" w:lineRule="auto"/>
    </w:pPr>
  </w:style>
  <w:style w:type="character" w:customStyle="1" w:styleId="FooterChar">
    <w:name w:val="Footer Char"/>
    <w:basedOn w:val="DefaultParagraphFont"/>
    <w:link w:val="Footer"/>
    <w:uiPriority w:val="99"/>
    <w:rsid w:val="00DD1402"/>
  </w:style>
  <w:style w:type="paragraph" w:styleId="NormalWeb">
    <w:name w:val="Normal (Web)"/>
    <w:basedOn w:val="Normal"/>
    <w:uiPriority w:val="99"/>
    <w:semiHidden/>
    <w:unhideWhenUsed/>
    <w:rsid w:val="00DD1402"/>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DD1402"/>
    <w:rPr>
      <w:color w:val="0000FF"/>
      <w:u w:val="single"/>
    </w:rPr>
  </w:style>
  <w:style w:type="paragraph" w:styleId="TOCHeading">
    <w:name w:val="TOC Heading"/>
    <w:basedOn w:val="Heading1"/>
    <w:next w:val="Normal"/>
    <w:uiPriority w:val="39"/>
    <w:unhideWhenUsed/>
    <w:qFormat/>
    <w:rsid w:val="00DD140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14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1316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42694X19300614" TargetMode="External"/><Relationship Id="rId13" Type="http://schemas.openxmlformats.org/officeDocument/2006/relationships/hyperlink" Target="https://www.mdpi.com/2075-5309/10/11/204" TargetMode="External"/><Relationship Id="rId18" Type="http://schemas.openxmlformats.org/officeDocument/2006/relationships/hyperlink" Target="https://www.sciencedirect.com/science/article/pii/S2090447919301212"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books.google.com/books?hl=en&amp;lr=&amp;id=RS8SEAAAQBAJ&amp;oi=fnd&amp;pg=PA1&amp;dq=Google%27s+new+headquarters+in+King%27s+Cross&amp;ots=oFwIrI-hrR&amp;sig=W16AzhTn7Zs1t5F0skHVddBf_Hs" TargetMode="External"/><Relationship Id="rId12" Type="http://schemas.openxmlformats.org/officeDocument/2006/relationships/hyperlink" Target="https://www.mdpi.com/2071-1050/12/22/9755" TargetMode="External"/><Relationship Id="rId17" Type="http://schemas.openxmlformats.org/officeDocument/2006/relationships/hyperlink" Target="https://api.pageplace.de/preview/DT0400.9780429675119_A38620781/preview-9780429675119_A38620781.pdf" TargetMode="External"/><Relationship Id="rId2" Type="http://schemas.openxmlformats.org/officeDocument/2006/relationships/styles" Target="styles.xml"/><Relationship Id="rId16" Type="http://schemas.openxmlformats.org/officeDocument/2006/relationships/hyperlink" Target="https://www.sciencedirect.com/science/article/pii/S0301421519305713" TargetMode="External"/><Relationship Id="rId20" Type="http://schemas.openxmlformats.org/officeDocument/2006/relationships/hyperlink" Target="https://www.gillespies.co.uk/projects/google-headquarter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2352710221005623" TargetMode="External"/><Relationship Id="rId5" Type="http://schemas.openxmlformats.org/officeDocument/2006/relationships/footnotes" Target="footnotes.xml"/><Relationship Id="rId15" Type="http://schemas.openxmlformats.org/officeDocument/2006/relationships/hyperlink" Target="https://www.ivvd.nl/wp-content/uploads/2019/12/Modular-construction-from-projects-to-products-full-report-NEW.pdf" TargetMode="External"/><Relationship Id="rId23" Type="http://schemas.openxmlformats.org/officeDocument/2006/relationships/theme" Target="theme/theme1.xml"/><Relationship Id="rId10" Type="http://schemas.openxmlformats.org/officeDocument/2006/relationships/hyperlink" Target="https://www.emerald.com/insight/content/doi/10.1108/CI-12-2019-0141/full/html" TargetMode="External"/><Relationship Id="rId19" Type="http://schemas.openxmlformats.org/officeDocument/2006/relationships/hyperlink" Target="https://journals.sagepub.com/doi/abs/10.1177/8756972819896113" TargetMode="External"/><Relationship Id="rId4" Type="http://schemas.openxmlformats.org/officeDocument/2006/relationships/webSettings" Target="webSettings.xml"/><Relationship Id="rId9" Type="http://schemas.openxmlformats.org/officeDocument/2006/relationships/hyperlink" Target="https://www.medrxiv.org/content/10.1101/2020.08.29.20184135.abstract" TargetMode="External"/><Relationship Id="rId14" Type="http://schemas.openxmlformats.org/officeDocument/2006/relationships/hyperlink" Target="https://www.sciencedirect.com/science/article/pii/S235271021831225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D8E8E-0D1A-426A-B966-C9F86A7CA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3495</Words>
  <Characters>19924</Characters>
  <Application>Microsoft Office Word</Application>
  <DocSecurity>0</DocSecurity>
  <Lines>166</Lines>
  <Paragraphs>46</Paragraphs>
  <ScaleCrop>false</ScaleCrop>
  <Company/>
  <LinksUpToDate>false</LinksUpToDate>
  <CharactersWithSpaces>23373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2023-11-30T06:01:00Z</dcterms:created>
  <dcterms:modified xsi:type="dcterms:W3CDTF">2023-11-30T06:01:00Z</dcterms:modified>
</cp:coreProperties>
</file>