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20486245"/>
        <w:docPartObj>
          <w:docPartGallery w:val="Cover Pages"/>
          <w:docPartUnique/>
        </w:docPartObj>
      </w:sdtPr>
      <w:sdtEndPr/>
      <w:sdtContent>
        <w:p w14:paraId="7692C1EE" w14:textId="42662B22" w:rsidR="004D7ACB" w:rsidRDefault="004D7ACB"/>
        <w:p w14:paraId="7DA75C45" w14:textId="6F2FCBD4" w:rsidR="004D7ACB" w:rsidRDefault="001A5B1D">
          <w:pPr>
            <w:rPr>
              <w:rFonts w:asciiTheme="majorHAnsi" w:eastAsiaTheme="majorEastAsia" w:hAnsiTheme="majorHAnsi" w:cstheme="majorBidi"/>
              <w:b/>
              <w:bCs/>
              <w:kern w:val="28"/>
              <w:sz w:val="32"/>
              <w:szCs w:val="32"/>
            </w:rPr>
          </w:pPr>
          <w:r>
            <w:rPr>
              <w:noProof/>
            </w:rPr>
            <mc:AlternateContent>
              <mc:Choice Requires="wpg">
                <w:drawing>
                  <wp:anchor distT="0" distB="0" distL="114300" distR="114300" simplePos="0" relativeHeight="251659264" behindDoc="1" locked="0" layoutInCell="1" allowOverlap="1" wp14:anchorId="3C1A02B5" wp14:editId="6C0AA383">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606540" cy="7156450"/>
                    <wp:effectExtent l="0" t="0" r="0" b="0"/>
                    <wp:wrapNone/>
                    <wp:docPr id="227213666" name="Group 4"/>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606540" cy="7156450"/>
                              <a:chOff x="0" y="0"/>
                              <a:chExt cx="5561330" cy="5404485"/>
                            </a:xfrm>
                          </wpg:grpSpPr>
                          <wps:wsp>
                            <wps:cNvPr id="394548815"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45647917" w14:textId="43208898" w:rsidR="004D7ACB" w:rsidRDefault="007D740F">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DB6C2A">
                                        <w:rPr>
                                          <w:color w:val="FFFFFF" w:themeColor="background1"/>
                                          <w:sz w:val="72"/>
                                          <w:szCs w:val="72"/>
                                        </w:rPr>
                                        <w:t>Is Offences Against the Person Act [1861] suitable for use in a modern society?</w:t>
                                      </w:r>
                                    </w:sdtContent>
                                  </w:sdt>
                                </w:p>
                              </w:txbxContent>
                            </wps:txbx>
                            <wps:bodyPr rot="0" vert="horz" wrap="square" lIns="914400" tIns="1097280" rIns="1097280" bIns="1097280" anchor="b" anchorCtr="0" upright="1">
                              <a:noAutofit/>
                            </wps:bodyPr>
                          </wps:wsp>
                          <wps:wsp>
                            <wps:cNvPr id="1627140096"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3C1A02B5" id="Group 4" o:spid="_x0000_s1026" style="position:absolute;margin-left:0;margin-top:0;width:520.2pt;height:563.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45647917" w14:textId="43208898" w:rsidR="004D7ACB" w:rsidRDefault="007D740F">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DB6C2A">
                                  <w:rPr>
                                    <w:color w:val="FFFFFF" w:themeColor="background1"/>
                                    <w:sz w:val="72"/>
                                    <w:szCs w:val="72"/>
                                  </w:rPr>
                                  <w:t>Is Offences Against the Person Act [1861] suitable for use in a modern society?</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7C30DD8A" wp14:editId="34DE1DE0">
                    <wp:simplePos x="0" y="0"/>
                    <wp:positionH relativeFrom="page">
                      <wp:align>center</wp:align>
                    </wp:positionH>
                    <wp:positionV relativeFrom="margin">
                      <wp:align>bottom</wp:align>
                    </wp:positionV>
                    <wp:extent cx="6614160" cy="133985"/>
                    <wp:effectExtent l="0" t="0" r="0" b="0"/>
                    <wp:wrapSquare wrapText="bothSides"/>
                    <wp:docPr id="47949557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14160" cy="1339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1BA862" w14:textId="5E86C178" w:rsidR="004D7ACB" w:rsidRDefault="007D740F">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4D7ACB">
                                      <w:rPr>
                                        <w:caps/>
                                        <w:color w:val="7F7F7F" w:themeColor="text1" w:themeTint="80"/>
                                        <w:sz w:val="18"/>
                                        <w:szCs w:val="18"/>
                                      </w:rPr>
                                      <w:t>UWTSD</w:t>
                                    </w:r>
                                  </w:sdtContent>
                                </w:sdt>
                                <w:r w:rsidR="004D7ACB">
                                  <w:rPr>
                                    <w:caps/>
                                    <w:color w:val="7F7F7F" w:themeColor="text1" w:themeTint="80"/>
                                    <w:sz w:val="18"/>
                                    <w:szCs w:val="18"/>
                                  </w:rPr>
                                  <w:t> </w:t>
                                </w:r>
                                <w:r w:rsidR="004D7ACB">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EndPr/>
                                  <w:sdtContent>
                                    <w:r w:rsidR="004D7ACB">
                                      <w:rPr>
                                        <w:color w:val="7F7F7F" w:themeColor="text1" w:themeTint="80"/>
                                        <w:sz w:val="18"/>
                                        <w:szCs w:val="18"/>
                                      </w:rPr>
                                      <w:t>Swansea</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7C30DD8A" id="_x0000_t202" coordsize="21600,21600" o:spt="202" path="m,l,21600r21600,l21600,xe">
                    <v:stroke joinstyle="miter"/>
                    <v:path gradientshapeok="t" o:connecttype="rect"/>
                  </v:shapetype>
                  <v:shape id="Text Box 3" o:spid="_x0000_s1029" type="#_x0000_t202" style="position:absolute;margin-left:0;margin-top:0;width:520.8pt;height:10.5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" filled="f" stroked="f" strokeweight=".5pt">
                    <v:textbox style="mso-fit-shape-to-text:t" inset="1in,0,86.4pt,0">
                      <w:txbxContent>
                        <w:p w14:paraId="491BA862" w14:textId="5E86C178" w:rsidR="004D7ACB" w:rsidRDefault="007D740F">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4D7ACB">
                                <w:rPr>
                                  <w:caps/>
                                  <w:color w:val="7F7F7F" w:themeColor="text1" w:themeTint="80"/>
                                  <w:sz w:val="18"/>
                                  <w:szCs w:val="18"/>
                                </w:rPr>
                                <w:t>UWTSD</w:t>
                              </w:r>
                            </w:sdtContent>
                          </w:sdt>
                          <w:r w:rsidR="004D7ACB">
                            <w:rPr>
                              <w:caps/>
                              <w:color w:val="7F7F7F" w:themeColor="text1" w:themeTint="80"/>
                              <w:sz w:val="18"/>
                              <w:szCs w:val="18"/>
                            </w:rPr>
                            <w:t> </w:t>
                          </w:r>
                          <w:r w:rsidR="004D7ACB">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EndPr/>
                            <w:sdtContent>
                              <w:r w:rsidR="004D7ACB">
                                <w:rPr>
                                  <w:color w:val="7F7F7F" w:themeColor="text1" w:themeTint="80"/>
                                  <w:sz w:val="18"/>
                                  <w:szCs w:val="18"/>
                                </w:rPr>
                                <w:t>Swansea</w:t>
                              </w:r>
                            </w:sdtContent>
                          </w:sdt>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5138CE68" wp14:editId="7178596C">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6614160" cy="463550"/>
                    <wp:effectExtent l="0" t="0" r="0" b="0"/>
                    <wp:wrapSquare wrapText="bothSides"/>
                    <wp:docPr id="19926851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14160" cy="463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3372D663" w14:textId="18AB57F6" w:rsidR="004D7ACB" w:rsidRDefault="004D7ACB">
                                    <w:pPr>
                                      <w:pStyle w:val="NoSpacing"/>
                                      <w:spacing w:before="40" w:after="40"/>
                                      <w:rPr>
                                        <w:caps/>
                                        <w:color w:val="5B9BD5" w:themeColor="accent1"/>
                                        <w:sz w:val="28"/>
                                        <w:szCs w:val="28"/>
                                      </w:rPr>
                                    </w:pPr>
                                    <w:r>
                                      <w:rPr>
                                        <w:caps/>
                                        <w:color w:val="5B9BD5" w:themeColor="accent1"/>
                                        <w:sz w:val="28"/>
                                        <w:szCs w:val="28"/>
                                      </w:rPr>
                                      <w:t>CRIMINAL LAW</w:t>
                                    </w:r>
                                  </w:p>
                                </w:sdtContent>
                              </w:sdt>
                              <w:sdt>
                                <w:sdtPr>
                                  <w:rPr>
                                    <w:caps/>
                                    <w:color w:val="4472C4"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579774EC" w14:textId="49115650" w:rsidR="004D7ACB" w:rsidRDefault="004D7ACB">
                                    <w:pPr>
                                      <w:pStyle w:val="NoSpacing"/>
                                      <w:spacing w:before="40" w:after="40"/>
                                      <w:rPr>
                                        <w:caps/>
                                        <w:color w:val="4472C4" w:themeColor="accent5"/>
                                        <w:sz w:val="24"/>
                                        <w:szCs w:val="24"/>
                                      </w:rPr>
                                    </w:pPr>
                                    <w:r>
                                      <w:rPr>
                                        <w:caps/>
                                        <w:color w:val="4472C4" w:themeColor="accent5"/>
                                        <w:sz w:val="24"/>
                                        <w:szCs w:val="24"/>
                                      </w:rPr>
                                      <w:t>Shavez Khan (2304838)</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5138CE68" id="Text Box 2" o:spid="_x0000_s1030" type="#_x0000_t202" style="position:absolute;margin-left:0;margin-top:0;width:520.8pt;height:36.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" filled="f" stroked="f" strokeweight=".5pt">
                    <v:textbox style="mso-fit-shape-to-text:t" inset="1in,0,86.4pt,0">
                      <w:txbxContent>
                        <w:sdt>
                          <w:sdtPr>
                            <w:rPr>
                              <w:caps/>
                              <w:color w:val="5B9BD5"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3372D663" w14:textId="18AB57F6" w:rsidR="004D7ACB" w:rsidRDefault="004D7ACB">
                              <w:pPr>
                                <w:pStyle w:val="NoSpacing"/>
                                <w:spacing w:before="40" w:after="40"/>
                                <w:rPr>
                                  <w:caps/>
                                  <w:color w:val="5B9BD5" w:themeColor="accent1"/>
                                  <w:sz w:val="28"/>
                                  <w:szCs w:val="28"/>
                                </w:rPr>
                              </w:pPr>
                              <w:r>
                                <w:rPr>
                                  <w:caps/>
                                  <w:color w:val="5B9BD5" w:themeColor="accent1"/>
                                  <w:sz w:val="28"/>
                                  <w:szCs w:val="28"/>
                                </w:rPr>
                                <w:t>CRIMINAL LAW</w:t>
                              </w:r>
                            </w:p>
                          </w:sdtContent>
                        </w:sdt>
                        <w:sdt>
                          <w:sdtPr>
                            <w:rPr>
                              <w:caps/>
                              <w:color w:val="4472C4"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579774EC" w14:textId="49115650" w:rsidR="004D7ACB" w:rsidRDefault="004D7ACB">
                              <w:pPr>
                                <w:pStyle w:val="NoSpacing"/>
                                <w:spacing w:before="40" w:after="40"/>
                                <w:rPr>
                                  <w:caps/>
                                  <w:color w:val="4472C4" w:themeColor="accent5"/>
                                  <w:sz w:val="24"/>
                                  <w:szCs w:val="24"/>
                                </w:rPr>
                              </w:pPr>
                              <w:r>
                                <w:rPr>
                                  <w:caps/>
                                  <w:color w:val="4472C4" w:themeColor="accent5"/>
                                  <w:sz w:val="24"/>
                                  <w:szCs w:val="24"/>
                                </w:rPr>
                                <w:t>Shavez Khan (2304838)</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3496597D" wp14:editId="2484D89E">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68325" cy="1043940"/>
                    <wp:effectExtent l="0" t="0" r="0" b="0"/>
                    <wp:wrapNone/>
                    <wp:docPr id="1668914246"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68325" cy="104394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EndPr/>
                                <w:sdtContent>
                                  <w:p w14:paraId="469E253B" w14:textId="1E0ACE47" w:rsidR="004D7ACB" w:rsidRDefault="004D7ACB">
                                    <w:pPr>
                                      <w:pStyle w:val="NoSpacing"/>
                                      <w:jc w:val="right"/>
                                      <w:rPr>
                                        <w:color w:val="FFFFFF" w:themeColor="background1"/>
                                        <w:sz w:val="24"/>
                                        <w:szCs w:val="24"/>
                                      </w:rPr>
                                    </w:pPr>
                                    <w:r>
                                      <w:rPr>
                                        <w:color w:val="FFFFFF" w:themeColor="background1"/>
                                        <w:sz w:val="24"/>
                                        <w:szCs w:val="24"/>
                                      </w:rPr>
                                      <w:t>2024</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496597D" id="Rectangle 1" o:spid="_x0000_s1031" style="position:absolute;margin-left:-6.45pt;margin-top:0;width:44.75pt;height:82.2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" fillcolor="#5b9bd5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EndPr/>
                          <w:sdtContent>
                            <w:p w14:paraId="469E253B" w14:textId="1E0ACE47" w:rsidR="004D7ACB" w:rsidRDefault="004D7ACB">
                              <w:pPr>
                                <w:pStyle w:val="NoSpacing"/>
                                <w:jc w:val="right"/>
                                <w:rPr>
                                  <w:color w:val="FFFFFF" w:themeColor="background1"/>
                                  <w:sz w:val="24"/>
                                  <w:szCs w:val="24"/>
                                </w:rPr>
                              </w:pPr>
                              <w:r>
                                <w:rPr>
                                  <w:color w:val="FFFFFF" w:themeColor="background1"/>
                                  <w:sz w:val="24"/>
                                  <w:szCs w:val="24"/>
                                </w:rPr>
                                <w:t>2024</w:t>
                              </w:r>
                            </w:p>
                          </w:sdtContent>
                        </w:sdt>
                      </w:txbxContent>
                    </v:textbox>
                    <w10:wrap anchorx="margin" anchory="page"/>
                  </v:rect>
                </w:pict>
              </mc:Fallback>
            </mc:AlternateContent>
          </w:r>
          <w:r w:rsidR="004D7ACB">
            <w:br w:type="page"/>
          </w:r>
        </w:p>
      </w:sdtContent>
    </w:sdt>
    <w:bookmarkStart w:id="0" w:name="_Hlk161195577" w:displacedByCustomXml="next"/>
    <w:sdt>
      <w:sdtPr>
        <w:alias w:val="Title:"/>
        <w:tag w:val="Title:"/>
        <w:id w:val="-574357878"/>
        <w:placeholder>
          <w:docPart w:val="EC45D8DCC794470891B0C2DA5DE30572"/>
        </w:placeholder>
        <w:dataBinding w:prefixMappings="xmlns:ns0='http://purl.org/dc/elements/1.1/' xmlns:ns1='http://schemas.openxmlformats.org/package/2006/metadata/core-properties' " w:xpath="/ns1:coreProperties[1]/ns0:title[1]" w:storeItemID="{6C3C8BC8-F283-45AE-878A-BAB7291924A1}"/>
        <w15:appearance w15:val="hidden"/>
        <w:text w:multiLine="1"/>
      </w:sdtPr>
      <w:sdtEndPr/>
      <w:sdtContent>
        <w:p w14:paraId="505AF97F" w14:textId="116E7076" w:rsidR="00A769E6" w:rsidRDefault="00DB6C2A">
          <w:pPr>
            <w:pStyle w:val="Title"/>
          </w:pPr>
          <w:r>
            <w:t>Is Offences Against the Person Act [1861] suitable for use in a modern society?</w:t>
          </w:r>
        </w:p>
      </w:sdtContent>
    </w:sdt>
    <w:bookmarkEnd w:id="0"/>
    <w:p w14:paraId="4D224B23" w14:textId="2DEF9971" w:rsidR="00C55AE2" w:rsidRDefault="00C55AE2" w:rsidP="00C55AE2">
      <w:pPr>
        <w:pStyle w:val="Heading1"/>
      </w:pPr>
    </w:p>
    <w:p w14:paraId="37A95AED" w14:textId="175C1899" w:rsidR="00A769E6" w:rsidRDefault="005A787E" w:rsidP="006F0757">
      <w:pPr>
        <w:pStyle w:val="Heading2"/>
        <w:numPr>
          <w:ilvl w:val="0"/>
          <w:numId w:val="0"/>
        </w:numPr>
        <w:ind w:left="720"/>
      </w:pPr>
      <w:r>
        <w:t xml:space="preserve"> </w:t>
      </w:r>
      <w:r w:rsidR="00563589">
        <w:t>Offences Against the Person Act [1861]</w:t>
      </w:r>
      <w:r w:rsidR="00F04004">
        <w:t xml:space="preserve"> </w:t>
      </w:r>
      <w:r w:rsidR="00D10B20" w:rsidRPr="00D10B20">
        <w:t xml:space="preserve">stands as a cornerstone in the legal framework of the United Kingdom, addressing a </w:t>
      </w:r>
      <w:r w:rsidR="00D10B20">
        <w:t>series</w:t>
      </w:r>
      <w:r w:rsidR="00D10B20" w:rsidRPr="00D10B20">
        <w:t xml:space="preserve"> of offences against individuals. Enacted during </w:t>
      </w:r>
      <w:r w:rsidR="00563589">
        <w:t>the</w:t>
      </w:r>
      <w:r w:rsidR="003A1583">
        <w:t xml:space="preserve"> </w:t>
      </w:r>
      <w:r w:rsidR="00563589">
        <w:t>Victorian</w:t>
      </w:r>
      <w:r w:rsidR="00D10B20" w:rsidRPr="00D10B20">
        <w:t xml:space="preserve"> era, the Act reflects the societal norms and legal ethos of its time. However, as we navigate the complexities of a modern society marked by evolving values, and changing perspectives on individual rights, the question arises: Is the Offences Against the Person Act [1861] still suitable for addressing non-fatal offences against </w:t>
      </w:r>
      <w:r w:rsidR="00D10B20">
        <w:t>people that live in the United Kingdom.  There are many arguments for and against the use of this act.</w:t>
      </w:r>
    </w:p>
    <w:p w14:paraId="1AEF166F" w14:textId="5AF8CF07" w:rsidR="00122E60" w:rsidRDefault="00FA2009" w:rsidP="00436733">
      <w:pPr>
        <w:pStyle w:val="Heading3"/>
        <w:numPr>
          <w:ilvl w:val="0"/>
          <w:numId w:val="0"/>
        </w:numPr>
        <w:ind w:left="720"/>
      </w:pPr>
      <w:r>
        <w:t xml:space="preserve">The objections to the OAPA </w:t>
      </w:r>
      <w:r w:rsidR="00C71430">
        <w:t>argue</w:t>
      </w:r>
      <w:r>
        <w:t xml:space="preserve"> that the language from the official </w:t>
      </w:r>
      <w:r w:rsidR="00FA0249">
        <w:t xml:space="preserve">legislation </w:t>
      </w:r>
      <w:r w:rsidR="00704942">
        <w:t xml:space="preserve">is outdated and vague. This is since the language that was used to write the document was from the Victorian era with the dialect having some differences in comparison to Modern English. The author </w:t>
      </w:r>
      <w:r w:rsidR="00704942" w:rsidRPr="00704942">
        <w:t xml:space="preserve">Alexandra-Maria </w:t>
      </w:r>
      <w:proofErr w:type="spellStart"/>
      <w:r w:rsidR="00704942" w:rsidRPr="00704942">
        <w:t>Eugenicos</w:t>
      </w:r>
      <w:proofErr w:type="spellEnd"/>
      <w:r w:rsidR="00704942">
        <w:t xml:space="preserve"> (2017) argues this same point explain that the speech used in the legislation is “outdated” which is true considering the word “Maliciously” has been interpreted to mean “recklessly” </w:t>
      </w:r>
      <w:bookmarkStart w:id="1" w:name="_Hlk161135142"/>
      <w:r w:rsidR="00704942">
        <w:t xml:space="preserve">(Cunningham 1957) </w:t>
      </w:r>
      <w:bookmarkEnd w:id="1"/>
      <w:r w:rsidR="00704942">
        <w:t>which could arise to problems when it comes to interpreting the law itself.</w:t>
      </w:r>
      <w:r w:rsidR="00E51342">
        <w:t xml:space="preserve"> </w:t>
      </w:r>
      <w:r w:rsidR="00BC09A6">
        <w:t xml:space="preserve"> </w:t>
      </w:r>
      <w:r w:rsidR="00BC09A6">
        <w:br/>
      </w:r>
      <w:r w:rsidR="00BC09A6">
        <w:br/>
        <w:t xml:space="preserve">In addition to </w:t>
      </w:r>
      <w:proofErr w:type="spellStart"/>
      <w:r w:rsidR="00BC09A6">
        <w:t>Eugenicos’s</w:t>
      </w:r>
      <w:proofErr w:type="spellEnd"/>
      <w:r w:rsidR="00BC09A6">
        <w:t xml:space="preserve"> view of OAPA being outdated; </w:t>
      </w:r>
      <w:r w:rsidR="00BC09A6" w:rsidRPr="00BC09A6">
        <w:t>Herring</w:t>
      </w:r>
      <w:r w:rsidR="00BC09A6">
        <w:t xml:space="preserve"> (2022) has described the act as being “hardly surprising.” That an act from the Victorian era struggles to deal with modern issues such as email harassment, racial motivated assaults, stalking, and HIV.</w:t>
      </w:r>
    </w:p>
    <w:p w14:paraId="10DA15DE" w14:textId="3E5900A5" w:rsidR="00FD292D" w:rsidRDefault="00BC09A6" w:rsidP="00FD292D">
      <w:pPr>
        <w:pStyle w:val="Heading3"/>
        <w:numPr>
          <w:ilvl w:val="0"/>
          <w:numId w:val="0"/>
        </w:numPr>
        <w:ind w:left="1080" w:hanging="360"/>
      </w:pPr>
      <w:r>
        <w:t xml:space="preserve">      </w:t>
      </w:r>
      <w:r w:rsidR="00E51342">
        <w:t>We can</w:t>
      </w:r>
      <w:r>
        <w:t xml:space="preserve"> also look at </w:t>
      </w:r>
      <w:r w:rsidR="00E51342">
        <w:t xml:space="preserve">the issue of </w:t>
      </w:r>
      <w:r w:rsidR="00497A2E">
        <w:t>bodily harm</w:t>
      </w:r>
      <w:r w:rsidR="00E51342">
        <w:t xml:space="preserve"> especially concerning </w:t>
      </w:r>
      <w:r w:rsidR="00497A2E">
        <w:t xml:space="preserve">section </w:t>
      </w:r>
      <w:r w:rsidR="00EA2036">
        <w:t xml:space="preserve">47 </w:t>
      </w:r>
      <w:r w:rsidR="00497A2E">
        <w:t>of</w:t>
      </w:r>
      <w:r w:rsidR="00E51342">
        <w:t xml:space="preserve"> the OAP</w:t>
      </w:r>
      <w:r w:rsidR="00EA2036">
        <w:t>A with the problem being that the “definition</w:t>
      </w:r>
      <w:r w:rsidR="00EA2036" w:rsidRPr="00EA2036">
        <w:t xml:space="preserve"> </w:t>
      </w:r>
      <w:r w:rsidR="0016599E" w:rsidRPr="00EA2036">
        <w:t>of ‘</w:t>
      </w:r>
      <w:r w:rsidR="00EA2036" w:rsidRPr="00EA2036">
        <w:t>assault</w:t>
      </w:r>
      <w:r w:rsidR="00C71430" w:rsidRPr="00EA2036">
        <w:t>’ is needed</w:t>
      </w:r>
      <w:r w:rsidR="00EA2036" w:rsidRPr="00EA2036">
        <w:t>.</w:t>
      </w:r>
      <w:r w:rsidR="00C71430">
        <w:t xml:space="preserve">” </w:t>
      </w:r>
      <w:r w:rsidR="00E51342">
        <w:t>(</w:t>
      </w:r>
      <w:r w:rsidR="00E51342" w:rsidRPr="00E51342">
        <w:t>Jefferson</w:t>
      </w:r>
      <w:r w:rsidR="00E51342">
        <w:t xml:space="preserve">, 2012) with the language being rather </w:t>
      </w:r>
      <w:r w:rsidR="00E51342" w:rsidRPr="00E51342">
        <w:t>archaic</w:t>
      </w:r>
      <w:r w:rsidR="00E51342">
        <w:t>. This is supported by</w:t>
      </w:r>
      <w:r w:rsidR="00497A2E">
        <w:t xml:space="preserve"> the case R</w:t>
      </w:r>
      <w:r w:rsidR="00497A2E" w:rsidRPr="00497A2E">
        <w:t xml:space="preserve"> v Ireland </w:t>
      </w:r>
      <w:r w:rsidR="00497A2E">
        <w:t>(</w:t>
      </w:r>
      <w:r w:rsidR="00497A2E" w:rsidRPr="00497A2E">
        <w:t>1997</w:t>
      </w:r>
      <w:r w:rsidR="00497A2E">
        <w:t>) where the defendant was convicted however appealed as he believed that silence cannot amount to assault.</w:t>
      </w:r>
      <w:r w:rsidR="00094C1A">
        <w:t xml:space="preserve"> </w:t>
      </w:r>
      <w:r w:rsidR="00FD292D">
        <w:t xml:space="preserve">Another similar case to look at is </w:t>
      </w:r>
      <w:r w:rsidR="00FD292D" w:rsidRPr="00FD292D">
        <w:t>R v Chan Fook</w:t>
      </w:r>
      <w:r w:rsidR="00FD292D">
        <w:t xml:space="preserve"> (1994)</w:t>
      </w:r>
      <w:r>
        <w:t xml:space="preserve"> and </w:t>
      </w:r>
      <w:r w:rsidRPr="00BC09A6">
        <w:t xml:space="preserve">R v Constanza </w:t>
      </w:r>
      <w:r>
        <w:t>(</w:t>
      </w:r>
      <w:r w:rsidRPr="00BC09A6">
        <w:t>1997</w:t>
      </w:r>
      <w:r>
        <w:t>) where</w:t>
      </w:r>
      <w:r w:rsidR="00FD292D">
        <w:t xml:space="preserve"> the question of </w:t>
      </w:r>
      <w:r w:rsidR="00FD292D" w:rsidRPr="00FD292D">
        <w:t>whether psychological harm might potentially qualify as ABH for the purposes of OAPA</w:t>
      </w:r>
      <w:r w:rsidR="00FD292D">
        <w:t>’s section 47</w:t>
      </w:r>
      <w:r w:rsidR="00094C1A">
        <w:t xml:space="preserve"> so in turn the issue with OAPA’s view on ABH is that anyone can be liable for it just for simply causing discomfort to a victim (Taylor, 2018). </w:t>
      </w:r>
    </w:p>
    <w:p w14:paraId="30AC9E6B" w14:textId="000F16F2" w:rsidR="00FD292D" w:rsidRDefault="00507F10" w:rsidP="00BC09A6">
      <w:pPr>
        <w:pStyle w:val="Heading3"/>
        <w:numPr>
          <w:ilvl w:val="0"/>
          <w:numId w:val="0"/>
        </w:numPr>
        <w:ind w:left="720"/>
      </w:pPr>
      <w:r>
        <w:br/>
        <w:t xml:space="preserve">The OAPA has also been described </w:t>
      </w:r>
      <w:r w:rsidR="001932DA">
        <w:t>as “</w:t>
      </w:r>
      <w:r w:rsidR="001932DA" w:rsidRPr="001932DA">
        <w:t>disconnected from today’s society</w:t>
      </w:r>
      <w:r w:rsidR="001932DA">
        <w:t>.” (</w:t>
      </w:r>
      <w:proofErr w:type="spellStart"/>
      <w:r w:rsidR="001932DA">
        <w:t>Eugenicos</w:t>
      </w:r>
      <w:proofErr w:type="spellEnd"/>
      <w:r w:rsidR="001932DA">
        <w:t xml:space="preserve">, P2, 2017) with the author going on to list Section 17 as an </w:t>
      </w:r>
      <w:r w:rsidR="00724C4B">
        <w:t xml:space="preserve">example of it being out of touch with the law showcasing that </w:t>
      </w:r>
      <w:r w:rsidR="00724C4B" w:rsidRPr="00724C4B">
        <w:t>blocking a shipwreck's escape, whether through illegal or malevolent means</w:t>
      </w:r>
      <w:r w:rsidR="00724C4B">
        <w:t xml:space="preserve"> is unlawful</w:t>
      </w:r>
      <w:r w:rsidR="00724C4B" w:rsidRPr="00724C4B">
        <w:t>. Additionally, it makes it illegal to stop someone else from saving the stranded, injured, or terrified. Even though Section 1</w:t>
      </w:r>
      <w:r w:rsidR="00C71430">
        <w:t>7</w:t>
      </w:r>
      <w:r w:rsidR="00724C4B" w:rsidRPr="00724C4B">
        <w:t xml:space="preserve"> has a life sentence maximum, no case has ever been brought against it</w:t>
      </w:r>
      <w:r w:rsidR="00724C4B">
        <w:t xml:space="preserve">. </w:t>
      </w:r>
      <w:r w:rsidR="00122E60">
        <w:br/>
      </w:r>
      <w:r w:rsidR="00122E60">
        <w:br/>
        <w:t xml:space="preserve">Additionally, other cases of outdated scenarios can be looked at section 36 of the OAPA which specifically called details any threat against a clergyman (religious operative) to </w:t>
      </w:r>
      <w:r w:rsidR="00122E60">
        <w:lastRenderedPageBreak/>
        <w:t xml:space="preserve">be a criminal offence. This specific law is heavily unneeded because clergymen can be protected by other laws made in place to prosecute threatening behavior with the </w:t>
      </w:r>
      <w:r w:rsidR="00FD292D">
        <w:t xml:space="preserve">Law Commission (2015) making it clear that they recommend the law to be abolished.  </w:t>
      </w:r>
      <w:r w:rsidR="00FD292D">
        <w:br/>
      </w:r>
    </w:p>
    <w:p w14:paraId="2394C1E4" w14:textId="65DD90F6" w:rsidR="00724C4B" w:rsidRDefault="00724C4B" w:rsidP="00BC09A6">
      <w:pPr>
        <w:pStyle w:val="Heading3"/>
        <w:numPr>
          <w:ilvl w:val="0"/>
          <w:numId w:val="0"/>
        </w:numPr>
      </w:pPr>
    </w:p>
    <w:p w14:paraId="00B89A33" w14:textId="69505327" w:rsidR="00DA1343" w:rsidRPr="00345F58" w:rsidRDefault="00122E60" w:rsidP="00122E60">
      <w:pPr>
        <w:pStyle w:val="Heading3"/>
        <w:numPr>
          <w:ilvl w:val="0"/>
          <w:numId w:val="0"/>
        </w:numPr>
        <w:ind w:left="1080" w:hanging="360"/>
        <w:rPr>
          <w:lang w:val="en-GB"/>
        </w:rPr>
      </w:pPr>
      <w:bookmarkStart w:id="2" w:name="_Hlk161054534"/>
      <w:r>
        <w:t xml:space="preserve">    </w:t>
      </w:r>
      <w:r w:rsidR="00694813">
        <w:t xml:space="preserve">  </w:t>
      </w:r>
      <w:r w:rsidR="00DA1343">
        <w:t>Other controversies related to OAPA would be the difficulty of navigating through the legal complications. T</w:t>
      </w:r>
      <w:r w:rsidR="00DA1343" w:rsidRPr="00345F58">
        <w:rPr>
          <w:lang w:val="en-GB"/>
        </w:rPr>
        <w:t>he punishment for less severe crimes, like regular assault, is much shorter (six months) compared to more serious offenses, such as causing actual bodily harm (ABH), which can lead to a five-year prison sentence. This creates confusion for prosecutors who must decide which charge to pursue based on the level of injury.</w:t>
      </w:r>
    </w:p>
    <w:p w14:paraId="26AC965B" w14:textId="77777777" w:rsidR="00694813" w:rsidRDefault="00DA1343" w:rsidP="00DA1343">
      <w:pPr>
        <w:pStyle w:val="Heading3"/>
        <w:numPr>
          <w:ilvl w:val="0"/>
          <w:numId w:val="0"/>
        </w:numPr>
        <w:ind w:left="1080"/>
      </w:pPr>
      <w:r w:rsidRPr="00345F58">
        <w:rPr>
          <w:lang w:val="en-GB"/>
        </w:rPr>
        <w:t>To simplify, if they go for a lesser charge, the case goes to a less expensive and quicker magistrates' court. But if the injury is significant, they might need to opt for a more serious charge, leading to a more costly trial in the Crown Court. This decision-making process is challenging and adds strain to an already resource-strapped criminal justice system.</w:t>
      </w:r>
      <w:r w:rsidR="008F261E">
        <w:rPr>
          <w:lang w:val="en-GB"/>
        </w:rPr>
        <w:br/>
      </w:r>
      <w:r w:rsidR="008F261E">
        <w:rPr>
          <w:lang w:val="en-GB"/>
        </w:rPr>
        <w:br/>
        <w:t xml:space="preserve">According to </w:t>
      </w:r>
      <w:proofErr w:type="spellStart"/>
      <w:r w:rsidR="008F261E">
        <w:rPr>
          <w:lang w:val="en-GB"/>
        </w:rPr>
        <w:t>Eugenicos</w:t>
      </w:r>
      <w:proofErr w:type="spellEnd"/>
      <w:r w:rsidR="008F261E">
        <w:rPr>
          <w:lang w:val="en-GB"/>
        </w:rPr>
        <w:t xml:space="preserve"> (2017) she purposes that a reform is greatly needed especially during an age where the justice system in England and Wales “</w:t>
      </w:r>
      <w:r w:rsidR="008F261E">
        <w:t xml:space="preserve">struggled with lacking resources due to budgetary cuts.” </w:t>
      </w:r>
      <w:r w:rsidR="0032252E">
        <w:t xml:space="preserve">With said </w:t>
      </w:r>
      <w:r w:rsidR="008F261E">
        <w:t xml:space="preserve">budget cuts and the rising expense </w:t>
      </w:r>
      <w:r w:rsidR="0032252E">
        <w:t>forcing</w:t>
      </w:r>
      <w:r w:rsidR="008F261E">
        <w:t xml:space="preserve"> prosecutors </w:t>
      </w:r>
      <w:r w:rsidR="0032252E">
        <w:t xml:space="preserve">into a dilemma </w:t>
      </w:r>
      <w:r w:rsidR="008F261E">
        <w:t xml:space="preserve">over whether they should “charge for a lesser offence, ensuring a cheaper and quicker magistrates’ court trial.” </w:t>
      </w:r>
      <w:r w:rsidR="00632E8E">
        <w:t>This further supports the idea that reforms will counter unnecessary spending and make the law more applicable.</w:t>
      </w:r>
      <w:r w:rsidR="00C459D8">
        <w:t xml:space="preserve"> </w:t>
      </w:r>
      <w:r w:rsidR="00293AE0">
        <w:t xml:space="preserve"> A case to support the argument that OAPA is outdated and in need of a desperate reform is the case of </w:t>
      </w:r>
      <w:r w:rsidR="00293AE0" w:rsidRPr="00293AE0">
        <w:t xml:space="preserve">DPP v Smith </w:t>
      </w:r>
      <w:r w:rsidR="00293AE0">
        <w:t>(</w:t>
      </w:r>
      <w:r w:rsidR="00293AE0" w:rsidRPr="00293AE0">
        <w:t>2006</w:t>
      </w:r>
      <w:r w:rsidR="00293AE0">
        <w:t xml:space="preserve">) </w:t>
      </w:r>
      <w:r w:rsidR="002C4EC0">
        <w:t xml:space="preserve">where a defendant was </w:t>
      </w:r>
      <w:r w:rsidR="002C4EC0" w:rsidRPr="002C4EC0">
        <w:rPr>
          <w:lang w:val="en-GB"/>
        </w:rPr>
        <w:t xml:space="preserve">charged with assault occasioning actual bodily harm under </w:t>
      </w:r>
      <w:r w:rsidR="002C4EC0">
        <w:rPr>
          <w:lang w:val="en-GB"/>
        </w:rPr>
        <w:t>section 47</w:t>
      </w:r>
      <w:r w:rsidR="002C4EC0" w:rsidRPr="002C4EC0">
        <w:rPr>
          <w:lang w:val="en-GB"/>
        </w:rPr>
        <w:t xml:space="preserve"> of the Offences Against the Person Act 1861</w:t>
      </w:r>
      <w:r w:rsidR="002C4EC0">
        <w:rPr>
          <w:lang w:val="en-GB"/>
        </w:rPr>
        <w:t xml:space="preserve"> for cutting hair this further applies to the criticism of what actions could warrant offences. The author John Gardener (1994) has described the act as “</w:t>
      </w:r>
      <w:r w:rsidR="002C4EC0">
        <w:t>Archaic.” And even goes as far as to say that “</w:t>
      </w:r>
      <w:r w:rsidR="002C4EC0" w:rsidRPr="002C4EC0">
        <w:t>interpretations have been forced to ever more absurd technicality in the struggle to maintain a semblance of applicability to modern circumstances, etc.</w:t>
      </w:r>
      <w:r w:rsidR="002C4EC0">
        <w:t>” this means that th</w:t>
      </w:r>
      <w:r w:rsidR="00345687">
        <w:t xml:space="preserve">e struggle of understanding the law of a generation from so long ago is a challenge which ends up having people to escape punishment or receive harsh penalties because the act has an abnormal circumstance that could be applied. </w:t>
      </w:r>
      <w:r w:rsidR="00694813">
        <w:t xml:space="preserve"> </w:t>
      </w:r>
    </w:p>
    <w:p w14:paraId="4E9FF938" w14:textId="0BCEE8EA" w:rsidR="00E55F72" w:rsidRDefault="00E55F72" w:rsidP="00DA1343">
      <w:pPr>
        <w:pStyle w:val="Heading3"/>
        <w:numPr>
          <w:ilvl w:val="0"/>
          <w:numId w:val="0"/>
        </w:numPr>
        <w:ind w:left="1080"/>
      </w:pPr>
      <w:r>
        <w:br/>
        <w:t>The Offences Against the Person Act [1861] has a complex relationship with self-defense. The specific element that can be used against an individual if they claimed to have exercised self-defense is the failure to retreat. The failure to retreat is a basis that if someone doesn’t try to escape or avoid confrontation when they could have, it doesn’t automatically mean they weren’t using self-defense but rather a factor to consider whether the force used was justifiable.</w:t>
      </w:r>
      <w:r w:rsidR="0032698F">
        <w:t xml:space="preserve"> (CPS, 2022) However problems can arise from this as seen in R v Bird (1985) where the defendant did not demonstrate she did not want to fight with the charge Section 20 being used. </w:t>
      </w:r>
      <w:r w:rsidR="00E93EDF">
        <w:t xml:space="preserve">The author </w:t>
      </w:r>
      <w:r w:rsidR="00E93EDF" w:rsidRPr="00E93EDF">
        <w:t>Stuart</w:t>
      </w:r>
      <w:r w:rsidR="00E93EDF">
        <w:t xml:space="preserve"> </w:t>
      </w:r>
      <w:r w:rsidR="00E93EDF" w:rsidRPr="00E93EDF">
        <w:t>Macdonald</w:t>
      </w:r>
      <w:r w:rsidR="00E93EDF">
        <w:t xml:space="preserve"> (2018) leaves a good question when talking about </w:t>
      </w:r>
      <w:proofErr w:type="gramStart"/>
      <w:r w:rsidR="00E93EDF">
        <w:t>an</w:t>
      </w:r>
      <w:proofErr w:type="gramEnd"/>
      <w:r w:rsidR="00E93EDF">
        <w:t xml:space="preserve"> fictional example </w:t>
      </w:r>
      <w:r w:rsidR="00E93EDF">
        <w:lastRenderedPageBreak/>
        <w:t>that has a similar background to this case with the words “</w:t>
      </w:r>
      <w:r w:rsidR="00E93EDF" w:rsidRPr="00E93EDF">
        <w:t>should the defense be available to a defendant who was the initial aggressor?</w:t>
      </w:r>
      <w:r w:rsidR="00E93EDF">
        <w:t xml:space="preserve">” </w:t>
      </w:r>
    </w:p>
    <w:p w14:paraId="15A462C7" w14:textId="7FC24385" w:rsidR="000415D1" w:rsidRDefault="00694813" w:rsidP="000415D1">
      <w:pPr>
        <w:pStyle w:val="Heading3"/>
        <w:numPr>
          <w:ilvl w:val="0"/>
          <w:numId w:val="0"/>
        </w:numPr>
        <w:ind w:left="1080"/>
      </w:pPr>
      <w:r>
        <w:br/>
        <w:t xml:space="preserve">Further complications can be applied to sexually related crimes. </w:t>
      </w:r>
      <w:r w:rsidRPr="00694813">
        <w:t xml:space="preserve">The criminal justice system's assessment of the danger </w:t>
      </w:r>
      <w:r>
        <w:t xml:space="preserve">to </w:t>
      </w:r>
      <w:r w:rsidRPr="00694813">
        <w:t>HIV transmission differs significantly from harm reduction strategies. Many HIV-positive individuals elect to use a condom if they are having penetrating intercourse with someone to whom they have not disclosed their status.</w:t>
      </w:r>
      <w:r w:rsidR="00005BEF">
        <w:t xml:space="preserve"> (Keogh, et al, 1998) </w:t>
      </w:r>
      <w:r w:rsidR="000415D1">
        <w:t xml:space="preserve">the issue here is the fact that what type of offence is spreading HIV under OAPA. According to the case of </w:t>
      </w:r>
      <w:r w:rsidR="000415D1" w:rsidRPr="000415D1">
        <w:t xml:space="preserve">R v </w:t>
      </w:r>
      <w:proofErr w:type="spellStart"/>
      <w:r w:rsidR="000415D1" w:rsidRPr="000415D1">
        <w:t>Konzani</w:t>
      </w:r>
      <w:proofErr w:type="spellEnd"/>
      <w:r w:rsidR="000415D1" w:rsidRPr="000415D1">
        <w:t xml:space="preserve"> [2005]</w:t>
      </w:r>
      <w:r w:rsidR="000415D1">
        <w:t xml:space="preserve"> the Court of Appeal's ruling did not clearly distinguish between protected and unprotected sex, and it is possible that a jury would read the use of a condom as</w:t>
      </w:r>
    </w:p>
    <w:p w14:paraId="4F25DCF9" w14:textId="4E69FFBD" w:rsidR="007C461D" w:rsidRDefault="000415D1" w:rsidP="008E76E1">
      <w:pPr>
        <w:pStyle w:val="Heading3"/>
        <w:numPr>
          <w:ilvl w:val="0"/>
          <w:numId w:val="0"/>
        </w:numPr>
        <w:ind w:left="1080"/>
      </w:pPr>
      <w:r>
        <w:t xml:space="preserve">proving the defendant's knowledge of the transfer risk. </w:t>
      </w:r>
      <w:r w:rsidR="007C461D">
        <w:t xml:space="preserve"> (Dodds, et al, 2005) HIV nowadays can be prosecuted </w:t>
      </w:r>
      <w:r w:rsidR="00BC09A6">
        <w:t>using</w:t>
      </w:r>
      <w:r w:rsidR="007C461D">
        <w:t xml:space="preserve"> section 20 and section 18 depending on whether it was reckless or not. </w:t>
      </w:r>
      <w:r w:rsidR="008E76E1">
        <w:t xml:space="preserve"> </w:t>
      </w:r>
      <w:r w:rsidR="000C79B8">
        <w:t xml:space="preserve">Another problem with sexual related issues under OAPA is the case of consent during </w:t>
      </w:r>
      <w:r w:rsidR="00B35B25">
        <w:t xml:space="preserve">from acts of harm. The act doesn’t recognize that people can consent to being humiliated in private such as the case of R v Brown (1994). </w:t>
      </w:r>
    </w:p>
    <w:p w14:paraId="3800C9FF" w14:textId="6DA7D7D7" w:rsidR="001B0D65" w:rsidRPr="001B0D65" w:rsidRDefault="007A3882" w:rsidP="001B0D65">
      <w:pPr>
        <w:pStyle w:val="Heading3"/>
        <w:numPr>
          <w:ilvl w:val="0"/>
          <w:numId w:val="0"/>
        </w:numPr>
        <w:ind w:left="1080"/>
      </w:pPr>
      <w:r>
        <w:t xml:space="preserve">In Conclusion </w:t>
      </w:r>
      <w:r w:rsidR="00E93EDF">
        <w:t xml:space="preserve">the Offences Against the Person Act [1861] is the backbone of legal framework in the United Kingdom that addresses multiple offences against defendants for all sorts of cases. However as stated in this essay the common criticism of OAPA is mainly revolving around the outdated language of </w:t>
      </w:r>
      <w:r w:rsidR="00E91EC6">
        <w:t xml:space="preserve">the act due to it being founded during the Victorian era where the dialect of English that was once spoken no longer being applied to our modern times thus plunging society in a legal messy cesspool because of different interpretations of what certain words mean for example “Maliciously” could mean being reckless instead of being characterized as having intent to harm. </w:t>
      </w:r>
      <w:r w:rsidR="00E91EC6">
        <w:br/>
      </w:r>
      <w:r w:rsidR="00E91EC6">
        <w:br/>
        <w:t xml:space="preserve">Other problems we can address is the scenarios within the act that are nowadays considered to be no longer an issue or rather </w:t>
      </w:r>
      <w:r w:rsidR="00E91EC6" w:rsidRPr="00E91EC6">
        <w:t>redundant</w:t>
      </w:r>
      <w:r w:rsidR="00E91EC6">
        <w:t xml:space="preserve"> with threats toward </w:t>
      </w:r>
      <w:r w:rsidR="001B0D65">
        <w:t xml:space="preserve">the </w:t>
      </w:r>
      <w:r w:rsidR="00E91EC6">
        <w:t xml:space="preserve">clergymen and shipwrecking situations being a waste seeing as there are other laws that can prosecute a defendant that commits these actions anyways so there isn’t necessarily a need to </w:t>
      </w:r>
      <w:r w:rsidR="001B0D65">
        <w:t xml:space="preserve">include these </w:t>
      </w:r>
      <w:r w:rsidR="00E91EC6">
        <w:t xml:space="preserve">specific </w:t>
      </w:r>
      <w:r w:rsidR="001B0D65">
        <w:t xml:space="preserve">and niche laws.  This supported through the fact that the Law Commission recommends having them abolished. Furthermore, the OAPA has influenced available resources and money which in this day and the rising prices can very much make factors more complex. Having said that reforms could see more cost-effective measures to take place while ensuring that people can be trailed under fair acts that is updated to our times and current understanding. This can also assist in making sure that legal understanding of more complicated crimes such as spreading of HIV and crimes that factor in non-physical harm can be addressed more easily. </w:t>
      </w:r>
      <w:r w:rsidR="001B0D65">
        <w:br/>
      </w:r>
      <w:r w:rsidR="001B0D65">
        <w:br/>
      </w:r>
      <w:r w:rsidR="001B0D65" w:rsidRPr="001B0D65">
        <w:rPr>
          <w:color w:val="000000" w:themeColor="text1"/>
        </w:rPr>
        <w:t>So, to answer the question</w:t>
      </w:r>
      <w:r w:rsidR="001B0D65">
        <w:t xml:space="preserve"> of i</w:t>
      </w:r>
      <w:r w:rsidR="001B0D65" w:rsidRPr="001B0D65">
        <w:t>s Offences Against the Person Act [1861] suitable for use in a modern societ</w:t>
      </w:r>
      <w:r w:rsidR="00096758">
        <w:t>y? For the most part no. As stated, before the act outdated language with an uncomfortable limited understanding of situations for a 21st century United Kingdom and generally fails to be cost effective and fair. It is best for it to be heavily reformed or be replaced by a new act entirely.</w:t>
      </w:r>
    </w:p>
    <w:p w14:paraId="679BE657" w14:textId="2DE31FAE" w:rsidR="00DA1343" w:rsidRPr="00345F58" w:rsidRDefault="00DA1343" w:rsidP="00DA1343">
      <w:pPr>
        <w:pStyle w:val="Heading3"/>
        <w:numPr>
          <w:ilvl w:val="0"/>
          <w:numId w:val="0"/>
        </w:numPr>
        <w:rPr>
          <w:lang w:val="en-GB"/>
        </w:rPr>
      </w:pPr>
      <w:r>
        <w:rPr>
          <w:lang w:val="en-GB"/>
        </w:rPr>
        <w:lastRenderedPageBreak/>
        <w:t xml:space="preserve">                 </w:t>
      </w:r>
    </w:p>
    <w:p w14:paraId="7154D69C" w14:textId="77777777" w:rsidR="005E213A" w:rsidRPr="00DA1343" w:rsidRDefault="005E213A" w:rsidP="00724C4B">
      <w:pPr>
        <w:pStyle w:val="Heading3"/>
        <w:numPr>
          <w:ilvl w:val="0"/>
          <w:numId w:val="0"/>
        </w:numPr>
        <w:ind w:left="720"/>
        <w:rPr>
          <w:lang w:val="en-GB"/>
        </w:rPr>
      </w:pPr>
    </w:p>
    <w:bookmarkEnd w:id="2"/>
    <w:p w14:paraId="222E8C81" w14:textId="77777777" w:rsidR="005E213A" w:rsidRDefault="005E213A" w:rsidP="00724C4B">
      <w:pPr>
        <w:pStyle w:val="Heading3"/>
        <w:numPr>
          <w:ilvl w:val="0"/>
          <w:numId w:val="0"/>
        </w:numPr>
        <w:ind w:left="720"/>
      </w:pPr>
    </w:p>
    <w:p w14:paraId="47519194" w14:textId="5EBA0A6B" w:rsidR="00A769E6" w:rsidRDefault="00436733" w:rsidP="00724C4B">
      <w:pPr>
        <w:pStyle w:val="Heading3"/>
        <w:numPr>
          <w:ilvl w:val="0"/>
          <w:numId w:val="0"/>
        </w:numPr>
        <w:ind w:left="720"/>
      </w:pPr>
      <w:r>
        <w:br/>
      </w:r>
      <w:r>
        <w:br/>
      </w:r>
    </w:p>
    <w:p w14:paraId="66150A97" w14:textId="77777777" w:rsidR="005E213A" w:rsidRDefault="005E213A" w:rsidP="00724C4B">
      <w:pPr>
        <w:pStyle w:val="Heading3"/>
        <w:numPr>
          <w:ilvl w:val="0"/>
          <w:numId w:val="0"/>
        </w:numPr>
        <w:ind w:left="720"/>
      </w:pPr>
    </w:p>
    <w:p w14:paraId="638E81FC" w14:textId="77777777" w:rsidR="005E213A" w:rsidRDefault="005E213A" w:rsidP="00724C4B">
      <w:pPr>
        <w:pStyle w:val="Heading3"/>
        <w:numPr>
          <w:ilvl w:val="0"/>
          <w:numId w:val="0"/>
        </w:numPr>
        <w:ind w:left="720"/>
      </w:pPr>
    </w:p>
    <w:p w14:paraId="21A49A58" w14:textId="77777777" w:rsidR="005E213A" w:rsidRDefault="005E213A" w:rsidP="00724C4B">
      <w:pPr>
        <w:pStyle w:val="Heading3"/>
        <w:numPr>
          <w:ilvl w:val="0"/>
          <w:numId w:val="0"/>
        </w:numPr>
        <w:ind w:left="720"/>
      </w:pPr>
    </w:p>
    <w:p w14:paraId="211AC89B" w14:textId="77777777" w:rsidR="005E213A" w:rsidRDefault="005E213A" w:rsidP="00724C4B">
      <w:pPr>
        <w:pStyle w:val="Heading3"/>
        <w:numPr>
          <w:ilvl w:val="0"/>
          <w:numId w:val="0"/>
        </w:numPr>
        <w:ind w:left="720"/>
      </w:pPr>
    </w:p>
    <w:p w14:paraId="4A7C3604" w14:textId="77777777" w:rsidR="005E213A" w:rsidRDefault="005E213A" w:rsidP="00724C4B">
      <w:pPr>
        <w:pStyle w:val="Heading3"/>
        <w:numPr>
          <w:ilvl w:val="0"/>
          <w:numId w:val="0"/>
        </w:numPr>
        <w:ind w:left="720"/>
      </w:pPr>
    </w:p>
    <w:p w14:paraId="67713BEA" w14:textId="77777777" w:rsidR="005E213A" w:rsidRDefault="005E213A" w:rsidP="00724C4B">
      <w:pPr>
        <w:pStyle w:val="Heading3"/>
        <w:numPr>
          <w:ilvl w:val="0"/>
          <w:numId w:val="0"/>
        </w:numPr>
        <w:ind w:left="720"/>
      </w:pPr>
    </w:p>
    <w:p w14:paraId="05DF0637" w14:textId="77777777" w:rsidR="0048456B" w:rsidRDefault="0048456B" w:rsidP="0048456B">
      <w:pPr>
        <w:pStyle w:val="Heading2"/>
        <w:numPr>
          <w:ilvl w:val="0"/>
          <w:numId w:val="0"/>
        </w:numPr>
        <w:ind w:left="720" w:hanging="360"/>
      </w:pPr>
    </w:p>
    <w:sdt>
      <w:sdtPr>
        <w:rPr>
          <w:b w:val="0"/>
          <w:bCs w:val="0"/>
        </w:rPr>
        <w:id w:val="-135343741"/>
        <w:docPartObj>
          <w:docPartGallery w:val="Bibliographies"/>
          <w:docPartUnique/>
        </w:docPartObj>
      </w:sdtPr>
      <w:sdtEndPr/>
      <w:sdtContent>
        <w:p w14:paraId="0326AEE0" w14:textId="0C2CA386" w:rsidR="004A41B6" w:rsidRDefault="0032698F">
          <w:pPr>
            <w:pStyle w:val="Heading1"/>
          </w:pPr>
          <w:r>
            <w:t xml:space="preserve">References: - </w:t>
          </w:r>
        </w:p>
        <w:sdt>
          <w:sdtPr>
            <w:id w:val="111145805"/>
            <w:bibliography/>
          </w:sdtPr>
          <w:sdtEndPr/>
          <w:sdtContent>
            <w:p w14:paraId="560906D7" w14:textId="77777777" w:rsidR="00E93EDF" w:rsidRDefault="004A41B6" w:rsidP="00E93EDF">
              <w:pPr>
                <w:pStyle w:val="Bibliography"/>
                <w:ind w:left="720" w:hanging="720"/>
                <w:rPr>
                  <w:noProof/>
                  <w:sz w:val="24"/>
                  <w:szCs w:val="24"/>
                </w:rPr>
              </w:pPr>
              <w:r>
                <w:fldChar w:fldCharType="begin"/>
              </w:r>
              <w:r>
                <w:instrText xml:space="preserve"> BIBLIOGRAPHY </w:instrText>
              </w:r>
              <w:r>
                <w:fldChar w:fldCharType="separate"/>
              </w:r>
              <w:r w:rsidR="00E93EDF">
                <w:rPr>
                  <w:noProof/>
                </w:rPr>
                <w:t xml:space="preserve">Crime Prosecution Service. (2022). Self-Defence and the Prevention of Crime. </w:t>
              </w:r>
              <w:r w:rsidR="00E93EDF">
                <w:rPr>
                  <w:i/>
                  <w:iCs/>
                  <w:noProof/>
                </w:rPr>
                <w:t>Legal Guidance</w:t>
              </w:r>
              <w:r w:rsidR="00E93EDF">
                <w:rPr>
                  <w:noProof/>
                </w:rPr>
                <w:t>.</w:t>
              </w:r>
            </w:p>
            <w:p w14:paraId="33584C39" w14:textId="77777777" w:rsidR="00E93EDF" w:rsidRDefault="00E93EDF" w:rsidP="00E93EDF">
              <w:pPr>
                <w:pStyle w:val="Bibliography"/>
                <w:ind w:left="720" w:hanging="720"/>
                <w:rPr>
                  <w:noProof/>
                </w:rPr>
              </w:pPr>
              <w:r>
                <w:rPr>
                  <w:noProof/>
                </w:rPr>
                <w:t xml:space="preserve">Dodds, C., Weatherburn, P., Hickson, F., Keogh, P., &amp; Nutland, W. (2005). Use of the Offences against the Person Act 1861 for Sexual Transmission of HIV. </w:t>
              </w:r>
              <w:r>
                <w:rPr>
                  <w:i/>
                  <w:iCs/>
                  <w:noProof/>
                </w:rPr>
                <w:t xml:space="preserve">Grievous Harm? </w:t>
              </w:r>
              <w:r>
                <w:rPr>
                  <w:noProof/>
                </w:rPr>
                <w:t>, 1-40.</w:t>
              </w:r>
            </w:p>
            <w:p w14:paraId="5D71075D" w14:textId="77777777" w:rsidR="00E93EDF" w:rsidRDefault="00E93EDF" w:rsidP="00E93EDF">
              <w:pPr>
                <w:pStyle w:val="Bibliography"/>
                <w:ind w:left="720" w:hanging="720"/>
                <w:rPr>
                  <w:noProof/>
                </w:rPr>
              </w:pPr>
              <w:r>
                <w:rPr>
                  <w:noProof/>
                </w:rPr>
                <w:t xml:space="preserve">Eugenicos, A.-M. (2017). Should We Reform the Offences Against the Person Act 1861? </w:t>
              </w:r>
              <w:r>
                <w:rPr>
                  <w:i/>
                  <w:iCs/>
                  <w:noProof/>
                </w:rPr>
                <w:t>The Journal of Criminal Law Volume 81</w:t>
              </w:r>
              <w:r>
                <w:rPr>
                  <w:noProof/>
                </w:rPr>
                <w:t>, 26-32.</w:t>
              </w:r>
            </w:p>
            <w:p w14:paraId="543460C3" w14:textId="77777777" w:rsidR="00E93EDF" w:rsidRDefault="00E93EDF" w:rsidP="00E93EDF">
              <w:pPr>
                <w:pStyle w:val="Bibliography"/>
                <w:ind w:left="720" w:hanging="720"/>
                <w:rPr>
                  <w:noProof/>
                </w:rPr>
              </w:pPr>
              <w:r>
                <w:rPr>
                  <w:noProof/>
                </w:rPr>
                <w:t xml:space="preserve">Gardner, J. (1994). Rationality and the Rule of Law in Offences Against the Person. </w:t>
              </w:r>
              <w:r>
                <w:rPr>
                  <w:i/>
                  <w:iCs/>
                  <w:noProof/>
                </w:rPr>
                <w:t>The Cambridge Law Journal</w:t>
              </w:r>
              <w:r>
                <w:rPr>
                  <w:noProof/>
                </w:rPr>
                <w:t>, 1-22.</w:t>
              </w:r>
            </w:p>
            <w:p w14:paraId="7870FAD8" w14:textId="77777777" w:rsidR="00E93EDF" w:rsidRDefault="00E93EDF" w:rsidP="00E93EDF">
              <w:pPr>
                <w:pStyle w:val="Bibliography"/>
                <w:ind w:left="720" w:hanging="720"/>
                <w:rPr>
                  <w:noProof/>
                </w:rPr>
              </w:pPr>
              <w:r>
                <w:rPr>
                  <w:noProof/>
                </w:rPr>
                <w:t xml:space="preserve">Herring, J. (2022). </w:t>
              </w:r>
              <w:r>
                <w:rPr>
                  <w:i/>
                  <w:iCs/>
                  <w:noProof/>
                </w:rPr>
                <w:t>Criminal law : text, cases, and materials.</w:t>
              </w:r>
              <w:r>
                <w:rPr>
                  <w:noProof/>
                </w:rPr>
                <w:t xml:space="preserve"> Oxford: Oxford University Press.</w:t>
              </w:r>
            </w:p>
            <w:p w14:paraId="215420CA" w14:textId="77777777" w:rsidR="00E93EDF" w:rsidRDefault="00E93EDF" w:rsidP="00E93EDF">
              <w:pPr>
                <w:pStyle w:val="Bibliography"/>
                <w:ind w:left="720" w:hanging="720"/>
                <w:rPr>
                  <w:noProof/>
                </w:rPr>
              </w:pPr>
              <w:r>
                <w:rPr>
                  <w:noProof/>
                </w:rPr>
                <w:t xml:space="preserve">Jefferson, M. (2012). Offences against the Person: Into the 21st Century. </w:t>
              </w:r>
              <w:r>
                <w:rPr>
                  <w:i/>
                  <w:iCs/>
                  <w:noProof/>
                </w:rPr>
                <w:t>The Journal of Criminal LawVolume 76, Issue 6</w:t>
              </w:r>
              <w:r>
                <w:rPr>
                  <w:noProof/>
                </w:rPr>
                <w:t>.</w:t>
              </w:r>
            </w:p>
            <w:p w14:paraId="337AA3A6" w14:textId="77777777" w:rsidR="00E93EDF" w:rsidRDefault="00E93EDF" w:rsidP="00E93EDF">
              <w:pPr>
                <w:pStyle w:val="Bibliography"/>
                <w:ind w:left="720" w:hanging="720"/>
                <w:rPr>
                  <w:noProof/>
                </w:rPr>
              </w:pPr>
              <w:r>
                <w:rPr>
                  <w:noProof/>
                </w:rPr>
                <w:t xml:space="preserve">Keogh, P., Weatherburn, P., &amp; Stephens , M. (1999). </w:t>
              </w:r>
              <w:r>
                <w:rPr>
                  <w:i/>
                  <w:iCs/>
                  <w:noProof/>
                </w:rPr>
                <w:t>Relative safety Risk and unprotected anal intercourse.</w:t>
              </w:r>
              <w:r>
                <w:rPr>
                  <w:noProof/>
                </w:rPr>
                <w:t xml:space="preserve"> LSHTM Research Online.</w:t>
              </w:r>
            </w:p>
            <w:p w14:paraId="02E4EEFA" w14:textId="77777777" w:rsidR="00E93EDF" w:rsidRDefault="00E93EDF" w:rsidP="00E93EDF">
              <w:pPr>
                <w:pStyle w:val="Bibliography"/>
                <w:ind w:left="720" w:hanging="720"/>
                <w:rPr>
                  <w:noProof/>
                </w:rPr>
              </w:pPr>
              <w:r>
                <w:rPr>
                  <w:noProof/>
                </w:rPr>
                <w:t xml:space="preserve">Law Commission . (2015). </w:t>
              </w:r>
              <w:r>
                <w:rPr>
                  <w:i/>
                  <w:iCs/>
                  <w:noProof/>
                </w:rPr>
                <w:t>Reform of Offences against the Person.</w:t>
              </w:r>
              <w:r>
                <w:rPr>
                  <w:noProof/>
                </w:rPr>
                <w:t xml:space="preserve"> </w:t>
              </w:r>
            </w:p>
            <w:p w14:paraId="23B08DDE" w14:textId="77777777" w:rsidR="00E93EDF" w:rsidRDefault="00E93EDF" w:rsidP="00E93EDF">
              <w:pPr>
                <w:pStyle w:val="Bibliography"/>
                <w:ind w:left="720" w:hanging="720"/>
                <w:rPr>
                  <w:noProof/>
                </w:rPr>
              </w:pPr>
              <w:r>
                <w:rPr>
                  <w:noProof/>
                </w:rPr>
                <w:t xml:space="preserve">Macdonald, S. (2018). </w:t>
              </w:r>
              <w:r>
                <w:rPr>
                  <w:i/>
                  <w:iCs/>
                  <w:noProof/>
                </w:rPr>
                <w:t>Text, Cases and Materials on Criminal Law.</w:t>
              </w:r>
              <w:r>
                <w:rPr>
                  <w:noProof/>
                </w:rPr>
                <w:t xml:space="preserve"> Harlow, England: Pearson Education.</w:t>
              </w:r>
            </w:p>
            <w:p w14:paraId="473F3519" w14:textId="4C76D8D5" w:rsidR="00E93EDF" w:rsidRDefault="00E93EDF" w:rsidP="00E93EDF">
              <w:pPr>
                <w:pStyle w:val="Bibliography"/>
                <w:ind w:left="720" w:hanging="720"/>
                <w:rPr>
                  <w:noProof/>
                </w:rPr>
              </w:pPr>
              <w:r>
                <w:rPr>
                  <w:noProof/>
                </w:rPr>
                <w:t xml:space="preserve">Taylor, L. (2018). </w:t>
              </w:r>
              <w:r>
                <w:rPr>
                  <w:i/>
                  <w:iCs/>
                  <w:noProof/>
                </w:rPr>
                <w:t>Elliott and Quinn's criminal law.</w:t>
              </w:r>
              <w:r>
                <w:rPr>
                  <w:noProof/>
                </w:rPr>
                <w:t xml:space="preserve"> Harlow, England: Pearson Education Limited.</w:t>
              </w:r>
            </w:p>
            <w:p w14:paraId="7E0F78E6" w14:textId="31B0BC4C" w:rsidR="004A41B6" w:rsidRDefault="004A41B6" w:rsidP="00E93EDF">
              <w:r>
                <w:rPr>
                  <w:b/>
                  <w:bCs/>
                  <w:noProof/>
                </w:rPr>
                <w:fldChar w:fldCharType="end"/>
              </w:r>
            </w:p>
          </w:sdtContent>
        </w:sdt>
      </w:sdtContent>
    </w:sdt>
    <w:p w14:paraId="2503B106" w14:textId="48B7EEE9" w:rsidR="0048456B" w:rsidRPr="00D4164C" w:rsidRDefault="00DB6C2A" w:rsidP="00D4164C">
      <w:pPr>
        <w:pStyle w:val="Heading1"/>
        <w:rPr>
          <w:b w:val="0"/>
          <w:bCs w:val="0"/>
        </w:rPr>
      </w:pPr>
      <w:r>
        <w:lastRenderedPageBreak/>
        <w:t xml:space="preserve">Case Law </w:t>
      </w:r>
      <w:r>
        <w:br/>
      </w:r>
      <w:r>
        <w:br/>
      </w:r>
      <w:r w:rsidR="00D4164C" w:rsidRPr="00D4164C">
        <w:rPr>
          <w:b w:val="0"/>
          <w:bCs w:val="0"/>
        </w:rPr>
        <w:t xml:space="preserve">R v Cunningham </w:t>
      </w:r>
      <w:r w:rsidR="00D4164C">
        <w:rPr>
          <w:b w:val="0"/>
          <w:bCs w:val="0"/>
        </w:rPr>
        <w:t>–</w:t>
      </w:r>
      <w:r w:rsidR="00D4164C" w:rsidRPr="00D4164C">
        <w:rPr>
          <w:b w:val="0"/>
          <w:bCs w:val="0"/>
        </w:rPr>
        <w:t xml:space="preserve"> 1957</w:t>
      </w:r>
      <w:r w:rsidR="00D4164C">
        <w:rPr>
          <w:b w:val="0"/>
          <w:bCs w:val="0"/>
        </w:rPr>
        <w:br/>
      </w:r>
      <w:r w:rsidR="00D4164C">
        <w:rPr>
          <w:b w:val="0"/>
          <w:bCs w:val="0"/>
        </w:rPr>
        <w:br/>
        <w:t>R v Ireland</w:t>
      </w:r>
      <w:r w:rsidR="008154D8">
        <w:rPr>
          <w:b w:val="0"/>
          <w:bCs w:val="0"/>
        </w:rPr>
        <w:t xml:space="preserve"> – 1997 </w:t>
      </w:r>
    </w:p>
    <w:p w14:paraId="709AD544" w14:textId="0F74BB38" w:rsidR="0048456B" w:rsidRDefault="00F812E8" w:rsidP="00F812E8">
      <w:pPr>
        <w:pStyle w:val="Heading2"/>
        <w:numPr>
          <w:ilvl w:val="0"/>
          <w:numId w:val="0"/>
        </w:numPr>
      </w:pPr>
      <w:r>
        <w:t>DPP v Smith – 2006</w:t>
      </w:r>
    </w:p>
    <w:p w14:paraId="59A8C5E0" w14:textId="77777777" w:rsidR="008D2398" w:rsidRDefault="00F812E8" w:rsidP="00F812E8">
      <w:pPr>
        <w:pStyle w:val="Heading2"/>
        <w:numPr>
          <w:ilvl w:val="0"/>
          <w:numId w:val="0"/>
        </w:numPr>
      </w:pPr>
      <w:r>
        <w:t xml:space="preserve">R v Chan Fook </w:t>
      </w:r>
      <w:r w:rsidR="0056234C">
        <w:t>– 1994</w:t>
      </w:r>
      <w:r w:rsidR="00DB2ACF">
        <w:br/>
      </w:r>
    </w:p>
    <w:p w14:paraId="59491B7C" w14:textId="22455A5F" w:rsidR="0056234C" w:rsidRDefault="00DB2ACF" w:rsidP="00F812E8">
      <w:pPr>
        <w:pStyle w:val="Heading2"/>
        <w:numPr>
          <w:ilvl w:val="0"/>
          <w:numId w:val="0"/>
        </w:numPr>
      </w:pPr>
      <w:r>
        <w:t xml:space="preserve">R v </w:t>
      </w:r>
      <w:r w:rsidR="00B8071A">
        <w:t>C</w:t>
      </w:r>
      <w:r w:rsidR="00B8071A" w:rsidRPr="00B8071A">
        <w:t>onstanza</w:t>
      </w:r>
      <w:r w:rsidR="00B8071A">
        <w:t xml:space="preserve"> – 1997</w:t>
      </w:r>
    </w:p>
    <w:p w14:paraId="0CFECB32" w14:textId="68BB0D84" w:rsidR="00B8071A" w:rsidRDefault="00A07BC4" w:rsidP="00F812E8">
      <w:pPr>
        <w:pStyle w:val="Heading2"/>
        <w:numPr>
          <w:ilvl w:val="0"/>
          <w:numId w:val="0"/>
        </w:numPr>
      </w:pPr>
      <w:r>
        <w:t>R v Bird - 1985</w:t>
      </w:r>
    </w:p>
    <w:p w14:paraId="51538366" w14:textId="59CD8328" w:rsidR="00B8071A" w:rsidRDefault="00BC49B9" w:rsidP="00F812E8">
      <w:pPr>
        <w:pStyle w:val="Heading2"/>
        <w:numPr>
          <w:ilvl w:val="0"/>
          <w:numId w:val="0"/>
        </w:numPr>
      </w:pPr>
      <w:r w:rsidRPr="000415D1">
        <w:t xml:space="preserve">R v </w:t>
      </w:r>
      <w:proofErr w:type="spellStart"/>
      <w:r w:rsidRPr="000415D1">
        <w:t>Konzani</w:t>
      </w:r>
      <w:proofErr w:type="spellEnd"/>
      <w:r>
        <w:t xml:space="preserve"> - 2005</w:t>
      </w:r>
    </w:p>
    <w:p w14:paraId="3D34ABB7" w14:textId="2ACDB0CA" w:rsidR="0048456B" w:rsidRDefault="008D2398" w:rsidP="005E6434">
      <w:pPr>
        <w:pStyle w:val="Heading2"/>
        <w:numPr>
          <w:ilvl w:val="0"/>
          <w:numId w:val="0"/>
        </w:numPr>
      </w:pPr>
      <w:r>
        <w:t>R v Brown</w:t>
      </w:r>
      <w:r>
        <w:t xml:space="preserve"> - </w:t>
      </w:r>
      <w:r>
        <w:t>1994</w:t>
      </w:r>
    </w:p>
    <w:sectPr w:rsidR="0048456B" w:rsidSect="00EC2C34">
      <w:footerReference w:type="default" r:id="rId12"/>
      <w:pgSz w:w="11906" w:h="16838"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E5E8AC" w14:textId="77777777" w:rsidR="00EC2C34" w:rsidRDefault="00EC2C34">
      <w:pPr>
        <w:spacing w:after="0" w:line="240" w:lineRule="auto"/>
      </w:pPr>
      <w:r>
        <w:separator/>
      </w:r>
    </w:p>
  </w:endnote>
  <w:endnote w:type="continuationSeparator" w:id="0">
    <w:p w14:paraId="211EAB1A" w14:textId="77777777" w:rsidR="00EC2C34" w:rsidRDefault="00EC2C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Hei">
    <w:altName w:val="黑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F74C4" w14:textId="71243E44" w:rsidR="00A769E6" w:rsidRPr="0025690E" w:rsidRDefault="007D740F" w:rsidP="0025690E">
    <w:pPr>
      <w:pStyle w:val="Footer"/>
    </w:pPr>
    <w:sdt>
      <w:sdtPr>
        <w:alias w:val="Title:"/>
        <w:tag w:val="Title:"/>
        <w:id w:val="340894388"/>
        <w:dataBinding w:prefixMappings="xmlns:ns0='http://purl.org/dc/elements/1.1/' xmlns:ns1='http://schemas.openxmlformats.org/package/2006/metadata/core-properties' " w:xpath="/ns1:coreProperties[1]/ns0:title[1]" w:storeItemID="{6C3C8BC8-F283-45AE-878A-BAB7291924A1}"/>
        <w15:appearance w15:val="hidden"/>
        <w:text w:multiLine="1"/>
      </w:sdtPr>
      <w:sdtEndPr/>
      <w:sdtContent>
        <w:r w:rsidR="00DB6C2A">
          <w:t>Is Offences Against the Person Act [1861] suitable for use in a modern society?</w:t>
        </w:r>
      </w:sdtContent>
    </w:sdt>
    <w:r w:rsidR="008B4470" w:rsidRPr="0025690E">
      <w:rPr>
        <w:lang w:val="en-GB" w:bidi="en-GB"/>
      </w:rPr>
      <w:ptab w:relativeTo="margin" w:alignment="right" w:leader="none"/>
    </w:r>
    <w:r w:rsidR="008B4470" w:rsidRPr="0025690E">
      <w:rPr>
        <w:lang w:val="en-GB" w:bidi="en-GB"/>
      </w:rPr>
      <w:t xml:space="preserve">Page </w:t>
    </w:r>
    <w:r w:rsidR="008B4470" w:rsidRPr="0025690E">
      <w:rPr>
        <w:lang w:val="en-GB" w:bidi="en-GB"/>
      </w:rPr>
      <w:fldChar w:fldCharType="begin"/>
    </w:r>
    <w:r w:rsidR="008B4470" w:rsidRPr="0025690E">
      <w:rPr>
        <w:lang w:val="en-GB" w:bidi="en-GB"/>
      </w:rPr>
      <w:instrText xml:space="preserve"> PAGE  \* Arabic  \* MERGEFORMAT </w:instrText>
    </w:r>
    <w:r w:rsidR="008B4470" w:rsidRPr="0025690E">
      <w:rPr>
        <w:lang w:val="en-GB" w:bidi="en-GB"/>
      </w:rPr>
      <w:fldChar w:fldCharType="separate"/>
    </w:r>
    <w:r w:rsidR="00CA37C7">
      <w:rPr>
        <w:noProof/>
        <w:lang w:val="en-GB" w:bidi="en-GB"/>
      </w:rPr>
      <w:t>2</w:t>
    </w:r>
    <w:r w:rsidR="008B4470" w:rsidRPr="0025690E">
      <w:rPr>
        <w:lang w:val="en-GB" w:bidi="en-GB"/>
      </w:rPr>
      <w:fldChar w:fldCharType="end"/>
    </w:r>
    <w:r w:rsidR="008B4470" w:rsidRPr="0025690E">
      <w:rPr>
        <w:lang w:val="en-GB" w:bidi="en-GB"/>
      </w:rPr>
      <w:t xml:space="preserve"> of </w:t>
    </w:r>
    <w:r w:rsidR="0086238C">
      <w:rPr>
        <w:lang w:val="en-GB" w:bidi="en-GB"/>
      </w:rPr>
      <w:fldChar w:fldCharType="begin"/>
    </w:r>
    <w:r w:rsidR="0086238C">
      <w:rPr>
        <w:lang w:val="en-GB" w:bidi="en-GB"/>
      </w:rPr>
      <w:instrText xml:space="preserve"> NUMPAGES  \* Arabic  \* MERGEFORMAT </w:instrText>
    </w:r>
    <w:r w:rsidR="0086238C">
      <w:rPr>
        <w:lang w:val="en-GB" w:bidi="en-GB"/>
      </w:rPr>
      <w:fldChar w:fldCharType="separate"/>
    </w:r>
    <w:r w:rsidR="00CA37C7">
      <w:rPr>
        <w:noProof/>
        <w:lang w:val="en-GB" w:bidi="en-GB"/>
      </w:rPr>
      <w:t>2</w:t>
    </w:r>
    <w:r w:rsidR="0086238C">
      <w:rPr>
        <w:noProof/>
        <w:lang w:val="en-GB"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D498E9" w14:textId="77777777" w:rsidR="00EC2C34" w:rsidRDefault="00EC2C34">
      <w:pPr>
        <w:spacing w:after="0" w:line="240" w:lineRule="auto"/>
      </w:pPr>
      <w:r>
        <w:separator/>
      </w:r>
    </w:p>
  </w:footnote>
  <w:footnote w:type="continuationSeparator" w:id="0">
    <w:p w14:paraId="6A6E1B02" w14:textId="77777777" w:rsidR="00EC2C34" w:rsidRDefault="00EC2C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8F0F28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23166C2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3A89BD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6E90025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A98E3A9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97A0508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2C844EC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883AAD8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C4A397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42BCC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E24865"/>
    <w:multiLevelType w:val="hybridMultilevel"/>
    <w:tmpl w:val="1E6A4BB0"/>
    <w:lvl w:ilvl="0" w:tplc="1000223C">
      <w:start w:val="1"/>
      <w:numFmt w:val="upperLetter"/>
      <w:pStyle w:val="Heading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CA12AE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2595798"/>
    <w:multiLevelType w:val="hybridMultilevel"/>
    <w:tmpl w:val="1E6A4BB0"/>
    <w:lvl w:ilvl="0" w:tplc="1000223C">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8E365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CA54546"/>
    <w:multiLevelType w:val="hybridMultilevel"/>
    <w:tmpl w:val="D07CAF4A"/>
    <w:lvl w:ilvl="0" w:tplc="671E6C1C">
      <w:start w:val="1"/>
      <w:numFmt w:val="decimal"/>
      <w:pStyle w:val="Heading3"/>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B9C6953"/>
    <w:multiLevelType w:val="hybridMultilevel"/>
    <w:tmpl w:val="1E6A4BB0"/>
    <w:lvl w:ilvl="0" w:tplc="1000223C">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C2C009B"/>
    <w:multiLevelType w:val="hybridMultilevel"/>
    <w:tmpl w:val="1E6A4BB0"/>
    <w:lvl w:ilvl="0" w:tplc="1000223C">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1544CEB"/>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51CE0DCB"/>
    <w:multiLevelType w:val="multilevel"/>
    <w:tmpl w:val="14EAA40A"/>
    <w:lvl w:ilvl="0">
      <w:start w:val="1"/>
      <w:numFmt w:val="decimal"/>
      <w:lvlText w:val="%1."/>
      <w:lvlJc w:val="left"/>
      <w:pPr>
        <w:ind w:left="720" w:firstLine="0"/>
      </w:pPr>
      <w:rPr>
        <w:rFonts w:hint="default"/>
      </w:rPr>
    </w:lvl>
    <w:lvl w:ilvl="1">
      <w:start w:val="1"/>
      <w:numFmt w:val="upperLetter"/>
      <w:lvlText w:val="%2."/>
      <w:lvlJc w:val="left"/>
      <w:pPr>
        <w:ind w:left="1440" w:firstLine="0"/>
      </w:pPr>
    </w:lvl>
    <w:lvl w:ilvl="2">
      <w:start w:val="1"/>
      <w:numFmt w:val="decimal"/>
      <w:lvlText w:val="%3."/>
      <w:lvlJc w:val="left"/>
      <w:pPr>
        <w:ind w:left="2160" w:firstLine="0"/>
      </w:pPr>
    </w:lvl>
    <w:lvl w:ilvl="3">
      <w:start w:val="1"/>
      <w:numFmt w:val="lowerLetter"/>
      <w:lvlText w:val="%4)"/>
      <w:lvlJc w:val="left"/>
      <w:pPr>
        <w:ind w:left="2880" w:firstLine="0"/>
      </w:pPr>
    </w:lvl>
    <w:lvl w:ilvl="4">
      <w:start w:val="1"/>
      <w:numFmt w:val="decimal"/>
      <w:lvlText w:val="(%5)"/>
      <w:lvlJc w:val="left"/>
      <w:pPr>
        <w:ind w:left="3600" w:firstLine="0"/>
      </w:pPr>
    </w:lvl>
    <w:lvl w:ilvl="5">
      <w:start w:val="1"/>
      <w:numFmt w:val="lowerLetter"/>
      <w:lvlText w:val="(%6)"/>
      <w:lvlJc w:val="left"/>
      <w:pPr>
        <w:ind w:left="4320" w:firstLine="0"/>
      </w:pPr>
    </w:lvl>
    <w:lvl w:ilvl="6">
      <w:start w:val="1"/>
      <w:numFmt w:val="lowerRoman"/>
      <w:lvlText w:val="(%7)"/>
      <w:lvlJc w:val="left"/>
      <w:pPr>
        <w:ind w:left="5040" w:firstLine="0"/>
      </w:pPr>
    </w:lvl>
    <w:lvl w:ilvl="7">
      <w:start w:val="1"/>
      <w:numFmt w:val="lowerLetter"/>
      <w:lvlText w:val="(%8)"/>
      <w:lvlJc w:val="left"/>
      <w:pPr>
        <w:ind w:left="5760" w:firstLine="0"/>
      </w:pPr>
    </w:lvl>
    <w:lvl w:ilvl="8">
      <w:start w:val="1"/>
      <w:numFmt w:val="lowerRoman"/>
      <w:lvlText w:val="(%9)"/>
      <w:lvlJc w:val="left"/>
      <w:pPr>
        <w:ind w:left="6480" w:firstLine="0"/>
      </w:pPr>
    </w:lvl>
  </w:abstractNum>
  <w:abstractNum w:abstractNumId="19" w15:restartNumberingAfterBreak="0">
    <w:nsid w:val="5D5418B9"/>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64E15559"/>
    <w:multiLevelType w:val="hybridMultilevel"/>
    <w:tmpl w:val="46E4EE38"/>
    <w:lvl w:ilvl="0" w:tplc="951E3734">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64EB6AC8"/>
    <w:multiLevelType w:val="hybridMultilevel"/>
    <w:tmpl w:val="1E6A4BB0"/>
    <w:lvl w:ilvl="0" w:tplc="1000223C">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58726F7"/>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8790137"/>
    <w:multiLevelType w:val="hybridMultilevel"/>
    <w:tmpl w:val="B192B76E"/>
    <w:lvl w:ilvl="0" w:tplc="31225F5E">
      <w:start w:val="1"/>
      <w:numFmt w:val="lowerLetter"/>
      <w:pStyle w:val="Heading4"/>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7CD7250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89823744">
    <w:abstractNumId w:val="9"/>
  </w:num>
  <w:num w:numId="2" w16cid:durableId="1326475719">
    <w:abstractNumId w:val="7"/>
  </w:num>
  <w:num w:numId="3" w16cid:durableId="730931587">
    <w:abstractNumId w:val="20"/>
  </w:num>
  <w:num w:numId="4" w16cid:durableId="1145119708">
    <w:abstractNumId w:val="10"/>
  </w:num>
  <w:num w:numId="5" w16cid:durableId="8066159">
    <w:abstractNumId w:val="10"/>
    <w:lvlOverride w:ilvl="0">
      <w:startOverride w:val="1"/>
    </w:lvlOverride>
  </w:num>
  <w:num w:numId="6" w16cid:durableId="1050953978">
    <w:abstractNumId w:val="10"/>
    <w:lvlOverride w:ilvl="0">
      <w:startOverride w:val="1"/>
    </w:lvlOverride>
  </w:num>
  <w:num w:numId="7" w16cid:durableId="1638223715">
    <w:abstractNumId w:val="10"/>
    <w:lvlOverride w:ilvl="0">
      <w:startOverride w:val="1"/>
    </w:lvlOverride>
  </w:num>
  <w:num w:numId="8" w16cid:durableId="1554854109">
    <w:abstractNumId w:val="10"/>
    <w:lvlOverride w:ilvl="0">
      <w:startOverride w:val="1"/>
    </w:lvlOverride>
  </w:num>
  <w:num w:numId="9" w16cid:durableId="1237328409">
    <w:abstractNumId w:val="10"/>
    <w:lvlOverride w:ilvl="0">
      <w:startOverride w:val="1"/>
    </w:lvlOverride>
  </w:num>
  <w:num w:numId="10" w16cid:durableId="1766606326">
    <w:abstractNumId w:val="16"/>
  </w:num>
  <w:num w:numId="11" w16cid:durableId="1460535762">
    <w:abstractNumId w:val="21"/>
  </w:num>
  <w:num w:numId="12" w16cid:durableId="918053741">
    <w:abstractNumId w:val="18"/>
  </w:num>
  <w:num w:numId="13" w16cid:durableId="1425030838">
    <w:abstractNumId w:val="14"/>
  </w:num>
  <w:num w:numId="14" w16cid:durableId="1867597386">
    <w:abstractNumId w:val="14"/>
    <w:lvlOverride w:ilvl="0">
      <w:startOverride w:val="1"/>
    </w:lvlOverride>
  </w:num>
  <w:num w:numId="15" w16cid:durableId="474831623">
    <w:abstractNumId w:val="14"/>
    <w:lvlOverride w:ilvl="0">
      <w:startOverride w:val="1"/>
    </w:lvlOverride>
  </w:num>
  <w:num w:numId="16" w16cid:durableId="733546146">
    <w:abstractNumId w:val="14"/>
    <w:lvlOverride w:ilvl="0">
      <w:startOverride w:val="1"/>
    </w:lvlOverride>
  </w:num>
  <w:num w:numId="17" w16cid:durableId="1515612722">
    <w:abstractNumId w:val="12"/>
  </w:num>
  <w:num w:numId="18" w16cid:durableId="2122527593">
    <w:abstractNumId w:val="14"/>
    <w:lvlOverride w:ilvl="0">
      <w:startOverride w:val="1"/>
    </w:lvlOverride>
  </w:num>
  <w:num w:numId="19" w16cid:durableId="241572823">
    <w:abstractNumId w:val="14"/>
    <w:lvlOverride w:ilvl="0">
      <w:startOverride w:val="1"/>
    </w:lvlOverride>
  </w:num>
  <w:num w:numId="20" w16cid:durableId="1616327817">
    <w:abstractNumId w:val="14"/>
    <w:lvlOverride w:ilvl="0">
      <w:startOverride w:val="1"/>
    </w:lvlOverride>
  </w:num>
  <w:num w:numId="21" w16cid:durableId="2016682979">
    <w:abstractNumId w:val="15"/>
  </w:num>
  <w:num w:numId="22" w16cid:durableId="1529176574">
    <w:abstractNumId w:val="14"/>
    <w:lvlOverride w:ilvl="0">
      <w:startOverride w:val="1"/>
    </w:lvlOverride>
  </w:num>
  <w:num w:numId="23" w16cid:durableId="1759254809">
    <w:abstractNumId w:val="14"/>
    <w:lvlOverride w:ilvl="0">
      <w:startOverride w:val="1"/>
    </w:lvlOverride>
  </w:num>
  <w:num w:numId="24" w16cid:durableId="692340348">
    <w:abstractNumId w:val="23"/>
  </w:num>
  <w:num w:numId="25" w16cid:durableId="885794058">
    <w:abstractNumId w:val="24"/>
  </w:num>
  <w:num w:numId="26" w16cid:durableId="137765531">
    <w:abstractNumId w:val="13"/>
  </w:num>
  <w:num w:numId="27" w16cid:durableId="477769411">
    <w:abstractNumId w:val="17"/>
  </w:num>
  <w:num w:numId="28" w16cid:durableId="1483084660">
    <w:abstractNumId w:val="6"/>
  </w:num>
  <w:num w:numId="29" w16cid:durableId="1502740969">
    <w:abstractNumId w:val="5"/>
  </w:num>
  <w:num w:numId="30" w16cid:durableId="71708863">
    <w:abstractNumId w:val="4"/>
  </w:num>
  <w:num w:numId="31" w16cid:durableId="1934896416">
    <w:abstractNumId w:val="8"/>
  </w:num>
  <w:num w:numId="32" w16cid:durableId="1551502176">
    <w:abstractNumId w:val="3"/>
  </w:num>
  <w:num w:numId="33" w16cid:durableId="1322999889">
    <w:abstractNumId w:val="2"/>
  </w:num>
  <w:num w:numId="34" w16cid:durableId="1436515174">
    <w:abstractNumId w:val="1"/>
  </w:num>
  <w:num w:numId="35" w16cid:durableId="35282478">
    <w:abstractNumId w:val="0"/>
  </w:num>
  <w:num w:numId="36" w16cid:durableId="908735114">
    <w:abstractNumId w:val="11"/>
  </w:num>
  <w:num w:numId="37" w16cid:durableId="1052001777">
    <w:abstractNumId w:val="22"/>
  </w:num>
  <w:num w:numId="38" w16cid:durableId="63059947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ACB"/>
    <w:rsid w:val="00005BEF"/>
    <w:rsid w:val="000415D1"/>
    <w:rsid w:val="00094C1A"/>
    <w:rsid w:val="00096758"/>
    <w:rsid w:val="000C79B8"/>
    <w:rsid w:val="000D5B1F"/>
    <w:rsid w:val="00101F44"/>
    <w:rsid w:val="00122E60"/>
    <w:rsid w:val="0016599E"/>
    <w:rsid w:val="001932DA"/>
    <w:rsid w:val="001A5B1D"/>
    <w:rsid w:val="001B0D65"/>
    <w:rsid w:val="0025690E"/>
    <w:rsid w:val="00293AE0"/>
    <w:rsid w:val="002C4EC0"/>
    <w:rsid w:val="002E3468"/>
    <w:rsid w:val="0032252E"/>
    <w:rsid w:val="0032698F"/>
    <w:rsid w:val="00345687"/>
    <w:rsid w:val="00367DF9"/>
    <w:rsid w:val="003A1583"/>
    <w:rsid w:val="003E4B77"/>
    <w:rsid w:val="00436733"/>
    <w:rsid w:val="0048456B"/>
    <w:rsid w:val="00497A2E"/>
    <w:rsid w:val="004A41B6"/>
    <w:rsid w:val="004D7ACB"/>
    <w:rsid w:val="00507F10"/>
    <w:rsid w:val="005219D5"/>
    <w:rsid w:val="00547C41"/>
    <w:rsid w:val="0056234C"/>
    <w:rsid w:val="00563589"/>
    <w:rsid w:val="00580CD0"/>
    <w:rsid w:val="005A787E"/>
    <w:rsid w:val="005B585C"/>
    <w:rsid w:val="005E213A"/>
    <w:rsid w:val="005E6434"/>
    <w:rsid w:val="00632E8E"/>
    <w:rsid w:val="00676AC7"/>
    <w:rsid w:val="00694813"/>
    <w:rsid w:val="006F0757"/>
    <w:rsid w:val="00704942"/>
    <w:rsid w:val="00724C4B"/>
    <w:rsid w:val="00736B84"/>
    <w:rsid w:val="007A3882"/>
    <w:rsid w:val="007C461D"/>
    <w:rsid w:val="007D740F"/>
    <w:rsid w:val="007E18C8"/>
    <w:rsid w:val="00814FC9"/>
    <w:rsid w:val="008154D8"/>
    <w:rsid w:val="0086238C"/>
    <w:rsid w:val="008B4470"/>
    <w:rsid w:val="008D2398"/>
    <w:rsid w:val="008D4D99"/>
    <w:rsid w:val="008E4FF6"/>
    <w:rsid w:val="008E752A"/>
    <w:rsid w:val="008E76E1"/>
    <w:rsid w:val="008F261E"/>
    <w:rsid w:val="00914FF2"/>
    <w:rsid w:val="0094129E"/>
    <w:rsid w:val="00970323"/>
    <w:rsid w:val="009A2ED4"/>
    <w:rsid w:val="009B628D"/>
    <w:rsid w:val="009D6BAE"/>
    <w:rsid w:val="00A07BC4"/>
    <w:rsid w:val="00A473C7"/>
    <w:rsid w:val="00A54CC2"/>
    <w:rsid w:val="00A769E6"/>
    <w:rsid w:val="00A86DA7"/>
    <w:rsid w:val="00B27C7C"/>
    <w:rsid w:val="00B35B25"/>
    <w:rsid w:val="00B8071A"/>
    <w:rsid w:val="00BC09A6"/>
    <w:rsid w:val="00BC49B9"/>
    <w:rsid w:val="00C12E2C"/>
    <w:rsid w:val="00C449D6"/>
    <w:rsid w:val="00C459D8"/>
    <w:rsid w:val="00C45DBF"/>
    <w:rsid w:val="00C55AE2"/>
    <w:rsid w:val="00C60ACE"/>
    <w:rsid w:val="00C712DE"/>
    <w:rsid w:val="00C71430"/>
    <w:rsid w:val="00CA37C7"/>
    <w:rsid w:val="00D10B20"/>
    <w:rsid w:val="00D31989"/>
    <w:rsid w:val="00D366AD"/>
    <w:rsid w:val="00D36B89"/>
    <w:rsid w:val="00D4164C"/>
    <w:rsid w:val="00D572C6"/>
    <w:rsid w:val="00DA1343"/>
    <w:rsid w:val="00DB2ACF"/>
    <w:rsid w:val="00DB6C2A"/>
    <w:rsid w:val="00E01AD9"/>
    <w:rsid w:val="00E51342"/>
    <w:rsid w:val="00E55F72"/>
    <w:rsid w:val="00E91EC6"/>
    <w:rsid w:val="00E93EDF"/>
    <w:rsid w:val="00EA2036"/>
    <w:rsid w:val="00EC2C34"/>
    <w:rsid w:val="00F04004"/>
    <w:rsid w:val="00F30814"/>
    <w:rsid w:val="00F40BF3"/>
    <w:rsid w:val="00F812E8"/>
    <w:rsid w:val="00FA0249"/>
    <w:rsid w:val="00FA2009"/>
    <w:rsid w:val="00FD292D"/>
    <w:rsid w:val="00FF7C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DCEDA0"/>
  <w15:docId w15:val="{EF983DF4-9FB6-4DAC-B898-BCFFD385B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9"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AE2"/>
  </w:style>
  <w:style w:type="paragraph" w:styleId="Heading1">
    <w:name w:val="heading 1"/>
    <w:basedOn w:val="Normal"/>
    <w:next w:val="Heading2"/>
    <w:link w:val="Heading1Char"/>
    <w:uiPriority w:val="9"/>
    <w:qFormat/>
    <w:rsid w:val="00E01AD9"/>
    <w:pPr>
      <w:contextualSpacing/>
      <w:outlineLvl w:val="0"/>
    </w:pPr>
    <w:rPr>
      <w:b/>
      <w:bCs/>
    </w:rPr>
  </w:style>
  <w:style w:type="paragraph" w:styleId="Heading2">
    <w:name w:val="heading 2"/>
    <w:basedOn w:val="Normal"/>
    <w:link w:val="Heading2Char"/>
    <w:uiPriority w:val="9"/>
    <w:unhideWhenUsed/>
    <w:qFormat/>
    <w:pPr>
      <w:numPr>
        <w:numId w:val="4"/>
      </w:numPr>
      <w:outlineLvl w:val="1"/>
    </w:pPr>
  </w:style>
  <w:style w:type="paragraph" w:styleId="Heading3">
    <w:name w:val="heading 3"/>
    <w:basedOn w:val="Normal"/>
    <w:link w:val="Heading3Char"/>
    <w:uiPriority w:val="9"/>
    <w:unhideWhenUsed/>
    <w:qFormat/>
    <w:pPr>
      <w:numPr>
        <w:numId w:val="13"/>
      </w:numPr>
      <w:outlineLvl w:val="2"/>
    </w:pPr>
  </w:style>
  <w:style w:type="paragraph" w:styleId="Heading4">
    <w:name w:val="heading 4"/>
    <w:basedOn w:val="Normal"/>
    <w:next w:val="Normal"/>
    <w:link w:val="Heading4Char"/>
    <w:uiPriority w:val="9"/>
    <w:semiHidden/>
    <w:unhideWhenUsed/>
    <w:qFormat/>
    <w:pPr>
      <w:keepNext/>
      <w:keepLines/>
      <w:numPr>
        <w:numId w:val="24"/>
      </w:numPr>
      <w:ind w:left="1440"/>
      <w:outlineLvl w:val="3"/>
    </w:pPr>
    <w:rPr>
      <w:rFonts w:asciiTheme="majorHAnsi" w:eastAsiaTheme="majorEastAsia" w:hAnsiTheme="majorHAnsi" w:cstheme="majorBidi"/>
    </w:rPr>
  </w:style>
  <w:style w:type="paragraph" w:styleId="Heading8">
    <w:name w:val="heading 8"/>
    <w:basedOn w:val="Normal"/>
    <w:next w:val="Normal"/>
    <w:link w:val="Heading8Char"/>
    <w:uiPriority w:val="9"/>
    <w:semiHidden/>
    <w:unhideWhenUsed/>
    <w:qFormat/>
    <w:rsid w:val="008B4470"/>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8B4470"/>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4470"/>
    <w:rPr>
      <w:b/>
      <w:bCs/>
    </w:rPr>
  </w:style>
  <w:style w:type="paragraph" w:styleId="Title">
    <w:name w:val="Title"/>
    <w:basedOn w:val="Normal"/>
    <w:next w:val="Normal"/>
    <w:link w:val="TitleChar"/>
    <w:uiPriority w:val="1"/>
    <w:qFormat/>
    <w:rsid w:val="00B27C7C"/>
    <w:pPr>
      <w:spacing w:after="480" w:line="240" w:lineRule="auto"/>
      <w:jc w:val="center"/>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
    <w:rsid w:val="00B27C7C"/>
    <w:rPr>
      <w:rFonts w:asciiTheme="majorHAnsi" w:eastAsiaTheme="majorEastAsia" w:hAnsiTheme="majorHAnsi" w:cstheme="majorBidi"/>
      <w:b/>
      <w:bCs/>
      <w:kern w:val="28"/>
      <w:sz w:val="32"/>
      <w:szCs w:val="32"/>
    </w:rPr>
  </w:style>
  <w:style w:type="character" w:customStyle="1" w:styleId="Heading4Char">
    <w:name w:val="Heading 4 Char"/>
    <w:basedOn w:val="DefaultParagraphFont"/>
    <w:link w:val="Heading4"/>
    <w:uiPriority w:val="9"/>
    <w:semiHidden/>
    <w:rsid w:val="008B4470"/>
    <w:rPr>
      <w:rFonts w:asciiTheme="majorHAnsi" w:eastAsiaTheme="majorEastAsia" w:hAnsiTheme="majorHAnsi" w:cstheme="majorBidi"/>
    </w:rPr>
  </w:style>
  <w:style w:type="character" w:customStyle="1" w:styleId="Heading3Char">
    <w:name w:val="Heading 3 Char"/>
    <w:basedOn w:val="DefaultParagraphFont"/>
    <w:link w:val="Heading3"/>
    <w:uiPriority w:val="9"/>
    <w:rsid w:val="008B4470"/>
  </w:style>
  <w:style w:type="character" w:styleId="PlaceholderText">
    <w:name w:val="Placeholder Text"/>
    <w:basedOn w:val="DefaultParagraphFont"/>
    <w:uiPriority w:val="99"/>
    <w:semiHidden/>
    <w:rsid w:val="008B4470"/>
    <w:rPr>
      <w:color w:val="595959" w:themeColor="text1" w:themeTint="A6"/>
    </w:rPr>
  </w:style>
  <w:style w:type="paragraph" w:styleId="Footer">
    <w:name w:val="footer"/>
    <w:basedOn w:val="Normal"/>
    <w:link w:val="FooterChar"/>
    <w:uiPriority w:val="99"/>
    <w:qFormat/>
    <w:rsid w:val="00C55AE2"/>
    <w:pPr>
      <w:spacing w:after="0" w:line="240" w:lineRule="auto"/>
    </w:pPr>
  </w:style>
  <w:style w:type="character" w:customStyle="1" w:styleId="FooterChar">
    <w:name w:val="Footer Char"/>
    <w:basedOn w:val="DefaultParagraphFont"/>
    <w:link w:val="Footer"/>
    <w:uiPriority w:val="99"/>
    <w:rsid w:val="00C55AE2"/>
  </w:style>
  <w:style w:type="character" w:customStyle="1" w:styleId="Heading2Char">
    <w:name w:val="Heading 2 Char"/>
    <w:basedOn w:val="DefaultParagraphFont"/>
    <w:link w:val="Heading2"/>
    <w:uiPriority w:val="9"/>
    <w:rsid w:val="008B4470"/>
  </w:style>
  <w:style w:type="character" w:customStyle="1" w:styleId="Heading9Char">
    <w:name w:val="Heading 9 Char"/>
    <w:basedOn w:val="DefaultParagraphFont"/>
    <w:link w:val="Heading9"/>
    <w:uiPriority w:val="9"/>
    <w:semiHidden/>
    <w:rsid w:val="008B4470"/>
    <w:rPr>
      <w:rFonts w:asciiTheme="majorHAnsi" w:eastAsiaTheme="majorEastAsia" w:hAnsiTheme="majorHAnsi" w:cstheme="majorBidi"/>
      <w:i/>
      <w:iCs/>
      <w:color w:val="272727" w:themeColor="text1" w:themeTint="D8"/>
      <w:szCs w:val="21"/>
    </w:rPr>
  </w:style>
  <w:style w:type="character" w:customStyle="1" w:styleId="Heading8Char">
    <w:name w:val="Heading 8 Char"/>
    <w:basedOn w:val="DefaultParagraphFont"/>
    <w:link w:val="Heading8"/>
    <w:uiPriority w:val="9"/>
    <w:semiHidden/>
    <w:rsid w:val="008B4470"/>
    <w:rPr>
      <w:rFonts w:asciiTheme="majorHAnsi" w:eastAsiaTheme="majorEastAsia" w:hAnsiTheme="majorHAnsi" w:cstheme="majorBidi"/>
      <w:color w:val="272727" w:themeColor="text1" w:themeTint="D8"/>
      <w:szCs w:val="21"/>
    </w:rPr>
  </w:style>
  <w:style w:type="paragraph" w:styleId="Caption">
    <w:name w:val="caption"/>
    <w:basedOn w:val="Normal"/>
    <w:next w:val="Normal"/>
    <w:uiPriority w:val="35"/>
    <w:semiHidden/>
    <w:unhideWhenUsed/>
    <w:qFormat/>
    <w:rsid w:val="008B4470"/>
    <w:pPr>
      <w:spacing w:line="240" w:lineRule="auto"/>
    </w:pPr>
    <w:rPr>
      <w:i/>
      <w:iCs/>
      <w:color w:val="44546A" w:themeColor="text2"/>
      <w:szCs w:val="18"/>
    </w:rPr>
  </w:style>
  <w:style w:type="paragraph" w:styleId="BalloonText">
    <w:name w:val="Balloon Text"/>
    <w:basedOn w:val="Normal"/>
    <w:link w:val="BalloonTextChar"/>
    <w:uiPriority w:val="99"/>
    <w:semiHidden/>
    <w:unhideWhenUsed/>
    <w:rsid w:val="008B4470"/>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8B4470"/>
    <w:rPr>
      <w:rFonts w:ascii="Segoe UI" w:hAnsi="Segoe UI" w:cs="Segoe UI"/>
      <w:szCs w:val="18"/>
    </w:rPr>
  </w:style>
  <w:style w:type="paragraph" w:styleId="BodyText3">
    <w:name w:val="Body Text 3"/>
    <w:basedOn w:val="Normal"/>
    <w:link w:val="BodyText3Char"/>
    <w:uiPriority w:val="99"/>
    <w:semiHidden/>
    <w:unhideWhenUsed/>
    <w:rsid w:val="008B4470"/>
    <w:pPr>
      <w:spacing w:after="120"/>
    </w:pPr>
    <w:rPr>
      <w:szCs w:val="16"/>
    </w:rPr>
  </w:style>
  <w:style w:type="character" w:customStyle="1" w:styleId="BodyText3Char">
    <w:name w:val="Body Text 3 Char"/>
    <w:basedOn w:val="DefaultParagraphFont"/>
    <w:link w:val="BodyText3"/>
    <w:uiPriority w:val="99"/>
    <w:semiHidden/>
    <w:rsid w:val="008B4470"/>
    <w:rPr>
      <w:szCs w:val="16"/>
    </w:rPr>
  </w:style>
  <w:style w:type="paragraph" w:styleId="BodyTextIndent3">
    <w:name w:val="Body Text Indent 3"/>
    <w:basedOn w:val="Normal"/>
    <w:link w:val="BodyTextIndent3Char"/>
    <w:uiPriority w:val="99"/>
    <w:semiHidden/>
    <w:unhideWhenUsed/>
    <w:rsid w:val="008B4470"/>
    <w:pPr>
      <w:spacing w:after="120"/>
      <w:ind w:left="360"/>
    </w:pPr>
    <w:rPr>
      <w:szCs w:val="16"/>
    </w:rPr>
  </w:style>
  <w:style w:type="character" w:customStyle="1" w:styleId="BodyTextIndent3Char">
    <w:name w:val="Body Text Indent 3 Char"/>
    <w:basedOn w:val="DefaultParagraphFont"/>
    <w:link w:val="BodyTextIndent3"/>
    <w:uiPriority w:val="99"/>
    <w:semiHidden/>
    <w:rsid w:val="008B4470"/>
    <w:rPr>
      <w:szCs w:val="16"/>
    </w:rPr>
  </w:style>
  <w:style w:type="character" w:styleId="CommentReference">
    <w:name w:val="annotation reference"/>
    <w:basedOn w:val="DefaultParagraphFont"/>
    <w:uiPriority w:val="99"/>
    <w:semiHidden/>
    <w:unhideWhenUsed/>
    <w:rsid w:val="008B4470"/>
    <w:rPr>
      <w:sz w:val="22"/>
      <w:szCs w:val="16"/>
    </w:rPr>
  </w:style>
  <w:style w:type="paragraph" w:styleId="CommentText">
    <w:name w:val="annotation text"/>
    <w:basedOn w:val="Normal"/>
    <w:link w:val="CommentTextChar"/>
    <w:uiPriority w:val="99"/>
    <w:semiHidden/>
    <w:unhideWhenUsed/>
    <w:rsid w:val="008B4470"/>
    <w:pPr>
      <w:spacing w:line="240" w:lineRule="auto"/>
    </w:pPr>
    <w:rPr>
      <w:szCs w:val="20"/>
    </w:rPr>
  </w:style>
  <w:style w:type="character" w:customStyle="1" w:styleId="CommentTextChar">
    <w:name w:val="Comment Text Char"/>
    <w:basedOn w:val="DefaultParagraphFont"/>
    <w:link w:val="CommentText"/>
    <w:uiPriority w:val="99"/>
    <w:semiHidden/>
    <w:rsid w:val="008B4470"/>
    <w:rPr>
      <w:szCs w:val="20"/>
    </w:rPr>
  </w:style>
  <w:style w:type="paragraph" w:styleId="CommentSubject">
    <w:name w:val="annotation subject"/>
    <w:basedOn w:val="CommentText"/>
    <w:next w:val="CommentText"/>
    <w:link w:val="CommentSubjectChar"/>
    <w:uiPriority w:val="99"/>
    <w:semiHidden/>
    <w:unhideWhenUsed/>
    <w:rsid w:val="008B4470"/>
    <w:rPr>
      <w:b/>
      <w:bCs/>
    </w:rPr>
  </w:style>
  <w:style w:type="character" w:customStyle="1" w:styleId="CommentSubjectChar">
    <w:name w:val="Comment Subject Char"/>
    <w:basedOn w:val="CommentTextChar"/>
    <w:link w:val="CommentSubject"/>
    <w:uiPriority w:val="99"/>
    <w:semiHidden/>
    <w:rsid w:val="008B4470"/>
    <w:rPr>
      <w:b/>
      <w:bCs/>
      <w:szCs w:val="20"/>
    </w:rPr>
  </w:style>
  <w:style w:type="paragraph" w:styleId="DocumentMap">
    <w:name w:val="Document Map"/>
    <w:basedOn w:val="Normal"/>
    <w:link w:val="DocumentMapChar"/>
    <w:uiPriority w:val="99"/>
    <w:semiHidden/>
    <w:unhideWhenUsed/>
    <w:rsid w:val="008B4470"/>
    <w:pPr>
      <w:spacing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8B4470"/>
    <w:rPr>
      <w:rFonts w:ascii="Segoe UI" w:hAnsi="Segoe UI" w:cs="Segoe UI"/>
      <w:szCs w:val="16"/>
    </w:rPr>
  </w:style>
  <w:style w:type="paragraph" w:styleId="EndnoteText">
    <w:name w:val="endnote text"/>
    <w:basedOn w:val="Normal"/>
    <w:link w:val="EndnoteTextChar"/>
    <w:uiPriority w:val="99"/>
    <w:semiHidden/>
    <w:unhideWhenUsed/>
    <w:rsid w:val="008B4470"/>
    <w:pPr>
      <w:spacing w:after="0" w:line="240" w:lineRule="auto"/>
    </w:pPr>
    <w:rPr>
      <w:szCs w:val="20"/>
    </w:rPr>
  </w:style>
  <w:style w:type="character" w:customStyle="1" w:styleId="EndnoteTextChar">
    <w:name w:val="Endnote Text Char"/>
    <w:basedOn w:val="DefaultParagraphFont"/>
    <w:link w:val="EndnoteText"/>
    <w:uiPriority w:val="99"/>
    <w:semiHidden/>
    <w:rsid w:val="008B4470"/>
    <w:rPr>
      <w:szCs w:val="20"/>
    </w:rPr>
  </w:style>
  <w:style w:type="paragraph" w:styleId="EnvelopeReturn">
    <w:name w:val="envelope return"/>
    <w:basedOn w:val="Normal"/>
    <w:uiPriority w:val="99"/>
    <w:semiHidden/>
    <w:unhideWhenUsed/>
    <w:rsid w:val="008B4470"/>
    <w:pPr>
      <w:spacing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8B4470"/>
    <w:pPr>
      <w:spacing w:after="0" w:line="240" w:lineRule="auto"/>
    </w:pPr>
    <w:rPr>
      <w:szCs w:val="20"/>
    </w:rPr>
  </w:style>
  <w:style w:type="character" w:customStyle="1" w:styleId="FootnoteTextChar">
    <w:name w:val="Footnote Text Char"/>
    <w:basedOn w:val="DefaultParagraphFont"/>
    <w:link w:val="FootnoteText"/>
    <w:uiPriority w:val="99"/>
    <w:semiHidden/>
    <w:rsid w:val="008B4470"/>
    <w:rPr>
      <w:szCs w:val="20"/>
    </w:rPr>
  </w:style>
  <w:style w:type="character" w:styleId="HTMLCode">
    <w:name w:val="HTML Code"/>
    <w:basedOn w:val="DefaultParagraphFont"/>
    <w:uiPriority w:val="99"/>
    <w:semiHidden/>
    <w:unhideWhenUsed/>
    <w:rsid w:val="008B4470"/>
    <w:rPr>
      <w:rFonts w:ascii="Consolas" w:hAnsi="Consolas"/>
      <w:sz w:val="22"/>
      <w:szCs w:val="20"/>
    </w:rPr>
  </w:style>
  <w:style w:type="paragraph" w:styleId="HTMLPreformatted">
    <w:name w:val="HTML Preformatted"/>
    <w:basedOn w:val="Normal"/>
    <w:link w:val="HTMLPreformattedChar"/>
    <w:uiPriority w:val="99"/>
    <w:semiHidden/>
    <w:unhideWhenUsed/>
    <w:rsid w:val="008B4470"/>
    <w:pPr>
      <w:spacing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8B4470"/>
    <w:rPr>
      <w:rFonts w:ascii="Consolas" w:hAnsi="Consolas"/>
      <w:szCs w:val="20"/>
    </w:rPr>
  </w:style>
  <w:style w:type="character" w:styleId="HTMLKeyboard">
    <w:name w:val="HTML Keyboard"/>
    <w:basedOn w:val="DefaultParagraphFont"/>
    <w:uiPriority w:val="99"/>
    <w:semiHidden/>
    <w:unhideWhenUsed/>
    <w:rsid w:val="008B4470"/>
    <w:rPr>
      <w:rFonts w:ascii="Consolas" w:hAnsi="Consolas"/>
      <w:sz w:val="22"/>
      <w:szCs w:val="20"/>
    </w:rPr>
  </w:style>
  <w:style w:type="character" w:styleId="HTMLTypewriter">
    <w:name w:val="HTML Typewriter"/>
    <w:basedOn w:val="DefaultParagraphFont"/>
    <w:uiPriority w:val="99"/>
    <w:semiHidden/>
    <w:unhideWhenUsed/>
    <w:rsid w:val="008B4470"/>
    <w:rPr>
      <w:rFonts w:ascii="Consolas" w:hAnsi="Consolas"/>
      <w:sz w:val="22"/>
      <w:szCs w:val="20"/>
    </w:rPr>
  </w:style>
  <w:style w:type="paragraph" w:styleId="MacroText">
    <w:name w:val="macro"/>
    <w:link w:val="MacroTextChar"/>
    <w:uiPriority w:val="99"/>
    <w:semiHidden/>
    <w:unhideWhenUsed/>
    <w:rsid w:val="008B4470"/>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8B4470"/>
    <w:rPr>
      <w:rFonts w:ascii="Consolas" w:hAnsi="Consolas"/>
      <w:szCs w:val="20"/>
    </w:rPr>
  </w:style>
  <w:style w:type="paragraph" w:styleId="PlainText">
    <w:name w:val="Plain Text"/>
    <w:basedOn w:val="Normal"/>
    <w:link w:val="PlainTextChar"/>
    <w:uiPriority w:val="99"/>
    <w:semiHidden/>
    <w:unhideWhenUsed/>
    <w:rsid w:val="008B4470"/>
    <w:pPr>
      <w:spacing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8B4470"/>
    <w:rPr>
      <w:rFonts w:ascii="Consolas" w:hAnsi="Consolas"/>
      <w:szCs w:val="21"/>
    </w:rPr>
  </w:style>
  <w:style w:type="paragraph" w:styleId="Header">
    <w:name w:val="header"/>
    <w:basedOn w:val="Normal"/>
    <w:link w:val="HeaderChar"/>
    <w:uiPriority w:val="99"/>
    <w:qFormat/>
    <w:rsid w:val="00C55AE2"/>
    <w:pPr>
      <w:spacing w:after="0" w:line="240" w:lineRule="auto"/>
    </w:pPr>
  </w:style>
  <w:style w:type="character" w:customStyle="1" w:styleId="HeaderChar">
    <w:name w:val="Header Char"/>
    <w:basedOn w:val="DefaultParagraphFont"/>
    <w:link w:val="Header"/>
    <w:uiPriority w:val="99"/>
    <w:rsid w:val="00C55AE2"/>
  </w:style>
  <w:style w:type="paragraph" w:styleId="Subtitle">
    <w:name w:val="Subtitle"/>
    <w:basedOn w:val="Normal"/>
    <w:next w:val="Normal"/>
    <w:link w:val="SubtitleChar"/>
    <w:uiPriority w:val="11"/>
    <w:semiHidden/>
    <w:unhideWhenUsed/>
    <w:qFormat/>
    <w:rsid w:val="00C55AE2"/>
    <w:pPr>
      <w:numPr>
        <w:ilvl w:val="1"/>
      </w:numPr>
      <w:spacing w:after="160"/>
    </w:pPr>
    <w:rPr>
      <w:color w:val="5A5A5A" w:themeColor="text1" w:themeTint="A5"/>
    </w:rPr>
  </w:style>
  <w:style w:type="character" w:customStyle="1" w:styleId="SubtitleChar">
    <w:name w:val="Subtitle Char"/>
    <w:basedOn w:val="DefaultParagraphFont"/>
    <w:link w:val="Subtitle"/>
    <w:uiPriority w:val="11"/>
    <w:semiHidden/>
    <w:rsid w:val="00C55AE2"/>
    <w:rPr>
      <w:color w:val="5A5A5A" w:themeColor="text1" w:themeTint="A5"/>
    </w:rPr>
  </w:style>
  <w:style w:type="character" w:styleId="IntenseEmphasis">
    <w:name w:val="Intense Emphasis"/>
    <w:basedOn w:val="DefaultParagraphFont"/>
    <w:uiPriority w:val="21"/>
    <w:semiHidden/>
    <w:unhideWhenUsed/>
    <w:qFormat/>
    <w:rsid w:val="00C55AE2"/>
    <w:rPr>
      <w:i/>
      <w:iCs/>
      <w:color w:val="1F4E79" w:themeColor="accent1" w:themeShade="80"/>
    </w:rPr>
  </w:style>
  <w:style w:type="paragraph" w:styleId="IntenseQuote">
    <w:name w:val="Intense Quote"/>
    <w:basedOn w:val="Normal"/>
    <w:next w:val="Normal"/>
    <w:link w:val="IntenseQuoteChar"/>
    <w:uiPriority w:val="30"/>
    <w:semiHidden/>
    <w:unhideWhenUsed/>
    <w:qFormat/>
    <w:rsid w:val="00C55AE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semiHidden/>
    <w:rsid w:val="00C55AE2"/>
    <w:rPr>
      <w:i/>
      <w:iCs/>
      <w:color w:val="1F4E79" w:themeColor="accent1" w:themeShade="80"/>
    </w:rPr>
  </w:style>
  <w:style w:type="character" w:styleId="IntenseReference">
    <w:name w:val="Intense Reference"/>
    <w:basedOn w:val="DefaultParagraphFont"/>
    <w:uiPriority w:val="32"/>
    <w:semiHidden/>
    <w:unhideWhenUsed/>
    <w:qFormat/>
    <w:rsid w:val="00C55AE2"/>
    <w:rPr>
      <w:b/>
      <w:bCs/>
      <w:caps w:val="0"/>
      <w:smallCaps/>
      <w:color w:val="1F4E79" w:themeColor="accent1" w:themeShade="80"/>
      <w:spacing w:val="5"/>
    </w:rPr>
  </w:style>
  <w:style w:type="paragraph" w:styleId="BlockText">
    <w:name w:val="Block Text"/>
    <w:basedOn w:val="Normal"/>
    <w:uiPriority w:val="99"/>
    <w:semiHidden/>
    <w:unhideWhenUsed/>
    <w:rsid w:val="00C55AE2"/>
    <w:pPr>
      <w:pBdr>
        <w:top w:val="single" w:sz="2" w:space="10" w:color="1F4E79" w:themeColor="accent1" w:themeShade="80"/>
        <w:left w:val="single" w:sz="2" w:space="10" w:color="1F4E79" w:themeColor="accent1" w:themeShade="80"/>
        <w:bottom w:val="single" w:sz="2" w:space="10" w:color="1F4E79" w:themeColor="accent1" w:themeShade="80"/>
        <w:right w:val="single" w:sz="2" w:space="10" w:color="1F4E79" w:themeColor="accent1" w:themeShade="80"/>
      </w:pBdr>
      <w:ind w:left="1152" w:right="1152"/>
    </w:pPr>
    <w:rPr>
      <w:i/>
      <w:iCs/>
      <w:color w:val="1F4E79" w:themeColor="accent1" w:themeShade="80"/>
    </w:rPr>
  </w:style>
  <w:style w:type="paragraph" w:styleId="NoSpacing">
    <w:name w:val="No Spacing"/>
    <w:link w:val="NoSpacingChar"/>
    <w:uiPriority w:val="1"/>
    <w:qFormat/>
    <w:rsid w:val="004D7ACB"/>
    <w:pPr>
      <w:spacing w:after="0" w:line="240" w:lineRule="auto"/>
    </w:pPr>
    <w:rPr>
      <w:lang w:eastAsia="en-US"/>
    </w:rPr>
  </w:style>
  <w:style w:type="character" w:customStyle="1" w:styleId="NoSpacingChar">
    <w:name w:val="No Spacing Char"/>
    <w:basedOn w:val="DefaultParagraphFont"/>
    <w:link w:val="NoSpacing"/>
    <w:uiPriority w:val="1"/>
    <w:rsid w:val="004D7ACB"/>
    <w:rPr>
      <w:lang w:eastAsia="en-US"/>
    </w:rPr>
  </w:style>
  <w:style w:type="paragraph" w:styleId="TOCHeading">
    <w:name w:val="TOC Heading"/>
    <w:basedOn w:val="Heading1"/>
    <w:next w:val="Normal"/>
    <w:uiPriority w:val="39"/>
    <w:unhideWhenUsed/>
    <w:qFormat/>
    <w:rsid w:val="0048456B"/>
    <w:pPr>
      <w:keepNext/>
      <w:keepLines/>
      <w:spacing w:before="240" w:after="0" w:line="259" w:lineRule="auto"/>
      <w:contextualSpacing w:val="0"/>
      <w:outlineLvl w:val="9"/>
    </w:pPr>
    <w:rPr>
      <w:rFonts w:asciiTheme="majorHAnsi" w:eastAsiaTheme="majorEastAsia" w:hAnsiTheme="majorHAnsi" w:cstheme="majorBidi"/>
      <w:b w:val="0"/>
      <w:bCs w:val="0"/>
      <w:color w:val="2E74B5" w:themeColor="accent1" w:themeShade="BF"/>
      <w:sz w:val="32"/>
      <w:szCs w:val="32"/>
      <w:lang w:eastAsia="en-US"/>
    </w:rPr>
  </w:style>
  <w:style w:type="paragraph" w:styleId="TOC1">
    <w:name w:val="toc 1"/>
    <w:basedOn w:val="Normal"/>
    <w:next w:val="Normal"/>
    <w:autoRedefine/>
    <w:uiPriority w:val="39"/>
    <w:unhideWhenUsed/>
    <w:rsid w:val="0048456B"/>
    <w:pPr>
      <w:spacing w:after="100"/>
    </w:pPr>
  </w:style>
  <w:style w:type="paragraph" w:styleId="TOC2">
    <w:name w:val="toc 2"/>
    <w:basedOn w:val="Normal"/>
    <w:next w:val="Normal"/>
    <w:autoRedefine/>
    <w:uiPriority w:val="39"/>
    <w:unhideWhenUsed/>
    <w:rsid w:val="0048456B"/>
    <w:pPr>
      <w:spacing w:after="100"/>
      <w:ind w:left="220"/>
    </w:pPr>
  </w:style>
  <w:style w:type="paragraph" w:styleId="TOC3">
    <w:name w:val="toc 3"/>
    <w:basedOn w:val="Normal"/>
    <w:next w:val="Normal"/>
    <w:autoRedefine/>
    <w:uiPriority w:val="39"/>
    <w:unhideWhenUsed/>
    <w:rsid w:val="0048456B"/>
    <w:pPr>
      <w:spacing w:after="100"/>
      <w:ind w:left="440"/>
    </w:pPr>
  </w:style>
  <w:style w:type="character" w:styleId="Hyperlink">
    <w:name w:val="Hyperlink"/>
    <w:basedOn w:val="DefaultParagraphFont"/>
    <w:uiPriority w:val="99"/>
    <w:unhideWhenUsed/>
    <w:rsid w:val="0048456B"/>
    <w:rPr>
      <w:color w:val="0563C1" w:themeColor="hyperlink"/>
      <w:u w:val="single"/>
    </w:rPr>
  </w:style>
  <w:style w:type="paragraph" w:styleId="Bibliography">
    <w:name w:val="Bibliography"/>
    <w:basedOn w:val="Normal"/>
    <w:next w:val="Normal"/>
    <w:uiPriority w:val="37"/>
    <w:unhideWhenUsed/>
    <w:rsid w:val="004A41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359775">
      <w:bodyDiv w:val="1"/>
      <w:marLeft w:val="0"/>
      <w:marRight w:val="0"/>
      <w:marTop w:val="0"/>
      <w:marBottom w:val="0"/>
      <w:divBdr>
        <w:top w:val="none" w:sz="0" w:space="0" w:color="auto"/>
        <w:left w:val="none" w:sz="0" w:space="0" w:color="auto"/>
        <w:bottom w:val="none" w:sz="0" w:space="0" w:color="auto"/>
        <w:right w:val="none" w:sz="0" w:space="0" w:color="auto"/>
      </w:divBdr>
    </w:div>
    <w:div w:id="95709305">
      <w:bodyDiv w:val="1"/>
      <w:marLeft w:val="0"/>
      <w:marRight w:val="0"/>
      <w:marTop w:val="0"/>
      <w:marBottom w:val="0"/>
      <w:divBdr>
        <w:top w:val="none" w:sz="0" w:space="0" w:color="auto"/>
        <w:left w:val="none" w:sz="0" w:space="0" w:color="auto"/>
        <w:bottom w:val="none" w:sz="0" w:space="0" w:color="auto"/>
        <w:right w:val="none" w:sz="0" w:space="0" w:color="auto"/>
      </w:divBdr>
    </w:div>
    <w:div w:id="166798473">
      <w:bodyDiv w:val="1"/>
      <w:marLeft w:val="0"/>
      <w:marRight w:val="0"/>
      <w:marTop w:val="0"/>
      <w:marBottom w:val="0"/>
      <w:divBdr>
        <w:top w:val="none" w:sz="0" w:space="0" w:color="auto"/>
        <w:left w:val="none" w:sz="0" w:space="0" w:color="auto"/>
        <w:bottom w:val="none" w:sz="0" w:space="0" w:color="auto"/>
        <w:right w:val="none" w:sz="0" w:space="0" w:color="auto"/>
      </w:divBdr>
    </w:div>
    <w:div w:id="169761828">
      <w:bodyDiv w:val="1"/>
      <w:marLeft w:val="0"/>
      <w:marRight w:val="0"/>
      <w:marTop w:val="0"/>
      <w:marBottom w:val="0"/>
      <w:divBdr>
        <w:top w:val="none" w:sz="0" w:space="0" w:color="auto"/>
        <w:left w:val="none" w:sz="0" w:space="0" w:color="auto"/>
        <w:bottom w:val="none" w:sz="0" w:space="0" w:color="auto"/>
        <w:right w:val="none" w:sz="0" w:space="0" w:color="auto"/>
      </w:divBdr>
    </w:div>
    <w:div w:id="218052905">
      <w:bodyDiv w:val="1"/>
      <w:marLeft w:val="0"/>
      <w:marRight w:val="0"/>
      <w:marTop w:val="0"/>
      <w:marBottom w:val="0"/>
      <w:divBdr>
        <w:top w:val="none" w:sz="0" w:space="0" w:color="auto"/>
        <w:left w:val="none" w:sz="0" w:space="0" w:color="auto"/>
        <w:bottom w:val="none" w:sz="0" w:space="0" w:color="auto"/>
        <w:right w:val="none" w:sz="0" w:space="0" w:color="auto"/>
      </w:divBdr>
    </w:div>
    <w:div w:id="305622317">
      <w:bodyDiv w:val="1"/>
      <w:marLeft w:val="0"/>
      <w:marRight w:val="0"/>
      <w:marTop w:val="0"/>
      <w:marBottom w:val="0"/>
      <w:divBdr>
        <w:top w:val="none" w:sz="0" w:space="0" w:color="auto"/>
        <w:left w:val="none" w:sz="0" w:space="0" w:color="auto"/>
        <w:bottom w:val="none" w:sz="0" w:space="0" w:color="auto"/>
        <w:right w:val="none" w:sz="0" w:space="0" w:color="auto"/>
      </w:divBdr>
    </w:div>
    <w:div w:id="328026114">
      <w:bodyDiv w:val="1"/>
      <w:marLeft w:val="0"/>
      <w:marRight w:val="0"/>
      <w:marTop w:val="0"/>
      <w:marBottom w:val="0"/>
      <w:divBdr>
        <w:top w:val="none" w:sz="0" w:space="0" w:color="auto"/>
        <w:left w:val="none" w:sz="0" w:space="0" w:color="auto"/>
        <w:bottom w:val="none" w:sz="0" w:space="0" w:color="auto"/>
        <w:right w:val="none" w:sz="0" w:space="0" w:color="auto"/>
      </w:divBdr>
    </w:div>
    <w:div w:id="337657590">
      <w:bodyDiv w:val="1"/>
      <w:marLeft w:val="0"/>
      <w:marRight w:val="0"/>
      <w:marTop w:val="0"/>
      <w:marBottom w:val="0"/>
      <w:divBdr>
        <w:top w:val="none" w:sz="0" w:space="0" w:color="auto"/>
        <w:left w:val="none" w:sz="0" w:space="0" w:color="auto"/>
        <w:bottom w:val="none" w:sz="0" w:space="0" w:color="auto"/>
        <w:right w:val="none" w:sz="0" w:space="0" w:color="auto"/>
      </w:divBdr>
    </w:div>
    <w:div w:id="380372830">
      <w:bodyDiv w:val="1"/>
      <w:marLeft w:val="0"/>
      <w:marRight w:val="0"/>
      <w:marTop w:val="0"/>
      <w:marBottom w:val="0"/>
      <w:divBdr>
        <w:top w:val="none" w:sz="0" w:space="0" w:color="auto"/>
        <w:left w:val="none" w:sz="0" w:space="0" w:color="auto"/>
        <w:bottom w:val="none" w:sz="0" w:space="0" w:color="auto"/>
        <w:right w:val="none" w:sz="0" w:space="0" w:color="auto"/>
      </w:divBdr>
    </w:div>
    <w:div w:id="422646840">
      <w:bodyDiv w:val="1"/>
      <w:marLeft w:val="0"/>
      <w:marRight w:val="0"/>
      <w:marTop w:val="0"/>
      <w:marBottom w:val="0"/>
      <w:divBdr>
        <w:top w:val="none" w:sz="0" w:space="0" w:color="auto"/>
        <w:left w:val="none" w:sz="0" w:space="0" w:color="auto"/>
        <w:bottom w:val="none" w:sz="0" w:space="0" w:color="auto"/>
        <w:right w:val="none" w:sz="0" w:space="0" w:color="auto"/>
      </w:divBdr>
    </w:div>
    <w:div w:id="513765268">
      <w:bodyDiv w:val="1"/>
      <w:marLeft w:val="0"/>
      <w:marRight w:val="0"/>
      <w:marTop w:val="0"/>
      <w:marBottom w:val="0"/>
      <w:divBdr>
        <w:top w:val="none" w:sz="0" w:space="0" w:color="auto"/>
        <w:left w:val="none" w:sz="0" w:space="0" w:color="auto"/>
        <w:bottom w:val="none" w:sz="0" w:space="0" w:color="auto"/>
        <w:right w:val="none" w:sz="0" w:space="0" w:color="auto"/>
      </w:divBdr>
    </w:div>
    <w:div w:id="527765791">
      <w:bodyDiv w:val="1"/>
      <w:marLeft w:val="0"/>
      <w:marRight w:val="0"/>
      <w:marTop w:val="0"/>
      <w:marBottom w:val="0"/>
      <w:divBdr>
        <w:top w:val="none" w:sz="0" w:space="0" w:color="auto"/>
        <w:left w:val="none" w:sz="0" w:space="0" w:color="auto"/>
        <w:bottom w:val="none" w:sz="0" w:space="0" w:color="auto"/>
        <w:right w:val="none" w:sz="0" w:space="0" w:color="auto"/>
      </w:divBdr>
    </w:div>
    <w:div w:id="556353785">
      <w:bodyDiv w:val="1"/>
      <w:marLeft w:val="0"/>
      <w:marRight w:val="0"/>
      <w:marTop w:val="0"/>
      <w:marBottom w:val="0"/>
      <w:divBdr>
        <w:top w:val="none" w:sz="0" w:space="0" w:color="auto"/>
        <w:left w:val="none" w:sz="0" w:space="0" w:color="auto"/>
        <w:bottom w:val="none" w:sz="0" w:space="0" w:color="auto"/>
        <w:right w:val="none" w:sz="0" w:space="0" w:color="auto"/>
      </w:divBdr>
    </w:div>
    <w:div w:id="570775830">
      <w:bodyDiv w:val="1"/>
      <w:marLeft w:val="0"/>
      <w:marRight w:val="0"/>
      <w:marTop w:val="0"/>
      <w:marBottom w:val="0"/>
      <w:divBdr>
        <w:top w:val="none" w:sz="0" w:space="0" w:color="auto"/>
        <w:left w:val="none" w:sz="0" w:space="0" w:color="auto"/>
        <w:bottom w:val="none" w:sz="0" w:space="0" w:color="auto"/>
        <w:right w:val="none" w:sz="0" w:space="0" w:color="auto"/>
      </w:divBdr>
    </w:div>
    <w:div w:id="607273481">
      <w:bodyDiv w:val="1"/>
      <w:marLeft w:val="0"/>
      <w:marRight w:val="0"/>
      <w:marTop w:val="0"/>
      <w:marBottom w:val="0"/>
      <w:divBdr>
        <w:top w:val="none" w:sz="0" w:space="0" w:color="auto"/>
        <w:left w:val="none" w:sz="0" w:space="0" w:color="auto"/>
        <w:bottom w:val="none" w:sz="0" w:space="0" w:color="auto"/>
        <w:right w:val="none" w:sz="0" w:space="0" w:color="auto"/>
      </w:divBdr>
    </w:div>
    <w:div w:id="769273417">
      <w:bodyDiv w:val="1"/>
      <w:marLeft w:val="0"/>
      <w:marRight w:val="0"/>
      <w:marTop w:val="0"/>
      <w:marBottom w:val="0"/>
      <w:divBdr>
        <w:top w:val="none" w:sz="0" w:space="0" w:color="auto"/>
        <w:left w:val="none" w:sz="0" w:space="0" w:color="auto"/>
        <w:bottom w:val="none" w:sz="0" w:space="0" w:color="auto"/>
        <w:right w:val="none" w:sz="0" w:space="0" w:color="auto"/>
      </w:divBdr>
    </w:div>
    <w:div w:id="854458895">
      <w:bodyDiv w:val="1"/>
      <w:marLeft w:val="0"/>
      <w:marRight w:val="0"/>
      <w:marTop w:val="0"/>
      <w:marBottom w:val="0"/>
      <w:divBdr>
        <w:top w:val="none" w:sz="0" w:space="0" w:color="auto"/>
        <w:left w:val="none" w:sz="0" w:space="0" w:color="auto"/>
        <w:bottom w:val="none" w:sz="0" w:space="0" w:color="auto"/>
        <w:right w:val="none" w:sz="0" w:space="0" w:color="auto"/>
      </w:divBdr>
    </w:div>
    <w:div w:id="863792030">
      <w:bodyDiv w:val="1"/>
      <w:marLeft w:val="0"/>
      <w:marRight w:val="0"/>
      <w:marTop w:val="0"/>
      <w:marBottom w:val="0"/>
      <w:divBdr>
        <w:top w:val="none" w:sz="0" w:space="0" w:color="auto"/>
        <w:left w:val="none" w:sz="0" w:space="0" w:color="auto"/>
        <w:bottom w:val="none" w:sz="0" w:space="0" w:color="auto"/>
        <w:right w:val="none" w:sz="0" w:space="0" w:color="auto"/>
      </w:divBdr>
    </w:div>
    <w:div w:id="891384480">
      <w:bodyDiv w:val="1"/>
      <w:marLeft w:val="0"/>
      <w:marRight w:val="0"/>
      <w:marTop w:val="0"/>
      <w:marBottom w:val="0"/>
      <w:divBdr>
        <w:top w:val="none" w:sz="0" w:space="0" w:color="auto"/>
        <w:left w:val="none" w:sz="0" w:space="0" w:color="auto"/>
        <w:bottom w:val="none" w:sz="0" w:space="0" w:color="auto"/>
        <w:right w:val="none" w:sz="0" w:space="0" w:color="auto"/>
      </w:divBdr>
    </w:div>
    <w:div w:id="980379859">
      <w:bodyDiv w:val="1"/>
      <w:marLeft w:val="0"/>
      <w:marRight w:val="0"/>
      <w:marTop w:val="0"/>
      <w:marBottom w:val="0"/>
      <w:divBdr>
        <w:top w:val="none" w:sz="0" w:space="0" w:color="auto"/>
        <w:left w:val="none" w:sz="0" w:space="0" w:color="auto"/>
        <w:bottom w:val="none" w:sz="0" w:space="0" w:color="auto"/>
        <w:right w:val="none" w:sz="0" w:space="0" w:color="auto"/>
      </w:divBdr>
    </w:div>
    <w:div w:id="995261838">
      <w:bodyDiv w:val="1"/>
      <w:marLeft w:val="0"/>
      <w:marRight w:val="0"/>
      <w:marTop w:val="0"/>
      <w:marBottom w:val="0"/>
      <w:divBdr>
        <w:top w:val="none" w:sz="0" w:space="0" w:color="auto"/>
        <w:left w:val="none" w:sz="0" w:space="0" w:color="auto"/>
        <w:bottom w:val="none" w:sz="0" w:space="0" w:color="auto"/>
        <w:right w:val="none" w:sz="0" w:space="0" w:color="auto"/>
      </w:divBdr>
    </w:div>
    <w:div w:id="1052264285">
      <w:bodyDiv w:val="1"/>
      <w:marLeft w:val="0"/>
      <w:marRight w:val="0"/>
      <w:marTop w:val="0"/>
      <w:marBottom w:val="0"/>
      <w:divBdr>
        <w:top w:val="none" w:sz="0" w:space="0" w:color="auto"/>
        <w:left w:val="none" w:sz="0" w:space="0" w:color="auto"/>
        <w:bottom w:val="none" w:sz="0" w:space="0" w:color="auto"/>
        <w:right w:val="none" w:sz="0" w:space="0" w:color="auto"/>
      </w:divBdr>
    </w:div>
    <w:div w:id="1052460547">
      <w:bodyDiv w:val="1"/>
      <w:marLeft w:val="0"/>
      <w:marRight w:val="0"/>
      <w:marTop w:val="0"/>
      <w:marBottom w:val="0"/>
      <w:divBdr>
        <w:top w:val="none" w:sz="0" w:space="0" w:color="auto"/>
        <w:left w:val="none" w:sz="0" w:space="0" w:color="auto"/>
        <w:bottom w:val="none" w:sz="0" w:space="0" w:color="auto"/>
        <w:right w:val="none" w:sz="0" w:space="0" w:color="auto"/>
      </w:divBdr>
    </w:div>
    <w:div w:id="1117678138">
      <w:bodyDiv w:val="1"/>
      <w:marLeft w:val="0"/>
      <w:marRight w:val="0"/>
      <w:marTop w:val="0"/>
      <w:marBottom w:val="0"/>
      <w:divBdr>
        <w:top w:val="none" w:sz="0" w:space="0" w:color="auto"/>
        <w:left w:val="none" w:sz="0" w:space="0" w:color="auto"/>
        <w:bottom w:val="none" w:sz="0" w:space="0" w:color="auto"/>
        <w:right w:val="none" w:sz="0" w:space="0" w:color="auto"/>
      </w:divBdr>
    </w:div>
    <w:div w:id="1170102405">
      <w:bodyDiv w:val="1"/>
      <w:marLeft w:val="0"/>
      <w:marRight w:val="0"/>
      <w:marTop w:val="0"/>
      <w:marBottom w:val="0"/>
      <w:divBdr>
        <w:top w:val="none" w:sz="0" w:space="0" w:color="auto"/>
        <w:left w:val="none" w:sz="0" w:space="0" w:color="auto"/>
        <w:bottom w:val="none" w:sz="0" w:space="0" w:color="auto"/>
        <w:right w:val="none" w:sz="0" w:space="0" w:color="auto"/>
      </w:divBdr>
    </w:div>
    <w:div w:id="1245725158">
      <w:bodyDiv w:val="1"/>
      <w:marLeft w:val="0"/>
      <w:marRight w:val="0"/>
      <w:marTop w:val="0"/>
      <w:marBottom w:val="0"/>
      <w:divBdr>
        <w:top w:val="none" w:sz="0" w:space="0" w:color="auto"/>
        <w:left w:val="none" w:sz="0" w:space="0" w:color="auto"/>
        <w:bottom w:val="none" w:sz="0" w:space="0" w:color="auto"/>
        <w:right w:val="none" w:sz="0" w:space="0" w:color="auto"/>
      </w:divBdr>
    </w:div>
    <w:div w:id="1254582673">
      <w:bodyDiv w:val="1"/>
      <w:marLeft w:val="0"/>
      <w:marRight w:val="0"/>
      <w:marTop w:val="0"/>
      <w:marBottom w:val="0"/>
      <w:divBdr>
        <w:top w:val="none" w:sz="0" w:space="0" w:color="auto"/>
        <w:left w:val="none" w:sz="0" w:space="0" w:color="auto"/>
        <w:bottom w:val="none" w:sz="0" w:space="0" w:color="auto"/>
        <w:right w:val="none" w:sz="0" w:space="0" w:color="auto"/>
      </w:divBdr>
    </w:div>
    <w:div w:id="1298997437">
      <w:bodyDiv w:val="1"/>
      <w:marLeft w:val="0"/>
      <w:marRight w:val="0"/>
      <w:marTop w:val="0"/>
      <w:marBottom w:val="0"/>
      <w:divBdr>
        <w:top w:val="none" w:sz="0" w:space="0" w:color="auto"/>
        <w:left w:val="none" w:sz="0" w:space="0" w:color="auto"/>
        <w:bottom w:val="none" w:sz="0" w:space="0" w:color="auto"/>
        <w:right w:val="none" w:sz="0" w:space="0" w:color="auto"/>
      </w:divBdr>
    </w:div>
    <w:div w:id="1330258484">
      <w:bodyDiv w:val="1"/>
      <w:marLeft w:val="0"/>
      <w:marRight w:val="0"/>
      <w:marTop w:val="0"/>
      <w:marBottom w:val="0"/>
      <w:divBdr>
        <w:top w:val="none" w:sz="0" w:space="0" w:color="auto"/>
        <w:left w:val="none" w:sz="0" w:space="0" w:color="auto"/>
        <w:bottom w:val="none" w:sz="0" w:space="0" w:color="auto"/>
        <w:right w:val="none" w:sz="0" w:space="0" w:color="auto"/>
      </w:divBdr>
    </w:div>
    <w:div w:id="1346639814">
      <w:bodyDiv w:val="1"/>
      <w:marLeft w:val="0"/>
      <w:marRight w:val="0"/>
      <w:marTop w:val="0"/>
      <w:marBottom w:val="0"/>
      <w:divBdr>
        <w:top w:val="none" w:sz="0" w:space="0" w:color="auto"/>
        <w:left w:val="none" w:sz="0" w:space="0" w:color="auto"/>
        <w:bottom w:val="none" w:sz="0" w:space="0" w:color="auto"/>
        <w:right w:val="none" w:sz="0" w:space="0" w:color="auto"/>
      </w:divBdr>
    </w:div>
    <w:div w:id="1391660209">
      <w:bodyDiv w:val="1"/>
      <w:marLeft w:val="0"/>
      <w:marRight w:val="0"/>
      <w:marTop w:val="0"/>
      <w:marBottom w:val="0"/>
      <w:divBdr>
        <w:top w:val="none" w:sz="0" w:space="0" w:color="auto"/>
        <w:left w:val="none" w:sz="0" w:space="0" w:color="auto"/>
        <w:bottom w:val="none" w:sz="0" w:space="0" w:color="auto"/>
        <w:right w:val="none" w:sz="0" w:space="0" w:color="auto"/>
      </w:divBdr>
    </w:div>
    <w:div w:id="1405834688">
      <w:bodyDiv w:val="1"/>
      <w:marLeft w:val="0"/>
      <w:marRight w:val="0"/>
      <w:marTop w:val="0"/>
      <w:marBottom w:val="0"/>
      <w:divBdr>
        <w:top w:val="none" w:sz="0" w:space="0" w:color="auto"/>
        <w:left w:val="none" w:sz="0" w:space="0" w:color="auto"/>
        <w:bottom w:val="none" w:sz="0" w:space="0" w:color="auto"/>
        <w:right w:val="none" w:sz="0" w:space="0" w:color="auto"/>
      </w:divBdr>
    </w:div>
    <w:div w:id="1459951407">
      <w:bodyDiv w:val="1"/>
      <w:marLeft w:val="0"/>
      <w:marRight w:val="0"/>
      <w:marTop w:val="0"/>
      <w:marBottom w:val="0"/>
      <w:divBdr>
        <w:top w:val="none" w:sz="0" w:space="0" w:color="auto"/>
        <w:left w:val="none" w:sz="0" w:space="0" w:color="auto"/>
        <w:bottom w:val="none" w:sz="0" w:space="0" w:color="auto"/>
        <w:right w:val="none" w:sz="0" w:space="0" w:color="auto"/>
      </w:divBdr>
    </w:div>
    <w:div w:id="1554778539">
      <w:bodyDiv w:val="1"/>
      <w:marLeft w:val="0"/>
      <w:marRight w:val="0"/>
      <w:marTop w:val="0"/>
      <w:marBottom w:val="0"/>
      <w:divBdr>
        <w:top w:val="none" w:sz="0" w:space="0" w:color="auto"/>
        <w:left w:val="none" w:sz="0" w:space="0" w:color="auto"/>
        <w:bottom w:val="none" w:sz="0" w:space="0" w:color="auto"/>
        <w:right w:val="none" w:sz="0" w:space="0" w:color="auto"/>
      </w:divBdr>
    </w:div>
    <w:div w:id="1555461419">
      <w:bodyDiv w:val="1"/>
      <w:marLeft w:val="0"/>
      <w:marRight w:val="0"/>
      <w:marTop w:val="0"/>
      <w:marBottom w:val="0"/>
      <w:divBdr>
        <w:top w:val="none" w:sz="0" w:space="0" w:color="auto"/>
        <w:left w:val="none" w:sz="0" w:space="0" w:color="auto"/>
        <w:bottom w:val="none" w:sz="0" w:space="0" w:color="auto"/>
        <w:right w:val="none" w:sz="0" w:space="0" w:color="auto"/>
      </w:divBdr>
    </w:div>
    <w:div w:id="1560480823">
      <w:bodyDiv w:val="1"/>
      <w:marLeft w:val="0"/>
      <w:marRight w:val="0"/>
      <w:marTop w:val="0"/>
      <w:marBottom w:val="0"/>
      <w:divBdr>
        <w:top w:val="none" w:sz="0" w:space="0" w:color="auto"/>
        <w:left w:val="none" w:sz="0" w:space="0" w:color="auto"/>
        <w:bottom w:val="none" w:sz="0" w:space="0" w:color="auto"/>
        <w:right w:val="none" w:sz="0" w:space="0" w:color="auto"/>
      </w:divBdr>
    </w:div>
    <w:div w:id="1649481860">
      <w:bodyDiv w:val="1"/>
      <w:marLeft w:val="0"/>
      <w:marRight w:val="0"/>
      <w:marTop w:val="0"/>
      <w:marBottom w:val="0"/>
      <w:divBdr>
        <w:top w:val="none" w:sz="0" w:space="0" w:color="auto"/>
        <w:left w:val="none" w:sz="0" w:space="0" w:color="auto"/>
        <w:bottom w:val="none" w:sz="0" w:space="0" w:color="auto"/>
        <w:right w:val="none" w:sz="0" w:space="0" w:color="auto"/>
      </w:divBdr>
    </w:div>
    <w:div w:id="1676221652">
      <w:bodyDiv w:val="1"/>
      <w:marLeft w:val="0"/>
      <w:marRight w:val="0"/>
      <w:marTop w:val="0"/>
      <w:marBottom w:val="0"/>
      <w:divBdr>
        <w:top w:val="none" w:sz="0" w:space="0" w:color="auto"/>
        <w:left w:val="none" w:sz="0" w:space="0" w:color="auto"/>
        <w:bottom w:val="none" w:sz="0" w:space="0" w:color="auto"/>
        <w:right w:val="none" w:sz="0" w:space="0" w:color="auto"/>
      </w:divBdr>
    </w:div>
    <w:div w:id="1780105308">
      <w:bodyDiv w:val="1"/>
      <w:marLeft w:val="0"/>
      <w:marRight w:val="0"/>
      <w:marTop w:val="0"/>
      <w:marBottom w:val="0"/>
      <w:divBdr>
        <w:top w:val="none" w:sz="0" w:space="0" w:color="auto"/>
        <w:left w:val="none" w:sz="0" w:space="0" w:color="auto"/>
        <w:bottom w:val="none" w:sz="0" w:space="0" w:color="auto"/>
        <w:right w:val="none" w:sz="0" w:space="0" w:color="auto"/>
      </w:divBdr>
    </w:div>
    <w:div w:id="1787309403">
      <w:bodyDiv w:val="1"/>
      <w:marLeft w:val="0"/>
      <w:marRight w:val="0"/>
      <w:marTop w:val="0"/>
      <w:marBottom w:val="0"/>
      <w:divBdr>
        <w:top w:val="none" w:sz="0" w:space="0" w:color="auto"/>
        <w:left w:val="none" w:sz="0" w:space="0" w:color="auto"/>
        <w:bottom w:val="none" w:sz="0" w:space="0" w:color="auto"/>
        <w:right w:val="none" w:sz="0" w:space="0" w:color="auto"/>
      </w:divBdr>
    </w:div>
    <w:div w:id="1795520693">
      <w:bodyDiv w:val="1"/>
      <w:marLeft w:val="0"/>
      <w:marRight w:val="0"/>
      <w:marTop w:val="0"/>
      <w:marBottom w:val="0"/>
      <w:divBdr>
        <w:top w:val="none" w:sz="0" w:space="0" w:color="auto"/>
        <w:left w:val="none" w:sz="0" w:space="0" w:color="auto"/>
        <w:bottom w:val="none" w:sz="0" w:space="0" w:color="auto"/>
        <w:right w:val="none" w:sz="0" w:space="0" w:color="auto"/>
      </w:divBdr>
    </w:div>
    <w:div w:id="1851290723">
      <w:bodyDiv w:val="1"/>
      <w:marLeft w:val="0"/>
      <w:marRight w:val="0"/>
      <w:marTop w:val="0"/>
      <w:marBottom w:val="0"/>
      <w:divBdr>
        <w:top w:val="none" w:sz="0" w:space="0" w:color="auto"/>
        <w:left w:val="none" w:sz="0" w:space="0" w:color="auto"/>
        <w:bottom w:val="none" w:sz="0" w:space="0" w:color="auto"/>
        <w:right w:val="none" w:sz="0" w:space="0" w:color="auto"/>
      </w:divBdr>
    </w:div>
    <w:div w:id="2021663022">
      <w:bodyDiv w:val="1"/>
      <w:marLeft w:val="0"/>
      <w:marRight w:val="0"/>
      <w:marTop w:val="0"/>
      <w:marBottom w:val="0"/>
      <w:divBdr>
        <w:top w:val="none" w:sz="0" w:space="0" w:color="auto"/>
        <w:left w:val="none" w:sz="0" w:space="0" w:color="auto"/>
        <w:bottom w:val="none" w:sz="0" w:space="0" w:color="auto"/>
        <w:right w:val="none" w:sz="0" w:space="0" w:color="auto"/>
      </w:divBdr>
    </w:div>
    <w:div w:id="2051614441">
      <w:bodyDiv w:val="1"/>
      <w:marLeft w:val="0"/>
      <w:marRight w:val="0"/>
      <w:marTop w:val="0"/>
      <w:marBottom w:val="0"/>
      <w:divBdr>
        <w:top w:val="none" w:sz="0" w:space="0" w:color="auto"/>
        <w:left w:val="none" w:sz="0" w:space="0" w:color="auto"/>
        <w:bottom w:val="none" w:sz="0" w:space="0" w:color="auto"/>
        <w:right w:val="none" w:sz="0" w:space="0" w:color="auto"/>
      </w:divBdr>
    </w:div>
    <w:div w:id="20940384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2304838\AppData\Roaming\Microsoft\Templates\Short%20essay%20outlin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C45D8DCC794470891B0C2DA5DE30572"/>
        <w:category>
          <w:name w:val="General"/>
          <w:gallery w:val="placeholder"/>
        </w:category>
        <w:types>
          <w:type w:val="bbPlcHdr"/>
        </w:types>
        <w:behaviors>
          <w:behavior w:val="content"/>
        </w:behaviors>
        <w:guid w:val="{F42AB9FD-7C76-4E70-AF70-28DCEBAEBB4E}"/>
      </w:docPartPr>
      <w:docPartBody>
        <w:p w:rsidR="003D42CF" w:rsidRDefault="003D42CF">
          <w:pPr>
            <w:pStyle w:val="EC45D8DCC794470891B0C2DA5DE30572"/>
          </w:pPr>
          <w:r w:rsidRPr="00B27C7C">
            <w:rPr>
              <w:lang w:bidi="en-GB"/>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Hei">
    <w:altName w:val="黑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2CF"/>
    <w:rsid w:val="003D42CF"/>
    <w:rsid w:val="00704467"/>
    <w:rsid w:val="00741041"/>
    <w:rsid w:val="00894FA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45D8DCC794470891B0C2DA5DE30572">
    <w:name w:val="EC45D8DCC794470891B0C2DA5DE3057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Short essay outlin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alibri-Cambria">
      <a:majorFont>
        <a:latin typeface="Calibri" panose="020F0502020204030204"/>
        <a:ea typeface=""/>
        <a:cs typeface=""/>
        <a:font script="Jpan" typeface="HGｺﾞｼｯｸM"/>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mbria" panose="02040503050406030204"/>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2024</PublishDate>
  <Abstract/>
  <CompanyAddress>Swansea</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Ale17</b:Tag>
    <b:SourceType>JournalArticle</b:SourceType>
    <b:Guid>{91FDF6DF-6207-4C1F-AE17-A42523CF271A}</b:Guid>
    <b:Author>
      <b:Author>
        <b:NameList>
          <b:Person>
            <b:Last>Eugenicos</b:Last>
            <b:First>Alexandra-Maria</b:First>
          </b:Person>
        </b:NameList>
      </b:Author>
    </b:Author>
    <b:Title>Should We Reform the Offences Against the Person Act 1861?</b:Title>
    <b:JournalName>The Journal of Criminal Law Volume 81</b:JournalName>
    <b:Year>2017</b:Year>
    <b:Pages>26-32</b:Pages>
    <b:RefOrder>2</b:RefOrder>
  </b:Source>
  <b:Source>
    <b:Tag>Joh94</b:Tag>
    <b:SourceType>JournalArticle</b:SourceType>
    <b:Guid>{EC3FF13A-5FD4-4987-81F9-120C7BF69DA7}</b:Guid>
    <b:Title>Rationality and the Rule of Law in Offences Against the Person</b:Title>
    <b:Year>1994</b:Year>
    <b:Author>
      <b:Author>
        <b:NameList>
          <b:Person>
            <b:Last>Gardner</b:Last>
            <b:First>John</b:First>
          </b:Person>
        </b:NameList>
      </b:Author>
    </b:Author>
    <b:JournalName>The Cambridge Law Journal</b:JournalName>
    <b:Pages>1-22</b:Pages>
    <b:RefOrder>3</b:RefOrder>
  </b:Source>
  <b:Source>
    <b:Tag>Mic12</b:Tag>
    <b:SourceType>JournalArticle</b:SourceType>
    <b:Guid>{77E79488-1FDF-45BB-9D32-15869180E9B0}</b:Guid>
    <b:Author>
      <b:Author>
        <b:NameList>
          <b:Person>
            <b:Last>Jefferson</b:Last>
            <b:First>Michael</b:First>
          </b:Person>
        </b:NameList>
      </b:Author>
    </b:Author>
    <b:Title>Offences against the Person: Into the 21st Century</b:Title>
    <b:JournalName>The Journal of Criminal LawVolume 76, Issue 6</b:JournalName>
    <b:Year>2012</b:Year>
    <b:RefOrder>4</b:RefOrder>
  </b:Source>
  <b:Source>
    <b:Tag>Dod05</b:Tag>
    <b:SourceType>JournalArticle</b:SourceType>
    <b:Guid>{EDE877B8-BD45-493C-A1CF-64B334968854}</b:Guid>
    <b:Title> Use of the Offences against the Person Act 1861 for Sexual Transmission of HIV</b:Title>
    <b:Year>2005</b:Year>
    <b:Author>
      <b:Author>
        <b:NameList>
          <b:Person>
            <b:Last>Dodds</b:Last>
            <b:First>Catherine</b:First>
          </b:Person>
          <b:Person>
            <b:Last>Weatherburn</b:Last>
            <b:First>Peter</b:First>
          </b:Person>
          <b:Person>
            <b:Last>Hickson</b:Last>
            <b:First>Ford</b:First>
          </b:Person>
          <b:Person>
            <b:Last>Keogh</b:Last>
            <b:First>Peter</b:First>
          </b:Person>
          <b:Person>
            <b:Last>Nutland</b:Last>
            <b:First>Will</b:First>
          </b:Person>
        </b:NameList>
      </b:Author>
    </b:Author>
    <b:Pages>1-40</b:Pages>
    <b:JournalName>Grievous Harm? </b:JournalName>
    <b:RefOrder>5</b:RefOrder>
  </b:Source>
  <b:Source>
    <b:Tag>Law15</b:Tag>
    <b:SourceType>Report</b:SourceType>
    <b:Guid>{6B8A30D3-135F-4C5E-9F5D-6B24134DB507}</b:Guid>
    <b:Title>Reform of Offences against the Person</b:Title>
    <b:Year>2015</b:Year>
    <b:Author>
      <b:Author>
        <b:Corporate>Law Commission </b:Corporate>
      </b:Author>
    </b:Author>
    <b:RefOrder>6</b:RefOrder>
  </b:Source>
  <b:Source>
    <b:Tag>Keo99</b:Tag>
    <b:SourceType>Report</b:SourceType>
    <b:Guid>{2629BBFB-6199-4AE8-A2A4-AA7597FFB87D}</b:Guid>
    <b:Author>
      <b:Author>
        <b:NameList>
          <b:Person>
            <b:Last>Keogh</b:Last>
            <b:First>Peter</b:First>
          </b:Person>
          <b:Person>
            <b:Last>Weatherburn</b:Last>
            <b:First>Peter</b:First>
          </b:Person>
          <b:Person>
            <b:Last>Stephens </b:Last>
            <b:First>Michael </b:First>
          </b:Person>
        </b:NameList>
      </b:Author>
    </b:Author>
    <b:Title>Relative safety Risk and unprotected anal intercourse</b:Title>
    <b:Year>1999</b:Year>
    <b:Publisher>LSHTM Research Online</b:Publisher>
    <b:RefOrder>7</b:RefOrder>
  </b:Source>
  <b:Source>
    <b:Tag>Jon22</b:Tag>
    <b:SourceType>Book</b:SourceType>
    <b:Guid>{74466A8C-E02D-4795-8353-A6BFFBA91FF7}</b:Guid>
    <b:Author>
      <b:Author>
        <b:NameList>
          <b:Person>
            <b:Last>Herring</b:Last>
            <b:First>Jonathan</b:First>
          </b:Person>
        </b:NameList>
      </b:Author>
    </b:Author>
    <b:Title>Criminal law : text, cases, and materials</b:Title>
    <b:Year>2022</b:Year>
    <b:City>Oxford</b:City>
    <b:Publisher>Oxford University Press</b:Publisher>
    <b:RefOrder>8</b:RefOrder>
  </b:Source>
  <b:Source>
    <b:Tag>Lou18</b:Tag>
    <b:SourceType>Book</b:SourceType>
    <b:Guid>{4E4224B2-50BB-4A8E-A237-9CA8093F1644}</b:Guid>
    <b:Author>
      <b:Author>
        <b:NameList>
          <b:Person>
            <b:Last>Taylor</b:Last>
            <b:First>Lousie</b:First>
          </b:Person>
        </b:NameList>
      </b:Author>
    </b:Author>
    <b:Title>Elliott and Quinn¹s criminal law</b:Title>
    <b:Year>2018</b:Year>
    <b:City>Harlow, England</b:City>
    <b:Publisher>Pearson Education Limited</b:Publisher>
    <b:RefOrder>9</b:RefOrder>
  </b:Source>
  <b:Source>
    <b:Tag>Cri22</b:Tag>
    <b:SourceType>JournalArticle</b:SourceType>
    <b:Guid>{C8A40175-EB25-4FC1-8FC5-2605D1BC7886}</b:Guid>
    <b:Title>Self-Defence and the Prevention of Crime</b:Title>
    <b:Year>2022</b:Year>
    <b:JournalName>Legal Guidance</b:JournalName>
    <b:Author>
      <b:Author>
        <b:Corporate>Crime Prosecution Service</b:Corporate>
      </b:Author>
    </b:Author>
    <b:RefOrder>10</b:RefOrder>
  </b:Source>
  <b:Source>
    <b:Tag>Stu18</b:Tag>
    <b:SourceType>Book</b:SourceType>
    <b:Guid>{F458D4CC-564B-469E-A649-B3357BA5B5B0}</b:Guid>
    <b:Title>Text, Cases and Materials on Criminal Law</b:Title>
    <b:Year>2018</b:Year>
    <b:Author>
      <b:Author>
        <b:NameList>
          <b:Person>
            <b:Last>Macdonald</b:Last>
            <b:First>Stuart</b:First>
          </b:Person>
        </b:NameList>
      </b:Author>
    </b:Author>
    <b:City>Harlow, England</b:City>
    <b:Publisher>Pearson Education</b:Publisher>
    <b:RefOrder>1</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3" ma:contentTypeDescription="Create a new document." ma:contentTypeScope="" ma:versionID="87087c263f9a59a6bf10bb6df36d6861">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a1099fa5c60a2dd9cc23d1ecd0f2e023"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AE12EA9-42C3-45EF-9D66-D9872C640406}">
  <ds:schemaRefs>
    <ds:schemaRef ds:uri="http://schemas.openxmlformats.org/officeDocument/2006/bibliography"/>
  </ds:schemaRefs>
</ds:datastoreItem>
</file>

<file path=customXml/itemProps3.xml><?xml version="1.0" encoding="utf-8"?>
<ds:datastoreItem xmlns:ds="http://schemas.openxmlformats.org/officeDocument/2006/customXml" ds:itemID="{E1A1F3C9-ED13-4BE7-BB40-249447F4581D}">
  <ds:schemaRefs>
    <ds:schemaRef ds:uri="http://schemas.microsoft.com/office/2006/metadata/properties"/>
    <ds:schemaRef ds:uri="http://schemas.microsoft.com/office/infopath/2007/PartnerControls"/>
    <ds:schemaRef ds:uri="60ab93c2-c2e2-4a82-ab36-09e8ba3f753e"/>
  </ds:schemaRefs>
</ds:datastoreItem>
</file>

<file path=customXml/itemProps4.xml><?xml version="1.0" encoding="utf-8"?>
<ds:datastoreItem xmlns:ds="http://schemas.openxmlformats.org/officeDocument/2006/customXml" ds:itemID="{5F23C40E-C99A-4784-9B4D-000DBA12A0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529966D-06A9-43DB-9862-BBAFBB80D79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Short essay outline</Template>
  <TotalTime>1</TotalTime>
  <Pages>6</Pages>
  <Words>1610</Words>
  <Characters>9179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Assignment</vt:lpstr>
    </vt:vector>
  </TitlesOfParts>
  <Company>UWTSD</Company>
  <LinksUpToDate>false</LinksUpToDate>
  <CharactersWithSpaces>10768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 Offences Against the Person Act [1861] suitable for use in a modern society?</dc:title>
  <dc:subject>CRIMINAL LAW</dc:subject>
  <dc:creator>Shavez Khan (2304838)</dc:creator>
  <cp:keywords/>
  <dc:description/>
  <cp:lastModifiedBy>Shavez Khan (2304838)</cp:lastModifiedBy>
  <cp:revision>2</cp:revision>
  <dcterms:created xsi:type="dcterms:W3CDTF">2024-03-15T19:33:00Z</dcterms:created>
  <dcterms:modified xsi:type="dcterms:W3CDTF">2024-03-15T19:33:00Z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ies>
</file>