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65FA6B" w14:textId="77777777" w:rsidR="002E7566" w:rsidRPr="00017A41" w:rsidRDefault="002E7566">
      <w:pPr>
        <w:spacing w:line="360" w:lineRule="auto"/>
        <w:jc w:val="center"/>
        <w:rPr>
          <w:rFonts w:ascii="Arial" w:hAnsi="Arial" w:cs="Arial"/>
          <w:b/>
          <w:bCs/>
          <w:color w:val="000000" w:themeColor="text1"/>
          <w:sz w:val="28"/>
          <w:szCs w:val="28"/>
        </w:rPr>
      </w:pPr>
    </w:p>
    <w:p w14:paraId="32EDA18A" w14:textId="372FB1F2" w:rsidR="00C75064" w:rsidRDefault="00C75064">
      <w:pPr>
        <w:spacing w:line="360" w:lineRule="auto"/>
        <w:jc w:val="center"/>
        <w:rPr>
          <w:rFonts w:ascii="Arial" w:hAnsi="Arial" w:cs="Arial"/>
          <w:b/>
          <w:bCs/>
          <w:color w:val="000000" w:themeColor="text1"/>
          <w:sz w:val="28"/>
          <w:szCs w:val="28"/>
        </w:rPr>
      </w:pPr>
      <w:r>
        <w:fldChar w:fldCharType="begin"/>
      </w:r>
      <w:r>
        <w:instrText xml:space="preserve"> INCLUDEPICTURE "https://www.discoverdylanthomas.com/wp-content/uploads/2017/03/UWTSD-Logo.jpg" \* MERGEFORMATINET </w:instrText>
      </w:r>
      <w:r>
        <w:fldChar w:fldCharType="separate"/>
      </w:r>
      <w:r>
        <w:rPr>
          <w:noProof/>
          <w:lang w:val="en-IN" w:eastAsia="en-IN"/>
        </w:rPr>
        <w:drawing>
          <wp:inline distT="0" distB="0" distL="0" distR="0" wp14:anchorId="42BEF7AA" wp14:editId="0BF3E30B">
            <wp:extent cx="3834384" cy="1533754"/>
            <wp:effectExtent l="0" t="0" r="1270" b="3175"/>
            <wp:docPr id="48444399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6020" cy="1542408"/>
                    </a:xfrm>
                    <a:prstGeom prst="rect">
                      <a:avLst/>
                    </a:prstGeom>
                    <a:noFill/>
                    <a:ln>
                      <a:noFill/>
                    </a:ln>
                  </pic:spPr>
                </pic:pic>
              </a:graphicData>
            </a:graphic>
          </wp:inline>
        </w:drawing>
      </w:r>
      <w:r>
        <w:fldChar w:fldCharType="end"/>
      </w:r>
    </w:p>
    <w:p w14:paraId="1E44DD06" w14:textId="50DC6A7A" w:rsidR="002E7566" w:rsidRDefault="00C75064">
      <w:pPr>
        <w:spacing w:line="360" w:lineRule="auto"/>
        <w:jc w:val="center"/>
        <w:rPr>
          <w:rFonts w:ascii="Arial" w:hAnsi="Arial" w:cs="Arial"/>
          <w:b/>
          <w:bCs/>
          <w:color w:val="000000" w:themeColor="text1"/>
          <w:sz w:val="28"/>
          <w:szCs w:val="28"/>
        </w:rPr>
      </w:pPr>
      <w:r>
        <w:rPr>
          <w:rFonts w:ascii="Arial" w:hAnsi="Arial" w:cs="Arial"/>
          <w:b/>
          <w:bCs/>
          <w:color w:val="000000" w:themeColor="text1"/>
          <w:sz w:val="28"/>
          <w:szCs w:val="28"/>
        </w:rPr>
        <w:t>Master of Business Administration Programme</w:t>
      </w:r>
    </w:p>
    <w:p w14:paraId="1F8FD7F8" w14:textId="51E4C813" w:rsidR="00C75064" w:rsidRPr="00C75064" w:rsidRDefault="00C75064" w:rsidP="00C75064">
      <w:pPr>
        <w:spacing w:line="360" w:lineRule="auto"/>
        <w:ind w:left="360"/>
        <w:jc w:val="center"/>
        <w:rPr>
          <w:rFonts w:ascii="Arial" w:hAnsi="Arial" w:cs="Arial"/>
          <w:b/>
          <w:bCs/>
          <w:color w:val="000000" w:themeColor="text1"/>
          <w:sz w:val="28"/>
          <w:szCs w:val="28"/>
        </w:rPr>
      </w:pPr>
      <w:r w:rsidRPr="00C75064">
        <w:rPr>
          <w:rFonts w:ascii="Arial" w:hAnsi="Arial" w:cs="Arial"/>
          <w:b/>
          <w:bCs/>
          <w:color w:val="000000" w:themeColor="text1"/>
          <w:sz w:val="28"/>
          <w:szCs w:val="28"/>
        </w:rPr>
        <w:t>Dissertation</w:t>
      </w:r>
    </w:p>
    <w:p w14:paraId="545DA32D" w14:textId="77777777" w:rsidR="00320047" w:rsidRDefault="00F05C45" w:rsidP="00320047">
      <w:pPr>
        <w:pStyle w:val="s6"/>
        <w:spacing w:before="0" w:beforeAutospacing="0" w:after="0" w:afterAutospacing="0"/>
        <w:jc w:val="center"/>
        <w:rPr>
          <w:rFonts w:ascii="Arial" w:eastAsiaTheme="minorHAnsi" w:hAnsi="Arial" w:cs="Arial"/>
          <w:b/>
          <w:bCs/>
          <w:color w:val="000000" w:themeColor="text1"/>
          <w:kern w:val="2"/>
          <w:sz w:val="28"/>
          <w:szCs w:val="28"/>
          <w:lang w:eastAsia="en-US"/>
          <w14:ligatures w14:val="standardContextual"/>
        </w:rPr>
      </w:pPr>
      <w:r w:rsidRPr="00F05C45">
        <w:rPr>
          <w:rFonts w:eastAsiaTheme="minorHAnsi"/>
          <w:color w:val="000000" w:themeColor="text1"/>
          <w:kern w:val="2"/>
          <w:sz w:val="28"/>
          <w:szCs w:val="28"/>
          <w:lang w:eastAsia="en-US"/>
          <w14:ligatures w14:val="standardContextual"/>
        </w:rPr>
        <w:t>Student Nam</w:t>
      </w:r>
      <w:r w:rsidR="00320047">
        <w:rPr>
          <w:rFonts w:eastAsiaTheme="minorHAnsi"/>
          <w:color w:val="000000" w:themeColor="text1"/>
          <w:kern w:val="2"/>
          <w:sz w:val="28"/>
          <w:szCs w:val="28"/>
          <w:lang w:eastAsia="en-US"/>
          <w14:ligatures w14:val="standardContextual"/>
        </w:rPr>
        <w:t>e: Amitkumar Jayantibhai Vaghela</w:t>
      </w:r>
      <w:r w:rsidRPr="00F05C45">
        <w:rPr>
          <w:rFonts w:eastAsiaTheme="minorHAnsi"/>
          <w:color w:val="000000" w:themeColor="text1"/>
          <w:kern w:val="2"/>
          <w:sz w:val="28"/>
          <w:szCs w:val="28"/>
          <w:lang w:eastAsia="en-US"/>
          <w14:ligatures w14:val="standardContextual"/>
        </w:rPr>
        <w:t> </w:t>
      </w:r>
    </w:p>
    <w:p w14:paraId="7AC930FF" w14:textId="08CB4B77" w:rsidR="00F05C45" w:rsidRDefault="00F05C45" w:rsidP="00320047">
      <w:pPr>
        <w:pStyle w:val="s6"/>
        <w:spacing w:before="0" w:beforeAutospacing="0" w:after="0" w:afterAutospacing="0"/>
        <w:jc w:val="center"/>
        <w:rPr>
          <w:rFonts w:eastAsiaTheme="minorHAnsi"/>
          <w:color w:val="000000" w:themeColor="text1"/>
          <w:kern w:val="2"/>
          <w:sz w:val="28"/>
          <w:szCs w:val="28"/>
          <w:lang w:eastAsia="en-US"/>
          <w14:ligatures w14:val="standardContextual"/>
        </w:rPr>
      </w:pPr>
      <w:r w:rsidRPr="00F05C45">
        <w:rPr>
          <w:rFonts w:eastAsiaTheme="minorHAnsi"/>
          <w:color w:val="000000" w:themeColor="text1"/>
          <w:kern w:val="2"/>
          <w:sz w:val="28"/>
          <w:szCs w:val="28"/>
          <w:lang w:eastAsia="en-US"/>
          <w14:ligatures w14:val="standardContextual"/>
        </w:rPr>
        <w:t>Student ID:  2420384</w:t>
      </w:r>
      <w:r w:rsidR="00320047">
        <w:rPr>
          <w:rFonts w:eastAsiaTheme="minorHAnsi"/>
          <w:color w:val="000000" w:themeColor="text1"/>
          <w:kern w:val="2"/>
          <w:sz w:val="28"/>
          <w:szCs w:val="28"/>
          <w:lang w:eastAsia="en-US"/>
          <w14:ligatures w14:val="standardContextual"/>
        </w:rPr>
        <w:t xml:space="preserve">  </w:t>
      </w:r>
    </w:p>
    <w:p w14:paraId="7A1ABA97" w14:textId="31A2BF55" w:rsidR="00320047" w:rsidRDefault="00320047" w:rsidP="00320047">
      <w:pPr>
        <w:pStyle w:val="s6"/>
        <w:spacing w:before="0" w:beforeAutospacing="0" w:after="0" w:afterAutospacing="0"/>
        <w:jc w:val="center"/>
        <w:rPr>
          <w:rFonts w:eastAsiaTheme="minorHAnsi"/>
          <w:color w:val="000000" w:themeColor="text1"/>
          <w:kern w:val="2"/>
          <w:sz w:val="28"/>
          <w:szCs w:val="28"/>
          <w:lang w:eastAsia="en-US"/>
          <w14:ligatures w14:val="standardContextual"/>
        </w:rPr>
      </w:pPr>
      <w:r>
        <w:rPr>
          <w:rFonts w:eastAsiaTheme="minorHAnsi"/>
          <w:color w:val="000000" w:themeColor="text1"/>
          <w:kern w:val="2"/>
          <w:sz w:val="28"/>
          <w:szCs w:val="28"/>
          <w:lang w:eastAsia="en-US"/>
          <w14:ligatures w14:val="standardContextual"/>
        </w:rPr>
        <w:t>Module Leader: Hoang Nguyen</w:t>
      </w:r>
    </w:p>
    <w:p w14:paraId="4B92F1ED" w14:textId="5277080A" w:rsidR="00320047" w:rsidRDefault="00320047" w:rsidP="00320047">
      <w:pPr>
        <w:pStyle w:val="s6"/>
        <w:spacing w:before="0" w:beforeAutospacing="0" w:after="0" w:afterAutospacing="0"/>
        <w:jc w:val="center"/>
        <w:rPr>
          <w:rFonts w:eastAsiaTheme="minorHAnsi"/>
          <w:color w:val="000000" w:themeColor="text1"/>
          <w:kern w:val="2"/>
          <w:sz w:val="28"/>
          <w:szCs w:val="28"/>
          <w:lang w:eastAsia="en-US"/>
          <w14:ligatures w14:val="standardContextual"/>
        </w:rPr>
      </w:pPr>
      <w:r>
        <w:rPr>
          <w:rFonts w:eastAsiaTheme="minorHAnsi"/>
          <w:color w:val="000000" w:themeColor="text1"/>
          <w:kern w:val="2"/>
          <w:sz w:val="28"/>
          <w:szCs w:val="28"/>
          <w:lang w:eastAsia="en-US"/>
          <w14:ligatures w14:val="standardContextual"/>
        </w:rPr>
        <w:t>Meeting Supervisor: DR Laila Maazouz</w:t>
      </w:r>
    </w:p>
    <w:p w14:paraId="3B7C44EB" w14:textId="0E70538E" w:rsidR="00320047" w:rsidRDefault="00320047" w:rsidP="00320047">
      <w:pPr>
        <w:pStyle w:val="s6"/>
        <w:spacing w:before="0" w:beforeAutospacing="0" w:after="0" w:afterAutospacing="0"/>
        <w:jc w:val="center"/>
        <w:rPr>
          <w:rFonts w:eastAsiaTheme="minorHAnsi"/>
          <w:color w:val="000000" w:themeColor="text1"/>
          <w:kern w:val="2"/>
          <w:sz w:val="28"/>
          <w:szCs w:val="28"/>
          <w:lang w:eastAsia="en-US"/>
          <w14:ligatures w14:val="standardContextual"/>
        </w:rPr>
      </w:pPr>
      <w:r>
        <w:rPr>
          <w:rFonts w:eastAsiaTheme="minorHAnsi"/>
          <w:color w:val="000000" w:themeColor="text1"/>
          <w:kern w:val="2"/>
          <w:sz w:val="28"/>
          <w:szCs w:val="28"/>
          <w:lang w:eastAsia="en-US"/>
          <w14:ligatures w14:val="standardContextual"/>
        </w:rPr>
        <w:t>Module Code LCMB7035</w:t>
      </w:r>
    </w:p>
    <w:p w14:paraId="06422F54" w14:textId="4F7AF5A5" w:rsidR="00320047" w:rsidRPr="00F05C45" w:rsidRDefault="00320047" w:rsidP="00320047">
      <w:pPr>
        <w:pStyle w:val="s6"/>
        <w:spacing w:before="0" w:beforeAutospacing="0" w:after="0" w:afterAutospacing="0"/>
        <w:rPr>
          <w:rFonts w:ascii="Arial" w:eastAsiaTheme="minorHAnsi" w:hAnsi="Arial" w:cs="Arial"/>
          <w:b/>
          <w:bCs/>
          <w:color w:val="000000" w:themeColor="text1"/>
          <w:kern w:val="2"/>
          <w:sz w:val="28"/>
          <w:szCs w:val="28"/>
          <w:lang w:eastAsia="en-US"/>
          <w14:ligatures w14:val="standardContextual"/>
        </w:rPr>
      </w:pPr>
    </w:p>
    <w:p w14:paraId="1369A558" w14:textId="77777777" w:rsidR="00F05C45" w:rsidRPr="00F05C45" w:rsidRDefault="00F05C45" w:rsidP="00F05C45">
      <w:pPr>
        <w:pStyle w:val="s7"/>
        <w:spacing w:before="90" w:beforeAutospacing="0" w:after="90" w:afterAutospacing="0"/>
        <w:rPr>
          <w:rFonts w:ascii="Arial" w:eastAsiaTheme="minorHAnsi" w:hAnsi="Arial" w:cs="Arial"/>
          <w:b/>
          <w:bCs/>
          <w:color w:val="000000" w:themeColor="text1"/>
          <w:kern w:val="2"/>
          <w:sz w:val="28"/>
          <w:szCs w:val="28"/>
          <w:lang w:eastAsia="en-US"/>
          <w14:ligatures w14:val="standardContextual"/>
        </w:rPr>
      </w:pPr>
      <w:r w:rsidRPr="00F05C45">
        <w:rPr>
          <w:rFonts w:ascii="Arial" w:eastAsiaTheme="minorHAnsi" w:hAnsi="Arial" w:cs="Arial"/>
          <w:b/>
          <w:bCs/>
          <w:color w:val="000000" w:themeColor="text1"/>
          <w:kern w:val="2"/>
          <w:sz w:val="28"/>
          <w:szCs w:val="28"/>
          <w:lang w:eastAsia="en-US"/>
          <w14:ligatures w14:val="standardContextual"/>
        </w:rPr>
        <w:t> </w:t>
      </w:r>
    </w:p>
    <w:p w14:paraId="715BEA22" w14:textId="77777777" w:rsidR="002E7566" w:rsidRPr="00017A41" w:rsidRDefault="002E7566" w:rsidP="00F05C45">
      <w:pPr>
        <w:spacing w:line="360" w:lineRule="auto"/>
        <w:rPr>
          <w:rFonts w:ascii="Arial" w:hAnsi="Arial" w:cs="Arial"/>
          <w:b/>
          <w:bCs/>
          <w:color w:val="000000" w:themeColor="text1"/>
          <w:sz w:val="28"/>
          <w:szCs w:val="28"/>
        </w:rPr>
      </w:pPr>
    </w:p>
    <w:p w14:paraId="6E31FE14" w14:textId="77777777" w:rsidR="002E7566" w:rsidRPr="00017A41" w:rsidRDefault="005711CF">
      <w:pPr>
        <w:spacing w:line="360" w:lineRule="auto"/>
        <w:jc w:val="center"/>
        <w:rPr>
          <w:rFonts w:ascii="Arial" w:hAnsi="Arial" w:cs="Arial"/>
          <w:color w:val="000000" w:themeColor="text1"/>
          <w:sz w:val="28"/>
          <w:szCs w:val="28"/>
        </w:rPr>
      </w:pPr>
      <w:r w:rsidRPr="00017A41">
        <w:rPr>
          <w:rFonts w:ascii="Arial" w:hAnsi="Arial" w:cs="Arial"/>
          <w:b/>
          <w:bCs/>
          <w:color w:val="000000" w:themeColor="text1"/>
          <w:sz w:val="28"/>
          <w:szCs w:val="28"/>
        </w:rPr>
        <w:t>Topic:</w:t>
      </w:r>
      <w:r w:rsidRPr="00017A41">
        <w:rPr>
          <w:rFonts w:ascii="Arial" w:hAnsi="Arial" w:cs="Arial"/>
          <w:color w:val="000000" w:themeColor="text1"/>
          <w:sz w:val="28"/>
          <w:szCs w:val="28"/>
        </w:rPr>
        <w:t xml:space="preserve"> The Impact of International Supply Chain Disruptions on UK SME Manufacturing Firms</w:t>
      </w:r>
    </w:p>
    <w:p w14:paraId="0EED3C7B" w14:textId="6383C761" w:rsidR="002E7566" w:rsidRPr="00017A41" w:rsidRDefault="00F05C45">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 xml:space="preserve">Wordcount: </w:t>
      </w:r>
      <w:r w:rsidR="009F5E5F">
        <w:rPr>
          <w:rFonts w:ascii="Arial" w:hAnsi="Arial" w:cs="Arial"/>
          <w:color w:val="000000" w:themeColor="text1"/>
          <w:sz w:val="28"/>
          <w:szCs w:val="28"/>
        </w:rPr>
        <w:t>14,445</w:t>
      </w:r>
    </w:p>
    <w:p w14:paraId="3E35EDDC" w14:textId="4BCC3E08" w:rsidR="0074184E" w:rsidRDefault="0074184E">
      <w:pPr>
        <w:spacing w:after="0" w:line="240" w:lineRule="auto"/>
        <w:rPr>
          <w:rFonts w:ascii="Arial" w:hAnsi="Arial" w:cs="Arial"/>
          <w:color w:val="000000" w:themeColor="text1"/>
          <w:sz w:val="28"/>
          <w:szCs w:val="28"/>
        </w:rPr>
      </w:pPr>
      <w:r>
        <w:rPr>
          <w:rFonts w:ascii="Arial" w:hAnsi="Arial" w:cs="Arial"/>
          <w:color w:val="000000" w:themeColor="text1"/>
          <w:sz w:val="28"/>
          <w:szCs w:val="28"/>
        </w:rPr>
        <w:br w:type="page"/>
      </w:r>
    </w:p>
    <w:p w14:paraId="7574979D" w14:textId="196A3D7E" w:rsidR="002E7566" w:rsidRDefault="0074184E" w:rsidP="00F55246">
      <w:pPr>
        <w:pStyle w:val="Heading1"/>
        <w:spacing w:line="360" w:lineRule="auto"/>
        <w:jc w:val="center"/>
        <w:rPr>
          <w:rFonts w:ascii="Arial" w:hAnsi="Arial" w:cs="Arial"/>
          <w:b/>
          <w:bCs/>
          <w:color w:val="000000" w:themeColor="text1"/>
          <w:sz w:val="28"/>
          <w:szCs w:val="28"/>
        </w:rPr>
      </w:pPr>
      <w:bookmarkStart w:id="0" w:name="_Toc220890048"/>
      <w:r w:rsidRPr="00F55246">
        <w:rPr>
          <w:rFonts w:ascii="Arial" w:hAnsi="Arial" w:cs="Arial"/>
          <w:b/>
          <w:bCs/>
          <w:color w:val="000000" w:themeColor="text1"/>
          <w:sz w:val="28"/>
          <w:szCs w:val="28"/>
        </w:rPr>
        <w:lastRenderedPageBreak/>
        <w:t>Declaration</w:t>
      </w:r>
      <w:bookmarkEnd w:id="0"/>
    </w:p>
    <w:p w14:paraId="43508882" w14:textId="1D9F846D" w:rsidR="00F55246" w:rsidRPr="00F55246" w:rsidRDefault="00F55246" w:rsidP="00F55246">
      <w:pPr>
        <w:spacing w:line="360" w:lineRule="auto"/>
        <w:jc w:val="both"/>
        <w:rPr>
          <w:rFonts w:ascii="Arial" w:hAnsi="Arial" w:cs="Arial"/>
        </w:rPr>
      </w:pPr>
      <w:r w:rsidRPr="00F55246">
        <w:rPr>
          <w:rFonts w:ascii="Arial" w:hAnsi="Arial" w:cs="Arial"/>
        </w:rPr>
        <w:t xml:space="preserve">I, Amit,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391C59D" w14:textId="77777777" w:rsidR="00F55246" w:rsidRPr="00F55246" w:rsidRDefault="00F55246" w:rsidP="00F55246">
      <w:pPr>
        <w:spacing w:line="360" w:lineRule="auto"/>
        <w:jc w:val="both"/>
        <w:rPr>
          <w:rFonts w:ascii="Arial" w:hAnsi="Arial" w:cs="Arial"/>
        </w:rPr>
      </w:pPr>
      <w:r w:rsidRPr="00F55246">
        <w:rPr>
          <w:rFonts w:ascii="Arial" w:hAnsi="Arial" w:cs="Arial"/>
        </w:rPr>
        <w:t xml:space="preserve"> </w:t>
      </w:r>
    </w:p>
    <w:p w14:paraId="0A56B81C" w14:textId="472700CD" w:rsidR="00F55246" w:rsidRPr="00F55246" w:rsidRDefault="00F55246" w:rsidP="00F55246">
      <w:pPr>
        <w:spacing w:line="360" w:lineRule="auto"/>
        <w:jc w:val="both"/>
        <w:rPr>
          <w:rFonts w:ascii="Arial" w:hAnsi="Arial" w:cs="Arial"/>
        </w:rPr>
      </w:pPr>
      <w:r w:rsidRPr="00F55246">
        <w:rPr>
          <w:rFonts w:ascii="Arial" w:hAnsi="Arial" w:cs="Arial"/>
        </w:rPr>
        <w:t xml:space="preserve">Signature: </w:t>
      </w:r>
      <w:r w:rsidR="005A16DE" w:rsidRPr="00F05C45">
        <w:rPr>
          <w:color w:val="000000" w:themeColor="text1"/>
          <w:sz w:val="28"/>
          <w:szCs w:val="28"/>
        </w:rPr>
        <w:t>Amitkumar Jayantibhai Vaghela</w:t>
      </w:r>
    </w:p>
    <w:p w14:paraId="3BE1B3C2" w14:textId="77777777" w:rsidR="00F55246" w:rsidRPr="00F55246" w:rsidRDefault="00F55246" w:rsidP="00F55246">
      <w:pPr>
        <w:spacing w:line="360" w:lineRule="auto"/>
        <w:jc w:val="both"/>
        <w:rPr>
          <w:rFonts w:ascii="Arial" w:hAnsi="Arial" w:cs="Arial"/>
        </w:rPr>
      </w:pPr>
      <w:r w:rsidRPr="00F55246">
        <w:rPr>
          <w:rFonts w:ascii="Arial" w:hAnsi="Arial" w:cs="Arial"/>
        </w:rPr>
        <w:t xml:space="preserve"> </w:t>
      </w:r>
    </w:p>
    <w:p w14:paraId="5CB9EC0C" w14:textId="0E2154BD" w:rsidR="00F55246" w:rsidRPr="00F55246" w:rsidRDefault="00F55246" w:rsidP="00F55246">
      <w:pPr>
        <w:spacing w:line="360" w:lineRule="auto"/>
        <w:jc w:val="both"/>
        <w:rPr>
          <w:rFonts w:ascii="Arial" w:hAnsi="Arial" w:cs="Arial"/>
        </w:rPr>
      </w:pPr>
      <w:r w:rsidRPr="00F55246">
        <w:rPr>
          <w:rFonts w:ascii="Arial" w:hAnsi="Arial" w:cs="Arial"/>
        </w:rPr>
        <w:t xml:space="preserve">Date:         </w:t>
      </w:r>
      <w:r w:rsidR="005A16DE">
        <w:rPr>
          <w:rFonts w:ascii="Arial" w:hAnsi="Arial" w:cs="Arial"/>
        </w:rPr>
        <w:t>03-02-2026</w:t>
      </w:r>
    </w:p>
    <w:p w14:paraId="0DF4F9D8" w14:textId="77777777" w:rsidR="00F55246" w:rsidRPr="00F55246" w:rsidRDefault="00F55246" w:rsidP="00F55246"/>
    <w:p w14:paraId="35F2ED16" w14:textId="61E01378" w:rsidR="0074184E" w:rsidRDefault="0074184E">
      <w:pPr>
        <w:spacing w:after="0" w:line="240" w:lineRule="auto"/>
        <w:rPr>
          <w:rFonts w:ascii="Arial" w:hAnsi="Arial" w:cs="Arial"/>
          <w:color w:val="000000" w:themeColor="text1"/>
          <w:sz w:val="28"/>
          <w:szCs w:val="28"/>
        </w:rPr>
      </w:pPr>
      <w:r>
        <w:rPr>
          <w:rFonts w:ascii="Arial" w:hAnsi="Arial" w:cs="Arial"/>
          <w:color w:val="000000" w:themeColor="text1"/>
          <w:sz w:val="28"/>
          <w:szCs w:val="28"/>
        </w:rPr>
        <w:br w:type="page"/>
      </w:r>
    </w:p>
    <w:p w14:paraId="6C57CBB7" w14:textId="0D6F8CE9" w:rsidR="002E7566" w:rsidRPr="007F29DA" w:rsidRDefault="0074184E" w:rsidP="007F29DA">
      <w:pPr>
        <w:pStyle w:val="Heading1"/>
        <w:spacing w:line="360" w:lineRule="auto"/>
        <w:jc w:val="center"/>
        <w:rPr>
          <w:rFonts w:ascii="Arial" w:hAnsi="Arial" w:cs="Arial"/>
          <w:b/>
          <w:bCs/>
          <w:color w:val="000000" w:themeColor="text1"/>
          <w:sz w:val="28"/>
          <w:szCs w:val="28"/>
        </w:rPr>
      </w:pPr>
      <w:bookmarkStart w:id="1" w:name="_Toc220890049"/>
      <w:r w:rsidRPr="007F29DA">
        <w:rPr>
          <w:rFonts w:ascii="Arial" w:hAnsi="Arial" w:cs="Arial"/>
          <w:b/>
          <w:bCs/>
          <w:color w:val="000000" w:themeColor="text1"/>
          <w:sz w:val="28"/>
          <w:szCs w:val="28"/>
        </w:rPr>
        <w:lastRenderedPageBreak/>
        <w:t>Acknowledgement</w:t>
      </w:r>
      <w:bookmarkEnd w:id="1"/>
    </w:p>
    <w:p w14:paraId="4F85A285" w14:textId="7F9DFC13" w:rsidR="007F29DA" w:rsidRPr="007F29DA" w:rsidRDefault="007F29DA" w:rsidP="007F29DA">
      <w:pPr>
        <w:spacing w:line="360" w:lineRule="auto"/>
        <w:jc w:val="both"/>
        <w:rPr>
          <w:rFonts w:ascii="Arial" w:hAnsi="Arial" w:cs="Arial"/>
          <w:color w:val="000000" w:themeColor="text1"/>
        </w:rPr>
      </w:pPr>
      <w:r w:rsidRPr="007F29DA">
        <w:rPr>
          <w:rFonts w:ascii="Arial" w:hAnsi="Arial" w:cs="Arial"/>
          <w:color w:val="000000" w:themeColor="text1"/>
        </w:rPr>
        <w:t xml:space="preserve">I would like to take this opportunity to </w:t>
      </w:r>
      <w:r>
        <w:rPr>
          <w:rFonts w:ascii="Arial" w:hAnsi="Arial" w:cs="Arial"/>
          <w:color w:val="000000" w:themeColor="text1"/>
        </w:rPr>
        <w:t>recognise the fact that I owe the University of Wales Trinity Saint David (UWTSD) my genuine gratitude,</w:t>
      </w:r>
      <w:r w:rsidRPr="007F29DA">
        <w:rPr>
          <w:rFonts w:ascii="Arial" w:hAnsi="Arial" w:cs="Arial"/>
          <w:color w:val="000000" w:themeColor="text1"/>
        </w:rPr>
        <w:t xml:space="preserve"> due to which this research would not have received the academic base that it has been given. I would like to extend my profoundest gratitude to my supervisor</w:t>
      </w:r>
      <w:r w:rsidR="005A16DE">
        <w:rPr>
          <w:rFonts w:ascii="Arial" w:hAnsi="Arial" w:cs="Arial"/>
          <w:color w:val="000000" w:themeColor="text1"/>
        </w:rPr>
        <w:t>,</w:t>
      </w:r>
      <w:r w:rsidR="0077424C">
        <w:rPr>
          <w:rFonts w:ascii="Arial" w:hAnsi="Arial" w:cs="Arial"/>
          <w:color w:val="000000" w:themeColor="text1"/>
        </w:rPr>
        <w:t xml:space="preserve"> Dr. Laila Maazouz</w:t>
      </w:r>
      <w:r w:rsidR="005A16DE">
        <w:rPr>
          <w:rFonts w:ascii="Arial" w:hAnsi="Arial" w:cs="Arial"/>
          <w:color w:val="000000" w:themeColor="text1"/>
        </w:rPr>
        <w:t xml:space="preserve"> </w:t>
      </w:r>
      <w:r>
        <w:rPr>
          <w:rFonts w:ascii="Arial" w:hAnsi="Arial" w:cs="Arial"/>
          <w:color w:val="000000" w:themeColor="text1"/>
        </w:rPr>
        <w:t>who has</w:t>
      </w:r>
      <w:r w:rsidRPr="007F29DA">
        <w:rPr>
          <w:rFonts w:ascii="Arial" w:hAnsi="Arial" w:cs="Arial"/>
          <w:color w:val="000000" w:themeColor="text1"/>
        </w:rPr>
        <w:t xml:space="preserve"> helped me work on this project, given me valuable feedback and guided me throughout the entire project. Last but not least, I would like to thank my family</w:t>
      </w:r>
      <w:r>
        <w:rPr>
          <w:rFonts w:ascii="Arial" w:hAnsi="Arial" w:cs="Arial"/>
          <w:color w:val="000000" w:themeColor="text1"/>
        </w:rPr>
        <w:t>, who were</w:t>
      </w:r>
      <w:r w:rsidRPr="007F29DA">
        <w:rPr>
          <w:rFonts w:ascii="Arial" w:hAnsi="Arial" w:cs="Arial"/>
          <w:color w:val="000000" w:themeColor="text1"/>
        </w:rPr>
        <w:t xml:space="preserve"> patient, supportive, and believed in me. This study is an epitome of </w:t>
      </w:r>
      <w:r>
        <w:rPr>
          <w:rFonts w:ascii="Arial" w:hAnsi="Arial" w:cs="Arial"/>
          <w:color w:val="000000" w:themeColor="text1"/>
        </w:rPr>
        <w:t xml:space="preserve">the </w:t>
      </w:r>
      <w:r w:rsidRPr="007F29DA">
        <w:rPr>
          <w:rFonts w:ascii="Arial" w:hAnsi="Arial" w:cs="Arial"/>
          <w:color w:val="000000" w:themeColor="text1"/>
        </w:rPr>
        <w:t>support and direction of all these people.</w:t>
      </w:r>
    </w:p>
    <w:p w14:paraId="59E4A997" w14:textId="77777777" w:rsidR="002E7566" w:rsidRPr="00017A41" w:rsidRDefault="002E7566">
      <w:pPr>
        <w:spacing w:line="360" w:lineRule="auto"/>
        <w:jc w:val="center"/>
        <w:rPr>
          <w:rFonts w:ascii="Arial" w:hAnsi="Arial" w:cs="Arial"/>
          <w:color w:val="000000" w:themeColor="text1"/>
          <w:sz w:val="28"/>
          <w:szCs w:val="28"/>
        </w:rPr>
      </w:pPr>
    </w:p>
    <w:p w14:paraId="344ADFB2" w14:textId="77777777" w:rsidR="002E7566" w:rsidRPr="00017A41" w:rsidRDefault="002E7566">
      <w:pPr>
        <w:spacing w:line="360" w:lineRule="auto"/>
        <w:jc w:val="center"/>
        <w:rPr>
          <w:rFonts w:ascii="Arial" w:hAnsi="Arial" w:cs="Arial"/>
          <w:color w:val="000000" w:themeColor="text1"/>
          <w:sz w:val="28"/>
          <w:szCs w:val="28"/>
        </w:rPr>
      </w:pPr>
    </w:p>
    <w:p w14:paraId="37748156" w14:textId="77777777" w:rsidR="002E7566" w:rsidRPr="00017A41" w:rsidRDefault="002E7566">
      <w:pPr>
        <w:spacing w:line="360" w:lineRule="auto"/>
        <w:jc w:val="center"/>
        <w:rPr>
          <w:rFonts w:ascii="Arial" w:hAnsi="Arial" w:cs="Arial"/>
          <w:color w:val="000000" w:themeColor="text1"/>
          <w:sz w:val="28"/>
          <w:szCs w:val="28"/>
        </w:rPr>
      </w:pPr>
    </w:p>
    <w:p w14:paraId="0B9299A3" w14:textId="77777777" w:rsidR="002E7566" w:rsidRPr="00017A41" w:rsidRDefault="002E7566">
      <w:pPr>
        <w:spacing w:line="360" w:lineRule="auto"/>
        <w:jc w:val="center"/>
        <w:rPr>
          <w:rFonts w:ascii="Arial" w:hAnsi="Arial" w:cs="Arial"/>
          <w:color w:val="000000" w:themeColor="text1"/>
          <w:sz w:val="28"/>
          <w:szCs w:val="28"/>
        </w:rPr>
      </w:pPr>
    </w:p>
    <w:p w14:paraId="121CAA14" w14:textId="77777777" w:rsidR="002E7566" w:rsidRPr="00017A41" w:rsidRDefault="002E7566">
      <w:pPr>
        <w:spacing w:line="360" w:lineRule="auto"/>
        <w:jc w:val="center"/>
        <w:rPr>
          <w:rFonts w:ascii="Arial" w:hAnsi="Arial" w:cs="Arial"/>
          <w:color w:val="000000" w:themeColor="text1"/>
          <w:sz w:val="28"/>
          <w:szCs w:val="28"/>
        </w:rPr>
      </w:pPr>
    </w:p>
    <w:p w14:paraId="70B58D04" w14:textId="77777777" w:rsidR="002E7566" w:rsidRPr="00017A41" w:rsidRDefault="002E7566">
      <w:pPr>
        <w:spacing w:line="360" w:lineRule="auto"/>
        <w:jc w:val="center"/>
        <w:rPr>
          <w:rFonts w:ascii="Arial" w:hAnsi="Arial" w:cs="Arial"/>
          <w:color w:val="000000" w:themeColor="text1"/>
          <w:sz w:val="28"/>
          <w:szCs w:val="28"/>
        </w:rPr>
      </w:pPr>
    </w:p>
    <w:p w14:paraId="7FEFC4CA" w14:textId="77777777" w:rsidR="002E7566" w:rsidRPr="00017A41" w:rsidRDefault="002E7566">
      <w:pPr>
        <w:spacing w:line="360" w:lineRule="auto"/>
        <w:jc w:val="center"/>
        <w:rPr>
          <w:rFonts w:ascii="Arial" w:hAnsi="Arial" w:cs="Arial"/>
          <w:color w:val="000000" w:themeColor="text1"/>
          <w:sz w:val="28"/>
          <w:szCs w:val="28"/>
        </w:rPr>
      </w:pPr>
    </w:p>
    <w:p w14:paraId="2C5D80C8" w14:textId="5B57BF2A" w:rsidR="001A6581" w:rsidRDefault="001A6581">
      <w:pPr>
        <w:spacing w:after="0" w:line="240" w:lineRule="auto"/>
        <w:rPr>
          <w:rFonts w:ascii="Arial" w:hAnsi="Arial" w:cs="Arial"/>
          <w:color w:val="000000" w:themeColor="text1"/>
          <w:sz w:val="28"/>
          <w:szCs w:val="28"/>
        </w:rPr>
      </w:pPr>
      <w:r>
        <w:rPr>
          <w:rFonts w:ascii="Arial" w:hAnsi="Arial" w:cs="Arial"/>
          <w:color w:val="000000" w:themeColor="text1"/>
          <w:sz w:val="28"/>
          <w:szCs w:val="28"/>
        </w:rPr>
        <w:br w:type="page"/>
      </w:r>
    </w:p>
    <w:p w14:paraId="504D9CB4" w14:textId="10F3A544" w:rsidR="002E7566" w:rsidRPr="005D666B" w:rsidRDefault="001A6581" w:rsidP="005D666B">
      <w:pPr>
        <w:pStyle w:val="Heading1"/>
        <w:spacing w:line="360" w:lineRule="auto"/>
        <w:jc w:val="center"/>
        <w:rPr>
          <w:rFonts w:ascii="Arial" w:hAnsi="Arial" w:cs="Arial"/>
          <w:b/>
          <w:bCs/>
          <w:color w:val="000000" w:themeColor="text1"/>
          <w:sz w:val="28"/>
          <w:szCs w:val="28"/>
        </w:rPr>
      </w:pPr>
      <w:bookmarkStart w:id="2" w:name="_Toc220890050"/>
      <w:r w:rsidRPr="005D666B">
        <w:rPr>
          <w:rFonts w:ascii="Arial" w:hAnsi="Arial" w:cs="Arial"/>
          <w:b/>
          <w:bCs/>
          <w:color w:val="000000" w:themeColor="text1"/>
          <w:sz w:val="28"/>
          <w:szCs w:val="28"/>
        </w:rPr>
        <w:lastRenderedPageBreak/>
        <w:t>Abstract</w:t>
      </w:r>
      <w:bookmarkEnd w:id="2"/>
    </w:p>
    <w:p w14:paraId="04835286" w14:textId="77777777" w:rsidR="007F29DA" w:rsidRPr="00095EA0" w:rsidRDefault="007F29DA" w:rsidP="007F29DA">
      <w:pPr>
        <w:spacing w:line="360" w:lineRule="auto"/>
        <w:jc w:val="both"/>
        <w:rPr>
          <w:rFonts w:ascii="Arial" w:hAnsi="Arial" w:cs="Arial"/>
          <w:color w:val="000000" w:themeColor="text1"/>
        </w:rPr>
      </w:pPr>
      <w:r w:rsidRPr="00095EA0">
        <w:rPr>
          <w:rFonts w:ascii="Arial" w:hAnsi="Arial" w:cs="Arial"/>
          <w:b/>
          <w:bCs/>
          <w:color w:val="000000" w:themeColor="text1"/>
        </w:rPr>
        <w:t>Aim:</w:t>
      </w:r>
      <w:r>
        <w:rPr>
          <w:rFonts w:ascii="Arial" w:hAnsi="Arial" w:cs="Arial"/>
          <w:color w:val="000000" w:themeColor="text1"/>
        </w:rPr>
        <w:t xml:space="preserve"> </w:t>
      </w:r>
      <w:r w:rsidRPr="00095EA0">
        <w:rPr>
          <w:rFonts w:ascii="Arial" w:hAnsi="Arial" w:cs="Arial"/>
          <w:color w:val="000000" w:themeColor="text1"/>
        </w:rPr>
        <w:t xml:space="preserve">This </w:t>
      </w:r>
      <w:r>
        <w:rPr>
          <w:rFonts w:ascii="Arial" w:hAnsi="Arial" w:cs="Arial"/>
          <w:color w:val="000000" w:themeColor="text1"/>
        </w:rPr>
        <w:t>study</w:t>
      </w:r>
      <w:r w:rsidRPr="00095EA0">
        <w:rPr>
          <w:rFonts w:ascii="Arial" w:hAnsi="Arial" w:cs="Arial"/>
          <w:color w:val="000000" w:themeColor="text1"/>
        </w:rPr>
        <w:t xml:space="preserve"> </w:t>
      </w:r>
      <w:r>
        <w:rPr>
          <w:rFonts w:ascii="Arial" w:hAnsi="Arial" w:cs="Arial"/>
          <w:color w:val="000000" w:themeColor="text1"/>
        </w:rPr>
        <w:t>examines</w:t>
      </w:r>
      <w:r w:rsidRPr="00095EA0">
        <w:rPr>
          <w:rFonts w:ascii="Arial" w:hAnsi="Arial" w:cs="Arial"/>
          <w:color w:val="000000" w:themeColor="text1"/>
        </w:rPr>
        <w:t xml:space="preserve"> the impact of international supply chain disturbances on the operations and strategic choices of UK manufacturing SMEs. It will seek to determine the key causes of disruptions, evaluate their operational and financial consequences, and get insights into how firms cope with them.</w:t>
      </w:r>
    </w:p>
    <w:p w14:paraId="3D01A1F7" w14:textId="77777777" w:rsidR="007F29DA" w:rsidRPr="00095EA0" w:rsidRDefault="007F29DA" w:rsidP="007F29DA">
      <w:pPr>
        <w:spacing w:line="360" w:lineRule="auto"/>
        <w:jc w:val="both"/>
        <w:rPr>
          <w:rFonts w:ascii="Arial" w:hAnsi="Arial" w:cs="Arial"/>
          <w:color w:val="000000" w:themeColor="text1"/>
        </w:rPr>
      </w:pPr>
      <w:r w:rsidRPr="00095EA0">
        <w:rPr>
          <w:rFonts w:ascii="Arial" w:hAnsi="Arial" w:cs="Arial"/>
          <w:b/>
          <w:bCs/>
          <w:color w:val="000000" w:themeColor="text1"/>
        </w:rPr>
        <w:t>Research Method:</w:t>
      </w:r>
      <w:r>
        <w:rPr>
          <w:rFonts w:ascii="Arial" w:hAnsi="Arial" w:cs="Arial"/>
          <w:color w:val="000000" w:themeColor="text1"/>
        </w:rPr>
        <w:t xml:space="preserve"> </w:t>
      </w:r>
      <w:r w:rsidRPr="00095EA0">
        <w:rPr>
          <w:rFonts w:ascii="Arial" w:hAnsi="Arial" w:cs="Arial"/>
          <w:color w:val="000000" w:themeColor="text1"/>
        </w:rPr>
        <w:t xml:space="preserve">The research was based on a positivist philosophy and </w:t>
      </w:r>
      <w:r>
        <w:rPr>
          <w:rFonts w:ascii="Arial" w:hAnsi="Arial" w:cs="Arial"/>
          <w:color w:val="000000" w:themeColor="text1"/>
        </w:rPr>
        <w:t xml:space="preserve">a </w:t>
      </w:r>
      <w:r w:rsidRPr="00095EA0">
        <w:rPr>
          <w:rFonts w:ascii="Arial" w:hAnsi="Arial" w:cs="Arial"/>
          <w:color w:val="000000" w:themeColor="text1"/>
        </w:rPr>
        <w:t>deductive</w:t>
      </w:r>
      <w:r>
        <w:rPr>
          <w:rFonts w:ascii="Arial" w:hAnsi="Arial" w:cs="Arial"/>
          <w:color w:val="000000" w:themeColor="text1"/>
        </w:rPr>
        <w:t>, quantitative approach</w:t>
      </w:r>
      <w:r w:rsidRPr="00095EA0">
        <w:rPr>
          <w:rFonts w:ascii="Arial" w:hAnsi="Arial" w:cs="Arial"/>
          <w:color w:val="000000" w:themeColor="text1"/>
        </w:rPr>
        <w:t xml:space="preserve">. The data was gathered using a formal questionnaire, which was done online, among 150 SME manufacturing companies in </w:t>
      </w:r>
      <w:r>
        <w:rPr>
          <w:rFonts w:ascii="Arial" w:hAnsi="Arial" w:cs="Arial"/>
          <w:color w:val="000000" w:themeColor="text1"/>
        </w:rPr>
        <w:t>the UK,</w:t>
      </w:r>
      <w:r w:rsidRPr="00095EA0">
        <w:rPr>
          <w:rFonts w:ascii="Arial" w:hAnsi="Arial" w:cs="Arial"/>
          <w:color w:val="000000" w:themeColor="text1"/>
        </w:rPr>
        <w:t xml:space="preserve"> chosen through purposive sampling. In SPSS, there were statistical tests based on frameworks like the Resource-Based View and Dynamic Capabilities Theory to test the relationships through correlation and regression tests, as well as descriptive statistics.</w:t>
      </w:r>
    </w:p>
    <w:p w14:paraId="02AF5EEB" w14:textId="77777777" w:rsidR="007F29DA" w:rsidRDefault="007F29DA" w:rsidP="007F29DA">
      <w:pPr>
        <w:spacing w:line="360" w:lineRule="auto"/>
        <w:jc w:val="both"/>
        <w:rPr>
          <w:rFonts w:ascii="Arial" w:hAnsi="Arial" w:cs="Arial"/>
          <w:color w:val="000000" w:themeColor="text1"/>
        </w:rPr>
      </w:pPr>
      <w:r w:rsidRPr="00095EA0">
        <w:rPr>
          <w:rFonts w:ascii="Arial" w:hAnsi="Arial" w:cs="Arial"/>
          <w:b/>
          <w:bCs/>
          <w:color w:val="000000" w:themeColor="text1"/>
        </w:rPr>
        <w:t>Findings:</w:t>
      </w:r>
      <w:r>
        <w:rPr>
          <w:rFonts w:ascii="Arial" w:hAnsi="Arial" w:cs="Arial"/>
          <w:color w:val="000000" w:themeColor="text1"/>
        </w:rPr>
        <w:t xml:space="preserve"> </w:t>
      </w:r>
      <w:r w:rsidRPr="00095EA0">
        <w:rPr>
          <w:rFonts w:ascii="Arial" w:hAnsi="Arial" w:cs="Arial"/>
          <w:color w:val="000000" w:themeColor="text1"/>
        </w:rPr>
        <w:t xml:space="preserve">Geopolitical conflicts, trade law changes triggered by Brexit, increased logistics expenses, and dependence on foreign suppliers are the primary disrupting factors. They result in the delay of production, increased cost, and poor performance of a business. Supplier relationship diversification, nearshoring, and collaborative </w:t>
      </w:r>
      <w:r>
        <w:rPr>
          <w:rFonts w:ascii="Arial" w:hAnsi="Arial" w:cs="Arial"/>
          <w:color w:val="000000" w:themeColor="text1"/>
        </w:rPr>
        <w:t>relationships with suppliers may be regarded as effective mitigation strategies that can significantly reduce</w:t>
      </w:r>
      <w:r w:rsidRPr="00095EA0">
        <w:rPr>
          <w:rFonts w:ascii="Arial" w:hAnsi="Arial" w:cs="Arial"/>
          <w:color w:val="000000" w:themeColor="text1"/>
        </w:rPr>
        <w:t xml:space="preserve"> the adverse effects of disruptions.</w:t>
      </w:r>
    </w:p>
    <w:p w14:paraId="1CD91D36" w14:textId="77777777" w:rsidR="007F29DA" w:rsidRPr="00095EA0" w:rsidRDefault="007F29DA" w:rsidP="007F29DA">
      <w:pPr>
        <w:spacing w:line="360" w:lineRule="auto"/>
        <w:jc w:val="both"/>
        <w:rPr>
          <w:rFonts w:ascii="Arial" w:hAnsi="Arial" w:cs="Arial"/>
          <w:color w:val="000000" w:themeColor="text1"/>
        </w:rPr>
      </w:pPr>
      <w:r w:rsidRPr="00095EA0">
        <w:rPr>
          <w:rFonts w:ascii="Arial" w:hAnsi="Arial" w:cs="Arial"/>
          <w:b/>
          <w:bCs/>
          <w:color w:val="000000" w:themeColor="text1"/>
        </w:rPr>
        <w:t>Contribution:</w:t>
      </w:r>
      <w:r>
        <w:rPr>
          <w:rFonts w:ascii="Arial" w:hAnsi="Arial" w:cs="Arial"/>
          <w:color w:val="000000" w:themeColor="text1"/>
        </w:rPr>
        <w:t xml:space="preserve"> </w:t>
      </w:r>
      <w:r w:rsidRPr="00095EA0">
        <w:rPr>
          <w:rFonts w:ascii="Arial" w:hAnsi="Arial" w:cs="Arial"/>
          <w:color w:val="000000" w:themeColor="text1"/>
        </w:rPr>
        <w:t xml:space="preserve">The research can be considered </w:t>
      </w:r>
      <w:r>
        <w:rPr>
          <w:rFonts w:ascii="Arial" w:hAnsi="Arial" w:cs="Arial"/>
          <w:color w:val="000000" w:themeColor="text1"/>
        </w:rPr>
        <w:t>UK-specific empirical data, confirmation of a composite theoretical framework of SME resilience, and a business-level hierarchy of strategies that managers and trade organisations, as well as policymakers, can use</w:t>
      </w:r>
      <w:r w:rsidRPr="00095EA0">
        <w:rPr>
          <w:rFonts w:ascii="Arial" w:hAnsi="Arial" w:cs="Arial"/>
          <w:color w:val="000000" w:themeColor="text1"/>
        </w:rPr>
        <w:t>.</w:t>
      </w:r>
    </w:p>
    <w:p w14:paraId="5042712B" w14:textId="41DA09FB" w:rsidR="007F29DA" w:rsidRPr="00095EA0" w:rsidRDefault="007F29DA" w:rsidP="007F29DA">
      <w:pPr>
        <w:spacing w:line="360" w:lineRule="auto"/>
        <w:jc w:val="both"/>
        <w:rPr>
          <w:rFonts w:ascii="Arial" w:hAnsi="Arial" w:cs="Arial"/>
          <w:color w:val="000000" w:themeColor="text1"/>
        </w:rPr>
      </w:pPr>
      <w:r w:rsidRPr="00095EA0">
        <w:rPr>
          <w:rFonts w:ascii="Arial" w:hAnsi="Arial" w:cs="Arial"/>
          <w:b/>
          <w:bCs/>
          <w:color w:val="000000" w:themeColor="text1"/>
        </w:rPr>
        <w:t>Limitations:</w:t>
      </w:r>
      <w:r>
        <w:rPr>
          <w:rFonts w:ascii="Arial" w:hAnsi="Arial" w:cs="Arial"/>
          <w:color w:val="000000" w:themeColor="text1"/>
        </w:rPr>
        <w:t xml:space="preserve"> </w:t>
      </w:r>
      <w:r w:rsidRPr="00095EA0">
        <w:rPr>
          <w:rFonts w:ascii="Arial" w:hAnsi="Arial" w:cs="Arial"/>
          <w:color w:val="000000" w:themeColor="text1"/>
        </w:rPr>
        <w:t xml:space="preserve">The </w:t>
      </w:r>
      <w:r>
        <w:rPr>
          <w:rFonts w:ascii="Arial" w:hAnsi="Arial" w:cs="Arial"/>
          <w:color w:val="000000" w:themeColor="text1"/>
        </w:rPr>
        <w:t>application of a single quantitative method, a cross-sectional design that cannot detect changes over time, and the target population of UK SMEs, which may</w:t>
      </w:r>
      <w:r w:rsidRPr="00095EA0">
        <w:rPr>
          <w:rFonts w:ascii="Arial" w:hAnsi="Arial" w:cs="Arial"/>
          <w:color w:val="000000" w:themeColor="text1"/>
        </w:rPr>
        <w:t xml:space="preserve"> </w:t>
      </w:r>
      <w:r>
        <w:rPr>
          <w:rFonts w:ascii="Arial" w:hAnsi="Arial" w:cs="Arial"/>
          <w:color w:val="000000" w:themeColor="text1"/>
        </w:rPr>
        <w:t>be problematic</w:t>
      </w:r>
      <w:r w:rsidRPr="00095EA0">
        <w:rPr>
          <w:rFonts w:ascii="Arial" w:hAnsi="Arial" w:cs="Arial"/>
          <w:color w:val="000000" w:themeColor="text1"/>
        </w:rPr>
        <w:t xml:space="preserve"> in different settings.</w:t>
      </w:r>
    </w:p>
    <w:p w14:paraId="0CEEBE36" w14:textId="77777777" w:rsidR="005D666B" w:rsidRPr="007F29DA" w:rsidRDefault="005D666B" w:rsidP="005D666B">
      <w:pPr>
        <w:spacing w:line="360" w:lineRule="auto"/>
        <w:jc w:val="both"/>
        <w:rPr>
          <w:rFonts w:ascii="Arial" w:hAnsi="Arial" w:cs="Arial"/>
          <w:color w:val="000000" w:themeColor="text1"/>
        </w:rPr>
      </w:pPr>
    </w:p>
    <w:p w14:paraId="5CACE436" w14:textId="7E9ABA8D" w:rsidR="001A6581" w:rsidRDefault="005D666B" w:rsidP="005D666B">
      <w:pPr>
        <w:spacing w:line="360" w:lineRule="auto"/>
        <w:jc w:val="center"/>
        <w:rPr>
          <w:rFonts w:ascii="Arial" w:hAnsi="Arial" w:cs="Arial"/>
          <w:i/>
          <w:iCs/>
          <w:color w:val="000000" w:themeColor="text1"/>
        </w:rPr>
      </w:pPr>
      <w:r w:rsidRPr="00021CB6">
        <w:rPr>
          <w:rFonts w:ascii="Arial" w:hAnsi="Arial" w:cs="Arial"/>
          <w:i/>
          <w:iCs/>
          <w:color w:val="000000" w:themeColor="text1"/>
        </w:rPr>
        <w:t>Keywords: UK manufacturing SMEs, supply chain disruptions, supply chain resilience, operational performance, risk mitigation strategies, Brexit trade regulations, geopolitical conflicts, nearshoring, supplier diversification, Dynamic Capabilities Theory, Resource-Based View, SME vulnerability, production efficiency, cost management</w:t>
      </w:r>
    </w:p>
    <w:p w14:paraId="5EB8CAE9" w14:textId="0F90AF07" w:rsidR="007F29DA" w:rsidRPr="007F29DA" w:rsidRDefault="007F29DA" w:rsidP="007F29DA">
      <w:pPr>
        <w:pStyle w:val="Heading1"/>
        <w:spacing w:line="360" w:lineRule="auto"/>
        <w:jc w:val="center"/>
        <w:rPr>
          <w:rFonts w:ascii="Arial" w:hAnsi="Arial" w:cs="Arial"/>
          <w:b/>
          <w:bCs/>
          <w:color w:val="000000" w:themeColor="text1"/>
          <w:sz w:val="28"/>
          <w:szCs w:val="28"/>
        </w:rPr>
      </w:pPr>
      <w:bookmarkStart w:id="3" w:name="_Toc220890051"/>
      <w:r w:rsidRPr="007F29DA">
        <w:rPr>
          <w:rFonts w:ascii="Arial" w:hAnsi="Arial" w:cs="Arial"/>
          <w:b/>
          <w:bCs/>
          <w:color w:val="000000" w:themeColor="text1"/>
          <w:sz w:val="28"/>
          <w:szCs w:val="28"/>
        </w:rPr>
        <w:lastRenderedPageBreak/>
        <w:t xml:space="preserve">List of </w:t>
      </w:r>
      <w:r>
        <w:rPr>
          <w:rFonts w:ascii="Arial" w:hAnsi="Arial" w:cs="Arial"/>
          <w:b/>
          <w:bCs/>
          <w:color w:val="000000" w:themeColor="text1"/>
          <w:sz w:val="28"/>
          <w:szCs w:val="28"/>
        </w:rPr>
        <w:t>Abbreviations</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2"/>
        <w:gridCol w:w="4611"/>
      </w:tblGrid>
      <w:tr w:rsidR="007F29DA" w:rsidRPr="007F29DA" w14:paraId="3C016842" w14:textId="77777777">
        <w:trPr>
          <w:tblHeader/>
          <w:tblCellSpacing w:w="15" w:type="dxa"/>
        </w:trPr>
        <w:tc>
          <w:tcPr>
            <w:tcW w:w="0" w:type="auto"/>
            <w:vAlign w:val="center"/>
            <w:hideMark/>
          </w:tcPr>
          <w:p w14:paraId="0E748A72" w14:textId="77777777" w:rsidR="007F29DA" w:rsidRPr="007F29DA" w:rsidRDefault="007F29DA" w:rsidP="007F29DA">
            <w:pPr>
              <w:spacing w:line="240" w:lineRule="auto"/>
              <w:jc w:val="both"/>
              <w:rPr>
                <w:rFonts w:ascii="Arial" w:hAnsi="Arial" w:cs="Arial"/>
                <w:b/>
                <w:bCs/>
                <w:color w:val="000000" w:themeColor="text1"/>
              </w:rPr>
            </w:pPr>
            <w:r w:rsidRPr="007F29DA">
              <w:rPr>
                <w:rFonts w:ascii="Arial" w:hAnsi="Arial" w:cs="Arial"/>
                <w:b/>
                <w:bCs/>
                <w:color w:val="000000" w:themeColor="text1"/>
              </w:rPr>
              <w:t>Abbreviation</w:t>
            </w:r>
          </w:p>
        </w:tc>
        <w:tc>
          <w:tcPr>
            <w:tcW w:w="0" w:type="auto"/>
            <w:vAlign w:val="center"/>
            <w:hideMark/>
          </w:tcPr>
          <w:p w14:paraId="27EFF7C7" w14:textId="77777777" w:rsidR="007F29DA" w:rsidRPr="007F29DA" w:rsidRDefault="007F29DA" w:rsidP="007F29DA">
            <w:pPr>
              <w:spacing w:line="240" w:lineRule="auto"/>
              <w:jc w:val="both"/>
              <w:rPr>
                <w:rFonts w:ascii="Arial" w:hAnsi="Arial" w:cs="Arial"/>
                <w:b/>
                <w:bCs/>
                <w:color w:val="000000" w:themeColor="text1"/>
              </w:rPr>
            </w:pPr>
            <w:r w:rsidRPr="007F29DA">
              <w:rPr>
                <w:rFonts w:ascii="Arial" w:hAnsi="Arial" w:cs="Arial"/>
                <w:b/>
                <w:bCs/>
                <w:color w:val="000000" w:themeColor="text1"/>
              </w:rPr>
              <w:t>Full Term</w:t>
            </w:r>
          </w:p>
        </w:tc>
      </w:tr>
      <w:tr w:rsidR="007F29DA" w:rsidRPr="007F29DA" w14:paraId="6545824E" w14:textId="77777777">
        <w:trPr>
          <w:tblCellSpacing w:w="15" w:type="dxa"/>
        </w:trPr>
        <w:tc>
          <w:tcPr>
            <w:tcW w:w="0" w:type="auto"/>
            <w:vAlign w:val="center"/>
            <w:hideMark/>
          </w:tcPr>
          <w:p w14:paraId="1D097316"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AI</w:t>
            </w:r>
          </w:p>
        </w:tc>
        <w:tc>
          <w:tcPr>
            <w:tcW w:w="0" w:type="auto"/>
            <w:vAlign w:val="center"/>
            <w:hideMark/>
          </w:tcPr>
          <w:p w14:paraId="0E90D4EF"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Artificial Intelligence</w:t>
            </w:r>
          </w:p>
        </w:tc>
      </w:tr>
      <w:tr w:rsidR="007F29DA" w:rsidRPr="007F29DA" w14:paraId="0EA2FCE3" w14:textId="77777777">
        <w:trPr>
          <w:tblCellSpacing w:w="15" w:type="dxa"/>
        </w:trPr>
        <w:tc>
          <w:tcPr>
            <w:tcW w:w="0" w:type="auto"/>
            <w:vAlign w:val="center"/>
            <w:hideMark/>
          </w:tcPr>
          <w:p w14:paraId="36A4CDFE"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ANOVA</w:t>
            </w:r>
          </w:p>
        </w:tc>
        <w:tc>
          <w:tcPr>
            <w:tcW w:w="0" w:type="auto"/>
            <w:vAlign w:val="center"/>
            <w:hideMark/>
          </w:tcPr>
          <w:p w14:paraId="6B7F5313"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Analysis of Variance</w:t>
            </w:r>
          </w:p>
        </w:tc>
      </w:tr>
      <w:tr w:rsidR="007F29DA" w:rsidRPr="007F29DA" w14:paraId="43E0DB69" w14:textId="77777777">
        <w:trPr>
          <w:tblCellSpacing w:w="15" w:type="dxa"/>
        </w:trPr>
        <w:tc>
          <w:tcPr>
            <w:tcW w:w="0" w:type="auto"/>
            <w:vAlign w:val="center"/>
            <w:hideMark/>
          </w:tcPr>
          <w:p w14:paraId="1DCC430B"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DCT</w:t>
            </w:r>
          </w:p>
        </w:tc>
        <w:tc>
          <w:tcPr>
            <w:tcW w:w="0" w:type="auto"/>
            <w:vAlign w:val="center"/>
            <w:hideMark/>
          </w:tcPr>
          <w:p w14:paraId="4034C7C6"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Dynamic Capabilities Theory</w:t>
            </w:r>
          </w:p>
        </w:tc>
      </w:tr>
      <w:tr w:rsidR="007F29DA" w:rsidRPr="007F29DA" w14:paraId="6F5EB43D" w14:textId="77777777">
        <w:trPr>
          <w:tblCellSpacing w:w="15" w:type="dxa"/>
        </w:trPr>
        <w:tc>
          <w:tcPr>
            <w:tcW w:w="0" w:type="auto"/>
            <w:vAlign w:val="center"/>
            <w:hideMark/>
          </w:tcPr>
          <w:p w14:paraId="244E14E0"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GEIS</w:t>
            </w:r>
          </w:p>
        </w:tc>
        <w:tc>
          <w:tcPr>
            <w:tcW w:w="0" w:type="auto"/>
            <w:vAlign w:val="center"/>
            <w:hideMark/>
          </w:tcPr>
          <w:p w14:paraId="6283A506"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Growth Enterprise Investment Scheme</w:t>
            </w:r>
          </w:p>
        </w:tc>
      </w:tr>
      <w:tr w:rsidR="007F29DA" w:rsidRPr="007F29DA" w14:paraId="2E45F14A" w14:textId="77777777">
        <w:trPr>
          <w:tblCellSpacing w:w="15" w:type="dxa"/>
        </w:trPr>
        <w:tc>
          <w:tcPr>
            <w:tcW w:w="0" w:type="auto"/>
            <w:vAlign w:val="center"/>
            <w:hideMark/>
          </w:tcPr>
          <w:p w14:paraId="1F3578EE"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RBV</w:t>
            </w:r>
          </w:p>
        </w:tc>
        <w:tc>
          <w:tcPr>
            <w:tcW w:w="0" w:type="auto"/>
            <w:vAlign w:val="center"/>
            <w:hideMark/>
          </w:tcPr>
          <w:p w14:paraId="616D042C"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Resource-Based View</w:t>
            </w:r>
          </w:p>
        </w:tc>
      </w:tr>
      <w:tr w:rsidR="007F29DA" w:rsidRPr="007F29DA" w14:paraId="229C7FBF" w14:textId="77777777">
        <w:trPr>
          <w:tblCellSpacing w:w="15" w:type="dxa"/>
        </w:trPr>
        <w:tc>
          <w:tcPr>
            <w:tcW w:w="0" w:type="auto"/>
            <w:vAlign w:val="center"/>
            <w:hideMark/>
          </w:tcPr>
          <w:p w14:paraId="4C466D89"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R&amp;D</w:t>
            </w:r>
          </w:p>
        </w:tc>
        <w:tc>
          <w:tcPr>
            <w:tcW w:w="0" w:type="auto"/>
            <w:vAlign w:val="center"/>
            <w:hideMark/>
          </w:tcPr>
          <w:p w14:paraId="44E50FD0"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Research and Development</w:t>
            </w:r>
          </w:p>
        </w:tc>
      </w:tr>
      <w:tr w:rsidR="007F29DA" w:rsidRPr="007F29DA" w14:paraId="1567C17C" w14:textId="77777777">
        <w:trPr>
          <w:tblCellSpacing w:w="15" w:type="dxa"/>
        </w:trPr>
        <w:tc>
          <w:tcPr>
            <w:tcW w:w="0" w:type="auto"/>
            <w:vAlign w:val="center"/>
            <w:hideMark/>
          </w:tcPr>
          <w:p w14:paraId="68DD8C6A"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SME</w:t>
            </w:r>
          </w:p>
        </w:tc>
        <w:tc>
          <w:tcPr>
            <w:tcW w:w="0" w:type="auto"/>
            <w:vAlign w:val="center"/>
            <w:hideMark/>
          </w:tcPr>
          <w:p w14:paraId="1660AA08"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Small and Medium-sized Enterprise</w:t>
            </w:r>
          </w:p>
        </w:tc>
      </w:tr>
      <w:tr w:rsidR="007F29DA" w:rsidRPr="007F29DA" w14:paraId="6E630970" w14:textId="77777777">
        <w:trPr>
          <w:tblCellSpacing w:w="15" w:type="dxa"/>
        </w:trPr>
        <w:tc>
          <w:tcPr>
            <w:tcW w:w="0" w:type="auto"/>
            <w:vAlign w:val="center"/>
            <w:hideMark/>
          </w:tcPr>
          <w:p w14:paraId="48767DF3"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SMEs</w:t>
            </w:r>
          </w:p>
        </w:tc>
        <w:tc>
          <w:tcPr>
            <w:tcW w:w="0" w:type="auto"/>
            <w:vAlign w:val="center"/>
            <w:hideMark/>
          </w:tcPr>
          <w:p w14:paraId="04CAAD32"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Small and Medium-sized Enterprises</w:t>
            </w:r>
          </w:p>
        </w:tc>
      </w:tr>
      <w:tr w:rsidR="007F29DA" w:rsidRPr="007F29DA" w14:paraId="1ED94D4D" w14:textId="77777777">
        <w:trPr>
          <w:tblCellSpacing w:w="15" w:type="dxa"/>
        </w:trPr>
        <w:tc>
          <w:tcPr>
            <w:tcW w:w="0" w:type="auto"/>
            <w:vAlign w:val="center"/>
            <w:hideMark/>
          </w:tcPr>
          <w:p w14:paraId="686E0951"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SPSS</w:t>
            </w:r>
          </w:p>
        </w:tc>
        <w:tc>
          <w:tcPr>
            <w:tcW w:w="0" w:type="auto"/>
            <w:vAlign w:val="center"/>
            <w:hideMark/>
          </w:tcPr>
          <w:p w14:paraId="60685D89"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Statistical Package for the Social Sciences</w:t>
            </w:r>
          </w:p>
        </w:tc>
      </w:tr>
      <w:tr w:rsidR="007F29DA" w:rsidRPr="007F29DA" w14:paraId="7F4DFE86" w14:textId="77777777">
        <w:trPr>
          <w:tblCellSpacing w:w="15" w:type="dxa"/>
        </w:trPr>
        <w:tc>
          <w:tcPr>
            <w:tcW w:w="0" w:type="auto"/>
            <w:vAlign w:val="center"/>
            <w:hideMark/>
          </w:tcPr>
          <w:p w14:paraId="11775878"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SSAF</w:t>
            </w:r>
          </w:p>
        </w:tc>
        <w:tc>
          <w:tcPr>
            <w:tcW w:w="0" w:type="auto"/>
            <w:vAlign w:val="center"/>
            <w:hideMark/>
          </w:tcPr>
          <w:p w14:paraId="2A89B0BD"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SME Strategic Adaptation Framework</w:t>
            </w:r>
          </w:p>
        </w:tc>
      </w:tr>
      <w:tr w:rsidR="007F29DA" w:rsidRPr="007F29DA" w14:paraId="2F4038D0" w14:textId="77777777">
        <w:trPr>
          <w:tblCellSpacing w:w="15" w:type="dxa"/>
        </w:trPr>
        <w:tc>
          <w:tcPr>
            <w:tcW w:w="0" w:type="auto"/>
            <w:vAlign w:val="center"/>
            <w:hideMark/>
          </w:tcPr>
          <w:p w14:paraId="6E2A5FE6"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b/>
                <w:bCs/>
                <w:color w:val="000000" w:themeColor="text1"/>
              </w:rPr>
              <w:t>UK</w:t>
            </w:r>
          </w:p>
        </w:tc>
        <w:tc>
          <w:tcPr>
            <w:tcW w:w="0" w:type="auto"/>
            <w:vAlign w:val="center"/>
            <w:hideMark/>
          </w:tcPr>
          <w:p w14:paraId="6AADF942" w14:textId="77777777" w:rsidR="007F29DA" w:rsidRPr="007F29DA" w:rsidRDefault="007F29DA" w:rsidP="007F29DA">
            <w:pPr>
              <w:spacing w:line="240" w:lineRule="auto"/>
              <w:jc w:val="both"/>
              <w:rPr>
                <w:rFonts w:ascii="Arial" w:hAnsi="Arial" w:cs="Arial"/>
                <w:color w:val="000000" w:themeColor="text1"/>
              </w:rPr>
            </w:pPr>
            <w:r w:rsidRPr="007F29DA">
              <w:rPr>
                <w:rFonts w:ascii="Arial" w:hAnsi="Arial" w:cs="Arial"/>
                <w:color w:val="000000" w:themeColor="text1"/>
              </w:rPr>
              <w:t>United Kingdom</w:t>
            </w:r>
          </w:p>
        </w:tc>
      </w:tr>
    </w:tbl>
    <w:p w14:paraId="1975FEEC" w14:textId="77777777" w:rsidR="007F29DA" w:rsidRDefault="007F29DA" w:rsidP="007F29DA">
      <w:pPr>
        <w:spacing w:line="360" w:lineRule="auto"/>
        <w:jc w:val="both"/>
        <w:rPr>
          <w:rFonts w:ascii="Arial" w:hAnsi="Arial" w:cs="Arial"/>
          <w:color w:val="000000" w:themeColor="text1"/>
        </w:rPr>
      </w:pPr>
    </w:p>
    <w:p w14:paraId="7F7DD171" w14:textId="77777777" w:rsidR="007F29DA" w:rsidRDefault="007F29DA" w:rsidP="007F29DA">
      <w:pPr>
        <w:spacing w:line="360" w:lineRule="auto"/>
        <w:jc w:val="both"/>
        <w:rPr>
          <w:rFonts w:ascii="Arial" w:hAnsi="Arial" w:cs="Arial"/>
          <w:color w:val="000000" w:themeColor="text1"/>
        </w:rPr>
      </w:pPr>
    </w:p>
    <w:p w14:paraId="51DA031E" w14:textId="77777777" w:rsidR="007F29DA" w:rsidRDefault="007F29DA" w:rsidP="007F29DA">
      <w:pPr>
        <w:spacing w:line="360" w:lineRule="auto"/>
        <w:jc w:val="both"/>
        <w:rPr>
          <w:rFonts w:ascii="Arial" w:hAnsi="Arial" w:cs="Arial"/>
          <w:color w:val="000000" w:themeColor="text1"/>
        </w:rPr>
      </w:pPr>
    </w:p>
    <w:p w14:paraId="7C72EE97" w14:textId="77777777" w:rsidR="007F29DA" w:rsidRDefault="007F29DA" w:rsidP="007F29DA">
      <w:pPr>
        <w:spacing w:line="360" w:lineRule="auto"/>
        <w:jc w:val="both"/>
        <w:rPr>
          <w:rFonts w:ascii="Arial" w:hAnsi="Arial" w:cs="Arial"/>
          <w:color w:val="000000" w:themeColor="text1"/>
        </w:rPr>
      </w:pPr>
    </w:p>
    <w:p w14:paraId="63B6C229" w14:textId="77777777" w:rsidR="007F29DA" w:rsidRDefault="007F29DA" w:rsidP="007F29DA">
      <w:pPr>
        <w:spacing w:line="360" w:lineRule="auto"/>
        <w:jc w:val="both"/>
        <w:rPr>
          <w:rFonts w:ascii="Arial" w:hAnsi="Arial" w:cs="Arial"/>
          <w:color w:val="000000" w:themeColor="text1"/>
        </w:rPr>
      </w:pPr>
    </w:p>
    <w:p w14:paraId="3C9A8682" w14:textId="77777777" w:rsidR="007F29DA" w:rsidRDefault="007F29DA" w:rsidP="007F29DA">
      <w:pPr>
        <w:spacing w:line="360" w:lineRule="auto"/>
        <w:jc w:val="both"/>
        <w:rPr>
          <w:rFonts w:ascii="Arial" w:hAnsi="Arial" w:cs="Arial"/>
          <w:color w:val="000000" w:themeColor="text1"/>
        </w:rPr>
      </w:pPr>
    </w:p>
    <w:p w14:paraId="642F518E" w14:textId="77777777" w:rsidR="007F29DA" w:rsidRDefault="007F29DA" w:rsidP="007F29DA">
      <w:pPr>
        <w:spacing w:line="360" w:lineRule="auto"/>
        <w:jc w:val="both"/>
        <w:rPr>
          <w:rFonts w:ascii="Arial" w:hAnsi="Arial" w:cs="Arial"/>
          <w:color w:val="000000" w:themeColor="text1"/>
        </w:rPr>
      </w:pPr>
    </w:p>
    <w:p w14:paraId="132B05EC" w14:textId="77777777" w:rsidR="007F29DA" w:rsidRDefault="007F29DA" w:rsidP="007F29DA">
      <w:pPr>
        <w:spacing w:line="360" w:lineRule="auto"/>
        <w:jc w:val="both"/>
        <w:rPr>
          <w:rFonts w:ascii="Arial" w:hAnsi="Arial" w:cs="Arial"/>
          <w:color w:val="000000" w:themeColor="text1"/>
        </w:rPr>
      </w:pPr>
    </w:p>
    <w:p w14:paraId="289A4284" w14:textId="77777777" w:rsidR="007F29DA" w:rsidRDefault="007F29DA" w:rsidP="007F29DA">
      <w:pPr>
        <w:spacing w:line="360" w:lineRule="auto"/>
        <w:jc w:val="both"/>
        <w:rPr>
          <w:rFonts w:ascii="Arial" w:hAnsi="Arial" w:cs="Arial"/>
          <w:color w:val="000000" w:themeColor="text1"/>
        </w:rPr>
      </w:pPr>
    </w:p>
    <w:p w14:paraId="4BFDB7DF" w14:textId="77777777" w:rsidR="007F29DA" w:rsidRDefault="007F29DA" w:rsidP="007F29DA">
      <w:pPr>
        <w:spacing w:line="360" w:lineRule="auto"/>
        <w:jc w:val="both"/>
        <w:rPr>
          <w:rFonts w:ascii="Arial" w:hAnsi="Arial" w:cs="Arial"/>
          <w:color w:val="000000" w:themeColor="text1"/>
        </w:rPr>
      </w:pPr>
    </w:p>
    <w:p w14:paraId="2C2BA3E6" w14:textId="77777777" w:rsidR="007F29DA" w:rsidRPr="007F29DA" w:rsidRDefault="007F29DA" w:rsidP="007F29DA">
      <w:pPr>
        <w:spacing w:line="360" w:lineRule="auto"/>
        <w:jc w:val="both"/>
        <w:rPr>
          <w:rFonts w:ascii="Arial" w:hAnsi="Arial" w:cs="Arial"/>
          <w:color w:val="000000" w:themeColor="text1"/>
        </w:rPr>
      </w:pPr>
    </w:p>
    <w:sdt>
      <w:sdtPr>
        <w:rPr>
          <w:rFonts w:asciiTheme="minorHAnsi" w:eastAsiaTheme="minorHAnsi" w:hAnsiTheme="minorHAnsi" w:cstheme="minorBidi"/>
          <w:color w:val="auto"/>
          <w:kern w:val="2"/>
          <w:sz w:val="24"/>
          <w:szCs w:val="24"/>
          <w14:ligatures w14:val="standardContextual"/>
        </w:rPr>
        <w:id w:val="-1447774644"/>
        <w:docPartObj>
          <w:docPartGallery w:val="Table of Contents"/>
          <w:docPartUnique/>
        </w:docPartObj>
      </w:sdtPr>
      <w:sdtEndPr>
        <w:rPr>
          <w:b/>
          <w:bCs/>
          <w:noProof/>
        </w:rPr>
      </w:sdtEndPr>
      <w:sdtContent>
        <w:p w14:paraId="6435F6A0" w14:textId="4FB7AFA7" w:rsidR="007F29DA" w:rsidRPr="007F29DA" w:rsidRDefault="007F29DA" w:rsidP="007F29DA">
          <w:pPr>
            <w:pStyle w:val="TOCHeading"/>
            <w:jc w:val="center"/>
            <w:rPr>
              <w:rFonts w:ascii="Arial" w:hAnsi="Arial" w:cs="Arial"/>
              <w:b/>
              <w:bCs/>
              <w:color w:val="000000" w:themeColor="text1"/>
              <w:sz w:val="28"/>
              <w:szCs w:val="28"/>
            </w:rPr>
          </w:pPr>
          <w:r w:rsidRPr="007F29DA">
            <w:rPr>
              <w:rFonts w:ascii="Arial" w:hAnsi="Arial" w:cs="Arial"/>
              <w:b/>
              <w:bCs/>
              <w:color w:val="000000" w:themeColor="text1"/>
              <w:sz w:val="28"/>
              <w:szCs w:val="28"/>
            </w:rPr>
            <w:t>Contents</w:t>
          </w:r>
        </w:p>
        <w:p w14:paraId="15E7F296" w14:textId="52E1799B" w:rsidR="007F29DA" w:rsidRPr="007F29DA" w:rsidRDefault="007F29DA">
          <w:pPr>
            <w:pStyle w:val="TOC1"/>
            <w:tabs>
              <w:tab w:val="right" w:leader="dot" w:pos="9350"/>
            </w:tabs>
            <w:rPr>
              <w:rFonts w:ascii="Arial" w:eastAsiaTheme="minorEastAsia" w:hAnsi="Arial" w:cs="Arial"/>
              <w:noProof/>
            </w:rPr>
          </w:pPr>
          <w:r w:rsidRPr="007F29DA">
            <w:rPr>
              <w:rFonts w:ascii="Arial" w:hAnsi="Arial" w:cs="Arial"/>
            </w:rPr>
            <w:fldChar w:fldCharType="begin"/>
          </w:r>
          <w:r w:rsidRPr="007F29DA">
            <w:rPr>
              <w:rFonts w:ascii="Arial" w:hAnsi="Arial" w:cs="Arial"/>
            </w:rPr>
            <w:instrText xml:space="preserve"> TOC \o "1-3" \h \z \u </w:instrText>
          </w:r>
          <w:r w:rsidRPr="007F29DA">
            <w:rPr>
              <w:rFonts w:ascii="Arial" w:hAnsi="Arial" w:cs="Arial"/>
            </w:rPr>
            <w:fldChar w:fldCharType="separate"/>
          </w:r>
          <w:hyperlink w:anchor="_Toc220890048" w:history="1">
            <w:r w:rsidRPr="007F29DA">
              <w:rPr>
                <w:rStyle w:val="Hyperlink"/>
                <w:rFonts w:ascii="Arial" w:hAnsi="Arial" w:cs="Arial"/>
                <w:noProof/>
              </w:rPr>
              <w:t>Declaration</w:t>
            </w:r>
            <w:r w:rsidRPr="007F29DA">
              <w:rPr>
                <w:rFonts w:ascii="Arial" w:hAnsi="Arial" w:cs="Arial"/>
                <w:noProof/>
                <w:webHidden/>
              </w:rPr>
              <w:tab/>
            </w:r>
            <w:r w:rsidRPr="007F29DA">
              <w:rPr>
                <w:rFonts w:ascii="Arial" w:hAnsi="Arial" w:cs="Arial"/>
                <w:noProof/>
                <w:webHidden/>
              </w:rPr>
              <w:fldChar w:fldCharType="begin"/>
            </w:r>
            <w:r w:rsidRPr="007F29DA">
              <w:rPr>
                <w:rFonts w:ascii="Arial" w:hAnsi="Arial" w:cs="Arial"/>
                <w:noProof/>
                <w:webHidden/>
              </w:rPr>
              <w:instrText xml:space="preserve"> PAGEREF _Toc220890048 \h </w:instrText>
            </w:r>
            <w:r w:rsidRPr="007F29DA">
              <w:rPr>
                <w:rFonts w:ascii="Arial" w:hAnsi="Arial" w:cs="Arial"/>
                <w:noProof/>
                <w:webHidden/>
              </w:rPr>
            </w:r>
            <w:r w:rsidRPr="007F29DA">
              <w:rPr>
                <w:rFonts w:ascii="Arial" w:hAnsi="Arial" w:cs="Arial"/>
                <w:noProof/>
                <w:webHidden/>
              </w:rPr>
              <w:fldChar w:fldCharType="separate"/>
            </w:r>
            <w:r w:rsidRPr="007F29DA">
              <w:rPr>
                <w:rFonts w:ascii="Arial" w:hAnsi="Arial" w:cs="Arial"/>
                <w:noProof/>
                <w:webHidden/>
              </w:rPr>
              <w:t>2</w:t>
            </w:r>
            <w:r w:rsidRPr="007F29DA">
              <w:rPr>
                <w:rFonts w:ascii="Arial" w:hAnsi="Arial" w:cs="Arial"/>
                <w:noProof/>
                <w:webHidden/>
              </w:rPr>
              <w:fldChar w:fldCharType="end"/>
            </w:r>
          </w:hyperlink>
        </w:p>
        <w:p w14:paraId="7E521CAF" w14:textId="26375DCD" w:rsidR="007F29DA" w:rsidRPr="007F29DA" w:rsidRDefault="000D0FF1">
          <w:pPr>
            <w:pStyle w:val="TOC1"/>
            <w:tabs>
              <w:tab w:val="right" w:leader="dot" w:pos="9350"/>
            </w:tabs>
            <w:rPr>
              <w:rFonts w:ascii="Arial" w:eastAsiaTheme="minorEastAsia" w:hAnsi="Arial" w:cs="Arial"/>
              <w:noProof/>
            </w:rPr>
          </w:pPr>
          <w:hyperlink w:anchor="_Toc220890049" w:history="1">
            <w:r w:rsidR="007F29DA" w:rsidRPr="007F29DA">
              <w:rPr>
                <w:rStyle w:val="Hyperlink"/>
                <w:rFonts w:ascii="Arial" w:hAnsi="Arial" w:cs="Arial"/>
                <w:noProof/>
              </w:rPr>
              <w:t>Acknowledgement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_Toc220890049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w:t>
            </w:r>
            <w:r w:rsidR="007F29DA" w:rsidRPr="007F29DA">
              <w:rPr>
                <w:rFonts w:ascii="Arial" w:hAnsi="Arial" w:cs="Arial"/>
                <w:noProof/>
                <w:webHidden/>
              </w:rPr>
              <w:fldChar w:fldCharType="end"/>
            </w:r>
          </w:hyperlink>
        </w:p>
        <w:p w14:paraId="2F236E9F" w14:textId="33137C42" w:rsidR="007F29DA" w:rsidRPr="007F29DA" w:rsidRDefault="000D0FF1">
          <w:pPr>
            <w:pStyle w:val="TOC1"/>
            <w:tabs>
              <w:tab w:val="right" w:leader="dot" w:pos="9350"/>
            </w:tabs>
            <w:rPr>
              <w:rFonts w:ascii="Arial" w:eastAsiaTheme="minorEastAsia" w:hAnsi="Arial" w:cs="Arial"/>
              <w:noProof/>
            </w:rPr>
          </w:pPr>
          <w:hyperlink w:anchor="_Toc220890050" w:history="1">
            <w:r w:rsidR="007F29DA" w:rsidRPr="007F29DA">
              <w:rPr>
                <w:rStyle w:val="Hyperlink"/>
                <w:rFonts w:ascii="Arial" w:hAnsi="Arial" w:cs="Arial"/>
                <w:noProof/>
              </w:rPr>
              <w:t>Abstract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4</w:t>
            </w:r>
            <w:r w:rsidR="007F29DA" w:rsidRPr="007F29DA">
              <w:rPr>
                <w:rFonts w:ascii="Arial" w:hAnsi="Arial" w:cs="Arial"/>
                <w:noProof/>
                <w:webHidden/>
              </w:rPr>
              <w:fldChar w:fldCharType="end"/>
            </w:r>
          </w:hyperlink>
        </w:p>
        <w:p w14:paraId="7D5785C7" w14:textId="4F89944F" w:rsidR="007F29DA" w:rsidRPr="007F29DA" w:rsidRDefault="000D0FF1">
          <w:pPr>
            <w:pStyle w:val="TOC1"/>
            <w:tabs>
              <w:tab w:val="right" w:leader="dot" w:pos="9350"/>
            </w:tabs>
            <w:rPr>
              <w:rFonts w:ascii="Arial" w:eastAsiaTheme="minorEastAsia" w:hAnsi="Arial" w:cs="Arial"/>
              <w:noProof/>
            </w:rPr>
          </w:pPr>
          <w:hyperlink w:anchor="_Toc220890051" w:history="1">
            <w:r w:rsidR="007F29DA" w:rsidRPr="007F29DA">
              <w:rPr>
                <w:rStyle w:val="Hyperlink"/>
                <w:rFonts w:ascii="Arial" w:hAnsi="Arial" w:cs="Arial"/>
                <w:noProof/>
              </w:rPr>
              <w:t>List of Abbreviations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w:t>
            </w:r>
            <w:r w:rsidR="007F29DA" w:rsidRPr="007F29DA">
              <w:rPr>
                <w:rFonts w:ascii="Arial" w:hAnsi="Arial" w:cs="Arial"/>
                <w:noProof/>
                <w:webHidden/>
              </w:rPr>
              <w:fldChar w:fldCharType="end"/>
            </w:r>
          </w:hyperlink>
        </w:p>
        <w:p w14:paraId="21B41017" w14:textId="10379026" w:rsidR="007F29DA" w:rsidRPr="007F29DA" w:rsidRDefault="000D0FF1">
          <w:pPr>
            <w:pStyle w:val="TOC1"/>
            <w:tabs>
              <w:tab w:val="right" w:leader="dot" w:pos="9350"/>
            </w:tabs>
            <w:rPr>
              <w:rFonts w:ascii="Arial" w:eastAsiaTheme="minorEastAsia" w:hAnsi="Arial" w:cs="Arial"/>
              <w:noProof/>
            </w:rPr>
          </w:pPr>
          <w:hyperlink w:anchor="_Toc220890052" w:history="1">
            <w:r w:rsidR="007F29DA" w:rsidRPr="007F29DA">
              <w:rPr>
                <w:rStyle w:val="Hyperlink"/>
                <w:rFonts w:ascii="Arial" w:hAnsi="Arial" w:cs="Arial"/>
                <w:noProof/>
              </w:rPr>
              <w:t>List of Figures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9</w:t>
            </w:r>
            <w:r w:rsidR="007F29DA" w:rsidRPr="007F29DA">
              <w:rPr>
                <w:rFonts w:ascii="Arial" w:hAnsi="Arial" w:cs="Arial"/>
                <w:noProof/>
                <w:webHidden/>
              </w:rPr>
              <w:fldChar w:fldCharType="end"/>
            </w:r>
          </w:hyperlink>
        </w:p>
        <w:p w14:paraId="13DA124F" w14:textId="6085B0DB" w:rsidR="007F29DA" w:rsidRPr="007F29DA" w:rsidRDefault="000D0FF1">
          <w:pPr>
            <w:pStyle w:val="TOC1"/>
            <w:tabs>
              <w:tab w:val="right" w:leader="dot" w:pos="9350"/>
            </w:tabs>
            <w:rPr>
              <w:rFonts w:ascii="Arial" w:eastAsiaTheme="minorEastAsia" w:hAnsi="Arial" w:cs="Arial"/>
              <w:noProof/>
            </w:rPr>
          </w:pPr>
          <w:hyperlink w:anchor="_Toc220890053" w:history="1">
            <w:r w:rsidR="007F29DA" w:rsidRPr="007F29DA">
              <w:rPr>
                <w:rStyle w:val="Hyperlink"/>
                <w:rFonts w:ascii="Arial" w:hAnsi="Arial" w:cs="Arial"/>
                <w:noProof/>
              </w:rPr>
              <w:t>List of Tables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10</w:t>
            </w:r>
            <w:r w:rsidR="007F29DA" w:rsidRPr="007F29DA">
              <w:rPr>
                <w:rFonts w:ascii="Arial" w:hAnsi="Arial" w:cs="Arial"/>
                <w:noProof/>
                <w:webHidden/>
              </w:rPr>
              <w:fldChar w:fldCharType="end"/>
            </w:r>
          </w:hyperlink>
        </w:p>
        <w:p w14:paraId="2FFD0CE9" w14:textId="10A88AF3" w:rsidR="007F29DA" w:rsidRPr="007F29DA" w:rsidRDefault="000D0FF1">
          <w:pPr>
            <w:pStyle w:val="TOC1"/>
            <w:tabs>
              <w:tab w:val="right" w:leader="dot" w:pos="9350"/>
            </w:tabs>
            <w:rPr>
              <w:rFonts w:ascii="Arial" w:eastAsiaTheme="minorEastAsia" w:hAnsi="Arial" w:cs="Arial"/>
              <w:noProof/>
            </w:rPr>
          </w:pPr>
          <w:hyperlink w:anchor="_Toc220890054" w:history="1">
            <w:r w:rsidR="007F29DA" w:rsidRPr="007F29DA">
              <w:rPr>
                <w:rStyle w:val="Hyperlink"/>
                <w:rFonts w:ascii="Arial" w:hAnsi="Arial" w:cs="Arial"/>
                <w:noProof/>
              </w:rPr>
              <w:t>Chapter 1: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11</w:t>
            </w:r>
            <w:r w:rsidR="007F29DA" w:rsidRPr="007F29DA">
              <w:rPr>
                <w:rFonts w:ascii="Arial" w:hAnsi="Arial" w:cs="Arial"/>
                <w:noProof/>
                <w:webHidden/>
              </w:rPr>
              <w:fldChar w:fldCharType="end"/>
            </w:r>
          </w:hyperlink>
        </w:p>
        <w:p w14:paraId="19E50091" w14:textId="7704F696" w:rsidR="007F29DA" w:rsidRPr="007F29DA" w:rsidRDefault="000D0FF1">
          <w:pPr>
            <w:pStyle w:val="TOC2"/>
            <w:tabs>
              <w:tab w:val="left" w:pos="960"/>
              <w:tab w:val="right" w:leader="dot" w:pos="9350"/>
            </w:tabs>
            <w:rPr>
              <w:rFonts w:ascii="Arial" w:eastAsiaTheme="minorEastAsia" w:hAnsi="Arial" w:cs="Arial"/>
              <w:noProof/>
            </w:rPr>
          </w:pPr>
          <w:hyperlink w:anchor="_Toc220890055" w:history="1">
            <w:r w:rsidR="007F29DA">
              <w:rPr>
                <w:rStyle w:val="Hyperlink"/>
                <w:rFonts w:ascii="Arial" w:hAnsi="Arial" w:cs="Arial"/>
                <w:noProof/>
              </w:rPr>
              <w:t>1.1</w:t>
            </w:r>
            <w:r w:rsidR="007F29DA">
              <w:rPr>
                <w:rStyle w:val="Hyperlink"/>
                <w:rFonts w:ascii="Arial" w:hAnsi="Arial" w:cs="Arial"/>
                <w:noProof/>
              </w:rPr>
              <w:tab/>
              <w:t>Introduction of Chapter</w:t>
            </w:r>
            <w:r w:rsidR="007F29DA">
              <w:rPr>
                <w:rStyle w:val="Hyperlink"/>
                <w:rFonts w:ascii="Arial" w:hAnsi="Arial" w:cs="Arial"/>
                <w:noProof/>
              </w:rPr>
              <w:tab/>
              <w:t>11</w:t>
            </w:r>
          </w:hyperlink>
        </w:p>
        <w:p w14:paraId="01537DD1" w14:textId="40F6EE2B" w:rsidR="007F29DA" w:rsidRPr="007F29DA" w:rsidRDefault="000D0FF1">
          <w:pPr>
            <w:pStyle w:val="TOC2"/>
            <w:tabs>
              <w:tab w:val="right" w:leader="dot" w:pos="9350"/>
            </w:tabs>
            <w:rPr>
              <w:rFonts w:ascii="Arial" w:eastAsiaTheme="minorEastAsia" w:hAnsi="Arial" w:cs="Arial"/>
              <w:noProof/>
            </w:rPr>
          </w:pPr>
          <w:hyperlink w:anchor="_Toc220890056" w:history="1">
            <w:r w:rsidR="007F29DA" w:rsidRPr="007F29DA">
              <w:rPr>
                <w:rStyle w:val="Hyperlink"/>
                <w:rFonts w:ascii="Arial" w:hAnsi="Arial" w:cs="Arial"/>
                <w:noProof/>
              </w:rPr>
              <w:t>1.2 Background</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11</w:t>
            </w:r>
            <w:r w:rsidR="007F29DA" w:rsidRPr="007F29DA">
              <w:rPr>
                <w:rFonts w:ascii="Arial" w:hAnsi="Arial" w:cs="Arial"/>
                <w:noProof/>
                <w:webHidden/>
              </w:rPr>
              <w:fldChar w:fldCharType="end"/>
            </w:r>
          </w:hyperlink>
        </w:p>
        <w:p w14:paraId="7B0E64CF" w14:textId="2EBA2A79" w:rsidR="007F29DA" w:rsidRPr="007F29DA" w:rsidRDefault="000D0FF1">
          <w:pPr>
            <w:pStyle w:val="TOC2"/>
            <w:tabs>
              <w:tab w:val="right" w:leader="dot" w:pos="9350"/>
            </w:tabs>
            <w:rPr>
              <w:rFonts w:ascii="Arial" w:eastAsiaTheme="minorEastAsia" w:hAnsi="Arial" w:cs="Arial"/>
              <w:noProof/>
            </w:rPr>
          </w:pPr>
          <w:hyperlink w:anchor="_Toc220890057" w:history="1">
            <w:r w:rsidR="007F29DA" w:rsidRPr="007F29DA">
              <w:rPr>
                <w:rStyle w:val="Hyperlink"/>
                <w:rFonts w:ascii="Arial" w:hAnsi="Arial" w:cs="Arial"/>
                <w:noProof/>
              </w:rPr>
              <w:t>1.3 Problem Statement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12</w:t>
            </w:r>
            <w:r w:rsidR="007F29DA" w:rsidRPr="007F29DA">
              <w:rPr>
                <w:rFonts w:ascii="Arial" w:hAnsi="Arial" w:cs="Arial"/>
                <w:noProof/>
                <w:webHidden/>
              </w:rPr>
              <w:fldChar w:fldCharType="end"/>
            </w:r>
          </w:hyperlink>
        </w:p>
        <w:p w14:paraId="723E47A4" w14:textId="044EDEA2" w:rsidR="007F29DA" w:rsidRPr="007F29DA" w:rsidRDefault="000D0FF1">
          <w:pPr>
            <w:pStyle w:val="TOC2"/>
            <w:tabs>
              <w:tab w:val="right" w:leader="dot" w:pos="9350"/>
            </w:tabs>
            <w:rPr>
              <w:rFonts w:ascii="Arial" w:eastAsiaTheme="minorEastAsia" w:hAnsi="Arial" w:cs="Arial"/>
              <w:noProof/>
            </w:rPr>
          </w:pPr>
          <w:hyperlink w:anchor="_Toc220890058" w:history="1">
            <w:r w:rsidR="007F29DA" w:rsidRPr="007F29DA">
              <w:rPr>
                <w:rStyle w:val="Hyperlink"/>
                <w:rFonts w:ascii="Arial" w:hAnsi="Arial" w:cs="Arial"/>
                <w:noProof/>
              </w:rPr>
              <w:t>1.4 Research Questions: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13</w:t>
            </w:r>
            <w:r w:rsidR="007F29DA" w:rsidRPr="007F29DA">
              <w:rPr>
                <w:rFonts w:ascii="Arial" w:hAnsi="Arial" w:cs="Arial"/>
                <w:noProof/>
                <w:webHidden/>
              </w:rPr>
              <w:fldChar w:fldCharType="end"/>
            </w:r>
          </w:hyperlink>
        </w:p>
        <w:p w14:paraId="5A4F6047" w14:textId="3162949B" w:rsidR="007F29DA" w:rsidRPr="007F29DA" w:rsidRDefault="000D0FF1">
          <w:pPr>
            <w:pStyle w:val="TOC2"/>
            <w:tabs>
              <w:tab w:val="right" w:leader="dot" w:pos="9350"/>
            </w:tabs>
            <w:rPr>
              <w:rFonts w:ascii="Arial" w:eastAsiaTheme="minorEastAsia" w:hAnsi="Arial" w:cs="Arial"/>
              <w:noProof/>
            </w:rPr>
          </w:pPr>
          <w:hyperlink w:anchor="_Toc220890059" w:history="1">
            <w:r w:rsidR="007F29DA" w:rsidRPr="007F29DA">
              <w:rPr>
                <w:rStyle w:val="Hyperlink"/>
                <w:rFonts w:ascii="Arial" w:hAnsi="Arial" w:cs="Arial"/>
                <w:noProof/>
              </w:rPr>
              <w:t>1.5 Rationale of the Study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_Toc220890059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14</w:t>
            </w:r>
            <w:r w:rsidR="007F29DA" w:rsidRPr="007F29DA">
              <w:rPr>
                <w:rFonts w:ascii="Arial" w:hAnsi="Arial" w:cs="Arial"/>
                <w:noProof/>
                <w:webHidden/>
              </w:rPr>
              <w:fldChar w:fldCharType="end"/>
            </w:r>
          </w:hyperlink>
        </w:p>
        <w:p w14:paraId="322D6DD1" w14:textId="47CAE9C6" w:rsidR="007F29DA" w:rsidRPr="007F29DA" w:rsidRDefault="000D0FF1">
          <w:pPr>
            <w:pStyle w:val="TOC2"/>
            <w:tabs>
              <w:tab w:val="right" w:leader="dot" w:pos="9350"/>
            </w:tabs>
            <w:rPr>
              <w:rFonts w:ascii="Arial" w:eastAsiaTheme="minorEastAsia" w:hAnsi="Arial" w:cs="Arial"/>
              <w:noProof/>
            </w:rPr>
          </w:pPr>
          <w:hyperlink w:anchor="_Toc220890060" w:history="1">
            <w:r w:rsidR="007F29DA" w:rsidRPr="007F29DA">
              <w:rPr>
                <w:rStyle w:val="Hyperlink"/>
                <w:rFonts w:ascii="Arial" w:hAnsi="Arial" w:cs="Arial"/>
                <w:noProof/>
              </w:rPr>
              <w:t>1.6 Structure of the dissertation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14</w:t>
            </w:r>
            <w:r w:rsidR="007F29DA" w:rsidRPr="007F29DA">
              <w:rPr>
                <w:rFonts w:ascii="Arial" w:hAnsi="Arial" w:cs="Arial"/>
                <w:noProof/>
                <w:webHidden/>
              </w:rPr>
              <w:fldChar w:fldCharType="end"/>
            </w:r>
          </w:hyperlink>
        </w:p>
        <w:p w14:paraId="13DAC598" w14:textId="4F3FFBC0" w:rsidR="007F29DA" w:rsidRPr="007F29DA" w:rsidRDefault="000D0FF1">
          <w:pPr>
            <w:pStyle w:val="TOC2"/>
            <w:tabs>
              <w:tab w:val="right" w:leader="dot" w:pos="9350"/>
            </w:tabs>
            <w:rPr>
              <w:rFonts w:ascii="Arial" w:eastAsiaTheme="minorEastAsia" w:hAnsi="Arial" w:cs="Arial"/>
              <w:noProof/>
            </w:rPr>
          </w:pPr>
          <w:hyperlink w:anchor="_Toc220890061" w:history="1">
            <w:r w:rsidR="007F29DA" w:rsidRPr="007F29DA">
              <w:rPr>
                <w:rStyle w:val="Hyperlink"/>
                <w:rFonts w:ascii="Arial" w:hAnsi="Arial" w:cs="Arial"/>
                <w:noProof/>
              </w:rPr>
              <w:t>1.7 Summary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14</w:t>
            </w:r>
            <w:r w:rsidR="007F29DA" w:rsidRPr="007F29DA">
              <w:rPr>
                <w:rFonts w:ascii="Arial" w:hAnsi="Arial" w:cs="Arial"/>
                <w:noProof/>
                <w:webHidden/>
              </w:rPr>
              <w:fldChar w:fldCharType="end"/>
            </w:r>
          </w:hyperlink>
        </w:p>
        <w:p w14:paraId="4ADB0374" w14:textId="644167AD" w:rsidR="007F29DA" w:rsidRPr="007F29DA" w:rsidRDefault="000D0FF1">
          <w:pPr>
            <w:pStyle w:val="TOC1"/>
            <w:tabs>
              <w:tab w:val="right" w:leader="dot" w:pos="9350"/>
            </w:tabs>
            <w:rPr>
              <w:rFonts w:ascii="Arial" w:eastAsiaTheme="minorEastAsia" w:hAnsi="Arial" w:cs="Arial"/>
              <w:noProof/>
            </w:rPr>
          </w:pPr>
          <w:hyperlink w:anchor="_Toc220890062" w:history="1">
            <w:r w:rsidR="007F29DA" w:rsidRPr="007F29DA">
              <w:rPr>
                <w:rStyle w:val="Hyperlink"/>
                <w:rFonts w:ascii="Arial" w:hAnsi="Arial" w:cs="Arial"/>
                <w:noProof/>
              </w:rPr>
              <w:t>Chapter 2: Literature Review</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16</w:t>
            </w:r>
            <w:r w:rsidR="007F29DA" w:rsidRPr="007F29DA">
              <w:rPr>
                <w:rFonts w:ascii="Arial" w:hAnsi="Arial" w:cs="Arial"/>
                <w:noProof/>
                <w:webHidden/>
              </w:rPr>
              <w:fldChar w:fldCharType="end"/>
            </w:r>
          </w:hyperlink>
        </w:p>
        <w:p w14:paraId="4F204B90" w14:textId="1710D00E" w:rsidR="007F29DA" w:rsidRPr="007F29DA" w:rsidRDefault="000D0FF1">
          <w:pPr>
            <w:pStyle w:val="TOC2"/>
            <w:tabs>
              <w:tab w:val="right" w:leader="dot" w:pos="9350"/>
            </w:tabs>
            <w:rPr>
              <w:rFonts w:ascii="Arial" w:eastAsiaTheme="minorEastAsia" w:hAnsi="Arial" w:cs="Arial"/>
              <w:noProof/>
            </w:rPr>
          </w:pPr>
          <w:hyperlink w:anchor="_Toc220890063" w:history="1">
            <w:r w:rsidR="007F29DA" w:rsidRPr="007F29DA">
              <w:rPr>
                <w:rStyle w:val="Hyperlink"/>
                <w:rFonts w:ascii="Arial" w:hAnsi="Arial" w:cs="Arial"/>
                <w:noProof/>
              </w:rPr>
              <w:t>2.1.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16</w:t>
            </w:r>
            <w:r w:rsidR="007F29DA" w:rsidRPr="007F29DA">
              <w:rPr>
                <w:rFonts w:ascii="Arial" w:hAnsi="Arial" w:cs="Arial"/>
                <w:noProof/>
                <w:webHidden/>
              </w:rPr>
              <w:fldChar w:fldCharType="end"/>
            </w:r>
          </w:hyperlink>
        </w:p>
        <w:p w14:paraId="24FFA5A9" w14:textId="595F7D08" w:rsidR="007F29DA" w:rsidRPr="007F29DA" w:rsidRDefault="000D0FF1">
          <w:pPr>
            <w:pStyle w:val="TOC2"/>
            <w:tabs>
              <w:tab w:val="right" w:leader="dot" w:pos="9350"/>
            </w:tabs>
            <w:rPr>
              <w:rFonts w:ascii="Arial" w:eastAsiaTheme="minorEastAsia" w:hAnsi="Arial" w:cs="Arial"/>
              <w:noProof/>
            </w:rPr>
          </w:pPr>
          <w:hyperlink w:anchor="_Toc220890064" w:history="1">
            <w:r w:rsidR="007F29DA" w:rsidRPr="007F29DA">
              <w:rPr>
                <w:rStyle w:val="Hyperlink"/>
                <w:rFonts w:ascii="Arial" w:hAnsi="Arial" w:cs="Arial"/>
                <w:noProof/>
              </w:rPr>
              <w:t>2.2. Conceptual and Contextual Foundations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16</w:t>
            </w:r>
            <w:r w:rsidR="007F29DA" w:rsidRPr="007F29DA">
              <w:rPr>
                <w:rFonts w:ascii="Arial" w:hAnsi="Arial" w:cs="Arial"/>
                <w:noProof/>
                <w:webHidden/>
              </w:rPr>
              <w:fldChar w:fldCharType="end"/>
            </w:r>
          </w:hyperlink>
        </w:p>
        <w:p w14:paraId="7E830FC5" w14:textId="76AC4B42" w:rsidR="007F29DA" w:rsidRPr="007F29DA" w:rsidRDefault="000D0FF1">
          <w:pPr>
            <w:pStyle w:val="TOC3"/>
            <w:tabs>
              <w:tab w:val="right" w:leader="dot" w:pos="9350"/>
            </w:tabs>
            <w:rPr>
              <w:rFonts w:ascii="Arial" w:eastAsiaTheme="minorEastAsia" w:hAnsi="Arial" w:cs="Arial"/>
              <w:noProof/>
            </w:rPr>
          </w:pPr>
          <w:hyperlink w:anchor="_Toc220890065" w:history="1">
            <w:r w:rsidR="007F29DA" w:rsidRPr="007F29DA">
              <w:rPr>
                <w:rStyle w:val="Hyperlink"/>
                <w:rFonts w:ascii="Arial" w:hAnsi="Arial" w:cs="Arial"/>
                <w:noProof/>
              </w:rPr>
              <w:t>2.2.1 The definition of International Supply Chain Disruptions.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_Toc220890065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16</w:t>
            </w:r>
            <w:r w:rsidR="007F29DA" w:rsidRPr="007F29DA">
              <w:rPr>
                <w:rFonts w:ascii="Arial" w:hAnsi="Arial" w:cs="Arial"/>
                <w:noProof/>
                <w:webHidden/>
              </w:rPr>
              <w:fldChar w:fldCharType="end"/>
            </w:r>
          </w:hyperlink>
        </w:p>
        <w:p w14:paraId="0500EE6F" w14:textId="2C83BD3D" w:rsidR="007F29DA" w:rsidRPr="007F29DA" w:rsidRDefault="000D0FF1">
          <w:pPr>
            <w:pStyle w:val="TOC3"/>
            <w:tabs>
              <w:tab w:val="right" w:leader="dot" w:pos="9350"/>
            </w:tabs>
            <w:rPr>
              <w:rFonts w:ascii="Arial" w:eastAsiaTheme="minorEastAsia" w:hAnsi="Arial" w:cs="Arial"/>
              <w:noProof/>
            </w:rPr>
          </w:pPr>
          <w:hyperlink w:anchor="_Toc220890066" w:history="1">
            <w:r w:rsidR="007F29DA" w:rsidRPr="007F29DA">
              <w:rPr>
                <w:rStyle w:val="Hyperlink"/>
                <w:rFonts w:ascii="Arial" w:hAnsi="Arial" w:cs="Arial"/>
                <w:noProof/>
              </w:rPr>
              <w:t>2.2.2 Systemic Vulnerability and SMEs.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17</w:t>
            </w:r>
            <w:r w:rsidR="007F29DA" w:rsidRPr="007F29DA">
              <w:rPr>
                <w:rFonts w:ascii="Arial" w:hAnsi="Arial" w:cs="Arial"/>
                <w:noProof/>
                <w:webHidden/>
              </w:rPr>
              <w:fldChar w:fldCharType="end"/>
            </w:r>
          </w:hyperlink>
        </w:p>
        <w:p w14:paraId="0FC7C12A" w14:textId="6A8C0CA6" w:rsidR="007F29DA" w:rsidRPr="007F29DA" w:rsidRDefault="000D0FF1">
          <w:pPr>
            <w:pStyle w:val="TOC3"/>
            <w:tabs>
              <w:tab w:val="right" w:leader="dot" w:pos="9350"/>
            </w:tabs>
            <w:rPr>
              <w:rFonts w:ascii="Arial" w:eastAsiaTheme="minorEastAsia" w:hAnsi="Arial" w:cs="Arial"/>
              <w:noProof/>
            </w:rPr>
          </w:pPr>
          <w:hyperlink w:anchor="_Toc220890067" w:history="1">
            <w:r w:rsidR="007F29DA" w:rsidRPr="007F29DA">
              <w:rPr>
                <w:rStyle w:val="Hyperlink"/>
                <w:rFonts w:ascii="Arial" w:hAnsi="Arial" w:cs="Arial"/>
                <w:noProof/>
              </w:rPr>
              <w:t>2.2.3 Interconnectedness on a Global Level and Risk Multiplication.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17</w:t>
            </w:r>
            <w:r w:rsidR="007F29DA" w:rsidRPr="007F29DA">
              <w:rPr>
                <w:rFonts w:ascii="Arial" w:hAnsi="Arial" w:cs="Arial"/>
                <w:noProof/>
                <w:webHidden/>
              </w:rPr>
              <w:fldChar w:fldCharType="end"/>
            </w:r>
          </w:hyperlink>
        </w:p>
        <w:p w14:paraId="7D4A1B81" w14:textId="170B4360" w:rsidR="007F29DA" w:rsidRPr="007F29DA" w:rsidRDefault="000D0FF1">
          <w:pPr>
            <w:pStyle w:val="TOC2"/>
            <w:tabs>
              <w:tab w:val="right" w:leader="dot" w:pos="9350"/>
            </w:tabs>
            <w:rPr>
              <w:rFonts w:ascii="Arial" w:eastAsiaTheme="minorEastAsia" w:hAnsi="Arial" w:cs="Arial"/>
              <w:noProof/>
            </w:rPr>
          </w:pPr>
          <w:hyperlink w:anchor="_Toc220890068" w:history="1">
            <w:r w:rsidR="007F29DA" w:rsidRPr="007F29DA">
              <w:rPr>
                <w:rStyle w:val="Hyperlink"/>
                <w:rFonts w:ascii="Arial" w:hAnsi="Arial" w:cs="Arial"/>
                <w:noProof/>
              </w:rPr>
              <w:t>2.3. Theoretical Frameworks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18</w:t>
            </w:r>
            <w:r w:rsidR="007F29DA" w:rsidRPr="007F29DA">
              <w:rPr>
                <w:rFonts w:ascii="Arial" w:hAnsi="Arial" w:cs="Arial"/>
                <w:noProof/>
                <w:webHidden/>
              </w:rPr>
              <w:fldChar w:fldCharType="end"/>
            </w:r>
          </w:hyperlink>
        </w:p>
        <w:p w14:paraId="1F0E2D5C" w14:textId="627A99B7" w:rsidR="007F29DA" w:rsidRPr="007F29DA" w:rsidRDefault="000D0FF1">
          <w:pPr>
            <w:pStyle w:val="TOC3"/>
            <w:tabs>
              <w:tab w:val="right" w:leader="dot" w:pos="9350"/>
            </w:tabs>
            <w:rPr>
              <w:rFonts w:ascii="Arial" w:eastAsiaTheme="minorEastAsia" w:hAnsi="Arial" w:cs="Arial"/>
              <w:noProof/>
            </w:rPr>
          </w:pPr>
          <w:hyperlink w:anchor="_Toc220890069" w:history="1">
            <w:r w:rsidR="007F29DA" w:rsidRPr="007F29DA">
              <w:rPr>
                <w:rStyle w:val="Hyperlink"/>
                <w:rFonts w:ascii="Arial" w:hAnsi="Arial" w:cs="Arial"/>
                <w:noProof/>
              </w:rPr>
              <w:t>2.3.1 Resource-Based View (RBV)</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_Toc220890069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18</w:t>
            </w:r>
            <w:r w:rsidR="007F29DA" w:rsidRPr="007F29DA">
              <w:rPr>
                <w:rFonts w:ascii="Arial" w:hAnsi="Arial" w:cs="Arial"/>
                <w:noProof/>
                <w:webHidden/>
              </w:rPr>
              <w:fldChar w:fldCharType="end"/>
            </w:r>
          </w:hyperlink>
        </w:p>
        <w:p w14:paraId="7DEEE1E2" w14:textId="6FBA45EF" w:rsidR="007F29DA" w:rsidRPr="007F29DA" w:rsidRDefault="000D0FF1">
          <w:pPr>
            <w:pStyle w:val="TOC3"/>
            <w:tabs>
              <w:tab w:val="right" w:leader="dot" w:pos="9350"/>
            </w:tabs>
            <w:rPr>
              <w:rFonts w:ascii="Arial" w:eastAsiaTheme="minorEastAsia" w:hAnsi="Arial" w:cs="Arial"/>
              <w:noProof/>
            </w:rPr>
          </w:pPr>
          <w:hyperlink w:anchor="_Toc220890070" w:history="1">
            <w:r w:rsidR="007F29DA" w:rsidRPr="007F29DA">
              <w:rPr>
                <w:rStyle w:val="Hyperlink"/>
                <w:rFonts w:ascii="Arial" w:hAnsi="Arial" w:cs="Arial"/>
                <w:noProof/>
              </w:rPr>
              <w:t>2.3.2 Dynamic Capabilities Theory (DCT).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18</w:t>
            </w:r>
            <w:r w:rsidR="007F29DA" w:rsidRPr="007F29DA">
              <w:rPr>
                <w:rFonts w:ascii="Arial" w:hAnsi="Arial" w:cs="Arial"/>
                <w:noProof/>
                <w:webHidden/>
              </w:rPr>
              <w:fldChar w:fldCharType="end"/>
            </w:r>
          </w:hyperlink>
        </w:p>
        <w:p w14:paraId="505C9589" w14:textId="6F918B4C" w:rsidR="007F29DA" w:rsidRPr="007F29DA" w:rsidRDefault="000D0FF1">
          <w:pPr>
            <w:pStyle w:val="TOC3"/>
            <w:tabs>
              <w:tab w:val="right" w:leader="dot" w:pos="9350"/>
            </w:tabs>
            <w:rPr>
              <w:rFonts w:ascii="Arial" w:eastAsiaTheme="minorEastAsia" w:hAnsi="Arial" w:cs="Arial"/>
              <w:noProof/>
            </w:rPr>
          </w:pPr>
          <w:hyperlink w:anchor="_Toc220890071" w:history="1">
            <w:r w:rsidR="007F29DA" w:rsidRPr="007F29DA">
              <w:rPr>
                <w:rStyle w:val="Hyperlink"/>
                <w:rFonts w:ascii="Arial" w:hAnsi="Arial" w:cs="Arial"/>
                <w:noProof/>
              </w:rPr>
              <w:t>2.3.4 Network Theory.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19</w:t>
            </w:r>
            <w:r w:rsidR="007F29DA" w:rsidRPr="007F29DA">
              <w:rPr>
                <w:rFonts w:ascii="Arial" w:hAnsi="Arial" w:cs="Arial"/>
                <w:noProof/>
                <w:webHidden/>
              </w:rPr>
              <w:fldChar w:fldCharType="end"/>
            </w:r>
          </w:hyperlink>
        </w:p>
        <w:p w14:paraId="0AE17B1F" w14:textId="50495DCB" w:rsidR="007F29DA" w:rsidRPr="007F29DA" w:rsidRDefault="000D0FF1">
          <w:pPr>
            <w:pStyle w:val="TOC3"/>
            <w:tabs>
              <w:tab w:val="right" w:leader="dot" w:pos="9350"/>
            </w:tabs>
            <w:rPr>
              <w:rFonts w:ascii="Arial" w:eastAsiaTheme="minorEastAsia" w:hAnsi="Arial" w:cs="Arial"/>
              <w:noProof/>
            </w:rPr>
          </w:pPr>
          <w:hyperlink w:anchor="_Toc220890072" w:history="1">
            <w:r w:rsidR="007F29DA" w:rsidRPr="007F29DA">
              <w:rPr>
                <w:rStyle w:val="Hyperlink"/>
                <w:rFonts w:ascii="Arial" w:hAnsi="Arial" w:cs="Arial"/>
                <w:noProof/>
              </w:rPr>
              <w:t>2.3.5 Integrative Framework</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20</w:t>
            </w:r>
            <w:r w:rsidR="007F29DA" w:rsidRPr="007F29DA">
              <w:rPr>
                <w:rFonts w:ascii="Arial" w:hAnsi="Arial" w:cs="Arial"/>
                <w:noProof/>
                <w:webHidden/>
              </w:rPr>
              <w:fldChar w:fldCharType="end"/>
            </w:r>
          </w:hyperlink>
        </w:p>
        <w:p w14:paraId="073CF948" w14:textId="7DD4F138" w:rsidR="007F29DA" w:rsidRPr="007F29DA" w:rsidRDefault="000D0FF1">
          <w:pPr>
            <w:pStyle w:val="TOC2"/>
            <w:tabs>
              <w:tab w:val="right" w:leader="dot" w:pos="9350"/>
            </w:tabs>
            <w:rPr>
              <w:rFonts w:ascii="Arial" w:eastAsiaTheme="minorEastAsia" w:hAnsi="Arial" w:cs="Arial"/>
              <w:noProof/>
            </w:rPr>
          </w:pPr>
          <w:hyperlink w:anchor="_Toc220890073" w:history="1">
            <w:r w:rsidR="007F29DA" w:rsidRPr="007F29DA">
              <w:rPr>
                <w:rStyle w:val="Hyperlink"/>
                <w:rFonts w:ascii="Arial" w:hAnsi="Arial" w:cs="Arial"/>
                <w:noProof/>
              </w:rPr>
              <w:t>2.4. Empirical evidence from the world literature</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21</w:t>
            </w:r>
            <w:r w:rsidR="007F29DA" w:rsidRPr="007F29DA">
              <w:rPr>
                <w:rFonts w:ascii="Arial" w:hAnsi="Arial" w:cs="Arial"/>
                <w:noProof/>
                <w:webHidden/>
              </w:rPr>
              <w:fldChar w:fldCharType="end"/>
            </w:r>
          </w:hyperlink>
        </w:p>
        <w:p w14:paraId="4933E84B" w14:textId="6F61BF17" w:rsidR="007F29DA" w:rsidRPr="007F29DA" w:rsidRDefault="000D0FF1">
          <w:pPr>
            <w:pStyle w:val="TOC3"/>
            <w:tabs>
              <w:tab w:val="right" w:leader="dot" w:pos="9350"/>
            </w:tabs>
            <w:rPr>
              <w:rFonts w:ascii="Arial" w:eastAsiaTheme="minorEastAsia" w:hAnsi="Arial" w:cs="Arial"/>
              <w:noProof/>
            </w:rPr>
          </w:pPr>
          <w:hyperlink w:anchor="_Toc220890074" w:history="1">
            <w:r w:rsidR="007F29DA" w:rsidRPr="007F29DA">
              <w:rPr>
                <w:rStyle w:val="Hyperlink"/>
                <w:rFonts w:ascii="Arial" w:hAnsi="Arial" w:cs="Arial"/>
                <w:noProof/>
              </w:rPr>
              <w:t>2.4.1 The Economic/Cost Impact of Disruption on SMEs.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22</w:t>
            </w:r>
            <w:r w:rsidR="007F29DA" w:rsidRPr="007F29DA">
              <w:rPr>
                <w:rFonts w:ascii="Arial" w:hAnsi="Arial" w:cs="Arial"/>
                <w:noProof/>
                <w:webHidden/>
              </w:rPr>
              <w:fldChar w:fldCharType="end"/>
            </w:r>
          </w:hyperlink>
        </w:p>
        <w:p w14:paraId="6763545E" w14:textId="7D8ABA8F" w:rsidR="007F29DA" w:rsidRPr="007F29DA" w:rsidRDefault="000D0FF1">
          <w:pPr>
            <w:pStyle w:val="TOC3"/>
            <w:tabs>
              <w:tab w:val="right" w:leader="dot" w:pos="9350"/>
            </w:tabs>
            <w:rPr>
              <w:rFonts w:ascii="Arial" w:eastAsiaTheme="minorEastAsia" w:hAnsi="Arial" w:cs="Arial"/>
              <w:noProof/>
            </w:rPr>
          </w:pPr>
          <w:hyperlink w:anchor="_Toc220890075" w:history="1">
            <w:r w:rsidR="007F29DA" w:rsidRPr="007F29DA">
              <w:rPr>
                <w:rStyle w:val="Hyperlink"/>
                <w:rFonts w:ascii="Arial" w:hAnsi="Arial" w:cs="Arial"/>
                <w:noProof/>
              </w:rPr>
              <w:t>2.4.2 Institutional/Environmental Disruptions and Overall Performance of SMEs.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_Toc220890075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23</w:t>
            </w:r>
            <w:r w:rsidR="007F29DA" w:rsidRPr="007F29DA">
              <w:rPr>
                <w:rFonts w:ascii="Arial" w:hAnsi="Arial" w:cs="Arial"/>
                <w:noProof/>
                <w:webHidden/>
              </w:rPr>
              <w:fldChar w:fldCharType="end"/>
            </w:r>
          </w:hyperlink>
        </w:p>
        <w:p w14:paraId="68A89328" w14:textId="5429E0E1" w:rsidR="007F29DA" w:rsidRPr="007F29DA" w:rsidRDefault="000D0FF1">
          <w:pPr>
            <w:pStyle w:val="TOC3"/>
            <w:tabs>
              <w:tab w:val="right" w:leader="dot" w:pos="9350"/>
            </w:tabs>
            <w:rPr>
              <w:rFonts w:ascii="Arial" w:eastAsiaTheme="minorEastAsia" w:hAnsi="Arial" w:cs="Arial"/>
              <w:noProof/>
            </w:rPr>
          </w:pPr>
          <w:hyperlink w:anchor="_Toc220890076" w:history="1">
            <w:r w:rsidR="007F29DA" w:rsidRPr="007F29DA">
              <w:rPr>
                <w:rStyle w:val="Hyperlink"/>
                <w:rFonts w:ascii="Arial" w:hAnsi="Arial" w:cs="Arial"/>
                <w:noProof/>
              </w:rPr>
              <w:t>2.4.3 SME’s Strategic and Structural Responses to Global Supply Chain Disruptions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24</w:t>
            </w:r>
            <w:r w:rsidR="007F29DA" w:rsidRPr="007F29DA">
              <w:rPr>
                <w:rFonts w:ascii="Arial" w:hAnsi="Arial" w:cs="Arial"/>
                <w:noProof/>
                <w:webHidden/>
              </w:rPr>
              <w:fldChar w:fldCharType="end"/>
            </w:r>
          </w:hyperlink>
        </w:p>
        <w:p w14:paraId="26224CC9" w14:textId="05EE1442" w:rsidR="007F29DA" w:rsidRPr="007F29DA" w:rsidRDefault="000D0FF1">
          <w:pPr>
            <w:pStyle w:val="TOC3"/>
            <w:tabs>
              <w:tab w:val="right" w:leader="dot" w:pos="9350"/>
            </w:tabs>
            <w:rPr>
              <w:rFonts w:ascii="Arial" w:eastAsiaTheme="minorEastAsia" w:hAnsi="Arial" w:cs="Arial"/>
              <w:noProof/>
            </w:rPr>
          </w:pPr>
          <w:hyperlink w:anchor="_Toc220890077" w:history="1">
            <w:r w:rsidR="007F29DA" w:rsidRPr="007F29DA">
              <w:rPr>
                <w:rStyle w:val="Hyperlink"/>
                <w:rFonts w:ascii="Arial" w:hAnsi="Arial" w:cs="Arial"/>
                <w:noProof/>
              </w:rPr>
              <w:t>2.4.4 The Role of Knowledge Preparedness and Technological Capability of SME in dealing with disruptions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24</w:t>
            </w:r>
            <w:r w:rsidR="007F29DA" w:rsidRPr="007F29DA">
              <w:rPr>
                <w:rFonts w:ascii="Arial" w:hAnsi="Arial" w:cs="Arial"/>
                <w:noProof/>
                <w:webHidden/>
              </w:rPr>
              <w:fldChar w:fldCharType="end"/>
            </w:r>
          </w:hyperlink>
        </w:p>
        <w:p w14:paraId="0CE87A0A" w14:textId="24DC2969" w:rsidR="007F29DA" w:rsidRPr="007F29DA" w:rsidRDefault="000D0FF1">
          <w:pPr>
            <w:pStyle w:val="TOC2"/>
            <w:tabs>
              <w:tab w:val="right" w:leader="dot" w:pos="9350"/>
            </w:tabs>
            <w:rPr>
              <w:rFonts w:ascii="Arial" w:eastAsiaTheme="minorEastAsia" w:hAnsi="Arial" w:cs="Arial"/>
              <w:noProof/>
            </w:rPr>
          </w:pPr>
          <w:hyperlink w:anchor="_Toc220890078" w:history="1">
            <w:r w:rsidR="007F29DA" w:rsidRPr="007F29DA">
              <w:rPr>
                <w:rStyle w:val="Hyperlink"/>
                <w:rFonts w:ascii="Arial" w:hAnsi="Arial" w:cs="Arial"/>
                <w:noProof/>
              </w:rPr>
              <w:t>2.5. Conceptual Framework</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25</w:t>
            </w:r>
            <w:r w:rsidR="007F29DA" w:rsidRPr="007F29DA">
              <w:rPr>
                <w:rFonts w:ascii="Arial" w:hAnsi="Arial" w:cs="Arial"/>
                <w:noProof/>
                <w:webHidden/>
              </w:rPr>
              <w:fldChar w:fldCharType="end"/>
            </w:r>
          </w:hyperlink>
        </w:p>
        <w:p w14:paraId="4D9E7BE4" w14:textId="41C32A86" w:rsidR="007F29DA" w:rsidRPr="007F29DA" w:rsidRDefault="000D0FF1">
          <w:pPr>
            <w:pStyle w:val="TOC2"/>
            <w:tabs>
              <w:tab w:val="right" w:leader="dot" w:pos="9350"/>
            </w:tabs>
            <w:rPr>
              <w:rFonts w:ascii="Arial" w:eastAsiaTheme="minorEastAsia" w:hAnsi="Arial" w:cs="Arial"/>
              <w:noProof/>
            </w:rPr>
          </w:pPr>
          <w:hyperlink w:anchor="_Toc220890079" w:history="1">
            <w:r w:rsidR="007F29DA" w:rsidRPr="007F29DA">
              <w:rPr>
                <w:rStyle w:val="Hyperlink"/>
                <w:rFonts w:ascii="Arial" w:hAnsi="Arial" w:cs="Arial"/>
                <w:noProof/>
              </w:rPr>
              <w:t>2.6 Critical Analysis and Summary of Literature</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_Toc220890079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27</w:t>
            </w:r>
            <w:r w:rsidR="007F29DA" w:rsidRPr="007F29DA">
              <w:rPr>
                <w:rFonts w:ascii="Arial" w:hAnsi="Arial" w:cs="Arial"/>
                <w:noProof/>
                <w:webHidden/>
              </w:rPr>
              <w:fldChar w:fldCharType="end"/>
            </w:r>
          </w:hyperlink>
        </w:p>
        <w:p w14:paraId="5403C4C0" w14:textId="6977FB2A" w:rsidR="007F29DA" w:rsidRPr="007F29DA" w:rsidRDefault="000D0FF1">
          <w:pPr>
            <w:pStyle w:val="TOC1"/>
            <w:tabs>
              <w:tab w:val="right" w:leader="dot" w:pos="9350"/>
            </w:tabs>
            <w:rPr>
              <w:rFonts w:ascii="Arial" w:eastAsiaTheme="minorEastAsia" w:hAnsi="Arial" w:cs="Arial"/>
              <w:noProof/>
            </w:rPr>
          </w:pPr>
          <w:hyperlink w:anchor="_Toc220890080" w:history="1">
            <w:r w:rsidR="007F29DA" w:rsidRPr="007F29DA">
              <w:rPr>
                <w:rStyle w:val="Hyperlink"/>
                <w:rFonts w:ascii="Arial" w:hAnsi="Arial" w:cs="Arial"/>
                <w:noProof/>
              </w:rPr>
              <w:t>Chapter 3: Research Methodology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29</w:t>
            </w:r>
            <w:r w:rsidR="007F29DA" w:rsidRPr="007F29DA">
              <w:rPr>
                <w:rFonts w:ascii="Arial" w:hAnsi="Arial" w:cs="Arial"/>
                <w:noProof/>
                <w:webHidden/>
              </w:rPr>
              <w:fldChar w:fldCharType="end"/>
            </w:r>
          </w:hyperlink>
        </w:p>
        <w:p w14:paraId="2F9FDB4F" w14:textId="750566B6" w:rsidR="007F29DA" w:rsidRPr="007F29DA" w:rsidRDefault="000D0FF1">
          <w:pPr>
            <w:pStyle w:val="TOC2"/>
            <w:tabs>
              <w:tab w:val="right" w:leader="dot" w:pos="9350"/>
            </w:tabs>
            <w:rPr>
              <w:rFonts w:ascii="Arial" w:eastAsiaTheme="minorEastAsia" w:hAnsi="Arial" w:cs="Arial"/>
              <w:noProof/>
            </w:rPr>
          </w:pPr>
          <w:hyperlink w:anchor="_Toc220890081" w:history="1">
            <w:r w:rsidR="007F29DA" w:rsidRPr="007F29DA">
              <w:rPr>
                <w:rStyle w:val="Hyperlink"/>
                <w:rFonts w:ascii="Arial" w:hAnsi="Arial" w:cs="Arial"/>
                <w:noProof/>
              </w:rPr>
              <w:t>3.1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29</w:t>
            </w:r>
            <w:r w:rsidR="007F29DA" w:rsidRPr="007F29DA">
              <w:rPr>
                <w:rFonts w:ascii="Arial" w:hAnsi="Arial" w:cs="Arial"/>
                <w:noProof/>
                <w:webHidden/>
              </w:rPr>
              <w:fldChar w:fldCharType="end"/>
            </w:r>
          </w:hyperlink>
        </w:p>
        <w:p w14:paraId="22AD2C35" w14:textId="6933F059" w:rsidR="007F29DA" w:rsidRPr="007F29DA" w:rsidRDefault="000D0FF1">
          <w:pPr>
            <w:pStyle w:val="TOC2"/>
            <w:tabs>
              <w:tab w:val="right" w:leader="dot" w:pos="9350"/>
            </w:tabs>
            <w:rPr>
              <w:rFonts w:ascii="Arial" w:eastAsiaTheme="minorEastAsia" w:hAnsi="Arial" w:cs="Arial"/>
              <w:noProof/>
            </w:rPr>
          </w:pPr>
          <w:hyperlink w:anchor="_Toc220890082" w:history="1">
            <w:r w:rsidR="007F29DA" w:rsidRPr="007F29DA">
              <w:rPr>
                <w:rStyle w:val="Hyperlink"/>
                <w:rFonts w:ascii="Arial" w:hAnsi="Arial" w:cs="Arial"/>
                <w:noProof/>
              </w:rPr>
              <w:t>3.2 Research Philosophy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29</w:t>
            </w:r>
            <w:r w:rsidR="007F29DA" w:rsidRPr="007F29DA">
              <w:rPr>
                <w:rFonts w:ascii="Arial" w:hAnsi="Arial" w:cs="Arial"/>
                <w:noProof/>
                <w:webHidden/>
              </w:rPr>
              <w:fldChar w:fldCharType="end"/>
            </w:r>
          </w:hyperlink>
        </w:p>
        <w:p w14:paraId="6885C42B" w14:textId="5977809A" w:rsidR="007F29DA" w:rsidRPr="007F29DA" w:rsidRDefault="000D0FF1">
          <w:pPr>
            <w:pStyle w:val="TOC2"/>
            <w:tabs>
              <w:tab w:val="right" w:leader="dot" w:pos="9350"/>
            </w:tabs>
            <w:rPr>
              <w:rFonts w:ascii="Arial" w:eastAsiaTheme="minorEastAsia" w:hAnsi="Arial" w:cs="Arial"/>
              <w:noProof/>
            </w:rPr>
          </w:pPr>
          <w:hyperlink w:anchor="_Toc220890083" w:history="1">
            <w:r w:rsidR="007F29DA" w:rsidRPr="007F29DA">
              <w:rPr>
                <w:rStyle w:val="Hyperlink"/>
                <w:rFonts w:ascii="Arial" w:hAnsi="Arial" w:cs="Arial"/>
                <w:noProof/>
              </w:rPr>
              <w:t>3.3 Research Approach</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30</w:t>
            </w:r>
            <w:r w:rsidR="007F29DA" w:rsidRPr="007F29DA">
              <w:rPr>
                <w:rFonts w:ascii="Arial" w:hAnsi="Arial" w:cs="Arial"/>
                <w:noProof/>
                <w:webHidden/>
              </w:rPr>
              <w:fldChar w:fldCharType="end"/>
            </w:r>
          </w:hyperlink>
        </w:p>
        <w:p w14:paraId="6EC39A6F" w14:textId="476B6AA7" w:rsidR="007F29DA" w:rsidRPr="007F29DA" w:rsidRDefault="000D0FF1">
          <w:pPr>
            <w:pStyle w:val="TOC2"/>
            <w:tabs>
              <w:tab w:val="right" w:leader="dot" w:pos="9350"/>
            </w:tabs>
            <w:rPr>
              <w:rFonts w:ascii="Arial" w:eastAsiaTheme="minorEastAsia" w:hAnsi="Arial" w:cs="Arial"/>
              <w:noProof/>
            </w:rPr>
          </w:pPr>
          <w:hyperlink w:anchor="_Toc220890084" w:history="1">
            <w:r w:rsidR="007F29DA" w:rsidRPr="007F29DA">
              <w:rPr>
                <w:rStyle w:val="Hyperlink"/>
                <w:rFonts w:ascii="Arial" w:hAnsi="Arial" w:cs="Arial"/>
                <w:noProof/>
              </w:rPr>
              <w:t>3.4 Research Strategy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31</w:t>
            </w:r>
            <w:r w:rsidR="007F29DA" w:rsidRPr="007F29DA">
              <w:rPr>
                <w:rFonts w:ascii="Arial" w:hAnsi="Arial" w:cs="Arial"/>
                <w:noProof/>
                <w:webHidden/>
              </w:rPr>
              <w:fldChar w:fldCharType="end"/>
            </w:r>
          </w:hyperlink>
        </w:p>
        <w:p w14:paraId="610874FB" w14:textId="0EEB9931" w:rsidR="007F29DA" w:rsidRPr="007F29DA" w:rsidRDefault="000D0FF1">
          <w:pPr>
            <w:pStyle w:val="TOC2"/>
            <w:tabs>
              <w:tab w:val="right" w:leader="dot" w:pos="9350"/>
            </w:tabs>
            <w:rPr>
              <w:rFonts w:ascii="Arial" w:eastAsiaTheme="minorEastAsia" w:hAnsi="Arial" w:cs="Arial"/>
              <w:noProof/>
            </w:rPr>
          </w:pPr>
          <w:hyperlink w:anchor="_Toc220890085" w:history="1">
            <w:r w:rsidR="007F29DA" w:rsidRPr="007F29DA">
              <w:rPr>
                <w:rStyle w:val="Hyperlink"/>
                <w:rFonts w:ascii="Arial" w:hAnsi="Arial" w:cs="Arial"/>
                <w:noProof/>
              </w:rPr>
              <w:t>3.5 Population, Sampling, and Sample Size</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_Toc220890085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32</w:t>
            </w:r>
            <w:r w:rsidR="007F29DA" w:rsidRPr="007F29DA">
              <w:rPr>
                <w:rFonts w:ascii="Arial" w:hAnsi="Arial" w:cs="Arial"/>
                <w:noProof/>
                <w:webHidden/>
              </w:rPr>
              <w:fldChar w:fldCharType="end"/>
            </w:r>
          </w:hyperlink>
        </w:p>
        <w:p w14:paraId="1C7CA750" w14:textId="3C66EDA2" w:rsidR="007F29DA" w:rsidRPr="007F29DA" w:rsidRDefault="000D0FF1">
          <w:pPr>
            <w:pStyle w:val="TOC2"/>
            <w:tabs>
              <w:tab w:val="right" w:leader="dot" w:pos="9350"/>
            </w:tabs>
            <w:rPr>
              <w:rFonts w:ascii="Arial" w:eastAsiaTheme="minorEastAsia" w:hAnsi="Arial" w:cs="Arial"/>
              <w:noProof/>
            </w:rPr>
          </w:pPr>
          <w:hyperlink w:anchor="_Toc220890086" w:history="1">
            <w:r w:rsidR="007F29DA" w:rsidRPr="007F29DA">
              <w:rPr>
                <w:rStyle w:val="Hyperlink"/>
                <w:rFonts w:ascii="Arial" w:hAnsi="Arial" w:cs="Arial"/>
                <w:noProof/>
              </w:rPr>
              <w:t>3.6 Data Collection Method</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34</w:t>
            </w:r>
            <w:r w:rsidR="007F29DA" w:rsidRPr="007F29DA">
              <w:rPr>
                <w:rFonts w:ascii="Arial" w:hAnsi="Arial" w:cs="Arial"/>
                <w:noProof/>
                <w:webHidden/>
              </w:rPr>
              <w:fldChar w:fldCharType="end"/>
            </w:r>
          </w:hyperlink>
        </w:p>
        <w:p w14:paraId="752B71A4" w14:textId="36A3132E" w:rsidR="007F29DA" w:rsidRPr="007F29DA" w:rsidRDefault="000D0FF1">
          <w:pPr>
            <w:pStyle w:val="TOC2"/>
            <w:tabs>
              <w:tab w:val="right" w:leader="dot" w:pos="9350"/>
            </w:tabs>
            <w:rPr>
              <w:rFonts w:ascii="Arial" w:eastAsiaTheme="minorEastAsia" w:hAnsi="Arial" w:cs="Arial"/>
              <w:noProof/>
            </w:rPr>
          </w:pPr>
          <w:hyperlink w:anchor="_Toc220890087" w:history="1">
            <w:r w:rsidR="007F29DA" w:rsidRPr="007F29DA">
              <w:rPr>
                <w:rStyle w:val="Hyperlink"/>
                <w:rFonts w:ascii="Arial" w:hAnsi="Arial" w:cs="Arial"/>
                <w:noProof/>
              </w:rPr>
              <w:t>3.7 Data Analysis Method</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34</w:t>
            </w:r>
            <w:r w:rsidR="007F29DA" w:rsidRPr="007F29DA">
              <w:rPr>
                <w:rFonts w:ascii="Arial" w:hAnsi="Arial" w:cs="Arial"/>
                <w:noProof/>
                <w:webHidden/>
              </w:rPr>
              <w:fldChar w:fldCharType="end"/>
            </w:r>
          </w:hyperlink>
        </w:p>
        <w:p w14:paraId="1EB388A8" w14:textId="58679A53" w:rsidR="007F29DA" w:rsidRPr="007F29DA" w:rsidRDefault="000D0FF1">
          <w:pPr>
            <w:pStyle w:val="TOC2"/>
            <w:tabs>
              <w:tab w:val="right" w:leader="dot" w:pos="9350"/>
            </w:tabs>
            <w:rPr>
              <w:rFonts w:ascii="Arial" w:eastAsiaTheme="minorEastAsia" w:hAnsi="Arial" w:cs="Arial"/>
              <w:noProof/>
            </w:rPr>
          </w:pPr>
          <w:hyperlink w:anchor="_Toc220890088" w:history="1">
            <w:r w:rsidR="007F29DA" w:rsidRPr="007F29DA">
              <w:rPr>
                <w:rStyle w:val="Hyperlink"/>
                <w:rFonts w:ascii="Arial" w:hAnsi="Arial" w:cs="Arial"/>
                <w:noProof/>
              </w:rPr>
              <w:t>3.8 Ethical Considerations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35</w:t>
            </w:r>
            <w:r w:rsidR="007F29DA" w:rsidRPr="007F29DA">
              <w:rPr>
                <w:rFonts w:ascii="Arial" w:hAnsi="Arial" w:cs="Arial"/>
                <w:noProof/>
                <w:webHidden/>
              </w:rPr>
              <w:fldChar w:fldCharType="end"/>
            </w:r>
          </w:hyperlink>
        </w:p>
        <w:p w14:paraId="688E540B" w14:textId="007BCE5D" w:rsidR="007F29DA" w:rsidRPr="007F29DA" w:rsidRDefault="000D0FF1">
          <w:pPr>
            <w:pStyle w:val="TOC2"/>
            <w:tabs>
              <w:tab w:val="right" w:leader="dot" w:pos="9350"/>
            </w:tabs>
            <w:rPr>
              <w:rFonts w:ascii="Arial" w:eastAsiaTheme="minorEastAsia" w:hAnsi="Arial" w:cs="Arial"/>
              <w:noProof/>
            </w:rPr>
          </w:pPr>
          <w:hyperlink w:anchor="_Toc220890089" w:history="1">
            <w:r w:rsidR="007F29DA" w:rsidRPr="007F29DA">
              <w:rPr>
                <w:rStyle w:val="Hyperlink"/>
                <w:rFonts w:ascii="Arial" w:hAnsi="Arial" w:cs="Arial"/>
                <w:noProof/>
              </w:rPr>
              <w:t>3.9 Chapter 3 Summary and Methodological Limitations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_Toc220890089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36</w:t>
            </w:r>
            <w:r w:rsidR="007F29DA" w:rsidRPr="007F29DA">
              <w:rPr>
                <w:rFonts w:ascii="Arial" w:hAnsi="Arial" w:cs="Arial"/>
                <w:noProof/>
                <w:webHidden/>
              </w:rPr>
              <w:fldChar w:fldCharType="end"/>
            </w:r>
          </w:hyperlink>
        </w:p>
        <w:p w14:paraId="373B20FC" w14:textId="61551B9E" w:rsidR="007F29DA" w:rsidRPr="007F29DA" w:rsidRDefault="000D0FF1">
          <w:pPr>
            <w:pStyle w:val="TOC1"/>
            <w:tabs>
              <w:tab w:val="right" w:leader="dot" w:pos="9350"/>
            </w:tabs>
            <w:rPr>
              <w:rFonts w:ascii="Arial" w:eastAsiaTheme="minorEastAsia" w:hAnsi="Arial" w:cs="Arial"/>
              <w:noProof/>
            </w:rPr>
          </w:pPr>
          <w:hyperlink w:anchor="_Toc220890090" w:history="1">
            <w:r w:rsidR="007F29DA" w:rsidRPr="007F29DA">
              <w:rPr>
                <w:rStyle w:val="Hyperlink"/>
                <w:rFonts w:ascii="Arial" w:hAnsi="Arial" w:cs="Arial"/>
                <w:noProof/>
              </w:rPr>
              <w:t>Chapter 4: Results and Findings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37</w:t>
            </w:r>
            <w:r w:rsidR="007F29DA" w:rsidRPr="007F29DA">
              <w:rPr>
                <w:rFonts w:ascii="Arial" w:hAnsi="Arial" w:cs="Arial"/>
                <w:noProof/>
                <w:webHidden/>
              </w:rPr>
              <w:fldChar w:fldCharType="end"/>
            </w:r>
          </w:hyperlink>
        </w:p>
        <w:p w14:paraId="726D281A" w14:textId="49B47D78" w:rsidR="007F29DA" w:rsidRPr="007F29DA" w:rsidRDefault="000D0FF1">
          <w:pPr>
            <w:pStyle w:val="TOC2"/>
            <w:tabs>
              <w:tab w:val="right" w:leader="dot" w:pos="9350"/>
            </w:tabs>
            <w:rPr>
              <w:rFonts w:ascii="Arial" w:eastAsiaTheme="minorEastAsia" w:hAnsi="Arial" w:cs="Arial"/>
              <w:noProof/>
            </w:rPr>
          </w:pPr>
          <w:hyperlink w:anchor="_Toc220890091" w:history="1">
            <w:r w:rsidR="007F29DA" w:rsidRPr="007F29DA">
              <w:rPr>
                <w:rStyle w:val="Hyperlink"/>
                <w:rFonts w:ascii="Arial" w:hAnsi="Arial" w:cs="Arial"/>
                <w:noProof/>
              </w:rPr>
              <w:t>4.1 Chapter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37</w:t>
            </w:r>
            <w:r w:rsidR="007F29DA" w:rsidRPr="007F29DA">
              <w:rPr>
                <w:rFonts w:ascii="Arial" w:hAnsi="Arial" w:cs="Arial"/>
                <w:noProof/>
                <w:webHidden/>
              </w:rPr>
              <w:fldChar w:fldCharType="end"/>
            </w:r>
          </w:hyperlink>
        </w:p>
        <w:p w14:paraId="60A8755D" w14:textId="698F49C6" w:rsidR="007F29DA" w:rsidRPr="007F29DA" w:rsidRDefault="000D0FF1">
          <w:pPr>
            <w:pStyle w:val="TOC2"/>
            <w:tabs>
              <w:tab w:val="right" w:leader="dot" w:pos="9350"/>
            </w:tabs>
            <w:rPr>
              <w:rFonts w:ascii="Arial" w:eastAsiaTheme="minorEastAsia" w:hAnsi="Arial" w:cs="Arial"/>
              <w:noProof/>
            </w:rPr>
          </w:pPr>
          <w:hyperlink w:anchor="_Toc220890092" w:history="1">
            <w:r w:rsidR="007F29DA" w:rsidRPr="007F29DA">
              <w:rPr>
                <w:rStyle w:val="Hyperlink"/>
                <w:rFonts w:ascii="Arial" w:hAnsi="Arial" w:cs="Arial"/>
                <w:noProof/>
              </w:rPr>
              <w:t>4.2 Descriptive Statistics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37</w:t>
            </w:r>
            <w:r w:rsidR="007F29DA" w:rsidRPr="007F29DA">
              <w:rPr>
                <w:rFonts w:ascii="Arial" w:hAnsi="Arial" w:cs="Arial"/>
                <w:noProof/>
                <w:webHidden/>
              </w:rPr>
              <w:fldChar w:fldCharType="end"/>
            </w:r>
          </w:hyperlink>
        </w:p>
        <w:p w14:paraId="39AB5DCE" w14:textId="6B49F307" w:rsidR="007F29DA" w:rsidRPr="007F29DA" w:rsidRDefault="000D0FF1">
          <w:pPr>
            <w:pStyle w:val="TOC2"/>
            <w:tabs>
              <w:tab w:val="right" w:leader="dot" w:pos="9350"/>
            </w:tabs>
            <w:rPr>
              <w:rFonts w:ascii="Arial" w:eastAsiaTheme="minorEastAsia" w:hAnsi="Arial" w:cs="Arial"/>
              <w:noProof/>
            </w:rPr>
          </w:pPr>
          <w:hyperlink w:anchor="_Toc220890093" w:history="1">
            <w:r w:rsidR="007F29DA" w:rsidRPr="007F29DA">
              <w:rPr>
                <w:rStyle w:val="Hyperlink"/>
                <w:rFonts w:ascii="Arial" w:hAnsi="Arial" w:cs="Arial"/>
                <w:noProof/>
              </w:rPr>
              <w:t>4.3 Frequency Analysis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38</w:t>
            </w:r>
            <w:r w:rsidR="007F29DA" w:rsidRPr="007F29DA">
              <w:rPr>
                <w:rFonts w:ascii="Arial" w:hAnsi="Arial" w:cs="Arial"/>
                <w:noProof/>
                <w:webHidden/>
              </w:rPr>
              <w:fldChar w:fldCharType="end"/>
            </w:r>
          </w:hyperlink>
        </w:p>
        <w:p w14:paraId="7E3A8CB0" w14:textId="268B6342" w:rsidR="007F29DA" w:rsidRPr="007F29DA" w:rsidRDefault="000D0FF1">
          <w:pPr>
            <w:pStyle w:val="TOC2"/>
            <w:tabs>
              <w:tab w:val="right" w:leader="dot" w:pos="9350"/>
            </w:tabs>
            <w:rPr>
              <w:rFonts w:ascii="Arial" w:eastAsiaTheme="minorEastAsia" w:hAnsi="Arial" w:cs="Arial"/>
              <w:noProof/>
            </w:rPr>
          </w:pPr>
          <w:hyperlink w:anchor="_Toc220890094" w:history="1">
            <w:r w:rsidR="007F29DA" w:rsidRPr="007F29DA">
              <w:rPr>
                <w:rStyle w:val="Hyperlink"/>
                <w:rFonts w:ascii="Arial" w:hAnsi="Arial" w:cs="Arial"/>
                <w:noProof/>
              </w:rPr>
              <w:t>4.4 Correlation Analysis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56</w:t>
            </w:r>
            <w:r w:rsidR="007F29DA" w:rsidRPr="007F29DA">
              <w:rPr>
                <w:rFonts w:ascii="Arial" w:hAnsi="Arial" w:cs="Arial"/>
                <w:noProof/>
                <w:webHidden/>
              </w:rPr>
              <w:fldChar w:fldCharType="end"/>
            </w:r>
          </w:hyperlink>
        </w:p>
        <w:p w14:paraId="27342883" w14:textId="579D8EC8" w:rsidR="007F29DA" w:rsidRPr="007F29DA" w:rsidRDefault="000D0FF1">
          <w:pPr>
            <w:pStyle w:val="TOC2"/>
            <w:tabs>
              <w:tab w:val="right" w:leader="dot" w:pos="9350"/>
            </w:tabs>
            <w:rPr>
              <w:rFonts w:ascii="Arial" w:eastAsiaTheme="minorEastAsia" w:hAnsi="Arial" w:cs="Arial"/>
              <w:noProof/>
            </w:rPr>
          </w:pPr>
          <w:hyperlink w:anchor="_Toc220890095" w:history="1">
            <w:r w:rsidR="007F29DA" w:rsidRPr="007F29DA">
              <w:rPr>
                <w:rStyle w:val="Hyperlink"/>
                <w:rFonts w:ascii="Arial" w:hAnsi="Arial" w:cs="Arial"/>
                <w:noProof/>
              </w:rPr>
              <w:t>4.5 Reliability Analysis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_Toc220890095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58</w:t>
            </w:r>
            <w:r w:rsidR="007F29DA" w:rsidRPr="007F29DA">
              <w:rPr>
                <w:rFonts w:ascii="Arial" w:hAnsi="Arial" w:cs="Arial"/>
                <w:noProof/>
                <w:webHidden/>
              </w:rPr>
              <w:fldChar w:fldCharType="end"/>
            </w:r>
          </w:hyperlink>
        </w:p>
        <w:p w14:paraId="1702E4B6" w14:textId="667B1E3E" w:rsidR="007F29DA" w:rsidRPr="007F29DA" w:rsidRDefault="000D0FF1">
          <w:pPr>
            <w:pStyle w:val="TOC3"/>
            <w:tabs>
              <w:tab w:val="right" w:leader="dot" w:pos="9350"/>
            </w:tabs>
            <w:rPr>
              <w:rFonts w:ascii="Arial" w:eastAsiaTheme="minorEastAsia" w:hAnsi="Arial" w:cs="Arial"/>
              <w:noProof/>
            </w:rPr>
          </w:pPr>
          <w:hyperlink w:anchor="_Toc220890096" w:history="1">
            <w:r w:rsidR="007F29DA" w:rsidRPr="007F29DA">
              <w:rPr>
                <w:rStyle w:val="Hyperlink"/>
                <w:rFonts w:ascii="Arial" w:hAnsi="Arial" w:cs="Arial"/>
                <w:noProof/>
              </w:rPr>
              <w:t>4.5.1 Reliability (Scale: Supply Chain Disruptions)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58</w:t>
            </w:r>
            <w:r w:rsidR="007F29DA" w:rsidRPr="007F29DA">
              <w:rPr>
                <w:rFonts w:ascii="Arial" w:hAnsi="Arial" w:cs="Arial"/>
                <w:noProof/>
                <w:webHidden/>
              </w:rPr>
              <w:fldChar w:fldCharType="end"/>
            </w:r>
          </w:hyperlink>
        </w:p>
        <w:p w14:paraId="650CD9A8" w14:textId="7BE0A5D7" w:rsidR="007F29DA" w:rsidRPr="007F29DA" w:rsidRDefault="000D0FF1">
          <w:pPr>
            <w:pStyle w:val="TOC3"/>
            <w:tabs>
              <w:tab w:val="right" w:leader="dot" w:pos="9350"/>
            </w:tabs>
            <w:rPr>
              <w:rFonts w:ascii="Arial" w:eastAsiaTheme="minorEastAsia" w:hAnsi="Arial" w:cs="Arial"/>
              <w:noProof/>
            </w:rPr>
          </w:pPr>
          <w:hyperlink w:anchor="_Toc220890097" w:history="1">
            <w:r w:rsidR="007F29DA" w:rsidRPr="007F29DA">
              <w:rPr>
                <w:rStyle w:val="Hyperlink"/>
                <w:rFonts w:ascii="Arial" w:hAnsi="Arial" w:cs="Arial"/>
                <w:noProof/>
              </w:rPr>
              <w:t>4.5.2 Reliability (Scale: Business Performance Impact)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58</w:t>
            </w:r>
            <w:r w:rsidR="007F29DA" w:rsidRPr="007F29DA">
              <w:rPr>
                <w:rFonts w:ascii="Arial" w:hAnsi="Arial" w:cs="Arial"/>
                <w:noProof/>
                <w:webHidden/>
              </w:rPr>
              <w:fldChar w:fldCharType="end"/>
            </w:r>
          </w:hyperlink>
        </w:p>
        <w:p w14:paraId="3906DD12" w14:textId="6584D5FF" w:rsidR="007F29DA" w:rsidRPr="007F29DA" w:rsidRDefault="000D0FF1">
          <w:pPr>
            <w:pStyle w:val="TOC3"/>
            <w:tabs>
              <w:tab w:val="right" w:leader="dot" w:pos="9350"/>
            </w:tabs>
            <w:rPr>
              <w:rFonts w:ascii="Arial" w:eastAsiaTheme="minorEastAsia" w:hAnsi="Arial" w:cs="Arial"/>
              <w:noProof/>
            </w:rPr>
          </w:pPr>
          <w:hyperlink w:anchor="_Toc220890098" w:history="1">
            <w:r w:rsidR="007F29DA" w:rsidRPr="007F29DA">
              <w:rPr>
                <w:rStyle w:val="Hyperlink"/>
                <w:rFonts w:ascii="Arial" w:hAnsi="Arial" w:cs="Arial"/>
                <w:noProof/>
              </w:rPr>
              <w:t>4.5.3 Reliability (Scale: Business Performance Impact)</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59</w:t>
            </w:r>
            <w:r w:rsidR="007F29DA" w:rsidRPr="007F29DA">
              <w:rPr>
                <w:rFonts w:ascii="Arial" w:hAnsi="Arial" w:cs="Arial"/>
                <w:noProof/>
                <w:webHidden/>
              </w:rPr>
              <w:fldChar w:fldCharType="end"/>
            </w:r>
          </w:hyperlink>
        </w:p>
        <w:p w14:paraId="575BC99D" w14:textId="48356654" w:rsidR="007F29DA" w:rsidRPr="007F29DA" w:rsidRDefault="000D0FF1">
          <w:pPr>
            <w:pStyle w:val="TOC2"/>
            <w:tabs>
              <w:tab w:val="right" w:leader="dot" w:pos="9350"/>
            </w:tabs>
            <w:rPr>
              <w:rFonts w:ascii="Arial" w:eastAsiaTheme="minorEastAsia" w:hAnsi="Arial" w:cs="Arial"/>
              <w:noProof/>
            </w:rPr>
          </w:pPr>
          <w:hyperlink w:anchor="_Toc220890099" w:history="1">
            <w:r w:rsidR="007F29DA" w:rsidRPr="007F29DA">
              <w:rPr>
                <w:rStyle w:val="Hyperlink"/>
                <w:rFonts w:ascii="Arial" w:hAnsi="Arial" w:cs="Arial"/>
                <w:noProof/>
              </w:rPr>
              <w:t>4.6 Regression Analysis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_Toc220890099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60</w:t>
            </w:r>
            <w:r w:rsidR="007F29DA" w:rsidRPr="007F29DA">
              <w:rPr>
                <w:rFonts w:ascii="Arial" w:hAnsi="Arial" w:cs="Arial"/>
                <w:noProof/>
                <w:webHidden/>
              </w:rPr>
              <w:fldChar w:fldCharType="end"/>
            </w:r>
          </w:hyperlink>
        </w:p>
        <w:p w14:paraId="77527036" w14:textId="73CB685D" w:rsidR="007F29DA" w:rsidRPr="007F29DA" w:rsidRDefault="000D0FF1">
          <w:pPr>
            <w:pStyle w:val="TOC2"/>
            <w:tabs>
              <w:tab w:val="right" w:leader="dot" w:pos="9350"/>
            </w:tabs>
            <w:rPr>
              <w:rFonts w:ascii="Arial" w:eastAsiaTheme="minorEastAsia" w:hAnsi="Arial" w:cs="Arial"/>
              <w:noProof/>
            </w:rPr>
          </w:pPr>
          <w:hyperlink w:anchor="_Toc220890100" w:history="1">
            <w:r w:rsidR="007F29DA" w:rsidRPr="007F29DA">
              <w:rPr>
                <w:rStyle w:val="Hyperlink"/>
                <w:rFonts w:ascii="Arial" w:hAnsi="Arial" w:cs="Arial"/>
                <w:noProof/>
              </w:rPr>
              <w:t>4.7 Chapter Summary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62</w:t>
            </w:r>
            <w:r w:rsidR="007F29DA" w:rsidRPr="007F29DA">
              <w:rPr>
                <w:rFonts w:ascii="Arial" w:hAnsi="Arial" w:cs="Arial"/>
                <w:noProof/>
                <w:webHidden/>
              </w:rPr>
              <w:fldChar w:fldCharType="end"/>
            </w:r>
          </w:hyperlink>
        </w:p>
        <w:p w14:paraId="30A7C233" w14:textId="206B483F" w:rsidR="007F29DA" w:rsidRPr="007F29DA" w:rsidRDefault="000D0FF1">
          <w:pPr>
            <w:pStyle w:val="TOC1"/>
            <w:tabs>
              <w:tab w:val="right" w:leader="dot" w:pos="9350"/>
            </w:tabs>
            <w:rPr>
              <w:rFonts w:ascii="Arial" w:eastAsiaTheme="minorEastAsia" w:hAnsi="Arial" w:cs="Arial"/>
              <w:noProof/>
            </w:rPr>
          </w:pPr>
          <w:hyperlink w:anchor="_Toc220890101" w:history="1">
            <w:r w:rsidR="007F29DA" w:rsidRPr="007F29DA">
              <w:rPr>
                <w:rStyle w:val="Hyperlink"/>
                <w:rFonts w:ascii="Arial" w:hAnsi="Arial" w:cs="Arial"/>
                <w:noProof/>
              </w:rPr>
              <w:t>Chapter 5: Discussion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64</w:t>
            </w:r>
            <w:r w:rsidR="007F29DA" w:rsidRPr="007F29DA">
              <w:rPr>
                <w:rFonts w:ascii="Arial" w:hAnsi="Arial" w:cs="Arial"/>
                <w:noProof/>
                <w:webHidden/>
              </w:rPr>
              <w:fldChar w:fldCharType="end"/>
            </w:r>
          </w:hyperlink>
        </w:p>
        <w:p w14:paraId="2ED1FEA9" w14:textId="205C49DC" w:rsidR="007F29DA" w:rsidRPr="007F29DA" w:rsidRDefault="000D0FF1">
          <w:pPr>
            <w:pStyle w:val="TOC2"/>
            <w:tabs>
              <w:tab w:val="right" w:leader="dot" w:pos="9350"/>
            </w:tabs>
            <w:rPr>
              <w:rFonts w:ascii="Arial" w:eastAsiaTheme="minorEastAsia" w:hAnsi="Arial" w:cs="Arial"/>
              <w:noProof/>
            </w:rPr>
          </w:pPr>
          <w:hyperlink w:anchor="_Toc220890102" w:history="1">
            <w:r w:rsidR="007F29DA" w:rsidRPr="007F29DA">
              <w:rPr>
                <w:rStyle w:val="Hyperlink"/>
                <w:rFonts w:ascii="Arial" w:hAnsi="Arial" w:cs="Arial"/>
                <w:noProof/>
              </w:rPr>
              <w:t>5.1 Chapter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64</w:t>
            </w:r>
            <w:r w:rsidR="007F29DA" w:rsidRPr="007F29DA">
              <w:rPr>
                <w:rFonts w:ascii="Arial" w:hAnsi="Arial" w:cs="Arial"/>
                <w:noProof/>
                <w:webHidden/>
              </w:rPr>
              <w:fldChar w:fldCharType="end"/>
            </w:r>
          </w:hyperlink>
        </w:p>
        <w:p w14:paraId="492374F5" w14:textId="442A6252" w:rsidR="007F29DA" w:rsidRPr="007F29DA" w:rsidRDefault="000D0FF1">
          <w:pPr>
            <w:pStyle w:val="TOC2"/>
            <w:tabs>
              <w:tab w:val="right" w:leader="dot" w:pos="9350"/>
            </w:tabs>
            <w:rPr>
              <w:rFonts w:ascii="Arial" w:eastAsiaTheme="minorEastAsia" w:hAnsi="Arial" w:cs="Arial"/>
              <w:noProof/>
            </w:rPr>
          </w:pPr>
          <w:hyperlink w:anchor="_Toc220890103" w:history="1">
            <w:r w:rsidR="007F29DA" w:rsidRPr="007F29DA">
              <w:rPr>
                <w:rStyle w:val="Hyperlink"/>
                <w:rFonts w:ascii="Arial" w:hAnsi="Arial" w:cs="Arial"/>
                <w:noProof/>
              </w:rPr>
              <w:t>5.2 Overall Findings of the study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64</w:t>
            </w:r>
            <w:r w:rsidR="007F29DA" w:rsidRPr="007F29DA">
              <w:rPr>
                <w:rFonts w:ascii="Arial" w:hAnsi="Arial" w:cs="Arial"/>
                <w:noProof/>
                <w:webHidden/>
              </w:rPr>
              <w:fldChar w:fldCharType="end"/>
            </w:r>
          </w:hyperlink>
        </w:p>
        <w:p w14:paraId="704AB37E" w14:textId="1C223AC6" w:rsidR="007F29DA" w:rsidRPr="007F29DA" w:rsidRDefault="000D0FF1">
          <w:pPr>
            <w:pStyle w:val="TOC2"/>
            <w:tabs>
              <w:tab w:val="right" w:leader="dot" w:pos="9350"/>
            </w:tabs>
            <w:rPr>
              <w:rFonts w:ascii="Arial" w:eastAsiaTheme="minorEastAsia" w:hAnsi="Arial" w:cs="Arial"/>
              <w:noProof/>
            </w:rPr>
          </w:pPr>
          <w:hyperlink w:anchor="_Toc220890104" w:history="1">
            <w:r w:rsidR="007F29DA" w:rsidRPr="007F29DA">
              <w:rPr>
                <w:rStyle w:val="Hyperlink"/>
                <w:rFonts w:ascii="Arial" w:hAnsi="Arial" w:cs="Arial"/>
                <w:noProof/>
              </w:rPr>
              <w:t>5.3 Findings Comparison with Literature Review</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_Toc220890104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65</w:t>
            </w:r>
            <w:r w:rsidR="007F29DA" w:rsidRPr="007F29DA">
              <w:rPr>
                <w:rFonts w:ascii="Arial" w:hAnsi="Arial" w:cs="Arial"/>
                <w:noProof/>
                <w:webHidden/>
              </w:rPr>
              <w:fldChar w:fldCharType="end"/>
            </w:r>
          </w:hyperlink>
        </w:p>
        <w:p w14:paraId="7CD4D677" w14:textId="6920A85A" w:rsidR="007F29DA" w:rsidRPr="007F29DA" w:rsidRDefault="000D0FF1">
          <w:pPr>
            <w:pStyle w:val="TOC2"/>
            <w:tabs>
              <w:tab w:val="right" w:leader="dot" w:pos="9350"/>
            </w:tabs>
            <w:rPr>
              <w:rFonts w:ascii="Arial" w:eastAsiaTheme="minorEastAsia" w:hAnsi="Arial" w:cs="Arial"/>
              <w:noProof/>
            </w:rPr>
          </w:pPr>
          <w:hyperlink w:anchor="_Toc220890105" w:history="1">
            <w:r w:rsidR="007F29DA" w:rsidRPr="007F29DA">
              <w:rPr>
                <w:rStyle w:val="Hyperlink"/>
                <w:rFonts w:ascii="Arial" w:hAnsi="Arial" w:cs="Arial"/>
                <w:noProof/>
              </w:rPr>
              <w:t>5.4 Study contribution</w:t>
            </w:r>
            <w:r w:rsidR="007F29DA" w:rsidRPr="007F29DA">
              <w:rPr>
                <w:rFonts w:ascii="Arial" w:hAnsi="Arial" w:cs="Arial"/>
                <w:noProof/>
                <w:webHidden/>
              </w:rPr>
              <w:tab/>
            </w:r>
            <w:bookmarkStart w:id="4" w:name="_GoBack"/>
            <w:bookmarkEnd w:id="4"/>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_Toc220890105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67</w:t>
            </w:r>
            <w:r w:rsidR="007F29DA" w:rsidRPr="007F29DA">
              <w:rPr>
                <w:rFonts w:ascii="Arial" w:hAnsi="Arial" w:cs="Arial"/>
                <w:noProof/>
                <w:webHidden/>
              </w:rPr>
              <w:fldChar w:fldCharType="end"/>
            </w:r>
          </w:hyperlink>
        </w:p>
        <w:p w14:paraId="0C349070" w14:textId="5D3087C6" w:rsidR="007F29DA" w:rsidRPr="007F29DA" w:rsidRDefault="000D0FF1">
          <w:pPr>
            <w:pStyle w:val="TOC2"/>
            <w:tabs>
              <w:tab w:val="right" w:leader="dot" w:pos="9350"/>
            </w:tabs>
            <w:rPr>
              <w:rFonts w:ascii="Arial" w:eastAsiaTheme="minorEastAsia" w:hAnsi="Arial" w:cs="Arial"/>
              <w:noProof/>
            </w:rPr>
          </w:pPr>
          <w:hyperlink w:anchor="_Toc220890106" w:history="1">
            <w:r w:rsidR="007F29DA" w:rsidRPr="007F29DA">
              <w:rPr>
                <w:rStyle w:val="Hyperlink"/>
                <w:rFonts w:ascii="Arial" w:hAnsi="Arial" w:cs="Arial"/>
                <w:noProof/>
              </w:rPr>
              <w:t>5.5 Chapter Summary</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_Toc220890106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68</w:t>
            </w:r>
            <w:r w:rsidR="007F29DA" w:rsidRPr="007F29DA">
              <w:rPr>
                <w:rFonts w:ascii="Arial" w:hAnsi="Arial" w:cs="Arial"/>
                <w:noProof/>
                <w:webHidden/>
              </w:rPr>
              <w:fldChar w:fldCharType="end"/>
            </w:r>
          </w:hyperlink>
        </w:p>
        <w:p w14:paraId="5795E03E" w14:textId="03057163" w:rsidR="007F29DA" w:rsidRPr="007F29DA" w:rsidRDefault="000D0FF1">
          <w:pPr>
            <w:pStyle w:val="TOC1"/>
            <w:tabs>
              <w:tab w:val="right" w:leader="dot" w:pos="9350"/>
            </w:tabs>
            <w:rPr>
              <w:rFonts w:ascii="Arial" w:eastAsiaTheme="minorEastAsia" w:hAnsi="Arial" w:cs="Arial"/>
              <w:noProof/>
            </w:rPr>
          </w:pPr>
          <w:hyperlink w:anchor="_Toc220890107" w:history="1">
            <w:r w:rsidR="007F29DA" w:rsidRPr="007F29DA">
              <w:rPr>
                <w:rStyle w:val="Hyperlink"/>
                <w:rFonts w:ascii="Arial" w:hAnsi="Arial" w:cs="Arial"/>
                <w:noProof/>
              </w:rPr>
              <w:t>Chapter 6: Conclusion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_Toc220890107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69</w:t>
            </w:r>
            <w:r w:rsidR="007F29DA" w:rsidRPr="007F29DA">
              <w:rPr>
                <w:rFonts w:ascii="Arial" w:hAnsi="Arial" w:cs="Arial"/>
                <w:noProof/>
                <w:webHidden/>
              </w:rPr>
              <w:fldChar w:fldCharType="end"/>
            </w:r>
          </w:hyperlink>
        </w:p>
        <w:p w14:paraId="2BC89646" w14:textId="3C32E9B8" w:rsidR="007F29DA" w:rsidRPr="007F29DA" w:rsidRDefault="000D0FF1">
          <w:pPr>
            <w:pStyle w:val="TOC2"/>
            <w:tabs>
              <w:tab w:val="right" w:leader="dot" w:pos="9350"/>
            </w:tabs>
            <w:rPr>
              <w:rFonts w:ascii="Arial" w:eastAsiaTheme="minorEastAsia" w:hAnsi="Arial" w:cs="Arial"/>
              <w:noProof/>
            </w:rPr>
          </w:pPr>
          <w:hyperlink w:anchor="_Toc220890108" w:history="1">
            <w:r w:rsidR="007F29DA" w:rsidRPr="007F29DA">
              <w:rPr>
                <w:rStyle w:val="Hyperlink"/>
                <w:rFonts w:ascii="Arial" w:hAnsi="Arial" w:cs="Arial"/>
                <w:noProof/>
              </w:rPr>
              <w:t>6.1 Chapter introduction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_Toc220890108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69</w:t>
            </w:r>
            <w:r w:rsidR="007F29DA" w:rsidRPr="007F29DA">
              <w:rPr>
                <w:rFonts w:ascii="Arial" w:hAnsi="Arial" w:cs="Arial"/>
                <w:noProof/>
                <w:webHidden/>
              </w:rPr>
              <w:fldChar w:fldCharType="end"/>
            </w:r>
          </w:hyperlink>
        </w:p>
        <w:p w14:paraId="4939B68C" w14:textId="283E1CDD" w:rsidR="007F29DA" w:rsidRPr="007F29DA" w:rsidRDefault="000D0FF1">
          <w:pPr>
            <w:pStyle w:val="TOC2"/>
            <w:tabs>
              <w:tab w:val="right" w:leader="dot" w:pos="9350"/>
            </w:tabs>
            <w:rPr>
              <w:rFonts w:ascii="Arial" w:eastAsiaTheme="minorEastAsia" w:hAnsi="Arial" w:cs="Arial"/>
              <w:noProof/>
            </w:rPr>
          </w:pPr>
          <w:hyperlink w:anchor="_Toc220890109" w:history="1">
            <w:r w:rsidR="007F29DA" w:rsidRPr="007F29DA">
              <w:rPr>
                <w:rStyle w:val="Hyperlink"/>
                <w:rFonts w:ascii="Arial" w:hAnsi="Arial" w:cs="Arial"/>
                <w:noProof/>
              </w:rPr>
              <w:t>6.2 Findings for Each Objective</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_Toc220890109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69</w:t>
            </w:r>
            <w:r w:rsidR="007F29DA" w:rsidRPr="007F29DA">
              <w:rPr>
                <w:rFonts w:ascii="Arial" w:hAnsi="Arial" w:cs="Arial"/>
                <w:noProof/>
                <w:webHidden/>
              </w:rPr>
              <w:fldChar w:fldCharType="end"/>
            </w:r>
          </w:hyperlink>
        </w:p>
        <w:p w14:paraId="461CFEC3" w14:textId="249D35F4" w:rsidR="007F29DA" w:rsidRPr="007F29DA" w:rsidRDefault="000D0FF1">
          <w:pPr>
            <w:pStyle w:val="TOC2"/>
            <w:tabs>
              <w:tab w:val="right" w:leader="dot" w:pos="9350"/>
            </w:tabs>
            <w:rPr>
              <w:rFonts w:ascii="Arial" w:eastAsiaTheme="minorEastAsia" w:hAnsi="Arial" w:cs="Arial"/>
              <w:noProof/>
            </w:rPr>
          </w:pPr>
          <w:hyperlink w:anchor="_Toc220890110" w:history="1">
            <w:r w:rsidR="007F29DA" w:rsidRPr="007F29DA">
              <w:rPr>
                <w:rStyle w:val="Hyperlink"/>
                <w:rFonts w:ascii="Arial" w:hAnsi="Arial" w:cs="Arial"/>
                <w:noProof/>
              </w:rPr>
              <w:t>6.3 Theoretical Contribution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_Toc220890110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72</w:t>
            </w:r>
            <w:r w:rsidR="007F29DA" w:rsidRPr="007F29DA">
              <w:rPr>
                <w:rFonts w:ascii="Arial" w:hAnsi="Arial" w:cs="Arial"/>
                <w:noProof/>
                <w:webHidden/>
              </w:rPr>
              <w:fldChar w:fldCharType="end"/>
            </w:r>
          </w:hyperlink>
        </w:p>
        <w:p w14:paraId="616659E0" w14:textId="2B8F68AB" w:rsidR="007F29DA" w:rsidRPr="007F29DA" w:rsidRDefault="000D0FF1">
          <w:pPr>
            <w:pStyle w:val="TOC2"/>
            <w:tabs>
              <w:tab w:val="right" w:leader="dot" w:pos="9350"/>
            </w:tabs>
            <w:rPr>
              <w:rFonts w:ascii="Arial" w:eastAsiaTheme="minorEastAsia" w:hAnsi="Arial" w:cs="Arial"/>
              <w:noProof/>
            </w:rPr>
          </w:pPr>
          <w:hyperlink w:anchor="_Toc220890111" w:history="1">
            <w:r w:rsidR="007F29DA" w:rsidRPr="007F29DA">
              <w:rPr>
                <w:rStyle w:val="Hyperlink"/>
                <w:rFonts w:ascii="Arial" w:hAnsi="Arial" w:cs="Arial"/>
                <w:noProof/>
              </w:rPr>
              <w:t>6.4 Practical Contribution</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_Toc220890111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72</w:t>
            </w:r>
            <w:r w:rsidR="007F29DA" w:rsidRPr="007F29DA">
              <w:rPr>
                <w:rFonts w:ascii="Arial" w:hAnsi="Arial" w:cs="Arial"/>
                <w:noProof/>
                <w:webHidden/>
              </w:rPr>
              <w:fldChar w:fldCharType="end"/>
            </w:r>
          </w:hyperlink>
        </w:p>
        <w:p w14:paraId="2E92DAD1" w14:textId="57EA1E67" w:rsidR="007F29DA" w:rsidRPr="007F29DA" w:rsidRDefault="000D0FF1">
          <w:pPr>
            <w:pStyle w:val="TOC2"/>
            <w:tabs>
              <w:tab w:val="right" w:leader="dot" w:pos="9350"/>
            </w:tabs>
            <w:rPr>
              <w:rFonts w:ascii="Arial" w:eastAsiaTheme="minorEastAsia" w:hAnsi="Arial" w:cs="Arial"/>
              <w:noProof/>
            </w:rPr>
          </w:pPr>
          <w:hyperlink w:anchor="_Toc220890112" w:history="1">
            <w:r w:rsidR="007F29DA" w:rsidRPr="007F29DA">
              <w:rPr>
                <w:rStyle w:val="Hyperlink"/>
                <w:rFonts w:ascii="Arial" w:hAnsi="Arial" w:cs="Arial"/>
                <w:noProof/>
              </w:rPr>
              <w:t>6.5 Limitations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_Toc220890112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72</w:t>
            </w:r>
            <w:r w:rsidR="007F29DA" w:rsidRPr="007F29DA">
              <w:rPr>
                <w:rFonts w:ascii="Arial" w:hAnsi="Arial" w:cs="Arial"/>
                <w:noProof/>
                <w:webHidden/>
              </w:rPr>
              <w:fldChar w:fldCharType="end"/>
            </w:r>
          </w:hyperlink>
        </w:p>
        <w:p w14:paraId="52E141BE" w14:textId="698F389C" w:rsidR="007F29DA" w:rsidRPr="007F29DA" w:rsidRDefault="000D0FF1">
          <w:pPr>
            <w:pStyle w:val="TOC2"/>
            <w:tabs>
              <w:tab w:val="right" w:leader="dot" w:pos="9350"/>
            </w:tabs>
            <w:rPr>
              <w:rFonts w:ascii="Arial" w:eastAsiaTheme="minorEastAsia" w:hAnsi="Arial" w:cs="Arial"/>
              <w:noProof/>
            </w:rPr>
          </w:pPr>
          <w:hyperlink w:anchor="_Toc220890113" w:history="1">
            <w:r w:rsidR="007F29DA" w:rsidRPr="007F29DA">
              <w:rPr>
                <w:rStyle w:val="Hyperlink"/>
                <w:rFonts w:ascii="Arial" w:hAnsi="Arial" w:cs="Arial"/>
                <w:noProof/>
              </w:rPr>
              <w:t>6.7 Future Research Avenues</w:t>
            </w:r>
            <w:r w:rsidR="007F29DA" w:rsidRPr="007F29DA">
              <w:rPr>
                <w:rFonts w:ascii="Arial" w:hAnsi="Arial" w:cs="Arial"/>
                <w:noProof/>
                <w:webHidden/>
              </w:rPr>
              <w:tab/>
            </w:r>
            <w:r w:rsidR="007F29DA" w:rsidRPr="007F29DA">
              <w:rPr>
                <w:rFonts w:ascii="Arial" w:hAnsi="Arial" w:cs="Arial"/>
                <w:noProof/>
                <w:webHidden/>
              </w:rPr>
              <w:fldChar w:fldCharType="begin"/>
            </w:r>
            <w:r w:rsidR="007F29DA" w:rsidRPr="007F29DA">
              <w:rPr>
                <w:rFonts w:ascii="Arial" w:hAnsi="Arial" w:cs="Arial"/>
                <w:noProof/>
                <w:webHidden/>
              </w:rPr>
              <w:instrText xml:space="preserve"> PAGEREF _Toc220890113 \h </w:instrText>
            </w:r>
            <w:r w:rsidR="007F29DA" w:rsidRPr="007F29DA">
              <w:rPr>
                <w:rFonts w:ascii="Arial" w:hAnsi="Arial" w:cs="Arial"/>
                <w:noProof/>
                <w:webHidden/>
              </w:rPr>
            </w:r>
            <w:r w:rsidR="007F29DA" w:rsidRPr="007F29DA">
              <w:rPr>
                <w:rFonts w:ascii="Arial" w:hAnsi="Arial" w:cs="Arial"/>
                <w:noProof/>
                <w:webHidden/>
              </w:rPr>
              <w:fldChar w:fldCharType="separate"/>
            </w:r>
            <w:r w:rsidR="007F29DA" w:rsidRPr="007F29DA">
              <w:rPr>
                <w:rFonts w:ascii="Arial" w:hAnsi="Arial" w:cs="Arial"/>
                <w:noProof/>
                <w:webHidden/>
              </w:rPr>
              <w:t>73</w:t>
            </w:r>
            <w:r w:rsidR="007F29DA" w:rsidRPr="007F29DA">
              <w:rPr>
                <w:rFonts w:ascii="Arial" w:hAnsi="Arial" w:cs="Arial"/>
                <w:noProof/>
                <w:webHidden/>
              </w:rPr>
              <w:fldChar w:fldCharType="end"/>
            </w:r>
          </w:hyperlink>
        </w:p>
        <w:p w14:paraId="054338F0" w14:textId="26A3EA3F" w:rsidR="007F29DA" w:rsidRDefault="007F29DA">
          <w:r w:rsidRPr="007F29DA">
            <w:rPr>
              <w:rFonts w:ascii="Arial" w:hAnsi="Arial" w:cs="Arial"/>
              <w:noProof/>
            </w:rPr>
            <w:fldChar w:fldCharType="end"/>
          </w:r>
        </w:p>
      </w:sdtContent>
    </w:sdt>
    <w:p w14:paraId="1441EC45" w14:textId="77777777" w:rsidR="001A6581" w:rsidRDefault="001A6581">
      <w:pPr>
        <w:spacing w:line="360" w:lineRule="auto"/>
        <w:jc w:val="center"/>
        <w:rPr>
          <w:rFonts w:ascii="Arial" w:hAnsi="Arial" w:cs="Arial"/>
          <w:color w:val="000000" w:themeColor="text1"/>
          <w:sz w:val="28"/>
          <w:szCs w:val="28"/>
        </w:rPr>
      </w:pPr>
    </w:p>
    <w:p w14:paraId="7E19C5D6" w14:textId="77777777" w:rsidR="007F29DA" w:rsidRDefault="007F29DA">
      <w:pPr>
        <w:spacing w:line="360" w:lineRule="auto"/>
        <w:jc w:val="center"/>
        <w:rPr>
          <w:rFonts w:ascii="Arial" w:hAnsi="Arial" w:cs="Arial"/>
          <w:color w:val="000000" w:themeColor="text1"/>
          <w:sz w:val="28"/>
          <w:szCs w:val="28"/>
        </w:rPr>
      </w:pPr>
    </w:p>
    <w:p w14:paraId="2E66F3CD" w14:textId="77777777" w:rsidR="007F29DA" w:rsidRDefault="007F29DA">
      <w:pPr>
        <w:spacing w:line="360" w:lineRule="auto"/>
        <w:jc w:val="center"/>
        <w:rPr>
          <w:rFonts w:ascii="Arial" w:hAnsi="Arial" w:cs="Arial"/>
          <w:color w:val="000000" w:themeColor="text1"/>
          <w:sz w:val="28"/>
          <w:szCs w:val="28"/>
        </w:rPr>
      </w:pPr>
    </w:p>
    <w:p w14:paraId="2C92DDBB" w14:textId="77777777" w:rsidR="007F29DA" w:rsidRDefault="007F29DA">
      <w:pPr>
        <w:spacing w:line="360" w:lineRule="auto"/>
        <w:jc w:val="center"/>
        <w:rPr>
          <w:rFonts w:ascii="Arial" w:hAnsi="Arial" w:cs="Arial"/>
          <w:color w:val="000000" w:themeColor="text1"/>
          <w:sz w:val="28"/>
          <w:szCs w:val="28"/>
        </w:rPr>
      </w:pPr>
    </w:p>
    <w:p w14:paraId="572C0168" w14:textId="77777777" w:rsidR="007F29DA" w:rsidRDefault="007F29DA">
      <w:pPr>
        <w:spacing w:line="360" w:lineRule="auto"/>
        <w:jc w:val="center"/>
        <w:rPr>
          <w:rFonts w:ascii="Arial" w:hAnsi="Arial" w:cs="Arial"/>
          <w:color w:val="000000" w:themeColor="text1"/>
          <w:sz w:val="28"/>
          <w:szCs w:val="28"/>
        </w:rPr>
      </w:pPr>
    </w:p>
    <w:p w14:paraId="5AB85BDF" w14:textId="77777777" w:rsidR="007F29DA" w:rsidRDefault="007F29DA">
      <w:pPr>
        <w:spacing w:line="360" w:lineRule="auto"/>
        <w:jc w:val="center"/>
        <w:rPr>
          <w:rFonts w:ascii="Arial" w:hAnsi="Arial" w:cs="Arial"/>
          <w:color w:val="000000" w:themeColor="text1"/>
          <w:sz w:val="28"/>
          <w:szCs w:val="28"/>
        </w:rPr>
      </w:pPr>
    </w:p>
    <w:p w14:paraId="1621EB6D" w14:textId="77777777" w:rsidR="007F29DA" w:rsidRDefault="007F29DA">
      <w:pPr>
        <w:spacing w:line="360" w:lineRule="auto"/>
        <w:jc w:val="center"/>
        <w:rPr>
          <w:rFonts w:ascii="Arial" w:hAnsi="Arial" w:cs="Arial"/>
          <w:color w:val="000000" w:themeColor="text1"/>
          <w:sz w:val="28"/>
          <w:szCs w:val="28"/>
        </w:rPr>
      </w:pPr>
    </w:p>
    <w:p w14:paraId="0806450E" w14:textId="77777777" w:rsidR="007F29DA" w:rsidRDefault="007F29DA">
      <w:pPr>
        <w:spacing w:line="360" w:lineRule="auto"/>
        <w:jc w:val="center"/>
        <w:rPr>
          <w:rFonts w:ascii="Arial" w:hAnsi="Arial" w:cs="Arial"/>
          <w:color w:val="000000" w:themeColor="text1"/>
          <w:sz w:val="28"/>
          <w:szCs w:val="28"/>
        </w:rPr>
      </w:pPr>
    </w:p>
    <w:p w14:paraId="0BAA6359" w14:textId="77777777" w:rsidR="007F29DA" w:rsidRDefault="007F29DA">
      <w:pPr>
        <w:spacing w:line="360" w:lineRule="auto"/>
        <w:jc w:val="center"/>
        <w:rPr>
          <w:rFonts w:ascii="Arial" w:hAnsi="Arial" w:cs="Arial"/>
          <w:color w:val="000000" w:themeColor="text1"/>
          <w:sz w:val="28"/>
          <w:szCs w:val="28"/>
        </w:rPr>
      </w:pPr>
    </w:p>
    <w:p w14:paraId="23AD41AA" w14:textId="77777777" w:rsidR="007F29DA" w:rsidRDefault="007F29DA">
      <w:pPr>
        <w:spacing w:line="360" w:lineRule="auto"/>
        <w:jc w:val="center"/>
        <w:rPr>
          <w:rFonts w:ascii="Arial" w:hAnsi="Arial" w:cs="Arial"/>
          <w:color w:val="000000" w:themeColor="text1"/>
          <w:sz w:val="28"/>
          <w:szCs w:val="28"/>
        </w:rPr>
      </w:pPr>
    </w:p>
    <w:p w14:paraId="0FC958E6" w14:textId="77777777" w:rsidR="007F29DA" w:rsidRDefault="007F29DA">
      <w:pPr>
        <w:spacing w:line="360" w:lineRule="auto"/>
        <w:jc w:val="center"/>
        <w:rPr>
          <w:rFonts w:ascii="Arial" w:hAnsi="Arial" w:cs="Arial"/>
          <w:color w:val="000000" w:themeColor="text1"/>
          <w:sz w:val="28"/>
          <w:szCs w:val="28"/>
        </w:rPr>
      </w:pPr>
    </w:p>
    <w:p w14:paraId="31F3954C" w14:textId="77777777" w:rsidR="007F29DA" w:rsidRDefault="007F29DA">
      <w:pPr>
        <w:spacing w:line="360" w:lineRule="auto"/>
        <w:jc w:val="center"/>
        <w:rPr>
          <w:rFonts w:ascii="Arial" w:hAnsi="Arial" w:cs="Arial"/>
          <w:color w:val="000000" w:themeColor="text1"/>
          <w:sz w:val="28"/>
          <w:szCs w:val="28"/>
        </w:rPr>
      </w:pPr>
    </w:p>
    <w:p w14:paraId="4554E6C6" w14:textId="77777777" w:rsidR="007F29DA" w:rsidRDefault="007F29DA">
      <w:pPr>
        <w:spacing w:line="360" w:lineRule="auto"/>
        <w:jc w:val="center"/>
        <w:rPr>
          <w:rFonts w:ascii="Arial" w:hAnsi="Arial" w:cs="Arial"/>
          <w:color w:val="000000" w:themeColor="text1"/>
          <w:sz w:val="28"/>
          <w:szCs w:val="28"/>
        </w:rPr>
      </w:pPr>
    </w:p>
    <w:p w14:paraId="03779FB9" w14:textId="77777777" w:rsidR="007F29DA" w:rsidRDefault="007F29DA">
      <w:pPr>
        <w:spacing w:line="360" w:lineRule="auto"/>
        <w:jc w:val="center"/>
        <w:rPr>
          <w:rFonts w:ascii="Arial" w:hAnsi="Arial" w:cs="Arial"/>
          <w:color w:val="000000" w:themeColor="text1"/>
          <w:sz w:val="28"/>
          <w:szCs w:val="28"/>
        </w:rPr>
      </w:pPr>
    </w:p>
    <w:p w14:paraId="2B4C9C4E" w14:textId="6E727420" w:rsidR="007F29DA" w:rsidRPr="007F29DA" w:rsidRDefault="007F29DA" w:rsidP="007F29DA">
      <w:pPr>
        <w:pStyle w:val="Heading1"/>
        <w:spacing w:line="360" w:lineRule="auto"/>
        <w:jc w:val="center"/>
        <w:rPr>
          <w:rFonts w:ascii="Arial" w:hAnsi="Arial" w:cs="Arial"/>
          <w:b/>
          <w:bCs/>
          <w:color w:val="000000" w:themeColor="text1"/>
          <w:sz w:val="28"/>
          <w:szCs w:val="28"/>
        </w:rPr>
      </w:pPr>
      <w:bookmarkStart w:id="5" w:name="_Toc220890052"/>
      <w:r w:rsidRPr="007F29DA">
        <w:rPr>
          <w:rFonts w:ascii="Arial" w:hAnsi="Arial" w:cs="Arial"/>
          <w:b/>
          <w:bCs/>
          <w:color w:val="000000" w:themeColor="text1"/>
          <w:sz w:val="28"/>
          <w:szCs w:val="28"/>
        </w:rPr>
        <w:lastRenderedPageBreak/>
        <w:t>List of Figures</w:t>
      </w:r>
      <w:bookmarkEnd w:id="5"/>
    </w:p>
    <w:p w14:paraId="3467B7BC" w14:textId="30ED8139" w:rsidR="007F29DA" w:rsidRDefault="007F29DA">
      <w:pPr>
        <w:pStyle w:val="TableofFigures"/>
        <w:tabs>
          <w:tab w:val="right" w:leader="dot" w:pos="9350"/>
        </w:tabs>
        <w:rPr>
          <w:noProof/>
        </w:rPr>
      </w:pPr>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TOC \h \z \c "Figure" </w:instrText>
      </w:r>
      <w:r>
        <w:rPr>
          <w:rFonts w:ascii="Arial" w:hAnsi="Arial" w:cs="Arial"/>
          <w:color w:val="000000" w:themeColor="text1"/>
          <w:sz w:val="28"/>
          <w:szCs w:val="28"/>
        </w:rPr>
        <w:fldChar w:fldCharType="separate"/>
      </w:r>
      <w:hyperlink w:anchor="_Toc220889956" w:history="1">
        <w:r w:rsidRPr="00BF4903">
          <w:rPr>
            <w:rStyle w:val="Hyperlink"/>
            <w:rFonts w:ascii="Arial" w:hAnsi="Arial" w:cs="Arial"/>
            <w:noProof/>
          </w:rPr>
          <w:t>Figure 1 Integrative Theoretical Framework (Made by Author)</w:t>
        </w:r>
        <w:r>
          <w:rPr>
            <w:noProof/>
            <w:webHidden/>
          </w:rPr>
          <w:tab/>
        </w:r>
        <w:r>
          <w:rPr>
            <w:noProof/>
            <w:webHidden/>
          </w:rPr>
          <w:fldChar w:fldCharType="begin"/>
        </w:r>
        <w:r>
          <w:rPr>
            <w:noProof/>
            <w:webHidden/>
          </w:rPr>
          <w:instrText xml:space="preserve"> PAGEREF _Toc220889956 \h </w:instrText>
        </w:r>
        <w:r>
          <w:rPr>
            <w:noProof/>
            <w:webHidden/>
          </w:rPr>
        </w:r>
        <w:r>
          <w:rPr>
            <w:noProof/>
            <w:webHidden/>
          </w:rPr>
          <w:fldChar w:fldCharType="separate"/>
        </w:r>
        <w:r>
          <w:rPr>
            <w:noProof/>
            <w:webHidden/>
          </w:rPr>
          <w:t>18</w:t>
        </w:r>
        <w:r>
          <w:rPr>
            <w:noProof/>
            <w:webHidden/>
          </w:rPr>
          <w:fldChar w:fldCharType="end"/>
        </w:r>
      </w:hyperlink>
    </w:p>
    <w:p w14:paraId="0A008676" w14:textId="202E8CC4" w:rsidR="007F29DA" w:rsidRDefault="000D0FF1">
      <w:pPr>
        <w:pStyle w:val="TableofFigures"/>
        <w:tabs>
          <w:tab w:val="right" w:leader="dot" w:pos="9350"/>
        </w:tabs>
        <w:rPr>
          <w:noProof/>
        </w:rPr>
      </w:pPr>
      <w:hyperlink w:anchor="_Toc220889957" w:history="1">
        <w:r w:rsidR="007F29DA" w:rsidRPr="00BF4903">
          <w:rPr>
            <w:rStyle w:val="Hyperlink"/>
            <w:rFonts w:ascii="Arial" w:hAnsi="Arial" w:cs="Arial"/>
            <w:noProof/>
          </w:rPr>
          <w:t>Figure 2 Conceptual Framework (Made by Author)</w:t>
        </w:r>
        <w:r w:rsidR="007F29DA">
          <w:rPr>
            <w:noProof/>
            <w:webHidden/>
          </w:rPr>
          <w:tab/>
        </w:r>
        <w:r w:rsidR="007F29DA">
          <w:rPr>
            <w:noProof/>
            <w:webHidden/>
          </w:rPr>
          <w:fldChar w:fldCharType="begin"/>
        </w:r>
        <w:r w:rsidR="007F29DA">
          <w:rPr>
            <w:noProof/>
            <w:webHidden/>
          </w:rPr>
          <w:instrText xml:space="preserve"> PAGEREF _Toc220889957 \h </w:instrText>
        </w:r>
        <w:r w:rsidR="007F29DA">
          <w:rPr>
            <w:noProof/>
            <w:webHidden/>
          </w:rPr>
        </w:r>
        <w:r w:rsidR="007F29DA">
          <w:rPr>
            <w:noProof/>
            <w:webHidden/>
          </w:rPr>
          <w:fldChar w:fldCharType="separate"/>
        </w:r>
        <w:r w:rsidR="007F29DA">
          <w:rPr>
            <w:noProof/>
            <w:webHidden/>
          </w:rPr>
          <w:t>24</w:t>
        </w:r>
        <w:r w:rsidR="007F29DA">
          <w:rPr>
            <w:noProof/>
            <w:webHidden/>
          </w:rPr>
          <w:fldChar w:fldCharType="end"/>
        </w:r>
      </w:hyperlink>
    </w:p>
    <w:p w14:paraId="51330434" w14:textId="51E30E44" w:rsidR="007F29DA" w:rsidRDefault="000D0FF1">
      <w:pPr>
        <w:pStyle w:val="TableofFigures"/>
        <w:tabs>
          <w:tab w:val="right" w:leader="dot" w:pos="9350"/>
        </w:tabs>
        <w:rPr>
          <w:noProof/>
        </w:rPr>
      </w:pPr>
      <w:hyperlink w:anchor="_Toc220889958" w:history="1">
        <w:r w:rsidR="007F29DA" w:rsidRPr="00BF4903">
          <w:rPr>
            <w:rStyle w:val="Hyperlink"/>
            <w:rFonts w:ascii="Arial" w:hAnsi="Arial" w:cs="Arial"/>
            <w:noProof/>
          </w:rPr>
          <w:t>Figure 3 Size of the firm (number of employees)</w:t>
        </w:r>
        <w:r w:rsidR="007F29DA">
          <w:rPr>
            <w:noProof/>
            <w:webHidden/>
          </w:rPr>
          <w:tab/>
        </w:r>
        <w:r w:rsidR="007F29DA">
          <w:rPr>
            <w:noProof/>
            <w:webHidden/>
          </w:rPr>
          <w:fldChar w:fldCharType="begin"/>
        </w:r>
        <w:r w:rsidR="007F29DA">
          <w:rPr>
            <w:noProof/>
            <w:webHidden/>
          </w:rPr>
          <w:instrText xml:space="preserve"> PAGEREF _Toc220889958 \h </w:instrText>
        </w:r>
        <w:r w:rsidR="007F29DA">
          <w:rPr>
            <w:noProof/>
            <w:webHidden/>
          </w:rPr>
        </w:r>
        <w:r w:rsidR="007F29DA">
          <w:rPr>
            <w:noProof/>
            <w:webHidden/>
          </w:rPr>
          <w:fldChar w:fldCharType="separate"/>
        </w:r>
        <w:r w:rsidR="007F29DA">
          <w:rPr>
            <w:noProof/>
            <w:webHidden/>
          </w:rPr>
          <w:t>37</w:t>
        </w:r>
        <w:r w:rsidR="007F29DA">
          <w:rPr>
            <w:noProof/>
            <w:webHidden/>
          </w:rPr>
          <w:fldChar w:fldCharType="end"/>
        </w:r>
      </w:hyperlink>
    </w:p>
    <w:p w14:paraId="2D352698" w14:textId="3C2DEAF4" w:rsidR="007F29DA" w:rsidRDefault="000D0FF1">
      <w:pPr>
        <w:pStyle w:val="TableofFigures"/>
        <w:tabs>
          <w:tab w:val="right" w:leader="dot" w:pos="9350"/>
        </w:tabs>
        <w:rPr>
          <w:noProof/>
        </w:rPr>
      </w:pPr>
      <w:hyperlink w:anchor="_Toc220889959" w:history="1">
        <w:r w:rsidR="007F29DA" w:rsidRPr="00BF4903">
          <w:rPr>
            <w:rStyle w:val="Hyperlink"/>
            <w:rFonts w:ascii="Arial" w:hAnsi="Arial" w:cs="Arial"/>
            <w:noProof/>
          </w:rPr>
          <w:t>Figure 4 Industry sub-sector</w:t>
        </w:r>
        <w:r w:rsidR="007F29DA">
          <w:rPr>
            <w:noProof/>
            <w:webHidden/>
          </w:rPr>
          <w:tab/>
        </w:r>
        <w:r w:rsidR="007F29DA">
          <w:rPr>
            <w:noProof/>
            <w:webHidden/>
          </w:rPr>
          <w:fldChar w:fldCharType="begin"/>
        </w:r>
        <w:r w:rsidR="007F29DA">
          <w:rPr>
            <w:noProof/>
            <w:webHidden/>
          </w:rPr>
          <w:instrText xml:space="preserve"> PAGEREF _Toc220889959 \h </w:instrText>
        </w:r>
        <w:r w:rsidR="007F29DA">
          <w:rPr>
            <w:noProof/>
            <w:webHidden/>
          </w:rPr>
        </w:r>
        <w:r w:rsidR="007F29DA">
          <w:rPr>
            <w:noProof/>
            <w:webHidden/>
          </w:rPr>
          <w:fldChar w:fldCharType="separate"/>
        </w:r>
        <w:r w:rsidR="007F29DA">
          <w:rPr>
            <w:noProof/>
            <w:webHidden/>
          </w:rPr>
          <w:t>38</w:t>
        </w:r>
        <w:r w:rsidR="007F29DA">
          <w:rPr>
            <w:noProof/>
            <w:webHidden/>
          </w:rPr>
          <w:fldChar w:fldCharType="end"/>
        </w:r>
      </w:hyperlink>
    </w:p>
    <w:p w14:paraId="6B1657AE" w14:textId="0D66DED1" w:rsidR="007F29DA" w:rsidRDefault="000D0FF1">
      <w:pPr>
        <w:pStyle w:val="TableofFigures"/>
        <w:tabs>
          <w:tab w:val="right" w:leader="dot" w:pos="9350"/>
        </w:tabs>
        <w:rPr>
          <w:noProof/>
        </w:rPr>
      </w:pPr>
      <w:hyperlink w:anchor="_Toc220889960" w:history="1">
        <w:r w:rsidR="007F29DA" w:rsidRPr="00BF4903">
          <w:rPr>
            <w:rStyle w:val="Hyperlink"/>
            <w:rFonts w:ascii="Arial" w:hAnsi="Arial" w:cs="Arial"/>
            <w:noProof/>
          </w:rPr>
          <w:t>Figure 5 Years of operation of the firm</w:t>
        </w:r>
        <w:r w:rsidR="007F29DA">
          <w:rPr>
            <w:noProof/>
            <w:webHidden/>
          </w:rPr>
          <w:tab/>
        </w:r>
        <w:r w:rsidR="007F29DA">
          <w:rPr>
            <w:noProof/>
            <w:webHidden/>
          </w:rPr>
          <w:fldChar w:fldCharType="begin"/>
        </w:r>
        <w:r w:rsidR="007F29DA">
          <w:rPr>
            <w:noProof/>
            <w:webHidden/>
          </w:rPr>
          <w:instrText xml:space="preserve"> PAGEREF _Toc220889960 \h </w:instrText>
        </w:r>
        <w:r w:rsidR="007F29DA">
          <w:rPr>
            <w:noProof/>
            <w:webHidden/>
          </w:rPr>
        </w:r>
        <w:r w:rsidR="007F29DA">
          <w:rPr>
            <w:noProof/>
            <w:webHidden/>
          </w:rPr>
          <w:fldChar w:fldCharType="separate"/>
        </w:r>
        <w:r w:rsidR="007F29DA">
          <w:rPr>
            <w:noProof/>
            <w:webHidden/>
          </w:rPr>
          <w:t>39</w:t>
        </w:r>
        <w:r w:rsidR="007F29DA">
          <w:rPr>
            <w:noProof/>
            <w:webHidden/>
          </w:rPr>
          <w:fldChar w:fldCharType="end"/>
        </w:r>
      </w:hyperlink>
    </w:p>
    <w:p w14:paraId="532E8C78" w14:textId="1CAD7E27" w:rsidR="007F29DA" w:rsidRDefault="000D0FF1">
      <w:pPr>
        <w:pStyle w:val="TableofFigures"/>
        <w:tabs>
          <w:tab w:val="right" w:leader="dot" w:pos="9350"/>
        </w:tabs>
        <w:rPr>
          <w:noProof/>
        </w:rPr>
      </w:pPr>
      <w:hyperlink w:anchor="_Toc220889961" w:history="1">
        <w:r w:rsidR="007F29DA" w:rsidRPr="00BF4903">
          <w:rPr>
            <w:rStyle w:val="Hyperlink"/>
            <w:rFonts w:ascii="Arial" w:hAnsi="Arial" w:cs="Arial"/>
            <w:noProof/>
          </w:rPr>
          <w:t>Figure 6 International geopolitical conflicts</w:t>
        </w:r>
        <w:r w:rsidR="007F29DA">
          <w:rPr>
            <w:noProof/>
            <w:webHidden/>
          </w:rPr>
          <w:tab/>
        </w:r>
        <w:r w:rsidR="007F29DA">
          <w:rPr>
            <w:noProof/>
            <w:webHidden/>
          </w:rPr>
          <w:fldChar w:fldCharType="begin"/>
        </w:r>
        <w:r w:rsidR="007F29DA">
          <w:rPr>
            <w:noProof/>
            <w:webHidden/>
          </w:rPr>
          <w:instrText xml:space="preserve"> PAGEREF _Toc220889961 \h </w:instrText>
        </w:r>
        <w:r w:rsidR="007F29DA">
          <w:rPr>
            <w:noProof/>
            <w:webHidden/>
          </w:rPr>
        </w:r>
        <w:r w:rsidR="007F29DA">
          <w:rPr>
            <w:noProof/>
            <w:webHidden/>
          </w:rPr>
          <w:fldChar w:fldCharType="separate"/>
        </w:r>
        <w:r w:rsidR="007F29DA">
          <w:rPr>
            <w:noProof/>
            <w:webHidden/>
          </w:rPr>
          <w:t>40</w:t>
        </w:r>
        <w:r w:rsidR="007F29DA">
          <w:rPr>
            <w:noProof/>
            <w:webHidden/>
          </w:rPr>
          <w:fldChar w:fldCharType="end"/>
        </w:r>
      </w:hyperlink>
    </w:p>
    <w:p w14:paraId="3BCFC4EA" w14:textId="4FECBFA7" w:rsidR="007F29DA" w:rsidRDefault="000D0FF1">
      <w:pPr>
        <w:pStyle w:val="TableofFigures"/>
        <w:tabs>
          <w:tab w:val="right" w:leader="dot" w:pos="9350"/>
        </w:tabs>
        <w:rPr>
          <w:noProof/>
        </w:rPr>
      </w:pPr>
      <w:hyperlink w:anchor="_Toc220889962" w:history="1">
        <w:r w:rsidR="007F29DA" w:rsidRPr="00BF4903">
          <w:rPr>
            <w:rStyle w:val="Hyperlink"/>
            <w:rFonts w:ascii="Arial" w:hAnsi="Arial" w:cs="Arial"/>
            <w:noProof/>
          </w:rPr>
          <w:t>Figure 7 Brexit-related trade regulations</w:t>
        </w:r>
        <w:r w:rsidR="007F29DA">
          <w:rPr>
            <w:noProof/>
            <w:webHidden/>
          </w:rPr>
          <w:tab/>
        </w:r>
        <w:r w:rsidR="007F29DA">
          <w:rPr>
            <w:noProof/>
            <w:webHidden/>
          </w:rPr>
          <w:fldChar w:fldCharType="begin"/>
        </w:r>
        <w:r w:rsidR="007F29DA">
          <w:rPr>
            <w:noProof/>
            <w:webHidden/>
          </w:rPr>
          <w:instrText xml:space="preserve"> PAGEREF _Toc220889962 \h </w:instrText>
        </w:r>
        <w:r w:rsidR="007F29DA">
          <w:rPr>
            <w:noProof/>
            <w:webHidden/>
          </w:rPr>
        </w:r>
        <w:r w:rsidR="007F29DA">
          <w:rPr>
            <w:noProof/>
            <w:webHidden/>
          </w:rPr>
          <w:fldChar w:fldCharType="separate"/>
        </w:r>
        <w:r w:rsidR="007F29DA">
          <w:rPr>
            <w:noProof/>
            <w:webHidden/>
          </w:rPr>
          <w:t>41</w:t>
        </w:r>
        <w:r w:rsidR="007F29DA">
          <w:rPr>
            <w:noProof/>
            <w:webHidden/>
          </w:rPr>
          <w:fldChar w:fldCharType="end"/>
        </w:r>
      </w:hyperlink>
    </w:p>
    <w:p w14:paraId="2CC21F5F" w14:textId="238032F5" w:rsidR="007F29DA" w:rsidRDefault="000D0FF1">
      <w:pPr>
        <w:pStyle w:val="TableofFigures"/>
        <w:tabs>
          <w:tab w:val="right" w:leader="dot" w:pos="9350"/>
        </w:tabs>
        <w:rPr>
          <w:noProof/>
        </w:rPr>
      </w:pPr>
      <w:hyperlink w:anchor="_Toc220889963" w:history="1">
        <w:r w:rsidR="007F29DA" w:rsidRPr="00BF4903">
          <w:rPr>
            <w:rStyle w:val="Hyperlink"/>
            <w:rFonts w:ascii="Arial" w:hAnsi="Arial" w:cs="Arial"/>
            <w:noProof/>
          </w:rPr>
          <w:t>Figure 8 Rising global transportation and logistics costs</w:t>
        </w:r>
        <w:r w:rsidR="007F29DA">
          <w:rPr>
            <w:noProof/>
            <w:webHidden/>
          </w:rPr>
          <w:tab/>
        </w:r>
        <w:r w:rsidR="007F29DA">
          <w:rPr>
            <w:noProof/>
            <w:webHidden/>
          </w:rPr>
          <w:fldChar w:fldCharType="begin"/>
        </w:r>
        <w:r w:rsidR="007F29DA">
          <w:rPr>
            <w:noProof/>
            <w:webHidden/>
          </w:rPr>
          <w:instrText xml:space="preserve"> PAGEREF _Toc220889963 \h </w:instrText>
        </w:r>
        <w:r w:rsidR="007F29DA">
          <w:rPr>
            <w:noProof/>
            <w:webHidden/>
          </w:rPr>
        </w:r>
        <w:r w:rsidR="007F29DA">
          <w:rPr>
            <w:noProof/>
            <w:webHidden/>
          </w:rPr>
          <w:fldChar w:fldCharType="separate"/>
        </w:r>
        <w:r w:rsidR="007F29DA">
          <w:rPr>
            <w:noProof/>
            <w:webHidden/>
          </w:rPr>
          <w:t>42</w:t>
        </w:r>
        <w:r w:rsidR="007F29DA">
          <w:rPr>
            <w:noProof/>
            <w:webHidden/>
          </w:rPr>
          <w:fldChar w:fldCharType="end"/>
        </w:r>
      </w:hyperlink>
    </w:p>
    <w:p w14:paraId="2E3A5B9A" w14:textId="29A427B4" w:rsidR="007F29DA" w:rsidRDefault="000D0FF1">
      <w:pPr>
        <w:pStyle w:val="TableofFigures"/>
        <w:tabs>
          <w:tab w:val="right" w:leader="dot" w:pos="9350"/>
        </w:tabs>
        <w:rPr>
          <w:noProof/>
        </w:rPr>
      </w:pPr>
      <w:hyperlink w:anchor="_Toc220889964" w:history="1">
        <w:r w:rsidR="007F29DA" w:rsidRPr="00BF4903">
          <w:rPr>
            <w:rStyle w:val="Hyperlink"/>
            <w:rFonts w:ascii="Arial" w:hAnsi="Arial" w:cs="Arial"/>
            <w:noProof/>
          </w:rPr>
          <w:t>Figure 9 Dependence on overseas suppliers</w:t>
        </w:r>
        <w:r w:rsidR="007F29DA">
          <w:rPr>
            <w:noProof/>
            <w:webHidden/>
          </w:rPr>
          <w:tab/>
        </w:r>
        <w:r w:rsidR="007F29DA">
          <w:rPr>
            <w:noProof/>
            <w:webHidden/>
          </w:rPr>
          <w:fldChar w:fldCharType="begin"/>
        </w:r>
        <w:r w:rsidR="007F29DA">
          <w:rPr>
            <w:noProof/>
            <w:webHidden/>
          </w:rPr>
          <w:instrText xml:space="preserve"> PAGEREF _Toc220889964 \h </w:instrText>
        </w:r>
        <w:r w:rsidR="007F29DA">
          <w:rPr>
            <w:noProof/>
            <w:webHidden/>
          </w:rPr>
        </w:r>
        <w:r w:rsidR="007F29DA">
          <w:rPr>
            <w:noProof/>
            <w:webHidden/>
          </w:rPr>
          <w:fldChar w:fldCharType="separate"/>
        </w:r>
        <w:r w:rsidR="007F29DA">
          <w:rPr>
            <w:noProof/>
            <w:webHidden/>
          </w:rPr>
          <w:t>43</w:t>
        </w:r>
        <w:r w:rsidR="007F29DA">
          <w:rPr>
            <w:noProof/>
            <w:webHidden/>
          </w:rPr>
          <w:fldChar w:fldCharType="end"/>
        </w:r>
      </w:hyperlink>
    </w:p>
    <w:p w14:paraId="0FD8DF7E" w14:textId="5B4B2919" w:rsidR="007F29DA" w:rsidRDefault="000D0FF1">
      <w:pPr>
        <w:pStyle w:val="TableofFigures"/>
        <w:tabs>
          <w:tab w:val="right" w:leader="dot" w:pos="9350"/>
        </w:tabs>
        <w:rPr>
          <w:noProof/>
        </w:rPr>
      </w:pPr>
      <w:hyperlink w:anchor="_Toc220889965" w:history="1">
        <w:r w:rsidR="007F29DA" w:rsidRPr="00BF4903">
          <w:rPr>
            <w:rStyle w:val="Hyperlink"/>
            <w:rFonts w:ascii="Arial" w:hAnsi="Arial" w:cs="Arial"/>
            <w:noProof/>
          </w:rPr>
          <w:t>Figure 10 Limited visibility into international suppliers</w:t>
        </w:r>
        <w:r w:rsidR="007F29DA">
          <w:rPr>
            <w:noProof/>
            <w:webHidden/>
          </w:rPr>
          <w:tab/>
        </w:r>
        <w:r w:rsidR="007F29DA">
          <w:rPr>
            <w:noProof/>
            <w:webHidden/>
          </w:rPr>
          <w:fldChar w:fldCharType="begin"/>
        </w:r>
        <w:r w:rsidR="007F29DA">
          <w:rPr>
            <w:noProof/>
            <w:webHidden/>
          </w:rPr>
          <w:instrText xml:space="preserve"> PAGEREF _Toc220889965 \h </w:instrText>
        </w:r>
        <w:r w:rsidR="007F29DA">
          <w:rPr>
            <w:noProof/>
            <w:webHidden/>
          </w:rPr>
        </w:r>
        <w:r w:rsidR="007F29DA">
          <w:rPr>
            <w:noProof/>
            <w:webHidden/>
          </w:rPr>
          <w:fldChar w:fldCharType="separate"/>
        </w:r>
        <w:r w:rsidR="007F29DA">
          <w:rPr>
            <w:noProof/>
            <w:webHidden/>
          </w:rPr>
          <w:t>44</w:t>
        </w:r>
        <w:r w:rsidR="007F29DA">
          <w:rPr>
            <w:noProof/>
            <w:webHidden/>
          </w:rPr>
          <w:fldChar w:fldCharType="end"/>
        </w:r>
      </w:hyperlink>
    </w:p>
    <w:p w14:paraId="0E028F43" w14:textId="2C6551FF" w:rsidR="007F29DA" w:rsidRDefault="000D0FF1">
      <w:pPr>
        <w:pStyle w:val="TableofFigures"/>
        <w:tabs>
          <w:tab w:val="right" w:leader="dot" w:pos="9350"/>
        </w:tabs>
        <w:rPr>
          <w:noProof/>
        </w:rPr>
      </w:pPr>
      <w:hyperlink w:anchor="_Toc220889966" w:history="1">
        <w:r w:rsidR="007F29DA" w:rsidRPr="00BF4903">
          <w:rPr>
            <w:rStyle w:val="Hyperlink"/>
            <w:rFonts w:ascii="Arial" w:hAnsi="Arial" w:cs="Arial"/>
            <w:noProof/>
            <w:lang w:val="fr-FR"/>
          </w:rPr>
          <w:t>Figure 11 Frequent production delays</w:t>
        </w:r>
        <w:r w:rsidR="007F29DA">
          <w:rPr>
            <w:noProof/>
            <w:webHidden/>
          </w:rPr>
          <w:tab/>
        </w:r>
        <w:r w:rsidR="007F29DA">
          <w:rPr>
            <w:noProof/>
            <w:webHidden/>
          </w:rPr>
          <w:fldChar w:fldCharType="begin"/>
        </w:r>
        <w:r w:rsidR="007F29DA">
          <w:rPr>
            <w:noProof/>
            <w:webHidden/>
          </w:rPr>
          <w:instrText xml:space="preserve"> PAGEREF _Toc220889966 \h </w:instrText>
        </w:r>
        <w:r w:rsidR="007F29DA">
          <w:rPr>
            <w:noProof/>
            <w:webHidden/>
          </w:rPr>
        </w:r>
        <w:r w:rsidR="007F29DA">
          <w:rPr>
            <w:noProof/>
            <w:webHidden/>
          </w:rPr>
          <w:fldChar w:fldCharType="separate"/>
        </w:r>
        <w:r w:rsidR="007F29DA">
          <w:rPr>
            <w:noProof/>
            <w:webHidden/>
          </w:rPr>
          <w:t>45</w:t>
        </w:r>
        <w:r w:rsidR="007F29DA">
          <w:rPr>
            <w:noProof/>
            <w:webHidden/>
          </w:rPr>
          <w:fldChar w:fldCharType="end"/>
        </w:r>
      </w:hyperlink>
    </w:p>
    <w:p w14:paraId="133EB072" w14:textId="28E3FD4E" w:rsidR="007F29DA" w:rsidRDefault="000D0FF1">
      <w:pPr>
        <w:pStyle w:val="TableofFigures"/>
        <w:tabs>
          <w:tab w:val="right" w:leader="dot" w:pos="9350"/>
        </w:tabs>
        <w:rPr>
          <w:noProof/>
        </w:rPr>
      </w:pPr>
      <w:hyperlink w:anchor="_Toc220889967" w:history="1">
        <w:r w:rsidR="007F29DA" w:rsidRPr="00BF4903">
          <w:rPr>
            <w:rStyle w:val="Hyperlink"/>
            <w:rFonts w:ascii="Arial" w:hAnsi="Arial" w:cs="Arial"/>
            <w:noProof/>
          </w:rPr>
          <w:t>Figure 12 Increased production costs</w:t>
        </w:r>
        <w:r w:rsidR="007F29DA">
          <w:rPr>
            <w:noProof/>
            <w:webHidden/>
          </w:rPr>
          <w:tab/>
        </w:r>
        <w:r w:rsidR="007F29DA">
          <w:rPr>
            <w:noProof/>
            <w:webHidden/>
          </w:rPr>
          <w:fldChar w:fldCharType="begin"/>
        </w:r>
        <w:r w:rsidR="007F29DA">
          <w:rPr>
            <w:noProof/>
            <w:webHidden/>
          </w:rPr>
          <w:instrText xml:space="preserve"> PAGEREF _Toc220889967 \h </w:instrText>
        </w:r>
        <w:r w:rsidR="007F29DA">
          <w:rPr>
            <w:noProof/>
            <w:webHidden/>
          </w:rPr>
        </w:r>
        <w:r w:rsidR="007F29DA">
          <w:rPr>
            <w:noProof/>
            <w:webHidden/>
          </w:rPr>
          <w:fldChar w:fldCharType="separate"/>
        </w:r>
        <w:r w:rsidR="007F29DA">
          <w:rPr>
            <w:noProof/>
            <w:webHidden/>
          </w:rPr>
          <w:t>46</w:t>
        </w:r>
        <w:r w:rsidR="007F29DA">
          <w:rPr>
            <w:noProof/>
            <w:webHidden/>
          </w:rPr>
          <w:fldChar w:fldCharType="end"/>
        </w:r>
      </w:hyperlink>
    </w:p>
    <w:p w14:paraId="6703B43E" w14:textId="4305C7E8" w:rsidR="007F29DA" w:rsidRDefault="000D0FF1">
      <w:pPr>
        <w:pStyle w:val="TableofFigures"/>
        <w:tabs>
          <w:tab w:val="right" w:leader="dot" w:pos="9350"/>
        </w:tabs>
        <w:rPr>
          <w:noProof/>
        </w:rPr>
      </w:pPr>
      <w:hyperlink w:anchor="_Toc220889968" w:history="1">
        <w:r w:rsidR="007F29DA" w:rsidRPr="00BF4903">
          <w:rPr>
            <w:rStyle w:val="Hyperlink"/>
            <w:rFonts w:ascii="Arial" w:hAnsi="Arial" w:cs="Arial"/>
            <w:noProof/>
          </w:rPr>
          <w:t>Figure 13 Raw material cost volatility</w:t>
        </w:r>
        <w:r w:rsidR="007F29DA">
          <w:rPr>
            <w:noProof/>
            <w:webHidden/>
          </w:rPr>
          <w:tab/>
        </w:r>
        <w:r w:rsidR="007F29DA">
          <w:rPr>
            <w:noProof/>
            <w:webHidden/>
          </w:rPr>
          <w:fldChar w:fldCharType="begin"/>
        </w:r>
        <w:r w:rsidR="007F29DA">
          <w:rPr>
            <w:noProof/>
            <w:webHidden/>
          </w:rPr>
          <w:instrText xml:space="preserve"> PAGEREF _Toc220889968 \h </w:instrText>
        </w:r>
        <w:r w:rsidR="007F29DA">
          <w:rPr>
            <w:noProof/>
            <w:webHidden/>
          </w:rPr>
        </w:r>
        <w:r w:rsidR="007F29DA">
          <w:rPr>
            <w:noProof/>
            <w:webHidden/>
          </w:rPr>
          <w:fldChar w:fldCharType="separate"/>
        </w:r>
        <w:r w:rsidR="007F29DA">
          <w:rPr>
            <w:noProof/>
            <w:webHidden/>
          </w:rPr>
          <w:t>47</w:t>
        </w:r>
        <w:r w:rsidR="007F29DA">
          <w:rPr>
            <w:noProof/>
            <w:webHidden/>
          </w:rPr>
          <w:fldChar w:fldCharType="end"/>
        </w:r>
      </w:hyperlink>
    </w:p>
    <w:p w14:paraId="14269C85" w14:textId="66F036D5" w:rsidR="007F29DA" w:rsidRDefault="000D0FF1">
      <w:pPr>
        <w:pStyle w:val="TableofFigures"/>
        <w:tabs>
          <w:tab w:val="right" w:leader="dot" w:pos="9350"/>
        </w:tabs>
        <w:rPr>
          <w:noProof/>
        </w:rPr>
      </w:pPr>
      <w:hyperlink w:anchor="_Toc220889969" w:history="1">
        <w:r w:rsidR="007F29DA" w:rsidRPr="00BF4903">
          <w:rPr>
            <w:rStyle w:val="Hyperlink"/>
            <w:rFonts w:ascii="Arial" w:hAnsi="Arial" w:cs="Arial"/>
            <w:noProof/>
          </w:rPr>
          <w:t>Figure 14 Reduced ability to meet customer demand</w:t>
        </w:r>
        <w:r w:rsidR="007F29DA">
          <w:rPr>
            <w:noProof/>
            <w:webHidden/>
          </w:rPr>
          <w:tab/>
        </w:r>
        <w:r w:rsidR="007F29DA">
          <w:rPr>
            <w:noProof/>
            <w:webHidden/>
          </w:rPr>
          <w:fldChar w:fldCharType="begin"/>
        </w:r>
        <w:r w:rsidR="007F29DA">
          <w:rPr>
            <w:noProof/>
            <w:webHidden/>
          </w:rPr>
          <w:instrText xml:space="preserve"> PAGEREF _Toc220889969 \h </w:instrText>
        </w:r>
        <w:r w:rsidR="007F29DA">
          <w:rPr>
            <w:noProof/>
            <w:webHidden/>
          </w:rPr>
        </w:r>
        <w:r w:rsidR="007F29DA">
          <w:rPr>
            <w:noProof/>
            <w:webHidden/>
          </w:rPr>
          <w:fldChar w:fldCharType="separate"/>
        </w:r>
        <w:r w:rsidR="007F29DA">
          <w:rPr>
            <w:noProof/>
            <w:webHidden/>
          </w:rPr>
          <w:t>48</w:t>
        </w:r>
        <w:r w:rsidR="007F29DA">
          <w:rPr>
            <w:noProof/>
            <w:webHidden/>
          </w:rPr>
          <w:fldChar w:fldCharType="end"/>
        </w:r>
      </w:hyperlink>
    </w:p>
    <w:p w14:paraId="284F66AC" w14:textId="15F7D708" w:rsidR="007F29DA" w:rsidRDefault="000D0FF1">
      <w:pPr>
        <w:pStyle w:val="TableofFigures"/>
        <w:tabs>
          <w:tab w:val="right" w:leader="dot" w:pos="9350"/>
        </w:tabs>
        <w:rPr>
          <w:noProof/>
        </w:rPr>
      </w:pPr>
      <w:hyperlink w:anchor="_Toc220889970" w:history="1">
        <w:r w:rsidR="007F29DA" w:rsidRPr="00BF4903">
          <w:rPr>
            <w:rStyle w:val="Hyperlink"/>
            <w:rFonts w:ascii="Arial" w:hAnsi="Arial" w:cs="Arial"/>
            <w:noProof/>
          </w:rPr>
          <w:t>Figure 15 Decline in overall business performance</w:t>
        </w:r>
        <w:r w:rsidR="007F29DA">
          <w:rPr>
            <w:noProof/>
            <w:webHidden/>
          </w:rPr>
          <w:tab/>
        </w:r>
        <w:r w:rsidR="007F29DA">
          <w:rPr>
            <w:noProof/>
            <w:webHidden/>
          </w:rPr>
          <w:fldChar w:fldCharType="begin"/>
        </w:r>
        <w:r w:rsidR="007F29DA">
          <w:rPr>
            <w:noProof/>
            <w:webHidden/>
          </w:rPr>
          <w:instrText xml:space="preserve"> PAGEREF _Toc220889970 \h </w:instrText>
        </w:r>
        <w:r w:rsidR="007F29DA">
          <w:rPr>
            <w:noProof/>
            <w:webHidden/>
          </w:rPr>
        </w:r>
        <w:r w:rsidR="007F29DA">
          <w:rPr>
            <w:noProof/>
            <w:webHidden/>
          </w:rPr>
          <w:fldChar w:fldCharType="separate"/>
        </w:r>
        <w:r w:rsidR="007F29DA">
          <w:rPr>
            <w:noProof/>
            <w:webHidden/>
          </w:rPr>
          <w:t>49</w:t>
        </w:r>
        <w:r w:rsidR="007F29DA">
          <w:rPr>
            <w:noProof/>
            <w:webHidden/>
          </w:rPr>
          <w:fldChar w:fldCharType="end"/>
        </w:r>
      </w:hyperlink>
    </w:p>
    <w:p w14:paraId="09228B7C" w14:textId="25CC2E2B" w:rsidR="007F29DA" w:rsidRDefault="000D0FF1">
      <w:pPr>
        <w:pStyle w:val="TableofFigures"/>
        <w:tabs>
          <w:tab w:val="right" w:leader="dot" w:pos="9350"/>
        </w:tabs>
        <w:rPr>
          <w:noProof/>
        </w:rPr>
      </w:pPr>
      <w:hyperlink w:anchor="_Toc220889971" w:history="1">
        <w:r w:rsidR="007F29DA" w:rsidRPr="00BF4903">
          <w:rPr>
            <w:rStyle w:val="Hyperlink"/>
            <w:rFonts w:ascii="Arial" w:hAnsi="Arial" w:cs="Arial"/>
            <w:noProof/>
            <w:lang w:val="fr-FR"/>
          </w:rPr>
          <w:t>Figure 16 Supplier diversification</w:t>
        </w:r>
        <w:r w:rsidR="007F29DA">
          <w:rPr>
            <w:noProof/>
            <w:webHidden/>
          </w:rPr>
          <w:tab/>
        </w:r>
        <w:r w:rsidR="007F29DA">
          <w:rPr>
            <w:noProof/>
            <w:webHidden/>
          </w:rPr>
          <w:fldChar w:fldCharType="begin"/>
        </w:r>
        <w:r w:rsidR="007F29DA">
          <w:rPr>
            <w:noProof/>
            <w:webHidden/>
          </w:rPr>
          <w:instrText xml:space="preserve"> PAGEREF _Toc220889971 \h </w:instrText>
        </w:r>
        <w:r w:rsidR="007F29DA">
          <w:rPr>
            <w:noProof/>
            <w:webHidden/>
          </w:rPr>
        </w:r>
        <w:r w:rsidR="007F29DA">
          <w:rPr>
            <w:noProof/>
            <w:webHidden/>
          </w:rPr>
          <w:fldChar w:fldCharType="separate"/>
        </w:r>
        <w:r w:rsidR="007F29DA">
          <w:rPr>
            <w:noProof/>
            <w:webHidden/>
          </w:rPr>
          <w:t>50</w:t>
        </w:r>
        <w:r w:rsidR="007F29DA">
          <w:rPr>
            <w:noProof/>
            <w:webHidden/>
          </w:rPr>
          <w:fldChar w:fldCharType="end"/>
        </w:r>
      </w:hyperlink>
    </w:p>
    <w:p w14:paraId="0D4DD3F7" w14:textId="05F15DF2" w:rsidR="007F29DA" w:rsidRDefault="000D0FF1">
      <w:pPr>
        <w:pStyle w:val="TableofFigures"/>
        <w:tabs>
          <w:tab w:val="right" w:leader="dot" w:pos="9350"/>
        </w:tabs>
        <w:rPr>
          <w:noProof/>
        </w:rPr>
      </w:pPr>
      <w:hyperlink w:anchor="_Toc220889972" w:history="1">
        <w:r w:rsidR="007F29DA" w:rsidRPr="00BF4903">
          <w:rPr>
            <w:rStyle w:val="Hyperlink"/>
            <w:rFonts w:ascii="Arial" w:hAnsi="Arial" w:cs="Arial"/>
            <w:noProof/>
          </w:rPr>
          <w:t>Figure 17 Nearshoring or local sourcing</w:t>
        </w:r>
        <w:r w:rsidR="007F29DA">
          <w:rPr>
            <w:noProof/>
            <w:webHidden/>
          </w:rPr>
          <w:tab/>
        </w:r>
        <w:r w:rsidR="007F29DA">
          <w:rPr>
            <w:noProof/>
            <w:webHidden/>
          </w:rPr>
          <w:fldChar w:fldCharType="begin"/>
        </w:r>
        <w:r w:rsidR="007F29DA">
          <w:rPr>
            <w:noProof/>
            <w:webHidden/>
          </w:rPr>
          <w:instrText xml:space="preserve"> PAGEREF _Toc220889972 \h </w:instrText>
        </w:r>
        <w:r w:rsidR="007F29DA">
          <w:rPr>
            <w:noProof/>
            <w:webHidden/>
          </w:rPr>
        </w:r>
        <w:r w:rsidR="007F29DA">
          <w:rPr>
            <w:noProof/>
            <w:webHidden/>
          </w:rPr>
          <w:fldChar w:fldCharType="separate"/>
        </w:r>
        <w:r w:rsidR="007F29DA">
          <w:rPr>
            <w:noProof/>
            <w:webHidden/>
          </w:rPr>
          <w:t>51</w:t>
        </w:r>
        <w:r w:rsidR="007F29DA">
          <w:rPr>
            <w:noProof/>
            <w:webHidden/>
          </w:rPr>
          <w:fldChar w:fldCharType="end"/>
        </w:r>
      </w:hyperlink>
    </w:p>
    <w:p w14:paraId="7DC95BE1" w14:textId="02836DEE" w:rsidR="007F29DA" w:rsidRDefault="000D0FF1">
      <w:pPr>
        <w:pStyle w:val="TableofFigures"/>
        <w:tabs>
          <w:tab w:val="right" w:leader="dot" w:pos="9350"/>
        </w:tabs>
        <w:rPr>
          <w:noProof/>
        </w:rPr>
      </w:pPr>
      <w:hyperlink w:anchor="_Toc220889973" w:history="1">
        <w:r w:rsidR="007F29DA" w:rsidRPr="00BF4903">
          <w:rPr>
            <w:rStyle w:val="Hyperlink"/>
            <w:rFonts w:ascii="Arial" w:hAnsi="Arial" w:cs="Arial"/>
            <w:noProof/>
          </w:rPr>
          <w:t>Figure 18 Digital supply chain monitoring tools</w:t>
        </w:r>
        <w:r w:rsidR="007F29DA">
          <w:rPr>
            <w:noProof/>
            <w:webHidden/>
          </w:rPr>
          <w:tab/>
        </w:r>
        <w:r w:rsidR="007F29DA">
          <w:rPr>
            <w:noProof/>
            <w:webHidden/>
          </w:rPr>
          <w:fldChar w:fldCharType="begin"/>
        </w:r>
        <w:r w:rsidR="007F29DA">
          <w:rPr>
            <w:noProof/>
            <w:webHidden/>
          </w:rPr>
          <w:instrText xml:space="preserve"> PAGEREF _Toc220889973 \h </w:instrText>
        </w:r>
        <w:r w:rsidR="007F29DA">
          <w:rPr>
            <w:noProof/>
            <w:webHidden/>
          </w:rPr>
        </w:r>
        <w:r w:rsidR="007F29DA">
          <w:rPr>
            <w:noProof/>
            <w:webHidden/>
          </w:rPr>
          <w:fldChar w:fldCharType="separate"/>
        </w:r>
        <w:r w:rsidR="007F29DA">
          <w:rPr>
            <w:noProof/>
            <w:webHidden/>
          </w:rPr>
          <w:t>52</w:t>
        </w:r>
        <w:r w:rsidR="007F29DA">
          <w:rPr>
            <w:noProof/>
            <w:webHidden/>
          </w:rPr>
          <w:fldChar w:fldCharType="end"/>
        </w:r>
      </w:hyperlink>
    </w:p>
    <w:p w14:paraId="30D6CCF0" w14:textId="7F39CFD7" w:rsidR="007F29DA" w:rsidRDefault="000D0FF1">
      <w:pPr>
        <w:pStyle w:val="TableofFigures"/>
        <w:tabs>
          <w:tab w:val="right" w:leader="dot" w:pos="9350"/>
        </w:tabs>
        <w:rPr>
          <w:noProof/>
        </w:rPr>
      </w:pPr>
      <w:hyperlink w:anchor="_Toc220889974" w:history="1">
        <w:r w:rsidR="007F29DA" w:rsidRPr="00BF4903">
          <w:rPr>
            <w:rStyle w:val="Hyperlink"/>
            <w:rFonts w:ascii="Arial" w:hAnsi="Arial" w:cs="Arial"/>
            <w:noProof/>
          </w:rPr>
          <w:t>Figure 19 Collaboration with suppliers</w:t>
        </w:r>
        <w:r w:rsidR="007F29DA">
          <w:rPr>
            <w:noProof/>
            <w:webHidden/>
          </w:rPr>
          <w:tab/>
        </w:r>
        <w:r w:rsidR="007F29DA">
          <w:rPr>
            <w:noProof/>
            <w:webHidden/>
          </w:rPr>
          <w:fldChar w:fldCharType="begin"/>
        </w:r>
        <w:r w:rsidR="007F29DA">
          <w:rPr>
            <w:noProof/>
            <w:webHidden/>
          </w:rPr>
          <w:instrText xml:space="preserve"> PAGEREF _Toc220889974 \h </w:instrText>
        </w:r>
        <w:r w:rsidR="007F29DA">
          <w:rPr>
            <w:noProof/>
            <w:webHidden/>
          </w:rPr>
        </w:r>
        <w:r w:rsidR="007F29DA">
          <w:rPr>
            <w:noProof/>
            <w:webHidden/>
          </w:rPr>
          <w:fldChar w:fldCharType="separate"/>
        </w:r>
        <w:r w:rsidR="007F29DA">
          <w:rPr>
            <w:noProof/>
            <w:webHidden/>
          </w:rPr>
          <w:t>53</w:t>
        </w:r>
        <w:r w:rsidR="007F29DA">
          <w:rPr>
            <w:noProof/>
            <w:webHidden/>
          </w:rPr>
          <w:fldChar w:fldCharType="end"/>
        </w:r>
      </w:hyperlink>
    </w:p>
    <w:p w14:paraId="3B80D2F4" w14:textId="30FB6ED1" w:rsidR="007F29DA" w:rsidRDefault="000D0FF1">
      <w:pPr>
        <w:pStyle w:val="TableofFigures"/>
        <w:tabs>
          <w:tab w:val="right" w:leader="dot" w:pos="9350"/>
        </w:tabs>
        <w:rPr>
          <w:noProof/>
        </w:rPr>
      </w:pPr>
      <w:hyperlink w:anchor="_Toc220889975" w:history="1">
        <w:r w:rsidR="007F29DA" w:rsidRPr="00BF4903">
          <w:rPr>
            <w:rStyle w:val="Hyperlink"/>
            <w:rFonts w:ascii="Arial" w:hAnsi="Arial" w:cs="Arial"/>
            <w:noProof/>
          </w:rPr>
          <w:t>Figure 20 Government support schemes</w:t>
        </w:r>
        <w:r w:rsidR="007F29DA">
          <w:rPr>
            <w:noProof/>
            <w:webHidden/>
          </w:rPr>
          <w:tab/>
        </w:r>
        <w:r w:rsidR="007F29DA">
          <w:rPr>
            <w:noProof/>
            <w:webHidden/>
          </w:rPr>
          <w:fldChar w:fldCharType="begin"/>
        </w:r>
        <w:r w:rsidR="007F29DA">
          <w:rPr>
            <w:noProof/>
            <w:webHidden/>
          </w:rPr>
          <w:instrText xml:space="preserve"> PAGEREF _Toc220889975 \h </w:instrText>
        </w:r>
        <w:r w:rsidR="007F29DA">
          <w:rPr>
            <w:noProof/>
            <w:webHidden/>
          </w:rPr>
        </w:r>
        <w:r w:rsidR="007F29DA">
          <w:rPr>
            <w:noProof/>
            <w:webHidden/>
          </w:rPr>
          <w:fldChar w:fldCharType="separate"/>
        </w:r>
        <w:r w:rsidR="007F29DA">
          <w:rPr>
            <w:noProof/>
            <w:webHidden/>
          </w:rPr>
          <w:t>54</w:t>
        </w:r>
        <w:r w:rsidR="007F29DA">
          <w:rPr>
            <w:noProof/>
            <w:webHidden/>
          </w:rPr>
          <w:fldChar w:fldCharType="end"/>
        </w:r>
      </w:hyperlink>
    </w:p>
    <w:p w14:paraId="5829A438" w14:textId="2E0C66D6" w:rsidR="007F29DA" w:rsidRDefault="000D0FF1">
      <w:pPr>
        <w:pStyle w:val="TableofFigures"/>
        <w:tabs>
          <w:tab w:val="right" w:leader="dot" w:pos="9350"/>
        </w:tabs>
        <w:rPr>
          <w:noProof/>
        </w:rPr>
      </w:pPr>
      <w:hyperlink w:anchor="_Toc220889976" w:history="1">
        <w:r w:rsidR="007F29DA" w:rsidRPr="00BF4903">
          <w:rPr>
            <w:rStyle w:val="Hyperlink"/>
            <w:rFonts w:ascii="Arial" w:hAnsi="Arial" w:cs="Arial"/>
            <w:noProof/>
          </w:rPr>
          <w:t>Figure 21 Histogram of the dependent variable</w:t>
        </w:r>
        <w:r w:rsidR="007F29DA">
          <w:rPr>
            <w:noProof/>
            <w:webHidden/>
          </w:rPr>
          <w:tab/>
        </w:r>
        <w:r w:rsidR="007F29DA">
          <w:rPr>
            <w:noProof/>
            <w:webHidden/>
          </w:rPr>
          <w:fldChar w:fldCharType="begin"/>
        </w:r>
        <w:r w:rsidR="007F29DA">
          <w:rPr>
            <w:noProof/>
            <w:webHidden/>
          </w:rPr>
          <w:instrText xml:space="preserve"> PAGEREF _Toc220889976 \h </w:instrText>
        </w:r>
        <w:r w:rsidR="007F29DA">
          <w:rPr>
            <w:noProof/>
            <w:webHidden/>
          </w:rPr>
        </w:r>
        <w:r w:rsidR="007F29DA">
          <w:rPr>
            <w:noProof/>
            <w:webHidden/>
          </w:rPr>
          <w:fldChar w:fldCharType="separate"/>
        </w:r>
        <w:r w:rsidR="007F29DA">
          <w:rPr>
            <w:noProof/>
            <w:webHidden/>
          </w:rPr>
          <w:t>59</w:t>
        </w:r>
        <w:r w:rsidR="007F29DA">
          <w:rPr>
            <w:noProof/>
            <w:webHidden/>
          </w:rPr>
          <w:fldChar w:fldCharType="end"/>
        </w:r>
      </w:hyperlink>
    </w:p>
    <w:p w14:paraId="508DE06B" w14:textId="0CC58D4C" w:rsidR="007F29DA" w:rsidRDefault="000D0FF1">
      <w:pPr>
        <w:pStyle w:val="TableofFigures"/>
        <w:tabs>
          <w:tab w:val="right" w:leader="dot" w:pos="9350"/>
        </w:tabs>
        <w:rPr>
          <w:noProof/>
        </w:rPr>
      </w:pPr>
      <w:hyperlink w:anchor="_Toc220889977" w:history="1">
        <w:r w:rsidR="007F29DA" w:rsidRPr="00BF4903">
          <w:rPr>
            <w:rStyle w:val="Hyperlink"/>
            <w:rFonts w:ascii="Arial" w:hAnsi="Arial" w:cs="Arial"/>
            <w:noProof/>
          </w:rPr>
          <w:t>Figure 22 Normal P-Plot of Regression Standardised Residual</w:t>
        </w:r>
        <w:r w:rsidR="007F29DA">
          <w:rPr>
            <w:noProof/>
            <w:webHidden/>
          </w:rPr>
          <w:tab/>
        </w:r>
        <w:r w:rsidR="007F29DA">
          <w:rPr>
            <w:noProof/>
            <w:webHidden/>
          </w:rPr>
          <w:fldChar w:fldCharType="begin"/>
        </w:r>
        <w:r w:rsidR="007F29DA">
          <w:rPr>
            <w:noProof/>
            <w:webHidden/>
          </w:rPr>
          <w:instrText xml:space="preserve"> PAGEREF _Toc220889977 \h </w:instrText>
        </w:r>
        <w:r w:rsidR="007F29DA">
          <w:rPr>
            <w:noProof/>
            <w:webHidden/>
          </w:rPr>
        </w:r>
        <w:r w:rsidR="007F29DA">
          <w:rPr>
            <w:noProof/>
            <w:webHidden/>
          </w:rPr>
          <w:fldChar w:fldCharType="separate"/>
        </w:r>
        <w:r w:rsidR="007F29DA">
          <w:rPr>
            <w:noProof/>
            <w:webHidden/>
          </w:rPr>
          <w:t>60</w:t>
        </w:r>
        <w:r w:rsidR="007F29DA">
          <w:rPr>
            <w:noProof/>
            <w:webHidden/>
          </w:rPr>
          <w:fldChar w:fldCharType="end"/>
        </w:r>
      </w:hyperlink>
    </w:p>
    <w:p w14:paraId="58D9033E" w14:textId="6DE74E2C" w:rsidR="007F29DA" w:rsidRDefault="007F29DA">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fldChar w:fldCharType="end"/>
      </w:r>
    </w:p>
    <w:p w14:paraId="1B71B684" w14:textId="77777777" w:rsidR="007F29DA" w:rsidRDefault="007F29DA">
      <w:pPr>
        <w:spacing w:line="360" w:lineRule="auto"/>
        <w:jc w:val="center"/>
        <w:rPr>
          <w:rFonts w:ascii="Arial" w:hAnsi="Arial" w:cs="Arial"/>
          <w:color w:val="000000" w:themeColor="text1"/>
          <w:sz w:val="28"/>
          <w:szCs w:val="28"/>
        </w:rPr>
      </w:pPr>
    </w:p>
    <w:p w14:paraId="16301054" w14:textId="77777777" w:rsidR="007F29DA" w:rsidRDefault="007F29DA">
      <w:pPr>
        <w:spacing w:line="360" w:lineRule="auto"/>
        <w:jc w:val="center"/>
        <w:rPr>
          <w:rFonts w:ascii="Arial" w:hAnsi="Arial" w:cs="Arial"/>
          <w:color w:val="000000" w:themeColor="text1"/>
          <w:sz w:val="28"/>
          <w:szCs w:val="28"/>
        </w:rPr>
      </w:pPr>
    </w:p>
    <w:p w14:paraId="0CEFE980" w14:textId="77777777" w:rsidR="007F29DA" w:rsidRDefault="007F29DA">
      <w:pPr>
        <w:spacing w:line="360" w:lineRule="auto"/>
        <w:jc w:val="center"/>
        <w:rPr>
          <w:rFonts w:ascii="Arial" w:hAnsi="Arial" w:cs="Arial"/>
          <w:color w:val="000000" w:themeColor="text1"/>
          <w:sz w:val="28"/>
          <w:szCs w:val="28"/>
        </w:rPr>
      </w:pPr>
    </w:p>
    <w:p w14:paraId="4E81C2A6" w14:textId="77777777" w:rsidR="007F29DA" w:rsidRDefault="007F29DA">
      <w:pPr>
        <w:spacing w:line="360" w:lineRule="auto"/>
        <w:jc w:val="center"/>
        <w:rPr>
          <w:rFonts w:ascii="Arial" w:hAnsi="Arial" w:cs="Arial"/>
          <w:color w:val="000000" w:themeColor="text1"/>
          <w:sz w:val="28"/>
          <w:szCs w:val="28"/>
        </w:rPr>
      </w:pPr>
    </w:p>
    <w:p w14:paraId="3FFCBB6C" w14:textId="77777777" w:rsidR="007F29DA" w:rsidRDefault="007F29DA">
      <w:pPr>
        <w:spacing w:line="360" w:lineRule="auto"/>
        <w:jc w:val="center"/>
        <w:rPr>
          <w:rFonts w:ascii="Arial" w:hAnsi="Arial" w:cs="Arial"/>
          <w:color w:val="000000" w:themeColor="text1"/>
          <w:sz w:val="28"/>
          <w:szCs w:val="28"/>
        </w:rPr>
      </w:pPr>
    </w:p>
    <w:p w14:paraId="1DF0F13F" w14:textId="77777777" w:rsidR="007F29DA" w:rsidRDefault="007F29DA">
      <w:pPr>
        <w:spacing w:line="360" w:lineRule="auto"/>
        <w:jc w:val="center"/>
        <w:rPr>
          <w:rFonts w:ascii="Arial" w:hAnsi="Arial" w:cs="Arial"/>
          <w:color w:val="000000" w:themeColor="text1"/>
          <w:sz w:val="28"/>
          <w:szCs w:val="28"/>
        </w:rPr>
      </w:pPr>
    </w:p>
    <w:p w14:paraId="6BF69821" w14:textId="77777777" w:rsidR="007F29DA" w:rsidRDefault="007F29DA" w:rsidP="007F29DA">
      <w:pPr>
        <w:spacing w:line="360" w:lineRule="auto"/>
        <w:rPr>
          <w:rFonts w:ascii="Arial" w:hAnsi="Arial" w:cs="Arial"/>
          <w:color w:val="000000" w:themeColor="text1"/>
          <w:sz w:val="28"/>
          <w:szCs w:val="28"/>
        </w:rPr>
      </w:pPr>
    </w:p>
    <w:p w14:paraId="0D9A7CE7" w14:textId="5BCF1712" w:rsidR="007F29DA" w:rsidRPr="007F29DA" w:rsidRDefault="007F29DA" w:rsidP="007F29DA">
      <w:pPr>
        <w:pStyle w:val="Heading1"/>
        <w:spacing w:line="360" w:lineRule="auto"/>
        <w:jc w:val="center"/>
        <w:rPr>
          <w:rFonts w:ascii="Arial" w:hAnsi="Arial" w:cs="Arial"/>
          <w:b/>
          <w:bCs/>
          <w:color w:val="000000" w:themeColor="text1"/>
          <w:sz w:val="28"/>
          <w:szCs w:val="28"/>
        </w:rPr>
      </w:pPr>
      <w:bookmarkStart w:id="6" w:name="_Toc220890053"/>
      <w:r w:rsidRPr="007F29DA">
        <w:rPr>
          <w:rFonts w:ascii="Arial" w:hAnsi="Arial" w:cs="Arial"/>
          <w:b/>
          <w:bCs/>
          <w:color w:val="000000" w:themeColor="text1"/>
          <w:sz w:val="28"/>
          <w:szCs w:val="28"/>
        </w:rPr>
        <w:lastRenderedPageBreak/>
        <w:t>List of Tables</w:t>
      </w:r>
      <w:bookmarkEnd w:id="6"/>
    </w:p>
    <w:p w14:paraId="47338754" w14:textId="55CF9526" w:rsidR="007F29DA" w:rsidRDefault="007F29DA">
      <w:pPr>
        <w:pStyle w:val="TableofFigures"/>
        <w:tabs>
          <w:tab w:val="right" w:leader="dot" w:pos="9350"/>
        </w:tabs>
        <w:rPr>
          <w:rFonts w:eastAsiaTheme="minorEastAsia"/>
          <w:noProof/>
        </w:rPr>
      </w:pPr>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TOC \h \z \c "Table" </w:instrText>
      </w:r>
      <w:r>
        <w:rPr>
          <w:rFonts w:ascii="Arial" w:hAnsi="Arial" w:cs="Arial"/>
          <w:color w:val="000000" w:themeColor="text1"/>
          <w:sz w:val="28"/>
          <w:szCs w:val="28"/>
        </w:rPr>
        <w:fldChar w:fldCharType="separate"/>
      </w:r>
      <w:hyperlink w:anchor="_Toc220889978" w:history="1">
        <w:r w:rsidRPr="00314795">
          <w:rPr>
            <w:rStyle w:val="Hyperlink"/>
            <w:rFonts w:ascii="Arial" w:hAnsi="Arial" w:cs="Arial"/>
            <w:noProof/>
          </w:rPr>
          <w:t>Table 1 Inclusion and Exclusion Criteria</w:t>
        </w:r>
        <w:r>
          <w:rPr>
            <w:noProof/>
            <w:webHidden/>
          </w:rPr>
          <w:tab/>
        </w:r>
        <w:r>
          <w:rPr>
            <w:noProof/>
            <w:webHidden/>
          </w:rPr>
          <w:fldChar w:fldCharType="begin"/>
        </w:r>
        <w:r>
          <w:rPr>
            <w:noProof/>
            <w:webHidden/>
          </w:rPr>
          <w:instrText xml:space="preserve"> PAGEREF _Toc220889978 \h </w:instrText>
        </w:r>
        <w:r>
          <w:rPr>
            <w:noProof/>
            <w:webHidden/>
          </w:rPr>
        </w:r>
        <w:r>
          <w:rPr>
            <w:noProof/>
            <w:webHidden/>
          </w:rPr>
          <w:fldChar w:fldCharType="separate"/>
        </w:r>
        <w:r>
          <w:rPr>
            <w:noProof/>
            <w:webHidden/>
          </w:rPr>
          <w:t>32</w:t>
        </w:r>
        <w:r>
          <w:rPr>
            <w:noProof/>
            <w:webHidden/>
          </w:rPr>
          <w:fldChar w:fldCharType="end"/>
        </w:r>
      </w:hyperlink>
    </w:p>
    <w:p w14:paraId="1EDB7716" w14:textId="7C675449" w:rsidR="007F29DA" w:rsidRDefault="000D0FF1">
      <w:pPr>
        <w:pStyle w:val="TableofFigures"/>
        <w:tabs>
          <w:tab w:val="right" w:leader="dot" w:pos="9350"/>
        </w:tabs>
        <w:rPr>
          <w:rFonts w:eastAsiaTheme="minorEastAsia"/>
          <w:noProof/>
        </w:rPr>
      </w:pPr>
      <w:hyperlink w:anchor="_Toc220889979" w:history="1">
        <w:r w:rsidR="007F29DA" w:rsidRPr="00314795">
          <w:rPr>
            <w:rStyle w:val="Hyperlink"/>
            <w:rFonts w:ascii="Arial" w:hAnsi="Arial" w:cs="Arial"/>
            <w:noProof/>
          </w:rPr>
          <w:t>Table 2 Descriptive Statistics</w:t>
        </w:r>
        <w:r w:rsidR="007F29DA">
          <w:rPr>
            <w:noProof/>
            <w:webHidden/>
          </w:rPr>
          <w:tab/>
        </w:r>
        <w:r w:rsidR="007F29DA">
          <w:rPr>
            <w:noProof/>
            <w:webHidden/>
          </w:rPr>
          <w:fldChar w:fldCharType="begin"/>
        </w:r>
        <w:r w:rsidR="007F29DA">
          <w:rPr>
            <w:noProof/>
            <w:webHidden/>
          </w:rPr>
          <w:instrText xml:space="preserve"> PAGEREF _Toc220889979 \h </w:instrText>
        </w:r>
        <w:r w:rsidR="007F29DA">
          <w:rPr>
            <w:noProof/>
            <w:webHidden/>
          </w:rPr>
        </w:r>
        <w:r w:rsidR="007F29DA">
          <w:rPr>
            <w:noProof/>
            <w:webHidden/>
          </w:rPr>
          <w:fldChar w:fldCharType="separate"/>
        </w:r>
        <w:r w:rsidR="007F29DA">
          <w:rPr>
            <w:noProof/>
            <w:webHidden/>
          </w:rPr>
          <w:t>37</w:t>
        </w:r>
        <w:r w:rsidR="007F29DA">
          <w:rPr>
            <w:noProof/>
            <w:webHidden/>
          </w:rPr>
          <w:fldChar w:fldCharType="end"/>
        </w:r>
      </w:hyperlink>
    </w:p>
    <w:p w14:paraId="64744B1A" w14:textId="1FD6CF07" w:rsidR="007F29DA" w:rsidRDefault="000D0FF1">
      <w:pPr>
        <w:pStyle w:val="TableofFigures"/>
        <w:tabs>
          <w:tab w:val="right" w:leader="dot" w:pos="9350"/>
        </w:tabs>
        <w:rPr>
          <w:rFonts w:eastAsiaTheme="minorEastAsia"/>
          <w:noProof/>
        </w:rPr>
      </w:pPr>
      <w:hyperlink w:anchor="_Toc220889980" w:history="1">
        <w:r w:rsidR="007F29DA" w:rsidRPr="00314795">
          <w:rPr>
            <w:rStyle w:val="Hyperlink"/>
            <w:rFonts w:ascii="Arial" w:hAnsi="Arial" w:cs="Arial"/>
            <w:noProof/>
          </w:rPr>
          <w:t>Table 3 Demographic Question 1</w:t>
        </w:r>
        <w:r w:rsidR="007F29DA">
          <w:rPr>
            <w:noProof/>
            <w:webHidden/>
          </w:rPr>
          <w:tab/>
        </w:r>
        <w:r w:rsidR="007F29DA">
          <w:rPr>
            <w:noProof/>
            <w:webHidden/>
          </w:rPr>
          <w:fldChar w:fldCharType="begin"/>
        </w:r>
        <w:r w:rsidR="007F29DA">
          <w:rPr>
            <w:noProof/>
            <w:webHidden/>
          </w:rPr>
          <w:instrText xml:space="preserve"> PAGEREF _Toc220889980 \h </w:instrText>
        </w:r>
        <w:r w:rsidR="007F29DA">
          <w:rPr>
            <w:noProof/>
            <w:webHidden/>
          </w:rPr>
        </w:r>
        <w:r w:rsidR="007F29DA">
          <w:rPr>
            <w:noProof/>
            <w:webHidden/>
          </w:rPr>
          <w:fldChar w:fldCharType="separate"/>
        </w:r>
        <w:r w:rsidR="007F29DA">
          <w:rPr>
            <w:noProof/>
            <w:webHidden/>
          </w:rPr>
          <w:t>37</w:t>
        </w:r>
        <w:r w:rsidR="007F29DA">
          <w:rPr>
            <w:noProof/>
            <w:webHidden/>
          </w:rPr>
          <w:fldChar w:fldCharType="end"/>
        </w:r>
      </w:hyperlink>
    </w:p>
    <w:p w14:paraId="5C72028E" w14:textId="05B0C2D2" w:rsidR="007F29DA" w:rsidRDefault="000D0FF1">
      <w:pPr>
        <w:pStyle w:val="TableofFigures"/>
        <w:tabs>
          <w:tab w:val="right" w:leader="dot" w:pos="9350"/>
        </w:tabs>
        <w:rPr>
          <w:rFonts w:eastAsiaTheme="minorEastAsia"/>
          <w:noProof/>
        </w:rPr>
      </w:pPr>
      <w:hyperlink w:anchor="_Toc220889981" w:history="1">
        <w:r w:rsidR="007F29DA" w:rsidRPr="00314795">
          <w:rPr>
            <w:rStyle w:val="Hyperlink"/>
            <w:rFonts w:ascii="Arial" w:hAnsi="Arial" w:cs="Arial"/>
            <w:noProof/>
          </w:rPr>
          <w:t>Table 4 Demographic Question 2</w:t>
        </w:r>
        <w:r w:rsidR="007F29DA">
          <w:rPr>
            <w:noProof/>
            <w:webHidden/>
          </w:rPr>
          <w:tab/>
        </w:r>
        <w:r w:rsidR="007F29DA">
          <w:rPr>
            <w:noProof/>
            <w:webHidden/>
          </w:rPr>
          <w:fldChar w:fldCharType="begin"/>
        </w:r>
        <w:r w:rsidR="007F29DA">
          <w:rPr>
            <w:noProof/>
            <w:webHidden/>
          </w:rPr>
          <w:instrText xml:space="preserve"> PAGEREF _Toc220889981 \h </w:instrText>
        </w:r>
        <w:r w:rsidR="007F29DA">
          <w:rPr>
            <w:noProof/>
            <w:webHidden/>
          </w:rPr>
        </w:r>
        <w:r w:rsidR="007F29DA">
          <w:rPr>
            <w:noProof/>
            <w:webHidden/>
          </w:rPr>
          <w:fldChar w:fldCharType="separate"/>
        </w:r>
        <w:r w:rsidR="007F29DA">
          <w:rPr>
            <w:noProof/>
            <w:webHidden/>
          </w:rPr>
          <w:t>38</w:t>
        </w:r>
        <w:r w:rsidR="007F29DA">
          <w:rPr>
            <w:noProof/>
            <w:webHidden/>
          </w:rPr>
          <w:fldChar w:fldCharType="end"/>
        </w:r>
      </w:hyperlink>
    </w:p>
    <w:p w14:paraId="1CD8E0D3" w14:textId="3FF2E6D9" w:rsidR="007F29DA" w:rsidRDefault="000D0FF1">
      <w:pPr>
        <w:pStyle w:val="TableofFigures"/>
        <w:tabs>
          <w:tab w:val="right" w:leader="dot" w:pos="9350"/>
        </w:tabs>
        <w:rPr>
          <w:rFonts w:eastAsiaTheme="minorEastAsia"/>
          <w:noProof/>
        </w:rPr>
      </w:pPr>
      <w:hyperlink w:anchor="_Toc220889982" w:history="1">
        <w:r w:rsidR="007F29DA" w:rsidRPr="00314795">
          <w:rPr>
            <w:rStyle w:val="Hyperlink"/>
            <w:rFonts w:ascii="Arial" w:hAnsi="Arial" w:cs="Arial"/>
            <w:noProof/>
          </w:rPr>
          <w:t>Table 5 Demographic Question 3</w:t>
        </w:r>
        <w:r w:rsidR="007F29DA">
          <w:rPr>
            <w:noProof/>
            <w:webHidden/>
          </w:rPr>
          <w:tab/>
        </w:r>
        <w:r w:rsidR="007F29DA">
          <w:rPr>
            <w:noProof/>
            <w:webHidden/>
          </w:rPr>
          <w:fldChar w:fldCharType="begin"/>
        </w:r>
        <w:r w:rsidR="007F29DA">
          <w:rPr>
            <w:noProof/>
            <w:webHidden/>
          </w:rPr>
          <w:instrText xml:space="preserve"> PAGEREF _Toc220889982 \h </w:instrText>
        </w:r>
        <w:r w:rsidR="007F29DA">
          <w:rPr>
            <w:noProof/>
            <w:webHidden/>
          </w:rPr>
        </w:r>
        <w:r w:rsidR="007F29DA">
          <w:rPr>
            <w:noProof/>
            <w:webHidden/>
          </w:rPr>
          <w:fldChar w:fldCharType="separate"/>
        </w:r>
        <w:r w:rsidR="007F29DA">
          <w:rPr>
            <w:noProof/>
            <w:webHidden/>
          </w:rPr>
          <w:t>39</w:t>
        </w:r>
        <w:r w:rsidR="007F29DA">
          <w:rPr>
            <w:noProof/>
            <w:webHidden/>
          </w:rPr>
          <w:fldChar w:fldCharType="end"/>
        </w:r>
      </w:hyperlink>
    </w:p>
    <w:p w14:paraId="4735ACF5" w14:textId="577112CE" w:rsidR="007F29DA" w:rsidRDefault="000D0FF1">
      <w:pPr>
        <w:pStyle w:val="TableofFigures"/>
        <w:tabs>
          <w:tab w:val="right" w:leader="dot" w:pos="9350"/>
        </w:tabs>
        <w:rPr>
          <w:rFonts w:eastAsiaTheme="minorEastAsia"/>
          <w:noProof/>
        </w:rPr>
      </w:pPr>
      <w:hyperlink w:anchor="_Toc220889983" w:history="1">
        <w:r w:rsidR="007F29DA" w:rsidRPr="00314795">
          <w:rPr>
            <w:rStyle w:val="Hyperlink"/>
            <w:rFonts w:ascii="Arial" w:hAnsi="Arial" w:cs="Arial"/>
            <w:noProof/>
            <w:lang w:val="fr-FR"/>
          </w:rPr>
          <w:t>Table 6 Response to Questionnaire Statement 1</w:t>
        </w:r>
        <w:r w:rsidR="007F29DA">
          <w:rPr>
            <w:noProof/>
            <w:webHidden/>
          </w:rPr>
          <w:tab/>
        </w:r>
        <w:r w:rsidR="007F29DA">
          <w:rPr>
            <w:noProof/>
            <w:webHidden/>
          </w:rPr>
          <w:fldChar w:fldCharType="begin"/>
        </w:r>
        <w:r w:rsidR="007F29DA">
          <w:rPr>
            <w:noProof/>
            <w:webHidden/>
          </w:rPr>
          <w:instrText xml:space="preserve"> PAGEREF _Toc220889983 \h </w:instrText>
        </w:r>
        <w:r w:rsidR="007F29DA">
          <w:rPr>
            <w:noProof/>
            <w:webHidden/>
          </w:rPr>
        </w:r>
        <w:r w:rsidR="007F29DA">
          <w:rPr>
            <w:noProof/>
            <w:webHidden/>
          </w:rPr>
          <w:fldChar w:fldCharType="separate"/>
        </w:r>
        <w:r w:rsidR="007F29DA">
          <w:rPr>
            <w:noProof/>
            <w:webHidden/>
          </w:rPr>
          <w:t>40</w:t>
        </w:r>
        <w:r w:rsidR="007F29DA">
          <w:rPr>
            <w:noProof/>
            <w:webHidden/>
          </w:rPr>
          <w:fldChar w:fldCharType="end"/>
        </w:r>
      </w:hyperlink>
    </w:p>
    <w:p w14:paraId="71391695" w14:textId="09FBFAE8" w:rsidR="007F29DA" w:rsidRDefault="000D0FF1">
      <w:pPr>
        <w:pStyle w:val="TableofFigures"/>
        <w:tabs>
          <w:tab w:val="right" w:leader="dot" w:pos="9350"/>
        </w:tabs>
        <w:rPr>
          <w:rFonts w:eastAsiaTheme="minorEastAsia"/>
          <w:noProof/>
        </w:rPr>
      </w:pPr>
      <w:hyperlink w:anchor="_Toc220889984" w:history="1">
        <w:r w:rsidR="007F29DA" w:rsidRPr="00314795">
          <w:rPr>
            <w:rStyle w:val="Hyperlink"/>
            <w:rFonts w:ascii="Arial" w:hAnsi="Arial" w:cs="Arial"/>
            <w:noProof/>
          </w:rPr>
          <w:t>Table 7 Response to Questionnaire Statement 2</w:t>
        </w:r>
        <w:r w:rsidR="007F29DA">
          <w:rPr>
            <w:noProof/>
            <w:webHidden/>
          </w:rPr>
          <w:tab/>
        </w:r>
        <w:r w:rsidR="007F29DA">
          <w:rPr>
            <w:noProof/>
            <w:webHidden/>
          </w:rPr>
          <w:fldChar w:fldCharType="begin"/>
        </w:r>
        <w:r w:rsidR="007F29DA">
          <w:rPr>
            <w:noProof/>
            <w:webHidden/>
          </w:rPr>
          <w:instrText xml:space="preserve"> PAGEREF _Toc220889984 \h </w:instrText>
        </w:r>
        <w:r w:rsidR="007F29DA">
          <w:rPr>
            <w:noProof/>
            <w:webHidden/>
          </w:rPr>
        </w:r>
        <w:r w:rsidR="007F29DA">
          <w:rPr>
            <w:noProof/>
            <w:webHidden/>
          </w:rPr>
          <w:fldChar w:fldCharType="separate"/>
        </w:r>
        <w:r w:rsidR="007F29DA">
          <w:rPr>
            <w:noProof/>
            <w:webHidden/>
          </w:rPr>
          <w:t>41</w:t>
        </w:r>
        <w:r w:rsidR="007F29DA">
          <w:rPr>
            <w:noProof/>
            <w:webHidden/>
          </w:rPr>
          <w:fldChar w:fldCharType="end"/>
        </w:r>
      </w:hyperlink>
    </w:p>
    <w:p w14:paraId="36243B54" w14:textId="6DB76F69" w:rsidR="007F29DA" w:rsidRDefault="000D0FF1">
      <w:pPr>
        <w:pStyle w:val="TableofFigures"/>
        <w:tabs>
          <w:tab w:val="right" w:leader="dot" w:pos="9350"/>
        </w:tabs>
        <w:rPr>
          <w:rFonts w:eastAsiaTheme="minorEastAsia"/>
          <w:noProof/>
        </w:rPr>
      </w:pPr>
      <w:hyperlink w:anchor="_Toc220889985" w:history="1">
        <w:r w:rsidR="007F29DA" w:rsidRPr="00314795">
          <w:rPr>
            <w:rStyle w:val="Hyperlink"/>
            <w:rFonts w:ascii="Arial" w:hAnsi="Arial" w:cs="Arial"/>
            <w:noProof/>
          </w:rPr>
          <w:t>Table 8 Response to Questionnaire Statement 3</w:t>
        </w:r>
        <w:r w:rsidR="007F29DA">
          <w:rPr>
            <w:noProof/>
            <w:webHidden/>
          </w:rPr>
          <w:tab/>
        </w:r>
        <w:r w:rsidR="007F29DA">
          <w:rPr>
            <w:noProof/>
            <w:webHidden/>
          </w:rPr>
          <w:fldChar w:fldCharType="begin"/>
        </w:r>
        <w:r w:rsidR="007F29DA">
          <w:rPr>
            <w:noProof/>
            <w:webHidden/>
          </w:rPr>
          <w:instrText xml:space="preserve"> PAGEREF _Toc220889985 \h </w:instrText>
        </w:r>
        <w:r w:rsidR="007F29DA">
          <w:rPr>
            <w:noProof/>
            <w:webHidden/>
          </w:rPr>
        </w:r>
        <w:r w:rsidR="007F29DA">
          <w:rPr>
            <w:noProof/>
            <w:webHidden/>
          </w:rPr>
          <w:fldChar w:fldCharType="separate"/>
        </w:r>
        <w:r w:rsidR="007F29DA">
          <w:rPr>
            <w:noProof/>
            <w:webHidden/>
          </w:rPr>
          <w:t>42</w:t>
        </w:r>
        <w:r w:rsidR="007F29DA">
          <w:rPr>
            <w:noProof/>
            <w:webHidden/>
          </w:rPr>
          <w:fldChar w:fldCharType="end"/>
        </w:r>
      </w:hyperlink>
    </w:p>
    <w:p w14:paraId="2704E041" w14:textId="192F94BE" w:rsidR="007F29DA" w:rsidRDefault="000D0FF1">
      <w:pPr>
        <w:pStyle w:val="TableofFigures"/>
        <w:tabs>
          <w:tab w:val="right" w:leader="dot" w:pos="9350"/>
        </w:tabs>
        <w:rPr>
          <w:rFonts w:eastAsiaTheme="minorEastAsia"/>
          <w:noProof/>
        </w:rPr>
      </w:pPr>
      <w:hyperlink w:anchor="_Toc220889986" w:history="1">
        <w:r w:rsidR="007F29DA" w:rsidRPr="00314795">
          <w:rPr>
            <w:rStyle w:val="Hyperlink"/>
            <w:rFonts w:ascii="Arial" w:hAnsi="Arial" w:cs="Arial"/>
            <w:noProof/>
            <w:lang w:val="fr-FR"/>
          </w:rPr>
          <w:t>Table 9 Response to Questionnaire Statement 4</w:t>
        </w:r>
        <w:r w:rsidR="007F29DA">
          <w:rPr>
            <w:noProof/>
            <w:webHidden/>
          </w:rPr>
          <w:tab/>
        </w:r>
        <w:r w:rsidR="007F29DA">
          <w:rPr>
            <w:noProof/>
            <w:webHidden/>
          </w:rPr>
          <w:fldChar w:fldCharType="begin"/>
        </w:r>
        <w:r w:rsidR="007F29DA">
          <w:rPr>
            <w:noProof/>
            <w:webHidden/>
          </w:rPr>
          <w:instrText xml:space="preserve"> PAGEREF _Toc220889986 \h </w:instrText>
        </w:r>
        <w:r w:rsidR="007F29DA">
          <w:rPr>
            <w:noProof/>
            <w:webHidden/>
          </w:rPr>
        </w:r>
        <w:r w:rsidR="007F29DA">
          <w:rPr>
            <w:noProof/>
            <w:webHidden/>
          </w:rPr>
          <w:fldChar w:fldCharType="separate"/>
        </w:r>
        <w:r w:rsidR="007F29DA">
          <w:rPr>
            <w:noProof/>
            <w:webHidden/>
          </w:rPr>
          <w:t>43</w:t>
        </w:r>
        <w:r w:rsidR="007F29DA">
          <w:rPr>
            <w:noProof/>
            <w:webHidden/>
          </w:rPr>
          <w:fldChar w:fldCharType="end"/>
        </w:r>
      </w:hyperlink>
    </w:p>
    <w:p w14:paraId="011BF62F" w14:textId="6A55B7FC" w:rsidR="007F29DA" w:rsidRDefault="000D0FF1">
      <w:pPr>
        <w:pStyle w:val="TableofFigures"/>
        <w:tabs>
          <w:tab w:val="right" w:leader="dot" w:pos="9350"/>
        </w:tabs>
        <w:rPr>
          <w:rFonts w:eastAsiaTheme="minorEastAsia"/>
          <w:noProof/>
        </w:rPr>
      </w:pPr>
      <w:hyperlink w:anchor="_Toc220889987" w:history="1">
        <w:r w:rsidR="007F29DA" w:rsidRPr="00314795">
          <w:rPr>
            <w:rStyle w:val="Hyperlink"/>
            <w:rFonts w:ascii="Arial" w:hAnsi="Arial" w:cs="Arial"/>
            <w:noProof/>
          </w:rPr>
          <w:t>Table 10 Response to Questionnaire Statement 5</w:t>
        </w:r>
        <w:r w:rsidR="007F29DA">
          <w:rPr>
            <w:noProof/>
            <w:webHidden/>
          </w:rPr>
          <w:tab/>
        </w:r>
        <w:r w:rsidR="007F29DA">
          <w:rPr>
            <w:noProof/>
            <w:webHidden/>
          </w:rPr>
          <w:fldChar w:fldCharType="begin"/>
        </w:r>
        <w:r w:rsidR="007F29DA">
          <w:rPr>
            <w:noProof/>
            <w:webHidden/>
          </w:rPr>
          <w:instrText xml:space="preserve"> PAGEREF _Toc220889987 \h </w:instrText>
        </w:r>
        <w:r w:rsidR="007F29DA">
          <w:rPr>
            <w:noProof/>
            <w:webHidden/>
          </w:rPr>
        </w:r>
        <w:r w:rsidR="007F29DA">
          <w:rPr>
            <w:noProof/>
            <w:webHidden/>
          </w:rPr>
          <w:fldChar w:fldCharType="separate"/>
        </w:r>
        <w:r w:rsidR="007F29DA">
          <w:rPr>
            <w:noProof/>
            <w:webHidden/>
          </w:rPr>
          <w:t>44</w:t>
        </w:r>
        <w:r w:rsidR="007F29DA">
          <w:rPr>
            <w:noProof/>
            <w:webHidden/>
          </w:rPr>
          <w:fldChar w:fldCharType="end"/>
        </w:r>
      </w:hyperlink>
    </w:p>
    <w:p w14:paraId="28C01103" w14:textId="53618404" w:rsidR="007F29DA" w:rsidRDefault="000D0FF1">
      <w:pPr>
        <w:pStyle w:val="TableofFigures"/>
        <w:tabs>
          <w:tab w:val="right" w:leader="dot" w:pos="9350"/>
        </w:tabs>
        <w:rPr>
          <w:rFonts w:eastAsiaTheme="minorEastAsia"/>
          <w:noProof/>
        </w:rPr>
      </w:pPr>
      <w:hyperlink w:anchor="_Toc220889988" w:history="1">
        <w:r w:rsidR="007F29DA" w:rsidRPr="00314795">
          <w:rPr>
            <w:rStyle w:val="Hyperlink"/>
            <w:rFonts w:ascii="Arial" w:hAnsi="Arial" w:cs="Arial"/>
            <w:noProof/>
            <w:lang w:val="fr-FR"/>
          </w:rPr>
          <w:t>Table 11 Response to Questionnaire Statement 6</w:t>
        </w:r>
        <w:r w:rsidR="007F29DA">
          <w:rPr>
            <w:noProof/>
            <w:webHidden/>
          </w:rPr>
          <w:tab/>
        </w:r>
        <w:r w:rsidR="007F29DA">
          <w:rPr>
            <w:noProof/>
            <w:webHidden/>
          </w:rPr>
          <w:fldChar w:fldCharType="begin"/>
        </w:r>
        <w:r w:rsidR="007F29DA">
          <w:rPr>
            <w:noProof/>
            <w:webHidden/>
          </w:rPr>
          <w:instrText xml:space="preserve"> PAGEREF _Toc220889988 \h </w:instrText>
        </w:r>
        <w:r w:rsidR="007F29DA">
          <w:rPr>
            <w:noProof/>
            <w:webHidden/>
          </w:rPr>
        </w:r>
        <w:r w:rsidR="007F29DA">
          <w:rPr>
            <w:noProof/>
            <w:webHidden/>
          </w:rPr>
          <w:fldChar w:fldCharType="separate"/>
        </w:r>
        <w:r w:rsidR="007F29DA">
          <w:rPr>
            <w:noProof/>
            <w:webHidden/>
          </w:rPr>
          <w:t>45</w:t>
        </w:r>
        <w:r w:rsidR="007F29DA">
          <w:rPr>
            <w:noProof/>
            <w:webHidden/>
          </w:rPr>
          <w:fldChar w:fldCharType="end"/>
        </w:r>
      </w:hyperlink>
    </w:p>
    <w:p w14:paraId="6B5972CF" w14:textId="62C35AE1" w:rsidR="007F29DA" w:rsidRDefault="000D0FF1">
      <w:pPr>
        <w:pStyle w:val="TableofFigures"/>
        <w:tabs>
          <w:tab w:val="right" w:leader="dot" w:pos="9350"/>
        </w:tabs>
        <w:rPr>
          <w:rFonts w:eastAsiaTheme="minorEastAsia"/>
          <w:noProof/>
        </w:rPr>
      </w:pPr>
      <w:hyperlink w:anchor="_Toc220889989" w:history="1">
        <w:r w:rsidR="007F29DA" w:rsidRPr="00314795">
          <w:rPr>
            <w:rStyle w:val="Hyperlink"/>
            <w:rFonts w:ascii="Arial" w:hAnsi="Arial" w:cs="Arial"/>
            <w:noProof/>
            <w:lang w:val="fr-FR"/>
          </w:rPr>
          <w:t>Table 12 Response to Questionnaire Statement 7</w:t>
        </w:r>
        <w:r w:rsidR="007F29DA">
          <w:rPr>
            <w:noProof/>
            <w:webHidden/>
          </w:rPr>
          <w:tab/>
        </w:r>
        <w:r w:rsidR="007F29DA">
          <w:rPr>
            <w:noProof/>
            <w:webHidden/>
          </w:rPr>
          <w:fldChar w:fldCharType="begin"/>
        </w:r>
        <w:r w:rsidR="007F29DA">
          <w:rPr>
            <w:noProof/>
            <w:webHidden/>
          </w:rPr>
          <w:instrText xml:space="preserve"> PAGEREF _Toc220889989 \h </w:instrText>
        </w:r>
        <w:r w:rsidR="007F29DA">
          <w:rPr>
            <w:noProof/>
            <w:webHidden/>
          </w:rPr>
        </w:r>
        <w:r w:rsidR="007F29DA">
          <w:rPr>
            <w:noProof/>
            <w:webHidden/>
          </w:rPr>
          <w:fldChar w:fldCharType="separate"/>
        </w:r>
        <w:r w:rsidR="007F29DA">
          <w:rPr>
            <w:noProof/>
            <w:webHidden/>
          </w:rPr>
          <w:t>46</w:t>
        </w:r>
        <w:r w:rsidR="007F29DA">
          <w:rPr>
            <w:noProof/>
            <w:webHidden/>
          </w:rPr>
          <w:fldChar w:fldCharType="end"/>
        </w:r>
      </w:hyperlink>
    </w:p>
    <w:p w14:paraId="619668EB" w14:textId="509808BA" w:rsidR="007F29DA" w:rsidRDefault="000D0FF1">
      <w:pPr>
        <w:pStyle w:val="TableofFigures"/>
        <w:tabs>
          <w:tab w:val="right" w:leader="dot" w:pos="9350"/>
        </w:tabs>
        <w:rPr>
          <w:rFonts w:eastAsiaTheme="minorEastAsia"/>
          <w:noProof/>
        </w:rPr>
      </w:pPr>
      <w:hyperlink w:anchor="_Toc220889990" w:history="1">
        <w:r w:rsidR="007F29DA" w:rsidRPr="00314795">
          <w:rPr>
            <w:rStyle w:val="Hyperlink"/>
            <w:rFonts w:ascii="Arial" w:hAnsi="Arial" w:cs="Arial"/>
            <w:noProof/>
          </w:rPr>
          <w:t>Table 13 Response to Questionnaire Statement 8</w:t>
        </w:r>
        <w:r w:rsidR="007F29DA">
          <w:rPr>
            <w:noProof/>
            <w:webHidden/>
          </w:rPr>
          <w:tab/>
        </w:r>
        <w:r w:rsidR="007F29DA">
          <w:rPr>
            <w:noProof/>
            <w:webHidden/>
          </w:rPr>
          <w:fldChar w:fldCharType="begin"/>
        </w:r>
        <w:r w:rsidR="007F29DA">
          <w:rPr>
            <w:noProof/>
            <w:webHidden/>
          </w:rPr>
          <w:instrText xml:space="preserve"> PAGEREF _Toc220889990 \h </w:instrText>
        </w:r>
        <w:r w:rsidR="007F29DA">
          <w:rPr>
            <w:noProof/>
            <w:webHidden/>
          </w:rPr>
        </w:r>
        <w:r w:rsidR="007F29DA">
          <w:rPr>
            <w:noProof/>
            <w:webHidden/>
          </w:rPr>
          <w:fldChar w:fldCharType="separate"/>
        </w:r>
        <w:r w:rsidR="007F29DA">
          <w:rPr>
            <w:noProof/>
            <w:webHidden/>
          </w:rPr>
          <w:t>47</w:t>
        </w:r>
        <w:r w:rsidR="007F29DA">
          <w:rPr>
            <w:noProof/>
            <w:webHidden/>
          </w:rPr>
          <w:fldChar w:fldCharType="end"/>
        </w:r>
      </w:hyperlink>
    </w:p>
    <w:p w14:paraId="6243EF63" w14:textId="051962FD" w:rsidR="007F29DA" w:rsidRDefault="000D0FF1">
      <w:pPr>
        <w:pStyle w:val="TableofFigures"/>
        <w:tabs>
          <w:tab w:val="right" w:leader="dot" w:pos="9350"/>
        </w:tabs>
        <w:rPr>
          <w:rFonts w:eastAsiaTheme="minorEastAsia"/>
          <w:noProof/>
        </w:rPr>
      </w:pPr>
      <w:hyperlink w:anchor="_Toc220889991" w:history="1">
        <w:r w:rsidR="007F29DA" w:rsidRPr="00314795">
          <w:rPr>
            <w:rStyle w:val="Hyperlink"/>
            <w:rFonts w:ascii="Arial" w:hAnsi="Arial" w:cs="Arial"/>
            <w:noProof/>
          </w:rPr>
          <w:t>Table 14 Response to Questionnaire Statement 9</w:t>
        </w:r>
        <w:r w:rsidR="007F29DA">
          <w:rPr>
            <w:noProof/>
            <w:webHidden/>
          </w:rPr>
          <w:tab/>
        </w:r>
        <w:r w:rsidR="007F29DA">
          <w:rPr>
            <w:noProof/>
            <w:webHidden/>
          </w:rPr>
          <w:fldChar w:fldCharType="begin"/>
        </w:r>
        <w:r w:rsidR="007F29DA">
          <w:rPr>
            <w:noProof/>
            <w:webHidden/>
          </w:rPr>
          <w:instrText xml:space="preserve"> PAGEREF _Toc220889991 \h </w:instrText>
        </w:r>
        <w:r w:rsidR="007F29DA">
          <w:rPr>
            <w:noProof/>
            <w:webHidden/>
          </w:rPr>
        </w:r>
        <w:r w:rsidR="007F29DA">
          <w:rPr>
            <w:noProof/>
            <w:webHidden/>
          </w:rPr>
          <w:fldChar w:fldCharType="separate"/>
        </w:r>
        <w:r w:rsidR="007F29DA">
          <w:rPr>
            <w:noProof/>
            <w:webHidden/>
          </w:rPr>
          <w:t>48</w:t>
        </w:r>
        <w:r w:rsidR="007F29DA">
          <w:rPr>
            <w:noProof/>
            <w:webHidden/>
          </w:rPr>
          <w:fldChar w:fldCharType="end"/>
        </w:r>
      </w:hyperlink>
    </w:p>
    <w:p w14:paraId="63439802" w14:textId="5B8AA8D8" w:rsidR="007F29DA" w:rsidRDefault="000D0FF1">
      <w:pPr>
        <w:pStyle w:val="TableofFigures"/>
        <w:tabs>
          <w:tab w:val="right" w:leader="dot" w:pos="9350"/>
        </w:tabs>
        <w:rPr>
          <w:rFonts w:eastAsiaTheme="minorEastAsia"/>
          <w:noProof/>
        </w:rPr>
      </w:pPr>
      <w:hyperlink w:anchor="_Toc220889992" w:history="1">
        <w:r w:rsidR="007F29DA" w:rsidRPr="00314795">
          <w:rPr>
            <w:rStyle w:val="Hyperlink"/>
            <w:rFonts w:ascii="Arial" w:hAnsi="Arial" w:cs="Arial"/>
            <w:noProof/>
            <w:lang w:val="fr-FR"/>
          </w:rPr>
          <w:t>Table 15 Response to Questionnaire Statement 10</w:t>
        </w:r>
        <w:r w:rsidR="007F29DA">
          <w:rPr>
            <w:noProof/>
            <w:webHidden/>
          </w:rPr>
          <w:tab/>
        </w:r>
        <w:r w:rsidR="007F29DA">
          <w:rPr>
            <w:noProof/>
            <w:webHidden/>
          </w:rPr>
          <w:fldChar w:fldCharType="begin"/>
        </w:r>
        <w:r w:rsidR="007F29DA">
          <w:rPr>
            <w:noProof/>
            <w:webHidden/>
          </w:rPr>
          <w:instrText xml:space="preserve"> PAGEREF _Toc220889992 \h </w:instrText>
        </w:r>
        <w:r w:rsidR="007F29DA">
          <w:rPr>
            <w:noProof/>
            <w:webHidden/>
          </w:rPr>
        </w:r>
        <w:r w:rsidR="007F29DA">
          <w:rPr>
            <w:noProof/>
            <w:webHidden/>
          </w:rPr>
          <w:fldChar w:fldCharType="separate"/>
        </w:r>
        <w:r w:rsidR="007F29DA">
          <w:rPr>
            <w:noProof/>
            <w:webHidden/>
          </w:rPr>
          <w:t>49</w:t>
        </w:r>
        <w:r w:rsidR="007F29DA">
          <w:rPr>
            <w:noProof/>
            <w:webHidden/>
          </w:rPr>
          <w:fldChar w:fldCharType="end"/>
        </w:r>
      </w:hyperlink>
    </w:p>
    <w:p w14:paraId="332B65E9" w14:textId="47909ECD" w:rsidR="007F29DA" w:rsidRDefault="000D0FF1">
      <w:pPr>
        <w:pStyle w:val="TableofFigures"/>
        <w:tabs>
          <w:tab w:val="right" w:leader="dot" w:pos="9350"/>
        </w:tabs>
        <w:rPr>
          <w:rFonts w:eastAsiaTheme="minorEastAsia"/>
          <w:noProof/>
        </w:rPr>
      </w:pPr>
      <w:hyperlink w:anchor="_Toc220889993" w:history="1">
        <w:r w:rsidR="007F29DA" w:rsidRPr="00314795">
          <w:rPr>
            <w:rStyle w:val="Hyperlink"/>
            <w:rFonts w:ascii="Arial" w:hAnsi="Arial" w:cs="Arial"/>
            <w:noProof/>
            <w:lang w:val="fr-FR"/>
          </w:rPr>
          <w:t>Table 16 Response to Questionnaire Statement 11</w:t>
        </w:r>
        <w:r w:rsidR="007F29DA">
          <w:rPr>
            <w:noProof/>
            <w:webHidden/>
          </w:rPr>
          <w:tab/>
        </w:r>
        <w:r w:rsidR="007F29DA">
          <w:rPr>
            <w:noProof/>
            <w:webHidden/>
          </w:rPr>
          <w:fldChar w:fldCharType="begin"/>
        </w:r>
        <w:r w:rsidR="007F29DA">
          <w:rPr>
            <w:noProof/>
            <w:webHidden/>
          </w:rPr>
          <w:instrText xml:space="preserve"> PAGEREF _Toc220889993 \h </w:instrText>
        </w:r>
        <w:r w:rsidR="007F29DA">
          <w:rPr>
            <w:noProof/>
            <w:webHidden/>
          </w:rPr>
        </w:r>
        <w:r w:rsidR="007F29DA">
          <w:rPr>
            <w:noProof/>
            <w:webHidden/>
          </w:rPr>
          <w:fldChar w:fldCharType="separate"/>
        </w:r>
        <w:r w:rsidR="007F29DA">
          <w:rPr>
            <w:noProof/>
            <w:webHidden/>
          </w:rPr>
          <w:t>50</w:t>
        </w:r>
        <w:r w:rsidR="007F29DA">
          <w:rPr>
            <w:noProof/>
            <w:webHidden/>
          </w:rPr>
          <w:fldChar w:fldCharType="end"/>
        </w:r>
      </w:hyperlink>
    </w:p>
    <w:p w14:paraId="22F165AD" w14:textId="49046426" w:rsidR="007F29DA" w:rsidRDefault="000D0FF1">
      <w:pPr>
        <w:pStyle w:val="TableofFigures"/>
        <w:tabs>
          <w:tab w:val="right" w:leader="dot" w:pos="9350"/>
        </w:tabs>
        <w:rPr>
          <w:rFonts w:eastAsiaTheme="minorEastAsia"/>
          <w:noProof/>
        </w:rPr>
      </w:pPr>
      <w:hyperlink w:anchor="_Toc220889994" w:history="1">
        <w:r w:rsidR="007F29DA" w:rsidRPr="00314795">
          <w:rPr>
            <w:rStyle w:val="Hyperlink"/>
            <w:rFonts w:ascii="Arial" w:hAnsi="Arial" w:cs="Arial"/>
            <w:noProof/>
            <w:lang w:val="fr-FR"/>
          </w:rPr>
          <w:t>Table 17 Response to Questionnaire Statement 12</w:t>
        </w:r>
        <w:r w:rsidR="007F29DA">
          <w:rPr>
            <w:noProof/>
            <w:webHidden/>
          </w:rPr>
          <w:tab/>
        </w:r>
        <w:r w:rsidR="007F29DA">
          <w:rPr>
            <w:noProof/>
            <w:webHidden/>
          </w:rPr>
          <w:fldChar w:fldCharType="begin"/>
        </w:r>
        <w:r w:rsidR="007F29DA">
          <w:rPr>
            <w:noProof/>
            <w:webHidden/>
          </w:rPr>
          <w:instrText xml:space="preserve"> PAGEREF _Toc220889994 \h </w:instrText>
        </w:r>
        <w:r w:rsidR="007F29DA">
          <w:rPr>
            <w:noProof/>
            <w:webHidden/>
          </w:rPr>
        </w:r>
        <w:r w:rsidR="007F29DA">
          <w:rPr>
            <w:noProof/>
            <w:webHidden/>
          </w:rPr>
          <w:fldChar w:fldCharType="separate"/>
        </w:r>
        <w:r w:rsidR="007F29DA">
          <w:rPr>
            <w:noProof/>
            <w:webHidden/>
          </w:rPr>
          <w:t>51</w:t>
        </w:r>
        <w:r w:rsidR="007F29DA">
          <w:rPr>
            <w:noProof/>
            <w:webHidden/>
          </w:rPr>
          <w:fldChar w:fldCharType="end"/>
        </w:r>
      </w:hyperlink>
    </w:p>
    <w:p w14:paraId="21D66302" w14:textId="5EDED937" w:rsidR="007F29DA" w:rsidRDefault="000D0FF1">
      <w:pPr>
        <w:pStyle w:val="TableofFigures"/>
        <w:tabs>
          <w:tab w:val="right" w:leader="dot" w:pos="9350"/>
        </w:tabs>
        <w:rPr>
          <w:rFonts w:eastAsiaTheme="minorEastAsia"/>
          <w:noProof/>
        </w:rPr>
      </w:pPr>
      <w:hyperlink w:anchor="_Toc220889995" w:history="1">
        <w:r w:rsidR="007F29DA" w:rsidRPr="00314795">
          <w:rPr>
            <w:rStyle w:val="Hyperlink"/>
            <w:rFonts w:ascii="Arial" w:hAnsi="Arial" w:cs="Arial"/>
            <w:noProof/>
          </w:rPr>
          <w:t>Table 18 Response to Questionnaire Statement 13</w:t>
        </w:r>
        <w:r w:rsidR="007F29DA">
          <w:rPr>
            <w:noProof/>
            <w:webHidden/>
          </w:rPr>
          <w:tab/>
        </w:r>
        <w:r w:rsidR="007F29DA">
          <w:rPr>
            <w:noProof/>
            <w:webHidden/>
          </w:rPr>
          <w:fldChar w:fldCharType="begin"/>
        </w:r>
        <w:r w:rsidR="007F29DA">
          <w:rPr>
            <w:noProof/>
            <w:webHidden/>
          </w:rPr>
          <w:instrText xml:space="preserve"> PAGEREF _Toc220889995 \h </w:instrText>
        </w:r>
        <w:r w:rsidR="007F29DA">
          <w:rPr>
            <w:noProof/>
            <w:webHidden/>
          </w:rPr>
        </w:r>
        <w:r w:rsidR="007F29DA">
          <w:rPr>
            <w:noProof/>
            <w:webHidden/>
          </w:rPr>
          <w:fldChar w:fldCharType="separate"/>
        </w:r>
        <w:r w:rsidR="007F29DA">
          <w:rPr>
            <w:noProof/>
            <w:webHidden/>
          </w:rPr>
          <w:t>52</w:t>
        </w:r>
        <w:r w:rsidR="007F29DA">
          <w:rPr>
            <w:noProof/>
            <w:webHidden/>
          </w:rPr>
          <w:fldChar w:fldCharType="end"/>
        </w:r>
      </w:hyperlink>
    </w:p>
    <w:p w14:paraId="38A1104E" w14:textId="0201D133" w:rsidR="007F29DA" w:rsidRDefault="000D0FF1">
      <w:pPr>
        <w:pStyle w:val="TableofFigures"/>
        <w:tabs>
          <w:tab w:val="right" w:leader="dot" w:pos="9350"/>
        </w:tabs>
        <w:rPr>
          <w:rFonts w:eastAsiaTheme="minorEastAsia"/>
          <w:noProof/>
        </w:rPr>
      </w:pPr>
      <w:hyperlink w:anchor="_Toc220889996" w:history="1">
        <w:r w:rsidR="007F29DA" w:rsidRPr="00314795">
          <w:rPr>
            <w:rStyle w:val="Hyperlink"/>
            <w:rFonts w:ascii="Arial" w:hAnsi="Arial" w:cs="Arial"/>
            <w:noProof/>
            <w:lang w:val="fr-FR"/>
          </w:rPr>
          <w:t>Table 19 Response to Questionnaire Statement 14</w:t>
        </w:r>
        <w:r w:rsidR="007F29DA">
          <w:rPr>
            <w:noProof/>
            <w:webHidden/>
          </w:rPr>
          <w:tab/>
        </w:r>
        <w:r w:rsidR="007F29DA">
          <w:rPr>
            <w:noProof/>
            <w:webHidden/>
          </w:rPr>
          <w:fldChar w:fldCharType="begin"/>
        </w:r>
        <w:r w:rsidR="007F29DA">
          <w:rPr>
            <w:noProof/>
            <w:webHidden/>
          </w:rPr>
          <w:instrText xml:space="preserve"> PAGEREF _Toc220889996 \h </w:instrText>
        </w:r>
        <w:r w:rsidR="007F29DA">
          <w:rPr>
            <w:noProof/>
            <w:webHidden/>
          </w:rPr>
        </w:r>
        <w:r w:rsidR="007F29DA">
          <w:rPr>
            <w:noProof/>
            <w:webHidden/>
          </w:rPr>
          <w:fldChar w:fldCharType="separate"/>
        </w:r>
        <w:r w:rsidR="007F29DA">
          <w:rPr>
            <w:noProof/>
            <w:webHidden/>
          </w:rPr>
          <w:t>53</w:t>
        </w:r>
        <w:r w:rsidR="007F29DA">
          <w:rPr>
            <w:noProof/>
            <w:webHidden/>
          </w:rPr>
          <w:fldChar w:fldCharType="end"/>
        </w:r>
      </w:hyperlink>
    </w:p>
    <w:p w14:paraId="15FB4C3E" w14:textId="5126BE6F" w:rsidR="007F29DA" w:rsidRDefault="000D0FF1">
      <w:pPr>
        <w:pStyle w:val="TableofFigures"/>
        <w:tabs>
          <w:tab w:val="right" w:leader="dot" w:pos="9350"/>
        </w:tabs>
        <w:rPr>
          <w:rFonts w:eastAsiaTheme="minorEastAsia"/>
          <w:noProof/>
        </w:rPr>
      </w:pPr>
      <w:hyperlink w:anchor="_Toc220889997" w:history="1">
        <w:r w:rsidR="007F29DA" w:rsidRPr="00314795">
          <w:rPr>
            <w:rStyle w:val="Hyperlink"/>
            <w:rFonts w:ascii="Arial" w:hAnsi="Arial" w:cs="Arial"/>
            <w:noProof/>
          </w:rPr>
          <w:t>Table 20 Response to Questionnaire Statement 15</w:t>
        </w:r>
        <w:r w:rsidR="007F29DA">
          <w:rPr>
            <w:noProof/>
            <w:webHidden/>
          </w:rPr>
          <w:tab/>
        </w:r>
        <w:r w:rsidR="007F29DA">
          <w:rPr>
            <w:noProof/>
            <w:webHidden/>
          </w:rPr>
          <w:fldChar w:fldCharType="begin"/>
        </w:r>
        <w:r w:rsidR="007F29DA">
          <w:rPr>
            <w:noProof/>
            <w:webHidden/>
          </w:rPr>
          <w:instrText xml:space="preserve"> PAGEREF _Toc220889997 \h </w:instrText>
        </w:r>
        <w:r w:rsidR="007F29DA">
          <w:rPr>
            <w:noProof/>
            <w:webHidden/>
          </w:rPr>
        </w:r>
        <w:r w:rsidR="007F29DA">
          <w:rPr>
            <w:noProof/>
            <w:webHidden/>
          </w:rPr>
          <w:fldChar w:fldCharType="separate"/>
        </w:r>
        <w:r w:rsidR="007F29DA">
          <w:rPr>
            <w:noProof/>
            <w:webHidden/>
          </w:rPr>
          <w:t>54</w:t>
        </w:r>
        <w:r w:rsidR="007F29DA">
          <w:rPr>
            <w:noProof/>
            <w:webHidden/>
          </w:rPr>
          <w:fldChar w:fldCharType="end"/>
        </w:r>
      </w:hyperlink>
    </w:p>
    <w:p w14:paraId="64A89A12" w14:textId="679D858B" w:rsidR="007F29DA" w:rsidRDefault="000D0FF1">
      <w:pPr>
        <w:pStyle w:val="TableofFigures"/>
        <w:tabs>
          <w:tab w:val="right" w:leader="dot" w:pos="9350"/>
        </w:tabs>
        <w:rPr>
          <w:rFonts w:eastAsiaTheme="minorEastAsia"/>
          <w:noProof/>
        </w:rPr>
      </w:pPr>
      <w:hyperlink w:anchor="_Toc220889998" w:history="1">
        <w:r w:rsidR="007F29DA" w:rsidRPr="00314795">
          <w:rPr>
            <w:rStyle w:val="Hyperlink"/>
            <w:rFonts w:ascii="Arial" w:hAnsi="Arial" w:cs="Arial"/>
            <w:noProof/>
          </w:rPr>
          <w:t>Table 21 Reliability (Scale: Supply Chain Disruptions</w:t>
        </w:r>
        <w:r w:rsidR="007F29DA">
          <w:rPr>
            <w:noProof/>
            <w:webHidden/>
          </w:rPr>
          <w:tab/>
        </w:r>
        <w:r w:rsidR="007F29DA">
          <w:rPr>
            <w:noProof/>
            <w:webHidden/>
          </w:rPr>
          <w:fldChar w:fldCharType="begin"/>
        </w:r>
        <w:r w:rsidR="007F29DA">
          <w:rPr>
            <w:noProof/>
            <w:webHidden/>
          </w:rPr>
          <w:instrText xml:space="preserve"> PAGEREF _Toc220889998 \h </w:instrText>
        </w:r>
        <w:r w:rsidR="007F29DA">
          <w:rPr>
            <w:noProof/>
            <w:webHidden/>
          </w:rPr>
        </w:r>
        <w:r w:rsidR="007F29DA">
          <w:rPr>
            <w:noProof/>
            <w:webHidden/>
          </w:rPr>
          <w:fldChar w:fldCharType="separate"/>
        </w:r>
        <w:r w:rsidR="007F29DA">
          <w:rPr>
            <w:noProof/>
            <w:webHidden/>
          </w:rPr>
          <w:t>57</w:t>
        </w:r>
        <w:r w:rsidR="007F29DA">
          <w:rPr>
            <w:noProof/>
            <w:webHidden/>
          </w:rPr>
          <w:fldChar w:fldCharType="end"/>
        </w:r>
      </w:hyperlink>
    </w:p>
    <w:p w14:paraId="332BA38B" w14:textId="57C32F82" w:rsidR="007F29DA" w:rsidRDefault="000D0FF1">
      <w:pPr>
        <w:pStyle w:val="TableofFigures"/>
        <w:tabs>
          <w:tab w:val="right" w:leader="dot" w:pos="9350"/>
        </w:tabs>
        <w:rPr>
          <w:rFonts w:eastAsiaTheme="minorEastAsia"/>
          <w:noProof/>
        </w:rPr>
      </w:pPr>
      <w:hyperlink w:anchor="_Toc220889999" w:history="1">
        <w:r w:rsidR="007F29DA" w:rsidRPr="00314795">
          <w:rPr>
            <w:rStyle w:val="Hyperlink"/>
            <w:rFonts w:ascii="Arial" w:hAnsi="Arial" w:cs="Arial"/>
            <w:noProof/>
          </w:rPr>
          <w:t>Table 22 Reliability (Scale: Business Performance Impact)</w:t>
        </w:r>
        <w:r w:rsidR="007F29DA">
          <w:rPr>
            <w:noProof/>
            <w:webHidden/>
          </w:rPr>
          <w:tab/>
        </w:r>
        <w:r w:rsidR="007F29DA">
          <w:rPr>
            <w:noProof/>
            <w:webHidden/>
          </w:rPr>
          <w:fldChar w:fldCharType="begin"/>
        </w:r>
        <w:r w:rsidR="007F29DA">
          <w:rPr>
            <w:noProof/>
            <w:webHidden/>
          </w:rPr>
          <w:instrText xml:space="preserve"> PAGEREF _Toc220889999 \h </w:instrText>
        </w:r>
        <w:r w:rsidR="007F29DA">
          <w:rPr>
            <w:noProof/>
            <w:webHidden/>
          </w:rPr>
        </w:r>
        <w:r w:rsidR="007F29DA">
          <w:rPr>
            <w:noProof/>
            <w:webHidden/>
          </w:rPr>
          <w:fldChar w:fldCharType="separate"/>
        </w:r>
        <w:r w:rsidR="007F29DA">
          <w:rPr>
            <w:noProof/>
            <w:webHidden/>
          </w:rPr>
          <w:t>58</w:t>
        </w:r>
        <w:r w:rsidR="007F29DA">
          <w:rPr>
            <w:noProof/>
            <w:webHidden/>
          </w:rPr>
          <w:fldChar w:fldCharType="end"/>
        </w:r>
      </w:hyperlink>
    </w:p>
    <w:p w14:paraId="2C2DE0C4" w14:textId="5567C575" w:rsidR="007F29DA" w:rsidRDefault="000D0FF1">
      <w:pPr>
        <w:pStyle w:val="TableofFigures"/>
        <w:tabs>
          <w:tab w:val="right" w:leader="dot" w:pos="9350"/>
        </w:tabs>
        <w:rPr>
          <w:rFonts w:eastAsiaTheme="minorEastAsia"/>
          <w:noProof/>
        </w:rPr>
      </w:pPr>
      <w:hyperlink w:anchor="_Toc220890000" w:history="1">
        <w:r w:rsidR="007F29DA" w:rsidRPr="00314795">
          <w:rPr>
            <w:rStyle w:val="Hyperlink"/>
            <w:rFonts w:ascii="Arial" w:hAnsi="Arial" w:cs="Arial"/>
            <w:noProof/>
          </w:rPr>
          <w:t>Table 23 Reliability (Scale: Business Performance Impact)</w:t>
        </w:r>
        <w:r w:rsidR="007F29DA">
          <w:rPr>
            <w:noProof/>
            <w:webHidden/>
          </w:rPr>
          <w:tab/>
        </w:r>
        <w:r w:rsidR="007F29DA">
          <w:rPr>
            <w:noProof/>
            <w:webHidden/>
          </w:rPr>
          <w:fldChar w:fldCharType="begin"/>
        </w:r>
        <w:r w:rsidR="007F29DA">
          <w:rPr>
            <w:noProof/>
            <w:webHidden/>
          </w:rPr>
          <w:instrText xml:space="preserve"> PAGEREF _Toc220890000 \h </w:instrText>
        </w:r>
        <w:r w:rsidR="007F29DA">
          <w:rPr>
            <w:noProof/>
            <w:webHidden/>
          </w:rPr>
        </w:r>
        <w:r w:rsidR="007F29DA">
          <w:rPr>
            <w:noProof/>
            <w:webHidden/>
          </w:rPr>
          <w:fldChar w:fldCharType="separate"/>
        </w:r>
        <w:r w:rsidR="007F29DA">
          <w:rPr>
            <w:noProof/>
            <w:webHidden/>
          </w:rPr>
          <w:t>58</w:t>
        </w:r>
        <w:r w:rsidR="007F29DA">
          <w:rPr>
            <w:noProof/>
            <w:webHidden/>
          </w:rPr>
          <w:fldChar w:fldCharType="end"/>
        </w:r>
      </w:hyperlink>
    </w:p>
    <w:p w14:paraId="77148DCD" w14:textId="21715C6A" w:rsidR="007F29DA" w:rsidRDefault="000D0FF1">
      <w:pPr>
        <w:pStyle w:val="TableofFigures"/>
        <w:tabs>
          <w:tab w:val="right" w:leader="dot" w:pos="9350"/>
        </w:tabs>
        <w:rPr>
          <w:rFonts w:eastAsiaTheme="minorEastAsia"/>
          <w:noProof/>
        </w:rPr>
      </w:pPr>
      <w:hyperlink w:anchor="_Toc220890001" w:history="1">
        <w:r w:rsidR="007F29DA" w:rsidRPr="00314795">
          <w:rPr>
            <w:rStyle w:val="Hyperlink"/>
            <w:rFonts w:ascii="Arial" w:hAnsi="Arial" w:cs="Arial"/>
            <w:noProof/>
          </w:rPr>
          <w:t>Table 24 Model Summary</w:t>
        </w:r>
        <w:r w:rsidR="007F29DA">
          <w:rPr>
            <w:noProof/>
            <w:webHidden/>
          </w:rPr>
          <w:tab/>
        </w:r>
        <w:r w:rsidR="007F29DA">
          <w:rPr>
            <w:noProof/>
            <w:webHidden/>
          </w:rPr>
          <w:fldChar w:fldCharType="begin"/>
        </w:r>
        <w:r w:rsidR="007F29DA">
          <w:rPr>
            <w:noProof/>
            <w:webHidden/>
          </w:rPr>
          <w:instrText xml:space="preserve"> PAGEREF _Toc220890001 \h </w:instrText>
        </w:r>
        <w:r w:rsidR="007F29DA">
          <w:rPr>
            <w:noProof/>
            <w:webHidden/>
          </w:rPr>
        </w:r>
        <w:r w:rsidR="007F29DA">
          <w:rPr>
            <w:noProof/>
            <w:webHidden/>
          </w:rPr>
          <w:fldChar w:fldCharType="separate"/>
        </w:r>
        <w:r w:rsidR="007F29DA">
          <w:rPr>
            <w:noProof/>
            <w:webHidden/>
          </w:rPr>
          <w:t>59</w:t>
        </w:r>
        <w:r w:rsidR="007F29DA">
          <w:rPr>
            <w:noProof/>
            <w:webHidden/>
          </w:rPr>
          <w:fldChar w:fldCharType="end"/>
        </w:r>
      </w:hyperlink>
    </w:p>
    <w:p w14:paraId="6A90E011" w14:textId="4B0FE1AA" w:rsidR="007F29DA" w:rsidRDefault="000D0FF1">
      <w:pPr>
        <w:pStyle w:val="TableofFigures"/>
        <w:tabs>
          <w:tab w:val="right" w:leader="dot" w:pos="9350"/>
        </w:tabs>
        <w:rPr>
          <w:rFonts w:eastAsiaTheme="minorEastAsia"/>
          <w:noProof/>
        </w:rPr>
      </w:pPr>
      <w:hyperlink w:anchor="_Toc220890002" w:history="1">
        <w:r w:rsidR="007F29DA" w:rsidRPr="00314795">
          <w:rPr>
            <w:rStyle w:val="Hyperlink"/>
            <w:rFonts w:ascii="Arial" w:hAnsi="Arial" w:cs="Arial"/>
            <w:noProof/>
          </w:rPr>
          <w:t>Table 25 ANOVA</w:t>
        </w:r>
        <w:r w:rsidR="007F29DA">
          <w:rPr>
            <w:noProof/>
            <w:webHidden/>
          </w:rPr>
          <w:tab/>
        </w:r>
        <w:r w:rsidR="007F29DA">
          <w:rPr>
            <w:noProof/>
            <w:webHidden/>
          </w:rPr>
          <w:fldChar w:fldCharType="begin"/>
        </w:r>
        <w:r w:rsidR="007F29DA">
          <w:rPr>
            <w:noProof/>
            <w:webHidden/>
          </w:rPr>
          <w:instrText xml:space="preserve"> PAGEREF _Toc220890002 \h </w:instrText>
        </w:r>
        <w:r w:rsidR="007F29DA">
          <w:rPr>
            <w:noProof/>
            <w:webHidden/>
          </w:rPr>
        </w:r>
        <w:r w:rsidR="007F29DA">
          <w:rPr>
            <w:noProof/>
            <w:webHidden/>
          </w:rPr>
          <w:fldChar w:fldCharType="separate"/>
        </w:r>
        <w:r w:rsidR="007F29DA">
          <w:rPr>
            <w:noProof/>
            <w:webHidden/>
          </w:rPr>
          <w:t>59</w:t>
        </w:r>
        <w:r w:rsidR="007F29DA">
          <w:rPr>
            <w:noProof/>
            <w:webHidden/>
          </w:rPr>
          <w:fldChar w:fldCharType="end"/>
        </w:r>
      </w:hyperlink>
    </w:p>
    <w:p w14:paraId="52F0C9E9" w14:textId="31553F7A" w:rsidR="007F29DA" w:rsidRDefault="000D0FF1">
      <w:pPr>
        <w:pStyle w:val="TableofFigures"/>
        <w:tabs>
          <w:tab w:val="right" w:leader="dot" w:pos="9350"/>
        </w:tabs>
        <w:rPr>
          <w:rFonts w:eastAsiaTheme="minorEastAsia"/>
          <w:noProof/>
        </w:rPr>
      </w:pPr>
      <w:hyperlink w:anchor="_Toc220890003" w:history="1">
        <w:r w:rsidR="007F29DA" w:rsidRPr="00314795">
          <w:rPr>
            <w:rStyle w:val="Hyperlink"/>
            <w:rFonts w:ascii="Arial" w:hAnsi="Arial" w:cs="Arial"/>
            <w:noProof/>
          </w:rPr>
          <w:t>Table 26 Coefficient Analysis</w:t>
        </w:r>
        <w:r w:rsidR="007F29DA">
          <w:rPr>
            <w:noProof/>
            <w:webHidden/>
          </w:rPr>
          <w:tab/>
        </w:r>
        <w:r w:rsidR="007F29DA">
          <w:rPr>
            <w:noProof/>
            <w:webHidden/>
          </w:rPr>
          <w:fldChar w:fldCharType="begin"/>
        </w:r>
        <w:r w:rsidR="007F29DA">
          <w:rPr>
            <w:noProof/>
            <w:webHidden/>
          </w:rPr>
          <w:instrText xml:space="preserve"> PAGEREF _Toc220890003 \h </w:instrText>
        </w:r>
        <w:r w:rsidR="007F29DA">
          <w:rPr>
            <w:noProof/>
            <w:webHidden/>
          </w:rPr>
        </w:r>
        <w:r w:rsidR="007F29DA">
          <w:rPr>
            <w:noProof/>
            <w:webHidden/>
          </w:rPr>
          <w:fldChar w:fldCharType="separate"/>
        </w:r>
        <w:r w:rsidR="007F29DA">
          <w:rPr>
            <w:noProof/>
            <w:webHidden/>
          </w:rPr>
          <w:t>60</w:t>
        </w:r>
        <w:r w:rsidR="007F29DA">
          <w:rPr>
            <w:noProof/>
            <w:webHidden/>
          </w:rPr>
          <w:fldChar w:fldCharType="end"/>
        </w:r>
      </w:hyperlink>
    </w:p>
    <w:p w14:paraId="64AC7CE9" w14:textId="7A7ED266" w:rsidR="007F29DA" w:rsidRPr="00017A41" w:rsidRDefault="007F29DA">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fldChar w:fldCharType="end"/>
      </w:r>
    </w:p>
    <w:p w14:paraId="1A2234D4" w14:textId="77777777" w:rsidR="002E7566" w:rsidRPr="00017A41" w:rsidRDefault="002E7566">
      <w:pPr>
        <w:spacing w:line="360" w:lineRule="auto"/>
        <w:jc w:val="center"/>
        <w:rPr>
          <w:rFonts w:ascii="Arial" w:hAnsi="Arial" w:cs="Arial"/>
          <w:color w:val="000000" w:themeColor="text1"/>
          <w:sz w:val="28"/>
          <w:szCs w:val="28"/>
        </w:rPr>
      </w:pPr>
    </w:p>
    <w:p w14:paraId="2C38F4D8" w14:textId="77777777" w:rsidR="001A6581" w:rsidRDefault="001A6581">
      <w:pPr>
        <w:spacing w:after="0" w:line="240" w:lineRule="auto"/>
        <w:rPr>
          <w:rFonts w:ascii="Arial" w:eastAsiaTheme="majorEastAsia" w:hAnsi="Arial" w:cs="Arial"/>
          <w:b/>
          <w:bCs/>
          <w:color w:val="000000" w:themeColor="text1"/>
          <w:sz w:val="28"/>
          <w:szCs w:val="28"/>
        </w:rPr>
      </w:pPr>
      <w:r>
        <w:rPr>
          <w:rFonts w:ascii="Arial" w:hAnsi="Arial" w:cs="Arial"/>
          <w:b/>
          <w:bCs/>
          <w:color w:val="000000" w:themeColor="text1"/>
          <w:sz w:val="28"/>
          <w:szCs w:val="28"/>
        </w:rPr>
        <w:br w:type="page"/>
      </w:r>
    </w:p>
    <w:p w14:paraId="2D515706" w14:textId="49CF2E88" w:rsidR="002E7566" w:rsidRPr="00D80577" w:rsidRDefault="005711CF">
      <w:pPr>
        <w:pStyle w:val="Heading1"/>
        <w:spacing w:line="360" w:lineRule="auto"/>
        <w:jc w:val="center"/>
        <w:rPr>
          <w:rFonts w:ascii="Arial" w:hAnsi="Arial" w:cs="Arial"/>
          <w:b/>
          <w:bCs/>
          <w:color w:val="000000" w:themeColor="text1"/>
          <w:sz w:val="28"/>
          <w:szCs w:val="28"/>
        </w:rPr>
      </w:pPr>
      <w:bookmarkStart w:id="7" w:name="_Toc220890054"/>
      <w:r w:rsidRPr="00D80577">
        <w:rPr>
          <w:rFonts w:ascii="Arial" w:hAnsi="Arial" w:cs="Arial"/>
          <w:b/>
          <w:bCs/>
          <w:color w:val="000000" w:themeColor="text1"/>
          <w:sz w:val="28"/>
          <w:szCs w:val="28"/>
        </w:rPr>
        <w:lastRenderedPageBreak/>
        <w:t>Chapter 1: Introduction</w:t>
      </w:r>
      <w:bookmarkEnd w:id="7"/>
    </w:p>
    <w:p w14:paraId="32A68A7D" w14:textId="09D14150" w:rsidR="00F92095" w:rsidRPr="00D80577" w:rsidRDefault="00F92095" w:rsidP="00E541D5">
      <w:pPr>
        <w:pStyle w:val="Heading2"/>
        <w:numPr>
          <w:ilvl w:val="1"/>
          <w:numId w:val="3"/>
        </w:numPr>
        <w:spacing w:line="360" w:lineRule="auto"/>
        <w:jc w:val="both"/>
        <w:rPr>
          <w:rFonts w:ascii="Arial" w:hAnsi="Arial" w:cs="Arial"/>
          <w:b/>
          <w:bCs/>
          <w:color w:val="000000" w:themeColor="text1"/>
          <w:sz w:val="24"/>
          <w:szCs w:val="24"/>
        </w:rPr>
      </w:pPr>
      <w:bookmarkStart w:id="8" w:name="_Toc220890055"/>
      <w:r w:rsidRPr="00D80577">
        <w:rPr>
          <w:rFonts w:ascii="Arial" w:hAnsi="Arial" w:cs="Arial"/>
          <w:b/>
          <w:bCs/>
          <w:color w:val="000000" w:themeColor="text1"/>
          <w:sz w:val="24"/>
          <w:szCs w:val="24"/>
        </w:rPr>
        <w:t>Introduction of the Chapter</w:t>
      </w:r>
      <w:bookmarkEnd w:id="8"/>
    </w:p>
    <w:p w14:paraId="768545D9" w14:textId="6058F40A" w:rsidR="00F92095" w:rsidRPr="00D80577" w:rsidRDefault="00F92095" w:rsidP="00E541D5">
      <w:pPr>
        <w:spacing w:line="360" w:lineRule="auto"/>
        <w:jc w:val="both"/>
        <w:rPr>
          <w:rFonts w:ascii="Arial" w:hAnsi="Arial" w:cs="Arial"/>
        </w:rPr>
      </w:pPr>
      <w:r w:rsidRPr="00D80577">
        <w:rPr>
          <w:rFonts w:ascii="Arial" w:hAnsi="Arial" w:cs="Arial"/>
        </w:rPr>
        <w:t xml:space="preserve">Chapter 1 lays out the background of the research by </w:t>
      </w:r>
      <w:r w:rsidR="00F55246" w:rsidRPr="00D80577">
        <w:rPr>
          <w:rFonts w:ascii="Arial" w:hAnsi="Arial" w:cs="Arial"/>
        </w:rPr>
        <w:t>providing</w:t>
      </w:r>
      <w:r w:rsidRPr="00D80577">
        <w:rPr>
          <w:rFonts w:ascii="Arial" w:hAnsi="Arial" w:cs="Arial"/>
        </w:rPr>
        <w:t xml:space="preserve"> background information about the UK manufacturing SMEs and the increasing vulnerability to international supply chain shocks. It provides the main issues posed by economic shocks worldwide and the strategic significance of </w:t>
      </w:r>
      <w:r w:rsidR="00F55246" w:rsidRPr="00D80577">
        <w:rPr>
          <w:rFonts w:ascii="Arial" w:hAnsi="Arial" w:cs="Arial"/>
        </w:rPr>
        <w:t xml:space="preserve">the </w:t>
      </w:r>
      <w:r w:rsidRPr="00D80577">
        <w:rPr>
          <w:rFonts w:ascii="Arial" w:hAnsi="Arial" w:cs="Arial"/>
        </w:rPr>
        <w:t>resilience of supply chains. The research aim, problem statement, objectives and research questions are clearly outlined in the chapter, but the chapter also provides the justification of the relevance of the study. On the whole, it helps to determine the magnitude and aim of the study and predetermines the course of the following chapters.</w:t>
      </w:r>
    </w:p>
    <w:p w14:paraId="248448E3" w14:textId="727564BD" w:rsidR="002E7566" w:rsidRPr="00D80577" w:rsidRDefault="00F92095" w:rsidP="00F92095">
      <w:pPr>
        <w:pStyle w:val="Heading2"/>
        <w:spacing w:line="360" w:lineRule="auto"/>
        <w:jc w:val="both"/>
        <w:rPr>
          <w:rFonts w:ascii="Arial" w:hAnsi="Arial" w:cs="Arial"/>
          <w:b/>
          <w:bCs/>
          <w:color w:val="000000" w:themeColor="text1"/>
          <w:sz w:val="24"/>
          <w:szCs w:val="24"/>
        </w:rPr>
      </w:pPr>
      <w:bookmarkStart w:id="9" w:name="_Toc220890056"/>
      <w:r w:rsidRPr="00D80577">
        <w:rPr>
          <w:rFonts w:ascii="Arial" w:hAnsi="Arial" w:cs="Arial"/>
          <w:b/>
          <w:bCs/>
          <w:color w:val="000000" w:themeColor="text1"/>
          <w:sz w:val="24"/>
          <w:szCs w:val="24"/>
        </w:rPr>
        <w:t xml:space="preserve">1.2 </w:t>
      </w:r>
      <w:r w:rsidR="005711CF" w:rsidRPr="00D80577">
        <w:rPr>
          <w:rFonts w:ascii="Arial" w:hAnsi="Arial" w:cs="Arial"/>
          <w:b/>
          <w:bCs/>
          <w:color w:val="000000" w:themeColor="text1"/>
          <w:sz w:val="24"/>
          <w:szCs w:val="24"/>
        </w:rPr>
        <w:t>Background</w:t>
      </w:r>
      <w:bookmarkEnd w:id="9"/>
    </w:p>
    <w:p w14:paraId="01ECFFCA" w14:textId="59C4E43D" w:rsidR="002E7566" w:rsidRPr="00D80577" w:rsidRDefault="005711CF" w:rsidP="00F92095">
      <w:pPr>
        <w:spacing w:line="360" w:lineRule="auto"/>
        <w:jc w:val="both"/>
        <w:rPr>
          <w:rFonts w:ascii="Arial" w:hAnsi="Arial" w:cs="Arial"/>
          <w:color w:val="000000" w:themeColor="text1"/>
        </w:rPr>
      </w:pPr>
      <w:r w:rsidRPr="00D80577">
        <w:rPr>
          <w:rFonts w:ascii="Arial" w:hAnsi="Arial" w:cs="Arial"/>
          <w:color w:val="000000" w:themeColor="text1"/>
        </w:rPr>
        <w:t>In the United Kingdom, Small and Medium-sized Enterprises (SMEs) are the drivers of the economy, accounting for more than 99 per cent of all manufacturing companies and playing a significant role in the country's productivity and employment</w:t>
      </w:r>
      <w:r w:rsidR="00F92095" w:rsidRPr="00D80577">
        <w:rPr>
          <w:rFonts w:ascii="Arial" w:hAnsi="Arial" w:cs="Arial"/>
          <w:color w:val="000000" w:themeColor="text1"/>
        </w:rPr>
        <w:t xml:space="preserve"> (Lin et al., 2022)</w:t>
      </w:r>
      <w:r w:rsidRPr="00D80577">
        <w:rPr>
          <w:rFonts w:ascii="Arial" w:hAnsi="Arial" w:cs="Arial"/>
          <w:color w:val="000000" w:themeColor="text1"/>
        </w:rPr>
        <w:t xml:space="preserve">. These SMEs are essential to maintaining industrial production and innovation, as they account for about 250,000 active manufacturing enterprises (Gov.UK, 2023). Yet, by relying on global sourcing, they have become highly vulnerable to global shocks such as the COVID-19 pandemic, trade rifts during the Brexit period, and geopolitical conflicts. </w:t>
      </w:r>
    </w:p>
    <w:p w14:paraId="7C1D9B41" w14:textId="77777777" w:rsidR="002E7566" w:rsidRPr="00D80577" w:rsidRDefault="005711CF">
      <w:pPr>
        <w:spacing w:line="360" w:lineRule="auto"/>
        <w:jc w:val="both"/>
        <w:rPr>
          <w:rFonts w:ascii="Arial" w:hAnsi="Arial" w:cs="Arial"/>
          <w:color w:val="000000" w:themeColor="text1"/>
        </w:rPr>
      </w:pPr>
      <w:r w:rsidRPr="00D80577">
        <w:rPr>
          <w:rFonts w:ascii="Arial" w:hAnsi="Arial" w:cs="Arial"/>
          <w:color w:val="000000" w:themeColor="text1"/>
        </w:rPr>
        <w:t>The Manufacturing Growth Program (2020) also states that almost two-thirds of SMEs in the UK have experienced considerable challenges in their operations due to the global breakdown of their supply chains, compared with 40 per cent of larger firms. The pandemic disrupted the logistics system, the supply of raw materials, and consumer demand, exposing the weakness of the internationally dependent SME manufacturing system (Gurbuz et al., 2022). The textile and electronic industries were particularly severely affected because both have intensive, globally dispersed supply chains.</w:t>
      </w:r>
    </w:p>
    <w:p w14:paraId="16DA19A2" w14:textId="48CE5373" w:rsidR="002E7566" w:rsidRPr="00D80577" w:rsidRDefault="005711CF">
      <w:pPr>
        <w:spacing w:line="360" w:lineRule="auto"/>
        <w:jc w:val="both"/>
        <w:rPr>
          <w:rFonts w:ascii="Arial" w:hAnsi="Arial" w:cs="Arial"/>
          <w:color w:val="000000" w:themeColor="text1"/>
        </w:rPr>
      </w:pPr>
      <w:r w:rsidRPr="00D80577">
        <w:rPr>
          <w:rFonts w:ascii="Arial" w:hAnsi="Arial" w:cs="Arial"/>
          <w:color w:val="000000" w:themeColor="text1"/>
        </w:rPr>
        <w:t xml:space="preserve">Many SMEs also felt liquidity crunches due to delayed shipments and order cancellations, putting working capital to the test. Such shocks highlighted the necessity for companies to focus on supply chain resilience strategies, such as supply diversification, regionalisation of manufacturing locations, and investment in digital monitoring systems </w:t>
      </w:r>
      <w:r w:rsidRPr="00D80577">
        <w:rPr>
          <w:rFonts w:ascii="Arial" w:hAnsi="Arial" w:cs="Arial"/>
          <w:color w:val="000000" w:themeColor="text1"/>
        </w:rPr>
        <w:lastRenderedPageBreak/>
        <w:t>(Alshahrani and Salam, 2022). On a national scale, Foroughi (2025) report that supply chain fragility is a significant obstacle to SME growth. Access to finance is also a challenge for almost 80 per cent of SME manufacturers, including those in early development stages, as they are unable to invest in technology and resilience. Moreover, a significant percentage of companies are unaware of available government assistance services, including the British Business Bank and the Business Growth Fund, which, combined, would increase manufacturing investment by 9.2 billion a year</w:t>
      </w:r>
      <w:r w:rsidR="00F92095" w:rsidRPr="00D80577">
        <w:rPr>
          <w:rFonts w:ascii="Arial" w:hAnsi="Arial" w:cs="Arial"/>
          <w:color w:val="000000" w:themeColor="text1"/>
        </w:rPr>
        <w:t xml:space="preserve"> (Fouejieu, Ndoye and Sydorenko, 2020)</w:t>
      </w:r>
      <w:r w:rsidRPr="00D80577">
        <w:rPr>
          <w:rFonts w:ascii="Arial" w:hAnsi="Arial" w:cs="Arial"/>
          <w:color w:val="000000" w:themeColor="text1"/>
        </w:rPr>
        <w:t xml:space="preserve">. </w:t>
      </w:r>
    </w:p>
    <w:p w14:paraId="48162090" w14:textId="6D11E39E" w:rsidR="002E7566" w:rsidRPr="00D80577" w:rsidRDefault="005711CF">
      <w:pPr>
        <w:spacing w:line="360" w:lineRule="auto"/>
        <w:jc w:val="both"/>
        <w:rPr>
          <w:rFonts w:ascii="Arial" w:hAnsi="Arial" w:cs="Arial"/>
          <w:color w:val="000000" w:themeColor="text1"/>
        </w:rPr>
      </w:pPr>
      <w:r w:rsidRPr="00D80577">
        <w:rPr>
          <w:rFonts w:ascii="Arial" w:hAnsi="Arial" w:cs="Arial"/>
          <w:color w:val="000000" w:themeColor="text1"/>
        </w:rPr>
        <w:t>Policymakers have proposed measures such as a super-growth capital allowance (150%) and the Enhanced Growth Enterprise Scheme (GEIS) to trigger recapitalisation and scale-up opportunities</w:t>
      </w:r>
      <w:r w:rsidR="00F92095" w:rsidRPr="00D80577">
        <w:rPr>
          <w:rFonts w:ascii="Arial" w:hAnsi="Arial" w:cs="Arial"/>
          <w:color w:val="000000" w:themeColor="text1"/>
        </w:rPr>
        <w:t xml:space="preserve"> (Tyrrell, 2025)</w:t>
      </w:r>
      <w:r w:rsidRPr="00D80577">
        <w:rPr>
          <w:rFonts w:ascii="Arial" w:hAnsi="Arial" w:cs="Arial"/>
          <w:color w:val="000000" w:themeColor="text1"/>
        </w:rPr>
        <w:t xml:space="preserve">. Export barriers also escalate supply chain issues. Direct exports by manufacturers account for only 22% in the UK, and several manufacturers complain about the challenges posed by foreign regulations and red tape. This reliance on narrow markets exposes them to greater risk from foreign shocks (Ellis et al., 2022). </w:t>
      </w:r>
    </w:p>
    <w:p w14:paraId="13EBFD72" w14:textId="62090FBF" w:rsidR="002E7566" w:rsidRPr="00D80577" w:rsidRDefault="005711CF">
      <w:pPr>
        <w:spacing w:line="360" w:lineRule="auto"/>
        <w:jc w:val="both"/>
        <w:rPr>
          <w:rFonts w:ascii="Arial" w:hAnsi="Arial" w:cs="Arial"/>
          <w:color w:val="000000" w:themeColor="text1"/>
        </w:rPr>
      </w:pPr>
      <w:r w:rsidRPr="00D80577">
        <w:rPr>
          <w:rFonts w:ascii="Arial" w:hAnsi="Arial" w:cs="Arial"/>
          <w:color w:val="000000" w:themeColor="text1"/>
        </w:rPr>
        <w:t>As a result, more SMEs are reorganising their supply chain models, resourcing, local sourcing, and digital transformation to strengthen control and flexibility. After all, the international supply chain unrest has not only tested the operational resilience of UK SME manufacturers but also triggered a structural shift toward a model of localised, technologically integrated, and sustainable production</w:t>
      </w:r>
      <w:r w:rsidR="00F92095" w:rsidRPr="00D80577">
        <w:rPr>
          <w:rFonts w:ascii="Arial" w:hAnsi="Arial" w:cs="Arial"/>
          <w:color w:val="000000" w:themeColor="text1"/>
        </w:rPr>
        <w:t xml:space="preserve"> (Hsu et al., 2021)</w:t>
      </w:r>
      <w:r w:rsidRPr="00D80577">
        <w:rPr>
          <w:rFonts w:ascii="Arial" w:hAnsi="Arial" w:cs="Arial"/>
          <w:color w:val="000000" w:themeColor="text1"/>
        </w:rPr>
        <w:t>. These changes underscore the pivotal nexus of policy support, financial accessibility, and strategic innovation, which will collectively determine whether UK manufacturing SMEs can convert post-crisis vulnerability into long-term competitive advantage (Setyadi, Pawirosumarto and Damaris, 2025).</w:t>
      </w:r>
    </w:p>
    <w:p w14:paraId="43831D25" w14:textId="4F085732" w:rsidR="002E7566" w:rsidRPr="00D80577" w:rsidRDefault="005711CF">
      <w:pPr>
        <w:pStyle w:val="Heading2"/>
        <w:spacing w:line="360" w:lineRule="auto"/>
        <w:jc w:val="both"/>
        <w:rPr>
          <w:rFonts w:ascii="Arial" w:hAnsi="Arial" w:cs="Arial"/>
          <w:b/>
          <w:bCs/>
          <w:color w:val="000000" w:themeColor="text1"/>
          <w:sz w:val="24"/>
          <w:szCs w:val="24"/>
        </w:rPr>
      </w:pPr>
      <w:bookmarkStart w:id="10" w:name="_Toc220890057"/>
      <w:r w:rsidRPr="00D80577">
        <w:rPr>
          <w:rFonts w:ascii="Arial" w:hAnsi="Arial" w:cs="Arial"/>
          <w:b/>
          <w:bCs/>
          <w:color w:val="000000" w:themeColor="text1"/>
          <w:sz w:val="24"/>
          <w:szCs w:val="24"/>
        </w:rPr>
        <w:t>1.</w:t>
      </w:r>
      <w:r w:rsidR="00F92095" w:rsidRPr="00D80577">
        <w:rPr>
          <w:rFonts w:ascii="Arial" w:hAnsi="Arial" w:cs="Arial"/>
          <w:b/>
          <w:bCs/>
          <w:color w:val="000000" w:themeColor="text1"/>
          <w:sz w:val="24"/>
          <w:szCs w:val="24"/>
        </w:rPr>
        <w:t>3</w:t>
      </w:r>
      <w:r w:rsidRPr="00D80577">
        <w:rPr>
          <w:rFonts w:ascii="Arial" w:hAnsi="Arial" w:cs="Arial"/>
          <w:b/>
          <w:bCs/>
          <w:color w:val="000000" w:themeColor="text1"/>
          <w:sz w:val="24"/>
          <w:szCs w:val="24"/>
        </w:rPr>
        <w:t xml:space="preserve"> Problem Statement</w:t>
      </w:r>
      <w:bookmarkEnd w:id="10"/>
    </w:p>
    <w:p w14:paraId="1801F241" w14:textId="77777777" w:rsidR="002E7566" w:rsidRPr="00D80577" w:rsidRDefault="005711CF">
      <w:pPr>
        <w:spacing w:line="360" w:lineRule="auto"/>
        <w:jc w:val="both"/>
        <w:rPr>
          <w:rFonts w:ascii="Arial" w:hAnsi="Arial" w:cs="Arial"/>
          <w:color w:val="000000" w:themeColor="text1"/>
        </w:rPr>
      </w:pPr>
      <w:r w:rsidRPr="00D80577">
        <w:rPr>
          <w:rFonts w:ascii="Arial" w:hAnsi="Arial" w:cs="Arial"/>
          <w:color w:val="000000" w:themeColor="text1"/>
        </w:rPr>
        <w:t xml:space="preserve">The UK manufacturing SMEs have become susceptible to frequent global supply chain interruptions, which have escalated in recent years, following overlapping global crises. Ivalua (2024) shows that almost half (47%) of the UK businesses were more disrupted over the last 12 months, where inflation (79%), energy price volatility (75%), and geopolitical tensions, e.g., the war in Ukraine (53%) and the Red Sea conflict (44%), are </w:t>
      </w:r>
      <w:r w:rsidRPr="00D80577">
        <w:rPr>
          <w:rFonts w:ascii="Arial" w:hAnsi="Arial" w:cs="Arial"/>
          <w:color w:val="000000" w:themeColor="text1"/>
        </w:rPr>
        <w:lastRenderedPageBreak/>
        <w:t>the key factors. These upheavals have caused delay in production, an increase in costs and intense strain on procurement networks, i.e. 60 per cent of companies believe their supply chains are weaker than ever before. In addition, 46 per cent of organisations do not have sufficient visibility of the vulnerabilities in their suppliers, and 43 per cent are unable to adapt easily to changing circumstances (Tao et al., 2025). Although awareness is increasing, financial and technological factors limit the adoption of resiliency-based strategies such as nearshoring, diversification, and AI-based monitoring systems by the majority of SMEs. This continuous instability highlights the necessity to study the impact of disruptions of international supply chains on operational performance and planning strategies of UK manufacturing companies.</w:t>
      </w:r>
    </w:p>
    <w:p w14:paraId="2293E807" w14:textId="161FD557" w:rsidR="00B10185" w:rsidRPr="00D80577" w:rsidRDefault="005711CF" w:rsidP="00B10185">
      <w:pPr>
        <w:spacing w:line="360" w:lineRule="auto"/>
        <w:jc w:val="both"/>
        <w:rPr>
          <w:rFonts w:ascii="Arial" w:hAnsi="Arial" w:cs="Arial"/>
          <w:color w:val="000000" w:themeColor="text1"/>
        </w:rPr>
      </w:pPr>
      <w:r w:rsidRPr="00D80577">
        <w:rPr>
          <w:rFonts w:ascii="Arial" w:hAnsi="Arial" w:cs="Arial"/>
          <w:b/>
          <w:bCs/>
          <w:color w:val="000000" w:themeColor="text1"/>
        </w:rPr>
        <w:t>1.</w:t>
      </w:r>
      <w:r w:rsidR="00F92095" w:rsidRPr="00D80577">
        <w:rPr>
          <w:rFonts w:ascii="Arial" w:hAnsi="Arial" w:cs="Arial"/>
          <w:b/>
          <w:bCs/>
          <w:color w:val="000000" w:themeColor="text1"/>
        </w:rPr>
        <w:t>4</w:t>
      </w:r>
      <w:r w:rsidR="00B10185" w:rsidRPr="00D80577">
        <w:rPr>
          <w:rStyle w:val="Heading2Char"/>
          <w:rFonts w:ascii="Arial" w:hAnsi="Arial" w:cs="Arial"/>
          <w:b/>
          <w:bCs/>
          <w:color w:val="000000" w:themeColor="text1"/>
          <w:sz w:val="24"/>
          <w:szCs w:val="24"/>
        </w:rPr>
        <w:t xml:space="preserve"> Research Aim and objectives:</w:t>
      </w:r>
    </w:p>
    <w:p w14:paraId="1F392A7D" w14:textId="77777777" w:rsidR="00B10185" w:rsidRPr="00D80577" w:rsidRDefault="00B10185" w:rsidP="00B10185">
      <w:pPr>
        <w:spacing w:line="360" w:lineRule="auto"/>
        <w:jc w:val="both"/>
        <w:rPr>
          <w:rFonts w:ascii="Arial" w:hAnsi="Arial" w:cs="Arial"/>
          <w:color w:val="000000" w:themeColor="text1"/>
        </w:rPr>
      </w:pPr>
      <w:r w:rsidRPr="00D80577">
        <w:rPr>
          <w:rFonts w:ascii="Arial" w:hAnsi="Arial" w:cs="Arial"/>
          <w:color w:val="000000" w:themeColor="text1"/>
        </w:rPr>
        <w:t>To investigate how international supply chain disruptions influence the operational performance and strategic decisions of UK manufacturing firms.</w:t>
      </w:r>
    </w:p>
    <w:p w14:paraId="208FB79D" w14:textId="77777777" w:rsidR="002E7566" w:rsidRPr="00D80577" w:rsidRDefault="005711CF" w:rsidP="00E541D5">
      <w:pPr>
        <w:numPr>
          <w:ilvl w:val="0"/>
          <w:numId w:val="4"/>
        </w:numPr>
        <w:spacing w:line="360" w:lineRule="auto"/>
        <w:jc w:val="both"/>
        <w:rPr>
          <w:rFonts w:ascii="Arial" w:hAnsi="Arial" w:cs="Arial"/>
          <w:color w:val="000000" w:themeColor="text1"/>
        </w:rPr>
      </w:pPr>
      <w:r w:rsidRPr="00D80577">
        <w:rPr>
          <w:rFonts w:ascii="Arial" w:hAnsi="Arial" w:cs="Arial"/>
          <w:color w:val="000000" w:themeColor="text1"/>
        </w:rPr>
        <w:t>To identify the key causes of international supply chain disruptions affecting UK manufacturing firms.</w:t>
      </w:r>
    </w:p>
    <w:p w14:paraId="4483BDC1" w14:textId="77777777" w:rsidR="002E7566" w:rsidRPr="00D80577" w:rsidRDefault="005711CF" w:rsidP="00E541D5">
      <w:pPr>
        <w:numPr>
          <w:ilvl w:val="0"/>
          <w:numId w:val="4"/>
        </w:numPr>
        <w:spacing w:line="360" w:lineRule="auto"/>
        <w:jc w:val="both"/>
        <w:rPr>
          <w:rFonts w:ascii="Arial" w:hAnsi="Arial" w:cs="Arial"/>
          <w:color w:val="000000" w:themeColor="text1"/>
        </w:rPr>
      </w:pPr>
      <w:r w:rsidRPr="00D80577">
        <w:rPr>
          <w:rFonts w:ascii="Arial" w:hAnsi="Arial" w:cs="Arial"/>
          <w:color w:val="000000" w:themeColor="text1"/>
        </w:rPr>
        <w:t>To assess the impact of these disruptions on production efficiency, cost management, and overall business performance.</w:t>
      </w:r>
    </w:p>
    <w:p w14:paraId="0D13660A" w14:textId="77777777" w:rsidR="002E7566" w:rsidRPr="00D80577" w:rsidRDefault="005711CF" w:rsidP="00E541D5">
      <w:pPr>
        <w:numPr>
          <w:ilvl w:val="0"/>
          <w:numId w:val="4"/>
        </w:numPr>
        <w:spacing w:line="360" w:lineRule="auto"/>
        <w:jc w:val="both"/>
        <w:rPr>
          <w:rFonts w:ascii="Arial" w:hAnsi="Arial" w:cs="Arial"/>
          <w:color w:val="000000" w:themeColor="text1"/>
        </w:rPr>
      </w:pPr>
      <w:r w:rsidRPr="00D80577">
        <w:rPr>
          <w:rFonts w:ascii="Arial" w:hAnsi="Arial" w:cs="Arial"/>
          <w:color w:val="000000" w:themeColor="text1"/>
        </w:rPr>
        <w:t>To explore strategies and best practices adopted by UK manufacturing firms to mitigate supply chain risks.</w:t>
      </w:r>
    </w:p>
    <w:p w14:paraId="3C3E47B4" w14:textId="77777777" w:rsidR="002E7566" w:rsidRPr="00D80577" w:rsidRDefault="005711CF">
      <w:pPr>
        <w:pStyle w:val="Heading2"/>
        <w:spacing w:line="360" w:lineRule="auto"/>
        <w:jc w:val="both"/>
        <w:rPr>
          <w:rFonts w:ascii="Arial" w:hAnsi="Arial" w:cs="Arial"/>
          <w:b/>
          <w:bCs/>
          <w:color w:val="000000" w:themeColor="text1"/>
          <w:sz w:val="24"/>
          <w:szCs w:val="24"/>
        </w:rPr>
      </w:pPr>
      <w:bookmarkStart w:id="11" w:name="_Toc220890058"/>
      <w:r w:rsidRPr="00D80577">
        <w:rPr>
          <w:rFonts w:ascii="Arial" w:hAnsi="Arial" w:cs="Arial"/>
          <w:b/>
          <w:bCs/>
          <w:color w:val="000000" w:themeColor="text1"/>
          <w:sz w:val="24"/>
          <w:szCs w:val="24"/>
        </w:rPr>
        <w:t>1.4 Research Questions:</w:t>
      </w:r>
      <w:bookmarkEnd w:id="11"/>
    </w:p>
    <w:p w14:paraId="3C519577" w14:textId="77777777" w:rsidR="002E7566" w:rsidRPr="00D80577" w:rsidRDefault="005711CF" w:rsidP="00F92095">
      <w:pPr>
        <w:numPr>
          <w:ilvl w:val="0"/>
          <w:numId w:val="2"/>
        </w:numPr>
        <w:spacing w:line="360" w:lineRule="auto"/>
        <w:jc w:val="both"/>
        <w:rPr>
          <w:rFonts w:ascii="Arial" w:hAnsi="Arial" w:cs="Arial"/>
          <w:color w:val="000000" w:themeColor="text1"/>
        </w:rPr>
      </w:pPr>
      <w:r w:rsidRPr="00D80577">
        <w:rPr>
          <w:rFonts w:ascii="Arial" w:hAnsi="Arial" w:cs="Arial"/>
          <w:color w:val="000000" w:themeColor="text1"/>
        </w:rPr>
        <w:t>What are the key causes of international supply chain disruptions affecting UK manufacturing firms?</w:t>
      </w:r>
    </w:p>
    <w:p w14:paraId="20DFBE3D" w14:textId="77777777" w:rsidR="002E7566" w:rsidRPr="00D80577" w:rsidRDefault="005711CF" w:rsidP="00F92095">
      <w:pPr>
        <w:numPr>
          <w:ilvl w:val="0"/>
          <w:numId w:val="2"/>
        </w:numPr>
        <w:spacing w:line="360" w:lineRule="auto"/>
        <w:jc w:val="both"/>
        <w:rPr>
          <w:rFonts w:ascii="Arial" w:hAnsi="Arial" w:cs="Arial"/>
          <w:color w:val="000000" w:themeColor="text1"/>
        </w:rPr>
      </w:pPr>
      <w:r w:rsidRPr="00D80577">
        <w:rPr>
          <w:rFonts w:ascii="Arial" w:hAnsi="Arial" w:cs="Arial"/>
          <w:color w:val="000000" w:themeColor="text1"/>
        </w:rPr>
        <w:t>What is the impact of these disruptions on production efficiency, cost management, and overall business performance?</w:t>
      </w:r>
    </w:p>
    <w:p w14:paraId="4291F2FE" w14:textId="77777777" w:rsidR="002E7566" w:rsidRPr="00D80577" w:rsidRDefault="005711CF" w:rsidP="00F92095">
      <w:pPr>
        <w:numPr>
          <w:ilvl w:val="0"/>
          <w:numId w:val="2"/>
        </w:numPr>
        <w:spacing w:line="360" w:lineRule="auto"/>
        <w:jc w:val="both"/>
        <w:rPr>
          <w:rFonts w:ascii="Arial" w:hAnsi="Arial" w:cs="Arial"/>
          <w:color w:val="000000" w:themeColor="text1"/>
        </w:rPr>
      </w:pPr>
      <w:r w:rsidRPr="00D80577">
        <w:rPr>
          <w:rFonts w:ascii="Arial" w:hAnsi="Arial" w:cs="Arial"/>
          <w:color w:val="000000" w:themeColor="text1"/>
        </w:rPr>
        <w:t>What are the strategies and best practices adopted by UK manufacturing firms to mitigate supply chain risks?</w:t>
      </w:r>
    </w:p>
    <w:p w14:paraId="7423C307" w14:textId="77777777" w:rsidR="002E7566" w:rsidRPr="00D80577" w:rsidRDefault="005711CF" w:rsidP="00F92095">
      <w:pPr>
        <w:pStyle w:val="Heading2"/>
        <w:spacing w:line="360" w:lineRule="auto"/>
        <w:jc w:val="both"/>
        <w:rPr>
          <w:rFonts w:ascii="Arial" w:hAnsi="Arial" w:cs="Arial"/>
          <w:b/>
          <w:bCs/>
          <w:color w:val="000000" w:themeColor="text1"/>
          <w:sz w:val="24"/>
          <w:szCs w:val="24"/>
        </w:rPr>
      </w:pPr>
      <w:bookmarkStart w:id="12" w:name="_Toc220890059"/>
      <w:r w:rsidRPr="00D80577">
        <w:rPr>
          <w:rFonts w:ascii="Arial" w:hAnsi="Arial" w:cs="Arial"/>
          <w:b/>
          <w:bCs/>
          <w:color w:val="000000" w:themeColor="text1"/>
          <w:sz w:val="24"/>
          <w:szCs w:val="24"/>
        </w:rPr>
        <w:lastRenderedPageBreak/>
        <w:t>1.5 Rationale of the Study</w:t>
      </w:r>
      <w:bookmarkEnd w:id="12"/>
      <w:r w:rsidRPr="00D80577">
        <w:rPr>
          <w:rFonts w:ascii="Arial" w:hAnsi="Arial" w:cs="Arial"/>
          <w:b/>
          <w:bCs/>
          <w:color w:val="000000" w:themeColor="text1"/>
          <w:sz w:val="24"/>
          <w:szCs w:val="24"/>
        </w:rPr>
        <w:t xml:space="preserve"> </w:t>
      </w:r>
    </w:p>
    <w:p w14:paraId="1AFDCBB2" w14:textId="31C62102" w:rsidR="002E7566" w:rsidRPr="00D80577" w:rsidRDefault="005711CF" w:rsidP="00F92095">
      <w:pPr>
        <w:spacing w:line="360" w:lineRule="auto"/>
        <w:jc w:val="both"/>
        <w:rPr>
          <w:rFonts w:ascii="Arial" w:hAnsi="Arial" w:cs="Arial"/>
          <w:color w:val="000000" w:themeColor="text1"/>
        </w:rPr>
      </w:pPr>
      <w:r w:rsidRPr="00D80577">
        <w:rPr>
          <w:rFonts w:ascii="Arial" w:hAnsi="Arial" w:cs="Arial"/>
          <w:color w:val="000000" w:themeColor="text1"/>
        </w:rPr>
        <w:t xml:space="preserve">This research is necessary because </w:t>
      </w:r>
      <w:r w:rsidR="00C87D9E">
        <w:rPr>
          <w:rFonts w:ascii="Arial" w:hAnsi="Arial" w:cs="Arial"/>
          <w:color w:val="000000" w:themeColor="text1"/>
        </w:rPr>
        <w:t>UK manufacturing SMEs are still experiencing increased international supply chain shocks that are compromising their productivity, cost-effectiveness,</w:t>
      </w:r>
      <w:r w:rsidRPr="00D80577">
        <w:rPr>
          <w:rFonts w:ascii="Arial" w:hAnsi="Arial" w:cs="Arial"/>
          <w:color w:val="000000" w:themeColor="text1"/>
        </w:rPr>
        <w:t xml:space="preserve"> and competitiveness. Though it is very vital to their participation in innovation and job creation, the firms are very vulnerable to all the uncertainties in the world, like inflation, war and logistic failures. Previous literature has noted the </w:t>
      </w:r>
      <w:r w:rsidR="00C87D9E">
        <w:rPr>
          <w:rFonts w:ascii="Arial" w:hAnsi="Arial" w:cs="Arial"/>
          <w:color w:val="000000" w:themeColor="text1"/>
        </w:rPr>
        <w:t>importance of resilience measures such as diversification and digital transformation. Still, there is little research on the specific effects of these</w:t>
      </w:r>
      <w:r w:rsidRPr="00D80577">
        <w:rPr>
          <w:rFonts w:ascii="Arial" w:hAnsi="Arial" w:cs="Arial"/>
          <w:color w:val="000000" w:themeColor="text1"/>
        </w:rPr>
        <w:t xml:space="preserve"> disruptions on the operational and strategic aspects of manufacturing companies in the UK. This study will address a critical gap in the literature by dealing with the effects and the adaptive mechanisms of SMEs to endure continuous volatility. The results will be of great significance to policy makers and business executives as they will inform the future resilience structure, investment choices and policy intervention to increase supply chain resiliency and guarantee sustainable expansion in the UK manufacturing industry.</w:t>
      </w:r>
    </w:p>
    <w:p w14:paraId="157C31BA" w14:textId="0F5241D5" w:rsidR="002E7566" w:rsidRPr="00D80577" w:rsidRDefault="00F92095" w:rsidP="00E541D5">
      <w:pPr>
        <w:pStyle w:val="Heading2"/>
        <w:spacing w:line="360" w:lineRule="auto"/>
        <w:jc w:val="both"/>
        <w:rPr>
          <w:rFonts w:ascii="Arial" w:hAnsi="Arial" w:cs="Arial"/>
          <w:b/>
          <w:bCs/>
          <w:color w:val="000000" w:themeColor="text1"/>
          <w:sz w:val="24"/>
          <w:szCs w:val="24"/>
        </w:rPr>
      </w:pPr>
      <w:bookmarkStart w:id="13" w:name="_Toc220890060"/>
      <w:r w:rsidRPr="00D80577">
        <w:rPr>
          <w:rFonts w:ascii="Arial" w:hAnsi="Arial" w:cs="Arial"/>
          <w:b/>
          <w:bCs/>
          <w:color w:val="000000" w:themeColor="text1"/>
          <w:sz w:val="24"/>
          <w:szCs w:val="24"/>
        </w:rPr>
        <w:t xml:space="preserve">1.6 </w:t>
      </w:r>
      <w:r w:rsidR="00E53148" w:rsidRPr="00D80577">
        <w:rPr>
          <w:rFonts w:ascii="Arial" w:hAnsi="Arial" w:cs="Arial"/>
          <w:b/>
          <w:bCs/>
          <w:color w:val="000000" w:themeColor="text1"/>
          <w:sz w:val="24"/>
          <w:szCs w:val="24"/>
        </w:rPr>
        <w:t>Structure of the dissertation</w:t>
      </w:r>
      <w:bookmarkEnd w:id="13"/>
    </w:p>
    <w:p w14:paraId="27F422FA" w14:textId="5F436AE5" w:rsidR="00E53148" w:rsidRPr="00D80577" w:rsidRDefault="00F92095" w:rsidP="00F92095">
      <w:pPr>
        <w:spacing w:line="360" w:lineRule="auto"/>
        <w:jc w:val="both"/>
        <w:rPr>
          <w:rFonts w:ascii="Arial" w:hAnsi="Arial" w:cs="Arial"/>
          <w:color w:val="000000" w:themeColor="text1"/>
        </w:rPr>
      </w:pPr>
      <w:r w:rsidRPr="00D80577">
        <w:rPr>
          <w:rFonts w:ascii="Arial" w:hAnsi="Arial" w:cs="Arial"/>
          <w:color w:val="000000" w:themeColor="text1"/>
        </w:rPr>
        <w:t xml:space="preserve">This thesis is divided into five chapters. Chapter 1 provides the background of the research, the problem statement, </w:t>
      </w:r>
      <w:r w:rsidR="00C87D9E">
        <w:rPr>
          <w:rFonts w:ascii="Arial" w:hAnsi="Arial" w:cs="Arial"/>
          <w:color w:val="000000" w:themeColor="text1"/>
        </w:rPr>
        <w:t>the objectives, and the justification for</w:t>
      </w:r>
      <w:r w:rsidRPr="00D80577">
        <w:rPr>
          <w:rFonts w:ascii="Arial" w:hAnsi="Arial" w:cs="Arial"/>
          <w:color w:val="000000" w:themeColor="text1"/>
        </w:rPr>
        <w:t xml:space="preserve"> the research. Chapter 2 provides a critical literature review </w:t>
      </w:r>
      <w:r w:rsidR="00C87D9E">
        <w:rPr>
          <w:rFonts w:ascii="Arial" w:hAnsi="Arial" w:cs="Arial"/>
          <w:color w:val="000000" w:themeColor="text1"/>
        </w:rPr>
        <w:t xml:space="preserve">of international supply chain disruptions, SME resilience, and </w:t>
      </w:r>
      <w:r w:rsidRPr="00D80577">
        <w:rPr>
          <w:rFonts w:ascii="Arial" w:hAnsi="Arial" w:cs="Arial"/>
          <w:color w:val="000000" w:themeColor="text1"/>
        </w:rPr>
        <w:t>operational performance. Chapter 3 describes the methodology followed in the study</w:t>
      </w:r>
      <w:r w:rsidR="00C87D9E">
        <w:rPr>
          <w:rFonts w:ascii="Arial" w:hAnsi="Arial" w:cs="Arial"/>
          <w:color w:val="000000" w:themeColor="text1"/>
        </w:rPr>
        <w:t>, which is a primary quantitative research method. Structured</w:t>
      </w:r>
      <w:r w:rsidRPr="00D80577">
        <w:rPr>
          <w:rFonts w:ascii="Arial" w:hAnsi="Arial" w:cs="Arial"/>
          <w:color w:val="000000" w:themeColor="text1"/>
        </w:rPr>
        <w:t xml:space="preserve"> questionnaires will be distributed to </w:t>
      </w:r>
      <w:r w:rsidR="00C87D9E">
        <w:rPr>
          <w:rFonts w:ascii="Arial" w:hAnsi="Arial" w:cs="Arial"/>
          <w:color w:val="000000" w:themeColor="text1"/>
        </w:rPr>
        <w:t>UK manufacturing SMEs, and statistical data will be analysed</w:t>
      </w:r>
      <w:r w:rsidRPr="00D80577">
        <w:rPr>
          <w:rFonts w:ascii="Arial" w:hAnsi="Arial" w:cs="Arial"/>
          <w:color w:val="000000" w:themeColor="text1"/>
        </w:rPr>
        <w:t xml:space="preserve">. Chapter 4 </w:t>
      </w:r>
      <w:r w:rsidR="00C87D9E">
        <w:rPr>
          <w:rFonts w:ascii="Arial" w:hAnsi="Arial" w:cs="Arial"/>
          <w:color w:val="000000" w:themeColor="text1"/>
        </w:rPr>
        <w:t>summarises</w:t>
      </w:r>
      <w:r w:rsidRPr="00D80577">
        <w:rPr>
          <w:rFonts w:ascii="Arial" w:hAnsi="Arial" w:cs="Arial"/>
          <w:color w:val="000000" w:themeColor="text1"/>
        </w:rPr>
        <w:t xml:space="preserve"> and discusses the quantitative results, evaluating the difference of supply chain disruptions on operation and the strategic decision. Lastly, Chapter 5 contemplates the results in comparison with the current literature, inferences, practical and policy implications and the future research recommendations.</w:t>
      </w:r>
    </w:p>
    <w:p w14:paraId="5FDB98AE" w14:textId="4BAE0CD4" w:rsidR="00E53148" w:rsidRPr="00D80577" w:rsidRDefault="00F92095" w:rsidP="00E541D5">
      <w:pPr>
        <w:pStyle w:val="Heading2"/>
        <w:spacing w:line="360" w:lineRule="auto"/>
        <w:jc w:val="both"/>
        <w:rPr>
          <w:rFonts w:ascii="Arial" w:hAnsi="Arial" w:cs="Arial"/>
          <w:b/>
          <w:bCs/>
          <w:color w:val="000000" w:themeColor="text1"/>
          <w:sz w:val="24"/>
          <w:szCs w:val="24"/>
        </w:rPr>
      </w:pPr>
      <w:bookmarkStart w:id="14" w:name="_Toc220890061"/>
      <w:r w:rsidRPr="00D80577">
        <w:rPr>
          <w:rFonts w:ascii="Arial" w:hAnsi="Arial" w:cs="Arial"/>
          <w:b/>
          <w:bCs/>
          <w:color w:val="000000" w:themeColor="text1"/>
          <w:sz w:val="24"/>
          <w:szCs w:val="24"/>
        </w:rPr>
        <w:t xml:space="preserve">1.7 </w:t>
      </w:r>
      <w:r w:rsidR="00E53148" w:rsidRPr="00D80577">
        <w:rPr>
          <w:rFonts w:ascii="Arial" w:hAnsi="Arial" w:cs="Arial"/>
          <w:b/>
          <w:bCs/>
          <w:color w:val="000000" w:themeColor="text1"/>
          <w:sz w:val="24"/>
          <w:szCs w:val="24"/>
        </w:rPr>
        <w:t>Summary</w:t>
      </w:r>
      <w:bookmarkEnd w:id="14"/>
    </w:p>
    <w:p w14:paraId="66E19AFF" w14:textId="1C315A8A" w:rsidR="00F92095" w:rsidRPr="00D80577" w:rsidRDefault="00F92095" w:rsidP="00F92095">
      <w:pPr>
        <w:spacing w:line="360" w:lineRule="auto"/>
        <w:jc w:val="both"/>
        <w:rPr>
          <w:rFonts w:ascii="Arial" w:hAnsi="Arial" w:cs="Arial"/>
          <w:color w:val="000000" w:themeColor="text1"/>
        </w:rPr>
      </w:pPr>
      <w:r w:rsidRPr="00D80577">
        <w:rPr>
          <w:rFonts w:ascii="Arial" w:hAnsi="Arial" w:cs="Arial"/>
          <w:color w:val="000000" w:themeColor="text1"/>
        </w:rPr>
        <w:t xml:space="preserve">Chapter 1 provides an introduction to the importance of </w:t>
      </w:r>
      <w:r w:rsidR="00C87D9E">
        <w:rPr>
          <w:rFonts w:ascii="Arial" w:hAnsi="Arial" w:cs="Arial"/>
          <w:color w:val="000000" w:themeColor="text1"/>
        </w:rPr>
        <w:t xml:space="preserve">UK manufacturing SMEs, as they are the main drivers of the economy, but they are becoming more vulnerable to disruptions in </w:t>
      </w:r>
      <w:r w:rsidRPr="00D80577">
        <w:rPr>
          <w:rFonts w:ascii="Arial" w:hAnsi="Arial" w:cs="Arial"/>
          <w:color w:val="000000" w:themeColor="text1"/>
        </w:rPr>
        <w:t xml:space="preserve">international supply chains. The impact of COVID-19, trade barriers caused by Brexit, geopolitical disputes, inflation, and the volatility of energy </w:t>
      </w:r>
      <w:r w:rsidR="00C87D9E">
        <w:rPr>
          <w:rFonts w:ascii="Arial" w:hAnsi="Arial" w:cs="Arial"/>
          <w:color w:val="000000" w:themeColor="text1"/>
        </w:rPr>
        <w:t xml:space="preserve">have revealed the </w:t>
      </w:r>
      <w:r w:rsidR="00C87D9E">
        <w:rPr>
          <w:rFonts w:ascii="Arial" w:hAnsi="Arial" w:cs="Arial"/>
          <w:color w:val="000000" w:themeColor="text1"/>
        </w:rPr>
        <w:lastRenderedPageBreak/>
        <w:t>vulnerabilities of supply models that are globally dependent,</w:t>
      </w:r>
      <w:r w:rsidRPr="00D80577">
        <w:rPr>
          <w:rFonts w:ascii="Arial" w:hAnsi="Arial" w:cs="Arial"/>
          <w:color w:val="000000" w:themeColor="text1"/>
        </w:rPr>
        <w:t xml:space="preserve"> which have resulted in delays in production, rising prices, and liquidity limitations. Although there is policy support, </w:t>
      </w:r>
      <w:r w:rsidR="00C87D9E">
        <w:rPr>
          <w:rFonts w:ascii="Arial" w:hAnsi="Arial" w:cs="Arial"/>
          <w:color w:val="000000" w:themeColor="text1"/>
        </w:rPr>
        <w:t>financial access and a lack of awareness limit SMEs from investing in</w:t>
      </w:r>
      <w:r w:rsidRPr="00D80577">
        <w:rPr>
          <w:rFonts w:ascii="Arial" w:hAnsi="Arial" w:cs="Arial"/>
          <w:color w:val="000000" w:themeColor="text1"/>
        </w:rPr>
        <w:t xml:space="preserve"> resilience measures of diversification, localisation and digital transformation. The chapter provides the research aim, objectives, and questions that are oriented at studying the causes and effects of supply chain disruptions and mitigation strategies adopted.</w:t>
      </w:r>
    </w:p>
    <w:p w14:paraId="588C59AD" w14:textId="77777777" w:rsidR="002E7566" w:rsidRPr="00D80577" w:rsidRDefault="002E7566">
      <w:pPr>
        <w:spacing w:line="360" w:lineRule="auto"/>
        <w:jc w:val="both"/>
        <w:rPr>
          <w:rFonts w:ascii="Arial" w:hAnsi="Arial" w:cs="Arial"/>
          <w:color w:val="000000" w:themeColor="text1"/>
        </w:rPr>
      </w:pPr>
    </w:p>
    <w:p w14:paraId="1B592907" w14:textId="77777777" w:rsidR="002E7566" w:rsidRPr="00D80577" w:rsidRDefault="002E7566">
      <w:pPr>
        <w:spacing w:line="360" w:lineRule="auto"/>
        <w:jc w:val="both"/>
        <w:rPr>
          <w:rFonts w:ascii="Arial" w:hAnsi="Arial" w:cs="Arial"/>
          <w:color w:val="000000" w:themeColor="text1"/>
        </w:rPr>
      </w:pPr>
    </w:p>
    <w:p w14:paraId="4687A997" w14:textId="77777777" w:rsidR="002E7566" w:rsidRPr="00D80577" w:rsidRDefault="002E7566">
      <w:pPr>
        <w:spacing w:line="360" w:lineRule="auto"/>
        <w:jc w:val="both"/>
        <w:rPr>
          <w:rFonts w:ascii="Arial" w:hAnsi="Arial" w:cs="Arial"/>
          <w:color w:val="000000" w:themeColor="text1"/>
        </w:rPr>
      </w:pPr>
    </w:p>
    <w:p w14:paraId="5D81DA99" w14:textId="77777777" w:rsidR="002E7566" w:rsidRPr="00D80577" w:rsidRDefault="002E7566">
      <w:pPr>
        <w:spacing w:line="360" w:lineRule="auto"/>
        <w:jc w:val="both"/>
        <w:rPr>
          <w:rFonts w:ascii="Arial" w:hAnsi="Arial" w:cs="Arial"/>
          <w:color w:val="000000" w:themeColor="text1"/>
        </w:rPr>
      </w:pPr>
    </w:p>
    <w:p w14:paraId="59AC0A21" w14:textId="77777777" w:rsidR="002E7566" w:rsidRPr="00D80577" w:rsidRDefault="002E7566">
      <w:pPr>
        <w:spacing w:line="360" w:lineRule="auto"/>
        <w:jc w:val="both"/>
        <w:rPr>
          <w:rFonts w:ascii="Arial" w:hAnsi="Arial" w:cs="Arial"/>
          <w:color w:val="000000" w:themeColor="text1"/>
        </w:rPr>
      </w:pPr>
    </w:p>
    <w:p w14:paraId="380D7911" w14:textId="77777777" w:rsidR="002E7566" w:rsidRPr="00D80577" w:rsidRDefault="002E7566">
      <w:pPr>
        <w:spacing w:line="360" w:lineRule="auto"/>
        <w:jc w:val="both"/>
        <w:rPr>
          <w:rFonts w:ascii="Arial" w:hAnsi="Arial" w:cs="Arial"/>
          <w:color w:val="000000" w:themeColor="text1"/>
        </w:rPr>
      </w:pPr>
    </w:p>
    <w:p w14:paraId="77EA5C49" w14:textId="77777777" w:rsidR="002E7566" w:rsidRPr="00D80577" w:rsidRDefault="002E7566">
      <w:pPr>
        <w:spacing w:line="360" w:lineRule="auto"/>
        <w:jc w:val="both"/>
        <w:rPr>
          <w:rFonts w:ascii="Arial" w:hAnsi="Arial" w:cs="Arial"/>
          <w:color w:val="000000" w:themeColor="text1"/>
        </w:rPr>
      </w:pPr>
    </w:p>
    <w:p w14:paraId="74E357EC" w14:textId="77777777" w:rsidR="002E7566" w:rsidRPr="00D80577" w:rsidRDefault="002E7566">
      <w:pPr>
        <w:spacing w:line="360" w:lineRule="auto"/>
        <w:jc w:val="both"/>
        <w:rPr>
          <w:rFonts w:ascii="Arial" w:hAnsi="Arial" w:cs="Arial"/>
          <w:color w:val="000000" w:themeColor="text1"/>
        </w:rPr>
      </w:pPr>
    </w:p>
    <w:p w14:paraId="50B0FF3B" w14:textId="77777777" w:rsidR="002E7566" w:rsidRPr="00D80577" w:rsidRDefault="002E7566">
      <w:pPr>
        <w:spacing w:line="360" w:lineRule="auto"/>
        <w:jc w:val="both"/>
        <w:rPr>
          <w:rFonts w:ascii="Arial" w:hAnsi="Arial" w:cs="Arial"/>
          <w:color w:val="000000" w:themeColor="text1"/>
        </w:rPr>
      </w:pPr>
    </w:p>
    <w:p w14:paraId="313C5612" w14:textId="77777777" w:rsidR="002E7566" w:rsidRPr="00D80577" w:rsidRDefault="002E7566">
      <w:pPr>
        <w:spacing w:line="360" w:lineRule="auto"/>
        <w:jc w:val="both"/>
        <w:rPr>
          <w:rFonts w:ascii="Arial" w:hAnsi="Arial" w:cs="Arial"/>
          <w:color w:val="000000" w:themeColor="text1"/>
        </w:rPr>
      </w:pPr>
    </w:p>
    <w:p w14:paraId="72BECFFF" w14:textId="77777777" w:rsidR="002E7566" w:rsidRPr="00D80577" w:rsidRDefault="002E7566">
      <w:pPr>
        <w:spacing w:line="360" w:lineRule="auto"/>
        <w:jc w:val="both"/>
        <w:rPr>
          <w:rFonts w:ascii="Arial" w:hAnsi="Arial" w:cs="Arial"/>
          <w:color w:val="000000" w:themeColor="text1"/>
        </w:rPr>
      </w:pPr>
    </w:p>
    <w:p w14:paraId="1D3E5337" w14:textId="77777777" w:rsidR="002E7566" w:rsidRPr="00D80577" w:rsidRDefault="002E7566">
      <w:pPr>
        <w:spacing w:line="360" w:lineRule="auto"/>
        <w:jc w:val="both"/>
        <w:rPr>
          <w:rFonts w:ascii="Arial" w:hAnsi="Arial" w:cs="Arial"/>
          <w:color w:val="000000" w:themeColor="text1"/>
        </w:rPr>
      </w:pPr>
    </w:p>
    <w:p w14:paraId="6B009E8A" w14:textId="77777777" w:rsidR="002E7566" w:rsidRPr="00D80577" w:rsidRDefault="002E7566">
      <w:pPr>
        <w:rPr>
          <w:rFonts w:ascii="Arial" w:hAnsi="Arial" w:cs="Arial"/>
        </w:rPr>
      </w:pPr>
    </w:p>
    <w:p w14:paraId="11CF0C65" w14:textId="77777777" w:rsidR="002E7566" w:rsidRDefault="002E7566">
      <w:pPr>
        <w:rPr>
          <w:rFonts w:ascii="Arial" w:hAnsi="Arial" w:cs="Arial"/>
        </w:rPr>
      </w:pPr>
    </w:p>
    <w:p w14:paraId="7AA229CD" w14:textId="77777777" w:rsidR="00C87D9E" w:rsidRPr="00D80577" w:rsidRDefault="00C87D9E">
      <w:pPr>
        <w:rPr>
          <w:rFonts w:ascii="Arial" w:hAnsi="Arial" w:cs="Arial"/>
        </w:rPr>
      </w:pPr>
    </w:p>
    <w:p w14:paraId="4F1B46B2" w14:textId="77777777" w:rsidR="002E7566" w:rsidRPr="00D80577" w:rsidRDefault="005711CF">
      <w:pPr>
        <w:pStyle w:val="Heading1"/>
        <w:spacing w:line="360" w:lineRule="auto"/>
        <w:jc w:val="center"/>
        <w:rPr>
          <w:rFonts w:ascii="Arial" w:hAnsi="Arial" w:cs="Arial"/>
          <w:b/>
          <w:bCs/>
          <w:color w:val="000000" w:themeColor="text1"/>
          <w:sz w:val="28"/>
          <w:szCs w:val="28"/>
        </w:rPr>
      </w:pPr>
      <w:bookmarkStart w:id="15" w:name="_Toc220890062"/>
      <w:r w:rsidRPr="00D80577">
        <w:rPr>
          <w:rFonts w:ascii="Arial" w:hAnsi="Arial" w:cs="Arial"/>
          <w:b/>
          <w:bCs/>
          <w:color w:val="000000" w:themeColor="text1"/>
          <w:sz w:val="28"/>
          <w:szCs w:val="28"/>
        </w:rPr>
        <w:lastRenderedPageBreak/>
        <w:t xml:space="preserve">Chapter 2: Literature </w:t>
      </w:r>
      <w:commentRangeStart w:id="16"/>
      <w:r w:rsidRPr="00D80577">
        <w:rPr>
          <w:rFonts w:ascii="Arial" w:hAnsi="Arial" w:cs="Arial"/>
          <w:b/>
          <w:bCs/>
          <w:color w:val="000000" w:themeColor="text1"/>
          <w:sz w:val="28"/>
          <w:szCs w:val="28"/>
        </w:rPr>
        <w:t>Review</w:t>
      </w:r>
      <w:commentRangeEnd w:id="16"/>
      <w:r w:rsidRPr="00D80577">
        <w:rPr>
          <w:rStyle w:val="CommentReference"/>
          <w:rFonts w:ascii="Arial" w:eastAsiaTheme="minorHAnsi" w:hAnsi="Arial" w:cs="Arial"/>
          <w:color w:val="auto"/>
        </w:rPr>
        <w:commentReference w:id="16"/>
      </w:r>
      <w:bookmarkEnd w:id="15"/>
    </w:p>
    <w:p w14:paraId="647409DB" w14:textId="77777777" w:rsidR="002E7566" w:rsidRPr="00D80577" w:rsidRDefault="005711CF">
      <w:pPr>
        <w:pStyle w:val="Heading2"/>
        <w:spacing w:line="360" w:lineRule="auto"/>
        <w:jc w:val="both"/>
        <w:rPr>
          <w:rFonts w:ascii="Arial" w:hAnsi="Arial" w:cs="Arial"/>
          <w:b/>
          <w:bCs/>
          <w:color w:val="000000" w:themeColor="text1"/>
          <w:sz w:val="24"/>
          <w:szCs w:val="24"/>
        </w:rPr>
      </w:pPr>
      <w:bookmarkStart w:id="17" w:name="_Toc220890063"/>
      <w:r w:rsidRPr="00D80577">
        <w:rPr>
          <w:rFonts w:ascii="Arial" w:hAnsi="Arial" w:cs="Arial"/>
          <w:b/>
          <w:bCs/>
          <w:color w:val="000000" w:themeColor="text1"/>
          <w:sz w:val="24"/>
          <w:szCs w:val="24"/>
        </w:rPr>
        <w:t>2.1. Introduction</w:t>
      </w:r>
      <w:bookmarkEnd w:id="17"/>
      <w:r w:rsidRPr="00D80577">
        <w:rPr>
          <w:rFonts w:ascii="Arial" w:hAnsi="Arial" w:cs="Arial"/>
          <w:b/>
          <w:bCs/>
          <w:color w:val="000000" w:themeColor="text1"/>
          <w:sz w:val="24"/>
          <w:szCs w:val="24"/>
        </w:rPr>
        <w:t xml:space="preserve"> </w:t>
      </w:r>
    </w:p>
    <w:p w14:paraId="31094521" w14:textId="2454A86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The global supply chains are now very interconnected and susceptible to large-scale disruption, including pandemics, geopolitical conflicts, and natural disasters (Guo et al., 2024). The SMEs that make up more than 99% of all businesses in the world are a disproportionately impacted category because they have limited financial reserves, the flexibility to operate, and reliance on foreign suppliers (Gherghina et al., 2020). SMEs can also struggle to control the disruption of supplies since they do not have redundancy and digital infrastructure as big multinationals do (Hafeez, Shahzad and Silva, 2025). The explanation of the impact of such disruptions on the performance of SME manufacturers, their resilience, and strategic adjustment is crucial to sustainable competitiveness. Critically, the literature review identifies </w:t>
      </w:r>
      <w:r w:rsidR="00C87D9E">
        <w:rPr>
          <w:rFonts w:ascii="Arial" w:hAnsi="Arial" w:cs="Arial"/>
          <w:color w:val="000000" w:themeColor="text1"/>
        </w:rPr>
        <w:t>existing international evidence on the impacts of global supply chain disruptions on manufacturing SMEs, key theoretical lenses, cross-country empirical research, and implications and research gaps, as suggestions for</w:t>
      </w:r>
      <w:r w:rsidRPr="00D80577">
        <w:rPr>
          <w:rFonts w:ascii="Arial" w:hAnsi="Arial" w:cs="Arial"/>
          <w:color w:val="000000" w:themeColor="text1"/>
        </w:rPr>
        <w:t xml:space="preserve"> the manufacturing context in the UK.</w:t>
      </w:r>
    </w:p>
    <w:p w14:paraId="4BADC141" w14:textId="77777777" w:rsidR="00D72358" w:rsidRPr="00D80577" w:rsidRDefault="00D72358" w:rsidP="00D72358">
      <w:pPr>
        <w:pStyle w:val="Heading2"/>
        <w:spacing w:line="360" w:lineRule="auto"/>
        <w:jc w:val="both"/>
        <w:rPr>
          <w:rFonts w:ascii="Arial" w:hAnsi="Arial" w:cs="Arial"/>
          <w:b/>
          <w:bCs/>
          <w:color w:val="000000" w:themeColor="text1"/>
          <w:sz w:val="24"/>
          <w:szCs w:val="24"/>
        </w:rPr>
      </w:pPr>
      <w:bookmarkStart w:id="18" w:name="_Toc220890064"/>
      <w:r w:rsidRPr="00D80577">
        <w:rPr>
          <w:rFonts w:ascii="Arial" w:hAnsi="Arial" w:cs="Arial"/>
          <w:b/>
          <w:bCs/>
          <w:color w:val="000000" w:themeColor="text1"/>
          <w:sz w:val="24"/>
          <w:szCs w:val="24"/>
        </w:rPr>
        <w:t>2.2. Conceptual and Contextual Foundations</w:t>
      </w:r>
      <w:bookmarkEnd w:id="18"/>
      <w:r w:rsidRPr="00D80577">
        <w:rPr>
          <w:rFonts w:ascii="Arial" w:hAnsi="Arial" w:cs="Arial"/>
          <w:b/>
          <w:bCs/>
          <w:color w:val="000000" w:themeColor="text1"/>
          <w:sz w:val="24"/>
          <w:szCs w:val="24"/>
        </w:rPr>
        <w:t xml:space="preserve"> </w:t>
      </w:r>
    </w:p>
    <w:p w14:paraId="63DBB247"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19" w:name="_Toc220890065"/>
      <w:r w:rsidRPr="00D80577">
        <w:rPr>
          <w:rFonts w:ascii="Arial" w:hAnsi="Arial" w:cs="Arial"/>
          <w:b/>
          <w:bCs/>
          <w:color w:val="000000" w:themeColor="text1"/>
          <w:sz w:val="24"/>
          <w:szCs w:val="24"/>
        </w:rPr>
        <w:t>2.2.1 The definition of International Supply Chain Disruptions.</w:t>
      </w:r>
      <w:bookmarkEnd w:id="19"/>
    </w:p>
    <w:p w14:paraId="7E533B8F" w14:textId="109DAFBC"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Supply chain disruptions are the unanticipated occurrences which hinder the normal flow of goods, services, or information (Mishra, Gupta and Jha, 2024). Globalisation of production networks has exposed firms to a variety of external shocks, including the COVID-19 outbreak, trade friction associated with Brexit, port congestion and the Russia-Ukraine conflict. These have been disrupting logistics, limiting resources</w:t>
      </w:r>
      <w:r w:rsidR="00C87D9E">
        <w:rPr>
          <w:rFonts w:ascii="Arial" w:hAnsi="Arial" w:cs="Arial"/>
          <w:color w:val="000000" w:themeColor="text1"/>
        </w:rPr>
        <w:t>, and revealing</w:t>
      </w:r>
      <w:r w:rsidRPr="00D80577">
        <w:rPr>
          <w:rFonts w:ascii="Arial" w:hAnsi="Arial" w:cs="Arial"/>
          <w:color w:val="000000" w:themeColor="text1"/>
        </w:rPr>
        <w:t xml:space="preserve"> the vulnerability of international trade systems. Orlando et al. (2021) categorise all these disruptions into two types: the supply shocks, such as shortages of raw materials, supplier failures, and transport limitations, and the demand shocks, such as cancellation of orders or an unexpected decline in consumer demand. These effects are further enhanced by the nature of modern supply chains, where failures in one node can cascade through the whole supply chain.</w:t>
      </w:r>
    </w:p>
    <w:p w14:paraId="5A20E11F"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0" w:name="_Toc220890066"/>
      <w:r w:rsidRPr="00D80577">
        <w:rPr>
          <w:rFonts w:ascii="Arial" w:hAnsi="Arial" w:cs="Arial"/>
          <w:b/>
          <w:bCs/>
          <w:color w:val="000000" w:themeColor="text1"/>
          <w:sz w:val="24"/>
          <w:szCs w:val="24"/>
        </w:rPr>
        <w:lastRenderedPageBreak/>
        <w:t>2.2.2 Systemic Vulnerability and SMEs.</w:t>
      </w:r>
      <w:bookmarkEnd w:id="20"/>
    </w:p>
    <w:p w14:paraId="3A694BFC"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The industry of SMEs is more susceptible to any global shocks due to its limited financial stability, reduced inventories, and lack of alternatives with suppliers (Gamage et al., 2020). According to Etemad (2020), disruptions are faster spreading among SMEs, as they rely on lean, highly integrated networks with little redundancy. This dependence exposes them to cascading failures as they have upstream or downstream partners that are derailed. Kanyepe et al. (2025) also prove that economic restrictions, lack of qualified labour and unreliability of suppliers increase the risk that directly impacts operational and financial performance. Since SMEs do not have excellent crisis handling systems or diversified sourcing systems, they are prone to severe liquidity problems and delays in production during international crises.</w:t>
      </w:r>
    </w:p>
    <w:p w14:paraId="7494E7B2"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1" w:name="_Toc220890067"/>
      <w:r w:rsidRPr="00D80577">
        <w:rPr>
          <w:rFonts w:ascii="Arial" w:hAnsi="Arial" w:cs="Arial"/>
          <w:b/>
          <w:bCs/>
          <w:color w:val="000000" w:themeColor="text1"/>
          <w:sz w:val="24"/>
          <w:szCs w:val="24"/>
        </w:rPr>
        <w:t>2.2.3 Interconnectedness on a Global Level and Risk Multiplication.</w:t>
      </w:r>
      <w:bookmarkEnd w:id="21"/>
    </w:p>
    <w:p w14:paraId="0F89A01D"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Global integration has given rise to supply efficiency and cost competitiveness, but at the same time, it has decreased resilience (Kot et al., 2020). According to Gurbuz et al. (2022), the outbreak of COVID-19 caused great operational paralysis in SMEs within the textile industry in Turkey, which demonstrates the far-reaching nature of disruptions through the supply chain of multi-tiers. To counter these shocks, larger companies used reserves and digital technologies, and SMEs experienced the problem of supplier defaults and cash flow deficits. These weaknesses highlight the structural asymmetry of global performance and the local strength of SME supply networks.</w:t>
      </w:r>
    </w:p>
    <w:p w14:paraId="2DD0232C"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Manufacturing SMEs are the most impacted because they are dependent on just-in-time production and strict control over inventory (Onyeanuforo et al., 2024). These industries are very reliant on the foreign supply and logistics accuracy, and there is little space for interruption. Therefore, to be more resilient, several manufacturing SMEs have embraced multi-sourcing and supplier partnerships, as well as digital solutions, e.g., predictive analytics and supply chain monitoring. Despite the varying implementation capacity by countries, the global experience in diversification, cooperation, and digitalisation offers a golden opportunity to the UK manufacturing SMEs in trying to reduce the vulnerabilities in supply chains in the future.</w:t>
      </w:r>
    </w:p>
    <w:p w14:paraId="24E21006" w14:textId="77777777" w:rsidR="00D72358" w:rsidRPr="00D80577" w:rsidRDefault="00D72358" w:rsidP="00D72358">
      <w:pPr>
        <w:pStyle w:val="Heading2"/>
        <w:spacing w:line="360" w:lineRule="auto"/>
        <w:jc w:val="both"/>
        <w:rPr>
          <w:rFonts w:ascii="Arial" w:hAnsi="Arial" w:cs="Arial"/>
          <w:b/>
          <w:bCs/>
          <w:color w:val="000000" w:themeColor="text1"/>
          <w:sz w:val="24"/>
          <w:szCs w:val="24"/>
        </w:rPr>
      </w:pPr>
      <w:bookmarkStart w:id="22" w:name="_Toc220890068"/>
      <w:r w:rsidRPr="00D80577">
        <w:rPr>
          <w:rFonts w:ascii="Arial" w:hAnsi="Arial" w:cs="Arial"/>
          <w:b/>
          <w:bCs/>
          <w:color w:val="000000" w:themeColor="text1"/>
          <w:sz w:val="24"/>
          <w:szCs w:val="24"/>
        </w:rPr>
        <w:lastRenderedPageBreak/>
        <w:t>2.3. Theoretical Frameworks</w:t>
      </w:r>
      <w:bookmarkEnd w:id="22"/>
      <w:r w:rsidRPr="00D80577">
        <w:rPr>
          <w:rFonts w:ascii="Arial" w:hAnsi="Arial" w:cs="Arial"/>
          <w:b/>
          <w:bCs/>
          <w:color w:val="000000" w:themeColor="text1"/>
          <w:sz w:val="24"/>
          <w:szCs w:val="24"/>
        </w:rPr>
        <w:t xml:space="preserve"> </w:t>
      </w:r>
    </w:p>
    <w:p w14:paraId="0F8D8322"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3" w:name="_Toc220890069"/>
      <w:r w:rsidRPr="00D80577">
        <w:rPr>
          <w:rFonts w:ascii="Arial" w:hAnsi="Arial" w:cs="Arial"/>
          <w:b/>
          <w:bCs/>
          <w:color w:val="000000" w:themeColor="text1"/>
          <w:sz w:val="24"/>
          <w:szCs w:val="24"/>
        </w:rPr>
        <w:t>2.3.1 Resource-Based View (RBV)</w:t>
      </w:r>
      <w:bookmarkEnd w:id="23"/>
    </w:p>
    <w:p w14:paraId="42EC77BC" w14:textId="59390819"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Resource-Based View (RBV) assumes that competitive advantage is gained by firms by establishing and mobilising unique, valuable, and inimitable internal resources that include technology, skills, and knowledge (Barney, 2012). In the SME environment, this theory highlights the role of technology capability, innovation, and managerial expertise as the most central resources that lead to operational resilience in cases of disruptions. To reinforce this argument, Alquraish (2025) demonstrate that technological capability moderates the connection between supply chain risks and the performance of firms, and that innovation is a safeguarding resource. </w:t>
      </w:r>
      <w:r w:rsidR="00C87D9E">
        <w:rPr>
          <w:rFonts w:ascii="Arial" w:hAnsi="Arial" w:cs="Arial"/>
          <w:color w:val="000000" w:themeColor="text1"/>
        </w:rPr>
        <w:t>SMEs that use digital tools to monitor the supply chain, optimise inventory, and make predictions</w:t>
      </w:r>
      <w:r w:rsidRPr="00D80577">
        <w:rPr>
          <w:rFonts w:ascii="Arial" w:hAnsi="Arial" w:cs="Arial"/>
          <w:color w:val="000000" w:themeColor="text1"/>
        </w:rPr>
        <w:t xml:space="preserve"> are more adaptable than those with limited resources. RBV, however, assumes that there is adequate resource and autonomy, which is, in most cases, not the case with SMEs, which are usually resource-constrained and are dependent on inter-firm cooperation (Kero and Bogale, 2023). Therefore, although RBV helps explain resilience in terms of internal strengths, it loses explanatory value </w:t>
      </w:r>
      <w:r w:rsidR="00C87D9E">
        <w:rPr>
          <w:rFonts w:ascii="Arial" w:hAnsi="Arial" w:cs="Arial"/>
          <w:color w:val="000000" w:themeColor="text1"/>
        </w:rPr>
        <w:t>for</w:t>
      </w:r>
      <w:r w:rsidRPr="00D80577">
        <w:rPr>
          <w:rFonts w:ascii="Arial" w:hAnsi="Arial" w:cs="Arial"/>
          <w:color w:val="000000" w:themeColor="text1"/>
        </w:rPr>
        <w:t xml:space="preserve"> externally integrated SME supply networks.</w:t>
      </w:r>
    </w:p>
    <w:p w14:paraId="04BA2C9C" w14:textId="5756D436"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Nonetheless, the emphasis of RBV on internal resources can be excessively high in that it </w:t>
      </w:r>
      <w:r w:rsidR="00C87D9E">
        <w:rPr>
          <w:rFonts w:ascii="Arial" w:hAnsi="Arial" w:cs="Arial"/>
          <w:color w:val="000000" w:themeColor="text1"/>
        </w:rPr>
        <w:t>downplays the role of external environmental factors,</w:t>
      </w:r>
      <w:r w:rsidRPr="00D80577">
        <w:rPr>
          <w:rFonts w:ascii="Arial" w:hAnsi="Arial" w:cs="Arial"/>
          <w:color w:val="000000" w:themeColor="text1"/>
        </w:rPr>
        <w:t xml:space="preserve"> including market volatility, regulatory changes, and reliability of suppliers (Madhani, 2010). </w:t>
      </w:r>
      <w:r w:rsidR="00C87D9E">
        <w:rPr>
          <w:rFonts w:ascii="Arial" w:hAnsi="Arial" w:cs="Arial"/>
          <w:color w:val="000000" w:themeColor="text1"/>
        </w:rPr>
        <w:t>The</w:t>
      </w:r>
      <w:r w:rsidRPr="00D80577">
        <w:rPr>
          <w:rFonts w:ascii="Arial" w:hAnsi="Arial" w:cs="Arial"/>
          <w:color w:val="000000" w:themeColor="text1"/>
        </w:rPr>
        <w:t xml:space="preserve"> presumption that resources can be efficiently mobilised also fails to take into account managerial capacity constraints and financial constraints prevalent in the SMEs (Lubis, 2022). As a result, although RBV offers internal strengths to be vital in resilience, it does not give much information on how SMEs can </w:t>
      </w:r>
      <w:r w:rsidR="00C87D9E">
        <w:rPr>
          <w:rFonts w:ascii="Arial" w:hAnsi="Arial" w:cs="Arial"/>
          <w:color w:val="000000" w:themeColor="text1"/>
        </w:rPr>
        <w:t>capitalise</w:t>
      </w:r>
      <w:r w:rsidRPr="00D80577">
        <w:rPr>
          <w:rFonts w:ascii="Arial" w:hAnsi="Arial" w:cs="Arial"/>
          <w:color w:val="000000" w:themeColor="text1"/>
        </w:rPr>
        <w:t xml:space="preserve"> on external networks, collaboration, or institutional resources to maintain performance in the face of global supply chain shocks.</w:t>
      </w:r>
    </w:p>
    <w:p w14:paraId="754E10D2"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4" w:name="_Toc220890070"/>
      <w:r w:rsidRPr="00D80577">
        <w:rPr>
          <w:rFonts w:ascii="Arial" w:hAnsi="Arial" w:cs="Arial"/>
          <w:b/>
          <w:bCs/>
          <w:color w:val="000000" w:themeColor="text1"/>
          <w:sz w:val="24"/>
          <w:szCs w:val="24"/>
        </w:rPr>
        <w:t>2.3.2 Dynamic Capabilities Theory (DCT).</w:t>
      </w:r>
      <w:bookmarkEnd w:id="24"/>
    </w:p>
    <w:p w14:paraId="4EE83250" w14:textId="3B4D90D3"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Dynamic Capabilities Theory is an extension of the RBV, which explains how firms sense, seize, and reconfigure their resources in order to wade through turbulent environments (Teece and Pisano, 1994). With respect to international supply chain disruptions, DCT is a framework for understanding the adjustments of SMEs' strategies in the face of uncertainty. Kiessling et al. (2024) use this theory to show that SMEs that have effectively </w:t>
      </w:r>
      <w:r w:rsidRPr="00D80577">
        <w:rPr>
          <w:rFonts w:ascii="Arial" w:hAnsi="Arial" w:cs="Arial"/>
          <w:color w:val="000000" w:themeColor="text1"/>
        </w:rPr>
        <w:lastRenderedPageBreak/>
        <w:t xml:space="preserve">developed dynamic capabilities, i.e., have the capacity to restructure their export strategies and operations processes quickly, are more resilient and faster to internationalise. Their results indicate that supply relationships, which are more </w:t>
      </w:r>
      <w:r w:rsidR="00C87D9E">
        <w:rPr>
          <w:rFonts w:ascii="Arial" w:hAnsi="Arial" w:cs="Arial"/>
          <w:color w:val="000000" w:themeColor="text1"/>
        </w:rPr>
        <w:t>tightly controlled, allow direct exporters to respond more readily to disruption-related volatility than indirect exporters,</w:t>
      </w:r>
      <w:r w:rsidRPr="00D80577">
        <w:rPr>
          <w:rFonts w:ascii="Arial" w:hAnsi="Arial" w:cs="Arial"/>
          <w:color w:val="000000" w:themeColor="text1"/>
        </w:rPr>
        <w:t xml:space="preserve"> who are dependent on intermediaries. </w:t>
      </w:r>
      <w:r w:rsidR="00C87D9E">
        <w:rPr>
          <w:rFonts w:ascii="Arial" w:hAnsi="Arial" w:cs="Arial"/>
          <w:color w:val="000000" w:themeColor="text1"/>
        </w:rPr>
        <w:t>DCT's competitive resilience is strong because it identifies learning, agility,</w:t>
      </w:r>
      <w:r w:rsidRPr="00D80577">
        <w:rPr>
          <w:rFonts w:ascii="Arial" w:hAnsi="Arial" w:cs="Arial"/>
          <w:color w:val="000000" w:themeColor="text1"/>
        </w:rPr>
        <w:t xml:space="preserve"> and reconfiguration as major contributors to CEO-driven competitive resilience. However, it is not very helpful in emphasising institutional and financial constraints encountered by SMEs and presupposing that the firms have the foresight and capital to implement strategic change (Teece, Peteraf and Leih, 2016).</w:t>
      </w:r>
    </w:p>
    <w:p w14:paraId="3CDF01CD" w14:textId="6874FE95"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DCT is not as useful in environments where the SMEs experience severe financial, regulatory or institutional constraints, because it presupposes that firms possess foresight and resources which can be </w:t>
      </w:r>
      <w:r w:rsidR="00C87D9E">
        <w:rPr>
          <w:rFonts w:ascii="Arial" w:hAnsi="Arial" w:cs="Arial"/>
          <w:color w:val="000000" w:themeColor="text1"/>
        </w:rPr>
        <w:t>used</w:t>
      </w:r>
      <w:r w:rsidRPr="00D80577">
        <w:rPr>
          <w:rFonts w:ascii="Arial" w:hAnsi="Arial" w:cs="Arial"/>
          <w:color w:val="000000" w:themeColor="text1"/>
        </w:rPr>
        <w:t xml:space="preserve"> to reconfigure the operation (Saeedikiya, Salunke and Kowalkiewicz, 2024). As an example, an SME in the UK experiencing trade barriers due to the impact of </w:t>
      </w:r>
      <w:r w:rsidR="00C87D9E">
        <w:rPr>
          <w:rFonts w:ascii="Arial" w:hAnsi="Arial" w:cs="Arial"/>
          <w:color w:val="000000" w:themeColor="text1"/>
        </w:rPr>
        <w:t>Brexit in a short time may be aware of the necessity to change suppliers or alter logistics,</w:t>
      </w:r>
      <w:r w:rsidRPr="00D80577">
        <w:rPr>
          <w:rFonts w:ascii="Arial" w:hAnsi="Arial" w:cs="Arial"/>
          <w:color w:val="000000" w:themeColor="text1"/>
        </w:rPr>
        <w:t xml:space="preserve"> but cannot take any measures because of the insufficient funds or the absence of other partners (Bailey et al., 2023). This shows that though DCT provides </w:t>
      </w:r>
      <w:r w:rsidR="00C87D9E">
        <w:rPr>
          <w:rFonts w:ascii="Arial" w:hAnsi="Arial" w:cs="Arial"/>
          <w:color w:val="000000" w:themeColor="text1"/>
        </w:rPr>
        <w:t>a conceptual way of controlling strategic adaptability, it failed to recognise</w:t>
      </w:r>
      <w:r w:rsidRPr="00D80577">
        <w:rPr>
          <w:rFonts w:ascii="Arial" w:hAnsi="Arial" w:cs="Arial"/>
          <w:color w:val="000000" w:themeColor="text1"/>
        </w:rPr>
        <w:t xml:space="preserve"> the real-life constraints that reduce the responsiveness of SMEs, which limits its explanatory value to be context-dependent. </w:t>
      </w:r>
    </w:p>
    <w:p w14:paraId="5254EE09"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5" w:name="_Toc220890071"/>
      <w:r w:rsidRPr="00D80577">
        <w:rPr>
          <w:rFonts w:ascii="Arial" w:hAnsi="Arial" w:cs="Arial"/>
          <w:b/>
          <w:bCs/>
          <w:color w:val="000000" w:themeColor="text1"/>
          <w:sz w:val="24"/>
          <w:szCs w:val="24"/>
        </w:rPr>
        <w:t>2.3.4 Network Theory.</w:t>
      </w:r>
      <w:bookmarkEnd w:id="25"/>
    </w:p>
    <w:p w14:paraId="1F3CC3EF" w14:textId="374DBDBF"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The Relational View and Network Theory are based on the assumption that inter-organisational relationships and collaborative networks are the key to long-term advantage and resilience (Dyer and Singh, 1998). Kot et al. (2020) believe that SMEs rely on relational capital, such as trust, cooperation and information exchange, to ease disruptions. This opinion is supported empirically by Gurbuz et al. (2022), who show that the more diversified and geographically distributed the supply networks of SMEs, the less disruption they had and the quicker they could resume operations during the COVID-19 pandemic. These relational networks promote </w:t>
      </w:r>
      <w:r w:rsidR="00C87D9E">
        <w:rPr>
          <w:rFonts w:ascii="Arial" w:hAnsi="Arial" w:cs="Arial"/>
          <w:color w:val="000000" w:themeColor="text1"/>
        </w:rPr>
        <w:t>resource sharing among</w:t>
      </w:r>
      <w:r w:rsidRPr="00D80577">
        <w:rPr>
          <w:rFonts w:ascii="Arial" w:hAnsi="Arial" w:cs="Arial"/>
          <w:color w:val="000000" w:themeColor="text1"/>
        </w:rPr>
        <w:t xml:space="preserve"> them, co-solution of problems, and dynamism. Nonetheless, excessive reliance on such networks will lead </w:t>
      </w:r>
      <w:r w:rsidRPr="00D80577">
        <w:rPr>
          <w:rFonts w:ascii="Arial" w:hAnsi="Arial" w:cs="Arial"/>
          <w:color w:val="000000" w:themeColor="text1"/>
        </w:rPr>
        <w:lastRenderedPageBreak/>
        <w:t>to vulnerability where two or more partners encounter concurrent crises, as failures by one system will enhance the systemic risks.</w:t>
      </w:r>
    </w:p>
    <w:p w14:paraId="79357A8B" w14:textId="2C54B44C"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Although the network theory implies the advantages of relational capital, trust, and collaboration to SME resilience, the assumption made is that partners are both competent and trustworthy (Do, Nguyen and Dao, 2025). As a matter of fact, companies that rely on the network extensively might be exposed to multiplied risks in case of simultaneous failure of several partners, like in times of endemic crises like the COVID-19 pandemic or geopolitical instability (Xu et al., 2020). In addition, excessive dependence on external networks can also curtail internal capability building</w:t>
      </w:r>
      <w:r w:rsidR="00C87D9E">
        <w:rPr>
          <w:rFonts w:ascii="Arial" w:hAnsi="Arial" w:cs="Arial"/>
          <w:color w:val="000000" w:themeColor="text1"/>
        </w:rPr>
        <w:t>,</w:t>
      </w:r>
      <w:r w:rsidRPr="00D80577">
        <w:rPr>
          <w:rFonts w:ascii="Arial" w:hAnsi="Arial" w:cs="Arial"/>
          <w:color w:val="000000" w:themeColor="text1"/>
        </w:rPr>
        <w:t xml:space="preserve"> leaving SMEs vulnerable in </w:t>
      </w:r>
      <w:r w:rsidR="00C87D9E">
        <w:rPr>
          <w:rFonts w:ascii="Arial" w:hAnsi="Arial" w:cs="Arial"/>
          <w:color w:val="000000" w:themeColor="text1"/>
        </w:rPr>
        <w:t xml:space="preserve">the </w:t>
      </w:r>
      <w:r w:rsidRPr="00D80577">
        <w:rPr>
          <w:rFonts w:ascii="Arial" w:hAnsi="Arial" w:cs="Arial"/>
          <w:color w:val="000000" w:themeColor="text1"/>
        </w:rPr>
        <w:t>case of the lack of external assistance, a key constraint of the application of the theory to resource-constrained firms.</w:t>
      </w:r>
    </w:p>
    <w:p w14:paraId="13AB14B8"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6" w:name="_Toc220890072"/>
      <w:r w:rsidRPr="00D80577">
        <w:rPr>
          <w:rFonts w:ascii="Arial" w:hAnsi="Arial" w:cs="Arial"/>
          <w:b/>
          <w:bCs/>
          <w:color w:val="000000" w:themeColor="text1"/>
          <w:sz w:val="24"/>
          <w:szCs w:val="24"/>
        </w:rPr>
        <w:t>2.3.5 Integrative Framework</w:t>
      </w:r>
      <w:bookmarkEnd w:id="26"/>
    </w:p>
    <w:p w14:paraId="254691D0" w14:textId="3830E0EF"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As seen in </w:t>
      </w:r>
      <w:r w:rsidR="00C87D9E">
        <w:rPr>
          <w:rFonts w:ascii="Arial" w:hAnsi="Arial" w:cs="Arial"/>
          <w:color w:val="000000" w:themeColor="text1"/>
        </w:rPr>
        <w:t xml:space="preserve">the </w:t>
      </w:r>
      <w:r w:rsidRPr="00D80577">
        <w:rPr>
          <w:rFonts w:ascii="Arial" w:hAnsi="Arial" w:cs="Arial"/>
          <w:color w:val="000000" w:themeColor="text1"/>
        </w:rPr>
        <w:t xml:space="preserve">figure below, the holistic view of SME resilience is created through a combination of RBV, DCT, and the Relational View. RBV describes how innovation and technology as internal resources make firms operationally stronger, DCT describes the adaptive processes of internal resource realignment, and the Relational View of operations maintenance by external cooperation. </w:t>
      </w:r>
    </w:p>
    <w:p w14:paraId="1F54B088" w14:textId="77777777" w:rsidR="00D72358" w:rsidRPr="00D80577" w:rsidRDefault="00D72358" w:rsidP="00D72358">
      <w:pPr>
        <w:keepNext/>
        <w:spacing w:line="360" w:lineRule="auto"/>
        <w:jc w:val="center"/>
        <w:rPr>
          <w:rFonts w:ascii="Arial" w:hAnsi="Arial" w:cs="Arial"/>
        </w:rPr>
      </w:pPr>
      <w:r w:rsidRPr="00D80577">
        <w:rPr>
          <w:rFonts w:ascii="Arial" w:hAnsi="Arial" w:cs="Arial"/>
          <w:noProof/>
          <w:color w:val="000000" w:themeColor="text1"/>
          <w:lang w:val="en-IN" w:eastAsia="en-IN"/>
        </w:rPr>
        <w:drawing>
          <wp:inline distT="0" distB="0" distL="0" distR="0" wp14:anchorId="3B211C9E" wp14:editId="0E354509">
            <wp:extent cx="4363331" cy="2689323"/>
            <wp:effectExtent l="0" t="0" r="0" b="0"/>
            <wp:docPr id="209167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74705" name=""/>
                    <pic:cNvPicPr/>
                  </pic:nvPicPr>
                  <pic:blipFill>
                    <a:blip r:embed="rId11"/>
                    <a:stretch>
                      <a:fillRect/>
                    </a:stretch>
                  </pic:blipFill>
                  <pic:spPr>
                    <a:xfrm>
                      <a:off x="0" y="0"/>
                      <a:ext cx="4371482" cy="2694347"/>
                    </a:xfrm>
                    <a:prstGeom prst="rect">
                      <a:avLst/>
                    </a:prstGeom>
                  </pic:spPr>
                </pic:pic>
              </a:graphicData>
            </a:graphic>
          </wp:inline>
        </w:drawing>
      </w:r>
    </w:p>
    <w:p w14:paraId="0F050E54" w14:textId="7CA17E9F" w:rsidR="00D72358" w:rsidRPr="00D80577" w:rsidRDefault="00D72358" w:rsidP="00D72358">
      <w:pPr>
        <w:pStyle w:val="Caption"/>
        <w:jc w:val="center"/>
        <w:rPr>
          <w:rFonts w:ascii="Arial" w:hAnsi="Arial" w:cs="Arial"/>
          <w:i w:val="0"/>
          <w:iCs w:val="0"/>
          <w:sz w:val="24"/>
          <w:szCs w:val="24"/>
        </w:rPr>
      </w:pPr>
      <w:bookmarkStart w:id="27" w:name="_Toc220889956"/>
      <w:r w:rsidRPr="00D80577">
        <w:rPr>
          <w:rFonts w:ascii="Arial" w:hAnsi="Arial" w:cs="Arial"/>
          <w:i w:val="0"/>
          <w:iCs w:val="0"/>
          <w:sz w:val="24"/>
          <w:szCs w:val="24"/>
        </w:rPr>
        <w:t xml:space="preserve">Figure </w:t>
      </w:r>
      <w:r w:rsidRPr="00D80577">
        <w:rPr>
          <w:rFonts w:ascii="Arial" w:hAnsi="Arial" w:cs="Arial"/>
          <w:i w:val="0"/>
          <w:iCs w:val="0"/>
          <w:sz w:val="24"/>
          <w:szCs w:val="24"/>
        </w:rPr>
        <w:fldChar w:fldCharType="begin"/>
      </w:r>
      <w:r w:rsidRPr="00D80577">
        <w:rPr>
          <w:rFonts w:ascii="Arial" w:hAnsi="Arial" w:cs="Arial"/>
          <w:i w:val="0"/>
          <w:iCs w:val="0"/>
          <w:sz w:val="24"/>
          <w:szCs w:val="24"/>
        </w:rPr>
        <w:instrText xml:space="preserve"> SEQ Figure \* ARABIC </w:instrText>
      </w:r>
      <w:r w:rsidRPr="00D80577">
        <w:rPr>
          <w:rFonts w:ascii="Arial" w:hAnsi="Arial" w:cs="Arial"/>
          <w:i w:val="0"/>
          <w:iCs w:val="0"/>
          <w:sz w:val="24"/>
          <w:szCs w:val="24"/>
        </w:rPr>
        <w:fldChar w:fldCharType="separate"/>
      </w:r>
      <w:r w:rsidR="00743850" w:rsidRPr="00D80577">
        <w:rPr>
          <w:rFonts w:ascii="Arial" w:hAnsi="Arial" w:cs="Arial"/>
          <w:i w:val="0"/>
          <w:iCs w:val="0"/>
          <w:noProof/>
          <w:sz w:val="24"/>
          <w:szCs w:val="24"/>
        </w:rPr>
        <w:t>1</w:t>
      </w:r>
      <w:r w:rsidRPr="00D80577">
        <w:rPr>
          <w:rFonts w:ascii="Arial" w:hAnsi="Arial" w:cs="Arial"/>
          <w:i w:val="0"/>
          <w:iCs w:val="0"/>
          <w:sz w:val="24"/>
          <w:szCs w:val="24"/>
        </w:rPr>
        <w:fldChar w:fldCharType="end"/>
      </w:r>
      <w:r w:rsidRPr="00D80577">
        <w:rPr>
          <w:rFonts w:ascii="Arial" w:hAnsi="Arial" w:cs="Arial"/>
          <w:i w:val="0"/>
          <w:iCs w:val="0"/>
          <w:sz w:val="24"/>
          <w:szCs w:val="24"/>
        </w:rPr>
        <w:t xml:space="preserve"> Integrative Theoretical Framework (Made by Author)</w:t>
      </w:r>
      <w:bookmarkEnd w:id="27"/>
    </w:p>
    <w:p w14:paraId="5003537A" w14:textId="77777777" w:rsidR="00D72358" w:rsidRPr="00D80577" w:rsidRDefault="00D72358" w:rsidP="00D72358">
      <w:pPr>
        <w:rPr>
          <w:rFonts w:ascii="Arial" w:hAnsi="Arial" w:cs="Arial"/>
        </w:rPr>
      </w:pPr>
    </w:p>
    <w:p w14:paraId="2AA65A8B"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lastRenderedPageBreak/>
        <w:t>With manufacturing SMEs, and especially in the UK, resilience is created by the interplay between internal potentials (digitalisation, leadership agility) and external partnerships (regional diversification and collaborative sourcing). This unified model offers a holistic perspective that can be used to study how SMEs can endure, adjust, and recuperate from such international disruptions in the supply chains.</w:t>
      </w:r>
    </w:p>
    <w:p w14:paraId="4AEC5D90" w14:textId="77777777" w:rsidR="00D72358" w:rsidRPr="00D80577" w:rsidRDefault="00D72358" w:rsidP="00D72358">
      <w:pPr>
        <w:pStyle w:val="Heading2"/>
        <w:spacing w:line="360" w:lineRule="auto"/>
        <w:jc w:val="both"/>
        <w:rPr>
          <w:rFonts w:ascii="Arial" w:hAnsi="Arial" w:cs="Arial"/>
          <w:b/>
          <w:bCs/>
          <w:color w:val="000000" w:themeColor="text1"/>
          <w:sz w:val="24"/>
          <w:szCs w:val="24"/>
        </w:rPr>
      </w:pPr>
      <w:bookmarkStart w:id="28" w:name="_Toc220890073"/>
      <w:r w:rsidRPr="00D80577">
        <w:rPr>
          <w:rFonts w:ascii="Arial" w:hAnsi="Arial" w:cs="Arial"/>
          <w:b/>
          <w:bCs/>
          <w:color w:val="000000" w:themeColor="text1"/>
          <w:sz w:val="24"/>
          <w:szCs w:val="24"/>
        </w:rPr>
        <w:t>2.4. Empirical evidence from the world literature</w:t>
      </w:r>
      <w:bookmarkEnd w:id="28"/>
      <w:r w:rsidRPr="00D80577">
        <w:rPr>
          <w:rFonts w:ascii="Arial" w:hAnsi="Arial" w:cs="Arial"/>
          <w:b/>
          <w:bCs/>
          <w:color w:val="000000" w:themeColor="text1"/>
          <w:sz w:val="24"/>
          <w:szCs w:val="24"/>
        </w:rPr>
        <w:t xml:space="preserve"> </w:t>
      </w:r>
    </w:p>
    <w:p w14:paraId="68CE39B2" w14:textId="77777777" w:rsidR="00D72358" w:rsidRPr="00D80577" w:rsidRDefault="00D72358" w:rsidP="00D72358">
      <w:pPr>
        <w:spacing w:line="360" w:lineRule="auto"/>
        <w:jc w:val="both"/>
        <w:rPr>
          <w:rFonts w:ascii="Arial" w:hAnsi="Arial" w:cs="Arial"/>
          <w:b/>
          <w:bCs/>
          <w:color w:val="000000" w:themeColor="text1"/>
        </w:rPr>
      </w:pPr>
      <w:r w:rsidRPr="00D80577">
        <w:rPr>
          <w:rFonts w:ascii="Arial" w:hAnsi="Arial" w:cs="Arial"/>
          <w:b/>
          <w:bCs/>
          <w:color w:val="000000" w:themeColor="text1"/>
        </w:rPr>
        <w:t>The impact of Global Supply Chain Disruptions on production efficiency</w:t>
      </w:r>
    </w:p>
    <w:p w14:paraId="4A886071" w14:textId="0BC70D6C"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The literature </w:t>
      </w:r>
      <w:r w:rsidR="00C87D9E">
        <w:rPr>
          <w:rFonts w:ascii="Arial" w:hAnsi="Arial" w:cs="Arial"/>
          <w:color w:val="000000" w:themeColor="text1"/>
        </w:rPr>
        <w:t xml:space="preserve">increasingly finds that supply chain disruption is a systemic shock that changes </w:t>
      </w:r>
      <w:r w:rsidRPr="00D80577">
        <w:rPr>
          <w:rFonts w:ascii="Arial" w:hAnsi="Arial" w:cs="Arial"/>
          <w:color w:val="000000" w:themeColor="text1"/>
        </w:rPr>
        <w:t xml:space="preserve">how effectively production operates. </w:t>
      </w:r>
      <w:r w:rsidR="00C87D9E">
        <w:rPr>
          <w:rFonts w:ascii="Arial" w:hAnsi="Arial" w:cs="Arial"/>
          <w:color w:val="000000" w:themeColor="text1"/>
        </w:rPr>
        <w:t xml:space="preserve">Nevertheless, the available literature tends to focus more on just describing types instead of </w:t>
      </w:r>
      <w:r w:rsidRPr="00D80577">
        <w:rPr>
          <w:rFonts w:ascii="Arial" w:hAnsi="Arial" w:cs="Arial"/>
          <w:color w:val="000000" w:themeColor="text1"/>
        </w:rPr>
        <w:t>measuring real results. An example is provided by Syamsyul et al. (2023)</w:t>
      </w:r>
      <w:r w:rsidR="00C87D9E">
        <w:rPr>
          <w:rFonts w:ascii="Arial" w:hAnsi="Arial" w:cs="Arial"/>
          <w:color w:val="000000" w:themeColor="text1"/>
        </w:rPr>
        <w:t xml:space="preserve">, who conceptually map supply, demand and logistical disruptions, but their qualitative orientation prevents understanding of how they reduce measurable performance and </w:t>
      </w:r>
      <w:r w:rsidRPr="00D80577">
        <w:rPr>
          <w:rFonts w:ascii="Arial" w:hAnsi="Arial" w:cs="Arial"/>
          <w:color w:val="000000" w:themeColor="text1"/>
        </w:rPr>
        <w:t xml:space="preserve">the efficiency of production. Although the disruptions are demonstrated to slow down the inputs and stop the production processes, the lack of </w:t>
      </w:r>
      <w:r w:rsidR="00C87D9E">
        <w:rPr>
          <w:rFonts w:ascii="Arial" w:hAnsi="Arial" w:cs="Arial"/>
          <w:color w:val="000000" w:themeColor="text1"/>
        </w:rPr>
        <w:t>performance standards, such as the reduction in output or productivity,</w:t>
      </w:r>
      <w:r w:rsidRPr="00D80577">
        <w:rPr>
          <w:rFonts w:ascii="Arial" w:hAnsi="Arial" w:cs="Arial"/>
          <w:color w:val="000000" w:themeColor="text1"/>
        </w:rPr>
        <w:t xml:space="preserve"> diminishes the explanatory capabilities of their results.</w:t>
      </w:r>
    </w:p>
    <w:p w14:paraId="6CE8B5C6" w14:textId="525A20B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Bhat et al. (2025) offer a more </w:t>
      </w:r>
      <w:r w:rsidR="00C87D9E">
        <w:rPr>
          <w:rFonts w:ascii="Arial" w:hAnsi="Arial" w:cs="Arial"/>
          <w:color w:val="000000" w:themeColor="text1"/>
        </w:rPr>
        <w:t>well-analysed study by unveiling the ways in which disruptions incur indirect and hidden costs such as stockpiling supplies, rushed logistics and contractual inefficiencies,</w:t>
      </w:r>
      <w:r w:rsidRPr="00D80577">
        <w:rPr>
          <w:rFonts w:ascii="Arial" w:hAnsi="Arial" w:cs="Arial"/>
          <w:color w:val="000000" w:themeColor="text1"/>
        </w:rPr>
        <w:t xml:space="preserve"> which the conventional cost accounting systems do not capture. More importantly, though, their synthesis reveals a structural weakness of the literature</w:t>
      </w:r>
      <w:r w:rsidR="00C87D9E">
        <w:rPr>
          <w:rFonts w:ascii="Arial" w:hAnsi="Arial" w:cs="Arial"/>
          <w:color w:val="000000" w:themeColor="text1"/>
        </w:rPr>
        <w:t>, which suggests that</w:t>
      </w:r>
      <w:r w:rsidRPr="00D80577">
        <w:rPr>
          <w:rFonts w:ascii="Arial" w:hAnsi="Arial" w:cs="Arial"/>
          <w:color w:val="000000" w:themeColor="text1"/>
        </w:rPr>
        <w:t xml:space="preserve"> cost management is largely addressed as a reactive process, and not as a strategic power. This limited framing does not give enough focus on how long-term cost volatility weakens pricing power, </w:t>
      </w:r>
      <w:r w:rsidR="00C87D9E">
        <w:rPr>
          <w:rFonts w:ascii="Arial" w:hAnsi="Arial" w:cs="Arial"/>
          <w:color w:val="000000" w:themeColor="text1"/>
        </w:rPr>
        <w:t>compromises the budgeting process, and limits</w:t>
      </w:r>
      <w:r w:rsidRPr="00D80577">
        <w:rPr>
          <w:rFonts w:ascii="Arial" w:hAnsi="Arial" w:cs="Arial"/>
          <w:color w:val="000000" w:themeColor="text1"/>
        </w:rPr>
        <w:t xml:space="preserve"> long-term capital allocation, especially where SMEs have limited resources.</w:t>
      </w:r>
    </w:p>
    <w:p w14:paraId="36926E42" w14:textId="723621A1"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These efficiency and cost pressures have performance implications that are also discussed in the context of supply chain resilience. Negi et al. (2025) state that the relationship between </w:t>
      </w:r>
      <w:r w:rsidR="00C87D9E">
        <w:rPr>
          <w:rFonts w:ascii="Arial" w:hAnsi="Arial" w:cs="Arial"/>
          <w:color w:val="000000" w:themeColor="text1"/>
        </w:rPr>
        <w:t xml:space="preserve">exposure to disruption and organisational effectiveness is mediated by resilience capabilities, which enable a quicker operational recovery and the </w:t>
      </w:r>
      <w:r w:rsidRPr="00D80577">
        <w:rPr>
          <w:rFonts w:ascii="Arial" w:hAnsi="Arial" w:cs="Arial"/>
          <w:color w:val="000000" w:themeColor="text1"/>
        </w:rPr>
        <w:lastRenderedPageBreak/>
        <w:t>stabilisation of short-term performance. However</w:t>
      </w:r>
      <w:r w:rsidR="00C87D9E">
        <w:rPr>
          <w:rFonts w:ascii="Arial" w:hAnsi="Arial" w:cs="Arial"/>
          <w:color w:val="000000" w:themeColor="text1"/>
        </w:rPr>
        <w:t>,</w:t>
      </w:r>
      <w:r w:rsidRPr="00D80577">
        <w:rPr>
          <w:rFonts w:ascii="Arial" w:hAnsi="Arial" w:cs="Arial"/>
          <w:color w:val="000000" w:themeColor="text1"/>
        </w:rPr>
        <w:t xml:space="preserve"> this positive perception is challenged by their findings, which highlight that the investment in resiliency can be quite expensive in terms of finances and organisations. Consequently, resilience can maintain a continuity in operations and</w:t>
      </w:r>
      <w:r w:rsidR="00C87D9E">
        <w:rPr>
          <w:rFonts w:ascii="Arial" w:hAnsi="Arial" w:cs="Arial"/>
          <w:color w:val="000000" w:themeColor="text1"/>
        </w:rPr>
        <w:t xml:space="preserve">, at the same time, undermine financial performance, dispelling the notion that resilience has a homogenous positive impact on </w:t>
      </w:r>
      <w:r w:rsidRPr="00D80577">
        <w:rPr>
          <w:rFonts w:ascii="Arial" w:hAnsi="Arial" w:cs="Arial"/>
          <w:color w:val="000000" w:themeColor="text1"/>
        </w:rPr>
        <w:t>business performance.</w:t>
      </w:r>
    </w:p>
    <w:p w14:paraId="2A9CA13C" w14:textId="278FB6B1"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This tension is especially visible in the study by Foli et al. (2022)</w:t>
      </w:r>
      <w:r w:rsidR="00C87D9E">
        <w:rPr>
          <w:rFonts w:ascii="Arial" w:hAnsi="Arial" w:cs="Arial"/>
          <w:color w:val="000000" w:themeColor="text1"/>
        </w:rPr>
        <w:t>, which</w:t>
      </w:r>
      <w:r w:rsidRPr="00D80577">
        <w:rPr>
          <w:rFonts w:ascii="Arial" w:hAnsi="Arial" w:cs="Arial"/>
          <w:color w:val="000000" w:themeColor="text1"/>
        </w:rPr>
        <w:t xml:space="preserve"> is SME-based, as the maturity of supply chain risk management is associated with innovation performance. Although proactive risk management helps to create an adaptive capacity during a disruption, the research has pointed out a significant trade-off</w:t>
      </w:r>
      <w:r w:rsidR="00C87D9E">
        <w:rPr>
          <w:rFonts w:ascii="Arial" w:hAnsi="Arial" w:cs="Arial"/>
          <w:color w:val="000000" w:themeColor="text1"/>
        </w:rPr>
        <w:t>:</w:t>
      </w:r>
      <w:r w:rsidRPr="00D80577">
        <w:rPr>
          <w:rFonts w:ascii="Arial" w:hAnsi="Arial" w:cs="Arial"/>
          <w:color w:val="000000" w:themeColor="text1"/>
        </w:rPr>
        <w:t xml:space="preserve"> investments in disruption mitigation can displace innovation spending and hence restrict long-term competitive advantage. In turn, disruption response strategies can secure the short-term survival but not the long-term growth.</w:t>
      </w:r>
    </w:p>
    <w:p w14:paraId="55E24AAB" w14:textId="3A808C2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29" w:name="_Toc220890074"/>
      <w:r w:rsidRPr="00D80577">
        <w:rPr>
          <w:rFonts w:ascii="Arial" w:hAnsi="Arial" w:cs="Arial"/>
          <w:b/>
          <w:bCs/>
          <w:color w:val="000000" w:themeColor="text1"/>
          <w:sz w:val="24"/>
          <w:szCs w:val="24"/>
        </w:rPr>
        <w:t xml:space="preserve">2.4.1 The Economic/Cost </w:t>
      </w:r>
      <w:r w:rsidR="00C87D9E">
        <w:rPr>
          <w:rFonts w:ascii="Arial" w:hAnsi="Arial" w:cs="Arial"/>
          <w:b/>
          <w:bCs/>
          <w:color w:val="000000" w:themeColor="text1"/>
          <w:sz w:val="24"/>
          <w:szCs w:val="24"/>
        </w:rPr>
        <w:t>Impact</w:t>
      </w:r>
      <w:r w:rsidRPr="00D80577">
        <w:rPr>
          <w:rFonts w:ascii="Arial" w:hAnsi="Arial" w:cs="Arial"/>
          <w:b/>
          <w:bCs/>
          <w:color w:val="000000" w:themeColor="text1"/>
          <w:sz w:val="24"/>
          <w:szCs w:val="24"/>
        </w:rPr>
        <w:t xml:space="preserve"> of Disruption on SMEs.</w:t>
      </w:r>
      <w:bookmarkEnd w:id="29"/>
    </w:p>
    <w:p w14:paraId="65577416" w14:textId="5224E75E"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International supply chain risks have created significant economic and operational impacts on SMEs in international settings. The most frequent ones are the rising costs, longer lead times, supplier default, and production stagnation, which endanger the existence of firms and their competitiveness (Gurtu and Johny, 2021). In their research on the Turkish manufacturing SMEs, Asgary et al. (2020) established that the global economic and geopolitical risks, including fiscal crises and trade wars, were identified as the most extreme risks. This shows that SMEs are very vulnerable to changes in the global markets since they are reliant on international suppliers and have a low ability to absorb shocks. However, Orlando et al. (2021) found that in 2020, the global trade had plummeted by about 9.2%</w:t>
      </w:r>
      <w:r w:rsidR="00C87D9E">
        <w:rPr>
          <w:rFonts w:ascii="Arial" w:hAnsi="Arial" w:cs="Arial"/>
          <w:color w:val="000000" w:themeColor="text1"/>
        </w:rPr>
        <w:t>,</w:t>
      </w:r>
      <w:r w:rsidRPr="00D80577">
        <w:rPr>
          <w:rFonts w:ascii="Arial" w:hAnsi="Arial" w:cs="Arial"/>
          <w:color w:val="000000" w:themeColor="text1"/>
        </w:rPr>
        <w:t xml:space="preserve"> and SMEs had been affected more than the rest due to insufficient contingency planning and the absence of redundancy in their supply chains.</w:t>
      </w:r>
    </w:p>
    <w:p w14:paraId="670D5465"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In various regions, the COVID-19 pandemic increased the weaknesses in the operations of SMEs. Companies whose operations were based on the just-in-time model were unable to sustain continuity when borders were shut down and the delivery time of suppliers took longer (Du, Razzaq and Waqas, 2022). The study conducted by Kanyepe et al. (2025) revealed that the supply chain risk has a direct negative effect on financial and operational performance in the manufacturing industry in Zimbabwe, which supports </w:t>
      </w:r>
      <w:r w:rsidRPr="00D80577">
        <w:rPr>
          <w:rFonts w:ascii="Arial" w:hAnsi="Arial" w:cs="Arial"/>
          <w:color w:val="000000" w:themeColor="text1"/>
        </w:rPr>
        <w:lastRenderedPageBreak/>
        <w:t>the applicability of the patterns to the rest of the globe. The logical effect of interruptions, in which a single failure disrupts the whole supply chain, became a true motif. Indicatively, the problems with the supply of raw materials caused downstream shortages, factory shutdowns, and a decrease in the income of SMEs around the world (Bateh, 2024). Therefore, when bigger companies cushioned the impact with capital buffers and multi-level sourcing, SMEs succumbed to stagnation of production, the loss of business, and the threat of bankruptcy.</w:t>
      </w:r>
    </w:p>
    <w:p w14:paraId="056B8FD2"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30" w:name="_Toc220890075"/>
      <w:r w:rsidRPr="00D80577">
        <w:rPr>
          <w:rFonts w:ascii="Arial" w:hAnsi="Arial" w:cs="Arial"/>
          <w:b/>
          <w:bCs/>
          <w:color w:val="000000" w:themeColor="text1"/>
          <w:sz w:val="24"/>
          <w:szCs w:val="24"/>
        </w:rPr>
        <w:t>2.4.2 Institutional/Environmental Disruptions and Overall Performance of SMEs.</w:t>
      </w:r>
      <w:bookmarkEnd w:id="30"/>
    </w:p>
    <w:p w14:paraId="0A7918B3"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The impacts of external institutional and environmental environments on SME to international supply chain disruptions have significant effects. Informal institutions mentioned by Kiessling et al. (2024) (social trust, corruption rates, and political stability) have an impact on the way SMEs handle relations with their exporters and adjust in extreme situations. SMEs have more negotiating, coordinating and recovering ability in the countries with stable institutional settings. On the other hand, the risk exposure is exaggerated by weak governmental frameworks or uncertainty about policies.</w:t>
      </w:r>
    </w:p>
    <w:p w14:paraId="62B54159"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Asgary et al. (2020) also underline that the perceptions of SMEs towards world risks vary in terms of national context, since geopolitical instability, inefficiency in regulations, and lack of efficient crisis management structures can change the risk prioritisation. All these points point to the fact that, although the notion of supply chain resilience is commonly defined as an organisational capability, the macro-institutional environment relies on it as well. These global lessons make sense to UK manufacturing SMEs. The background of Brexit and the disturbances of global trade, as well as the volatility of energy prices, can be viewed as reflections of the cross-border limitations that can be seen elsewhere. With the UK redefining its trading relationships, the SMEs are faced with the challenge of balancing between sourcing internationally and sourcing locally and regionally (Siameh, 2023). The increased digital presence, government support systems, and institutional confidence would be critical in the translation of lessons of the best practices in the world to the locally viable models of resilience.</w:t>
      </w:r>
    </w:p>
    <w:p w14:paraId="5E98E79F"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31" w:name="_Toc220890076"/>
      <w:r w:rsidRPr="00D80577">
        <w:rPr>
          <w:rFonts w:ascii="Arial" w:hAnsi="Arial" w:cs="Arial"/>
          <w:b/>
          <w:bCs/>
          <w:color w:val="000000" w:themeColor="text1"/>
          <w:sz w:val="24"/>
          <w:szCs w:val="24"/>
        </w:rPr>
        <w:lastRenderedPageBreak/>
        <w:t>2.4.3 SME’s Strategic and Structural Responses to Global Supply Chain Disruptions</w:t>
      </w:r>
      <w:bookmarkEnd w:id="31"/>
    </w:p>
    <w:p w14:paraId="2AFA9501"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SMEs have implemented strategic and structural adaptation strategies in response to disruptions in the world setting in efforts to enhance flexibility and resilience. Onyeanuforo et al. (2024) discovered that SMEs in various countries had five primary adaptation strategies, including supplier diversification, nearshoring, digitalisation, financial hedging, and operational flexibility. These measures are proactive and reactionary measures aimed at reducing supply uncertainty. The authors created the SME Strategic Adaptation Framework (SSAF) and categorised firms into three types: resilience-based adapters (firms with a focus on survival and stabilisation), growth-based pivots (firms that use disruption to innovate and grow), and defensive consolidators (firms that downsize operations in order to minimise losses) (Pertheban et al., 2023).</w:t>
      </w:r>
    </w:p>
    <w:p w14:paraId="6A3323D3"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The findings of Gurbuz et al. (2022) also indicated that the recovery rate of SMEs implementing multi-sourcing, collaboration, and diversifying customers was greater, and the intensity of disruption was lower. They analysed the Turkish textile companies and revealed that companies in the sector with a broader supplier base and greater product flexibility sustained their activities better as compared to those with centralised and narrow supplier chains. All these studies point to the key issue of collaboration, redundancy, and technological agility as the key elements of sustainable recovery. Active strategies like supply diversification, integrating the digital realm, have been established to be much more effective than the solely reactive strategies, such as cost-reduction or temporary closure. But its application is limited by financial resources; most SMEs are unable to reorganise or invest a lot in technology.</w:t>
      </w:r>
    </w:p>
    <w:p w14:paraId="46F23509" w14:textId="77777777" w:rsidR="00D72358" w:rsidRPr="00D80577" w:rsidRDefault="00D72358" w:rsidP="00D72358">
      <w:pPr>
        <w:pStyle w:val="Heading3"/>
        <w:spacing w:line="360" w:lineRule="auto"/>
        <w:jc w:val="both"/>
        <w:rPr>
          <w:rFonts w:ascii="Arial" w:hAnsi="Arial" w:cs="Arial"/>
          <w:b/>
          <w:bCs/>
          <w:color w:val="000000" w:themeColor="text1"/>
          <w:sz w:val="24"/>
          <w:szCs w:val="24"/>
        </w:rPr>
      </w:pPr>
      <w:bookmarkStart w:id="32" w:name="_Toc220890077"/>
      <w:r w:rsidRPr="00D80577">
        <w:rPr>
          <w:rFonts w:ascii="Arial" w:hAnsi="Arial" w:cs="Arial"/>
          <w:b/>
          <w:bCs/>
          <w:color w:val="000000" w:themeColor="text1"/>
          <w:sz w:val="24"/>
          <w:szCs w:val="24"/>
        </w:rPr>
        <w:t>2.4.4 The Role of Knowledge Preparedness and Technological Capability of SME in dealing with disruptions</w:t>
      </w:r>
      <w:bookmarkEnd w:id="32"/>
    </w:p>
    <w:p w14:paraId="54E97CE0"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Hafeez et al. (2025) proposed the idea of knowledge preparedness, denoting the ability of firms to react to disruptions via the following knowledge, innovation, and information-sharing systems. Based on their findings, it appears that companies that invest in R&amp;D, process innovation, and digital integration before crises have a higher level of resilience. It is worth noting that some of the European SMEs managed to overcome the impact of </w:t>
      </w:r>
      <w:r w:rsidRPr="00D80577">
        <w:rPr>
          <w:rFonts w:ascii="Arial" w:hAnsi="Arial" w:cs="Arial"/>
          <w:color w:val="000000" w:themeColor="text1"/>
        </w:rPr>
        <w:lastRenderedPageBreak/>
        <w:t xml:space="preserve">lockdowns with the help of innovations in inventory management, automation of logistics, and digital traceability. This position was further developed by Kanyepe et al. (2025), who demonstrated that technological capability serves as a moderating factor between supply chain risk and performance, such that companies with superior technological equipment, i.e. AI, predictive analytics, and blockchain, have a better ability to predict and respond to disruptions. </w:t>
      </w:r>
    </w:p>
    <w:p w14:paraId="1C6878B7"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However, according to Faiz, Le and Masli (2024), digitalisation cannot be a universal solution. A lot of SMEs, particularly those in developing and emerging economies, have challenges with finances and expertise that are a barrier to effective adoption of technology. The digital divide implies that, when companies in prosperous economies have access to data analytics and distressed collaboration, other companies are relying on manual organisation and the lack of coverage in the market (Faiz, Le and Masli, 2024). This leads to innovation and preparedness to knowledge, being a lopsided benefit, strengthening inequality in the global supply chain resilience.</w:t>
      </w:r>
    </w:p>
    <w:p w14:paraId="6EEBC810" w14:textId="77777777" w:rsidR="00D72358" w:rsidRPr="00D80577" w:rsidRDefault="00D72358" w:rsidP="00D72358">
      <w:pPr>
        <w:pStyle w:val="Heading2"/>
        <w:spacing w:line="360" w:lineRule="auto"/>
        <w:jc w:val="both"/>
        <w:rPr>
          <w:rFonts w:ascii="Arial" w:hAnsi="Arial" w:cs="Arial"/>
          <w:b/>
          <w:bCs/>
          <w:color w:val="000000" w:themeColor="text1"/>
          <w:sz w:val="24"/>
          <w:szCs w:val="24"/>
        </w:rPr>
      </w:pPr>
      <w:bookmarkStart w:id="33" w:name="_Toc220890078"/>
      <w:r w:rsidRPr="00D80577">
        <w:rPr>
          <w:rFonts w:ascii="Arial" w:hAnsi="Arial" w:cs="Arial"/>
          <w:b/>
          <w:bCs/>
          <w:color w:val="000000" w:themeColor="text1"/>
          <w:sz w:val="24"/>
          <w:szCs w:val="24"/>
        </w:rPr>
        <w:t>2.5. Conceptual Framework</w:t>
      </w:r>
      <w:bookmarkEnd w:id="33"/>
    </w:p>
    <w:p w14:paraId="5D08E979" w14:textId="77777777" w:rsidR="00E01CDF" w:rsidRPr="00D80577" w:rsidRDefault="00D72358" w:rsidP="00D72358">
      <w:pPr>
        <w:spacing w:line="360" w:lineRule="auto"/>
        <w:jc w:val="both"/>
        <w:rPr>
          <w:rFonts w:ascii="Arial" w:hAnsi="Arial" w:cs="Arial"/>
        </w:rPr>
      </w:pPr>
      <w:r w:rsidRPr="00D80577">
        <w:rPr>
          <w:rFonts w:ascii="Arial" w:hAnsi="Arial" w:cs="Arial"/>
        </w:rPr>
        <w:t xml:space="preserve">The conceptual framework of this research is informed by the interaction of the internal resources, dynamic capabilities and external networks to gain insight into the effects of the interruption of the global supply chains on the manufacturing SMEs in the United Kingdom. </w:t>
      </w:r>
    </w:p>
    <w:p w14:paraId="12045D90" w14:textId="77777777" w:rsidR="00E01CDF" w:rsidRPr="00D80577" w:rsidRDefault="00E01CDF" w:rsidP="00E541D5">
      <w:pPr>
        <w:keepNext/>
        <w:spacing w:line="360" w:lineRule="auto"/>
        <w:jc w:val="center"/>
        <w:rPr>
          <w:rFonts w:ascii="Arial" w:hAnsi="Arial" w:cs="Arial"/>
          <w:color w:val="000000" w:themeColor="text1"/>
        </w:rPr>
      </w:pPr>
      <w:r w:rsidRPr="00D80577">
        <w:rPr>
          <w:rFonts w:ascii="Arial" w:hAnsi="Arial" w:cs="Arial"/>
          <w:noProof/>
          <w:color w:val="000000" w:themeColor="text1"/>
          <w:lang w:val="en-IN" w:eastAsia="en-IN"/>
        </w:rPr>
        <w:lastRenderedPageBreak/>
        <w:drawing>
          <wp:inline distT="0" distB="0" distL="0" distR="0" wp14:anchorId="7C4A72D8" wp14:editId="5CF3CFBF">
            <wp:extent cx="5061098" cy="3374065"/>
            <wp:effectExtent l="0" t="0" r="6350" b="0"/>
            <wp:docPr id="459398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3908" cy="3375938"/>
                    </a:xfrm>
                    <a:prstGeom prst="rect">
                      <a:avLst/>
                    </a:prstGeom>
                    <a:noFill/>
                    <a:ln>
                      <a:noFill/>
                    </a:ln>
                  </pic:spPr>
                </pic:pic>
              </a:graphicData>
            </a:graphic>
          </wp:inline>
        </w:drawing>
      </w:r>
    </w:p>
    <w:p w14:paraId="09ADD44A" w14:textId="2ADFC9AF" w:rsidR="00E01CDF" w:rsidRPr="00D80577" w:rsidRDefault="00E01CDF" w:rsidP="00E541D5">
      <w:pPr>
        <w:pStyle w:val="Caption"/>
        <w:spacing w:line="360" w:lineRule="auto"/>
        <w:jc w:val="center"/>
        <w:rPr>
          <w:rFonts w:ascii="Arial" w:hAnsi="Arial" w:cs="Arial"/>
          <w:i w:val="0"/>
          <w:iCs w:val="0"/>
          <w:color w:val="000000" w:themeColor="text1"/>
          <w:sz w:val="24"/>
          <w:szCs w:val="24"/>
        </w:rPr>
      </w:pPr>
      <w:bookmarkStart w:id="34" w:name="_Toc220889957"/>
      <w:r w:rsidRPr="00D80577">
        <w:rPr>
          <w:rFonts w:ascii="Arial" w:hAnsi="Arial" w:cs="Arial"/>
          <w:i w:val="0"/>
          <w:iCs w:val="0"/>
          <w:color w:val="000000" w:themeColor="text1"/>
          <w:sz w:val="24"/>
          <w:szCs w:val="24"/>
        </w:rPr>
        <w:t xml:space="preserve">Figure </w:t>
      </w:r>
      <w:r w:rsidRPr="00D80577">
        <w:rPr>
          <w:rFonts w:ascii="Arial" w:hAnsi="Arial" w:cs="Arial"/>
          <w:i w:val="0"/>
          <w:iCs w:val="0"/>
          <w:color w:val="000000" w:themeColor="text1"/>
          <w:sz w:val="24"/>
          <w:szCs w:val="24"/>
        </w:rPr>
        <w:fldChar w:fldCharType="begin"/>
      </w:r>
      <w:r w:rsidRPr="00D80577">
        <w:rPr>
          <w:rFonts w:ascii="Arial" w:hAnsi="Arial" w:cs="Arial"/>
          <w:i w:val="0"/>
          <w:iCs w:val="0"/>
          <w:color w:val="000000" w:themeColor="text1"/>
          <w:sz w:val="24"/>
          <w:szCs w:val="24"/>
        </w:rPr>
        <w:instrText xml:space="preserve"> SEQ Figure \* ARABIC </w:instrText>
      </w:r>
      <w:r w:rsidRPr="00D80577">
        <w:rPr>
          <w:rFonts w:ascii="Arial" w:hAnsi="Arial" w:cs="Arial"/>
          <w:i w:val="0"/>
          <w:iCs w:val="0"/>
          <w:color w:val="000000" w:themeColor="text1"/>
          <w:sz w:val="24"/>
          <w:szCs w:val="24"/>
        </w:rPr>
        <w:fldChar w:fldCharType="separate"/>
      </w:r>
      <w:r w:rsidR="00743850" w:rsidRPr="00D80577">
        <w:rPr>
          <w:rFonts w:ascii="Arial" w:hAnsi="Arial" w:cs="Arial"/>
          <w:i w:val="0"/>
          <w:iCs w:val="0"/>
          <w:noProof/>
          <w:color w:val="000000" w:themeColor="text1"/>
          <w:sz w:val="24"/>
          <w:szCs w:val="24"/>
        </w:rPr>
        <w:t>2</w:t>
      </w:r>
      <w:r w:rsidRPr="00D80577">
        <w:rPr>
          <w:rFonts w:ascii="Arial" w:hAnsi="Arial" w:cs="Arial"/>
          <w:i w:val="0"/>
          <w:iCs w:val="0"/>
          <w:color w:val="000000" w:themeColor="text1"/>
          <w:sz w:val="24"/>
          <w:szCs w:val="24"/>
        </w:rPr>
        <w:fldChar w:fldCharType="end"/>
      </w:r>
      <w:r w:rsidRPr="00D80577">
        <w:rPr>
          <w:rFonts w:ascii="Arial" w:hAnsi="Arial" w:cs="Arial"/>
          <w:i w:val="0"/>
          <w:iCs w:val="0"/>
          <w:color w:val="000000" w:themeColor="text1"/>
          <w:sz w:val="24"/>
          <w:szCs w:val="24"/>
        </w:rPr>
        <w:t xml:space="preserve"> Conceptual Framework (Made by Author)</w:t>
      </w:r>
      <w:bookmarkEnd w:id="34"/>
    </w:p>
    <w:p w14:paraId="666707DE" w14:textId="779CBD43" w:rsidR="00D72358" w:rsidRPr="00D80577" w:rsidRDefault="00D72358" w:rsidP="00D72358">
      <w:pPr>
        <w:spacing w:line="360" w:lineRule="auto"/>
        <w:jc w:val="both"/>
        <w:rPr>
          <w:rFonts w:ascii="Arial" w:hAnsi="Arial" w:cs="Arial"/>
        </w:rPr>
      </w:pPr>
      <w:r w:rsidRPr="00D80577">
        <w:rPr>
          <w:rFonts w:ascii="Arial" w:hAnsi="Arial" w:cs="Arial"/>
        </w:rPr>
        <w:t xml:space="preserve">The framework, which is based on the Resource-Based View (RBV), acknowledges the fact that the technological capabilities, managerial skills, and innovation capability of SMEs are the key internal resources that allow the companies to become operationally resilient in the face of disruptions (Barney, 2012; Alquraish, 2025). But, due to the limited resources that SMEs usually possess, just internal strengths are not enough, and the Dynamic Capabilities Theory (DCT) should be included, which focuses on sensing, seizing, and reconfiguring resources as a response to uncertainty (Teece and Pisano, 1994; Kiessling et al., 2024). DCT identifies strategic agility, learning, and adaptability as the most important ways in which SMEs react to </w:t>
      </w:r>
      <w:r w:rsidR="00D235F4" w:rsidRPr="00D80577">
        <w:rPr>
          <w:rFonts w:ascii="Arial" w:hAnsi="Arial" w:cs="Arial"/>
        </w:rPr>
        <w:t>shocks</w:t>
      </w:r>
      <w:r w:rsidRPr="00D80577">
        <w:rPr>
          <w:rFonts w:ascii="Arial" w:hAnsi="Arial" w:cs="Arial"/>
        </w:rPr>
        <w:t xml:space="preserve"> in supply.</w:t>
      </w:r>
    </w:p>
    <w:p w14:paraId="088876DB" w14:textId="7BB3F55D" w:rsidR="00D72358" w:rsidRPr="00D80577" w:rsidRDefault="00D72358" w:rsidP="00D72358">
      <w:pPr>
        <w:spacing w:line="360" w:lineRule="auto"/>
        <w:jc w:val="both"/>
        <w:rPr>
          <w:rFonts w:ascii="Arial" w:hAnsi="Arial" w:cs="Arial"/>
        </w:rPr>
      </w:pPr>
      <w:r w:rsidRPr="00D80577">
        <w:rPr>
          <w:rFonts w:ascii="Arial" w:hAnsi="Arial" w:cs="Arial"/>
        </w:rPr>
        <w:t xml:space="preserve">In addition to these internal orientations, the Relational View and Network Theory </w:t>
      </w:r>
      <w:r w:rsidR="00D235F4" w:rsidRPr="00D80577">
        <w:rPr>
          <w:rFonts w:ascii="Arial" w:hAnsi="Arial" w:cs="Arial"/>
        </w:rPr>
        <w:t>emphasise</w:t>
      </w:r>
      <w:r w:rsidRPr="00D80577">
        <w:rPr>
          <w:rFonts w:ascii="Arial" w:hAnsi="Arial" w:cs="Arial"/>
        </w:rPr>
        <w:t xml:space="preserve"> the use of external partnerships, supplier diversification, and collaboration to be more resilient (Dyer and Singh, 1998; Kot et al., 2020). This means that SMEs </w:t>
      </w:r>
      <w:r w:rsidR="00D235F4" w:rsidRPr="00D80577">
        <w:rPr>
          <w:rFonts w:ascii="Arial" w:hAnsi="Arial" w:cs="Arial"/>
        </w:rPr>
        <w:t>that are</w:t>
      </w:r>
      <w:r w:rsidRPr="00D80577">
        <w:rPr>
          <w:rFonts w:ascii="Arial" w:hAnsi="Arial" w:cs="Arial"/>
        </w:rPr>
        <w:t xml:space="preserve"> embedded in a robust relational network are able to share assets, solve issues together, and bounce back quicker in the face of global perturbation, but overreliance may escalate systemic risk (Xu et al., 2020; Do, Nguyen and Dao, 2025). The combined conceptual framework thus makes SME resilience a process of internal </w:t>
      </w:r>
      <w:r w:rsidR="00D235F4" w:rsidRPr="00D80577">
        <w:rPr>
          <w:rFonts w:ascii="Arial" w:hAnsi="Arial" w:cs="Arial"/>
        </w:rPr>
        <w:t>competencies</w:t>
      </w:r>
      <w:r w:rsidRPr="00D80577">
        <w:rPr>
          <w:rFonts w:ascii="Arial" w:hAnsi="Arial" w:cs="Arial"/>
        </w:rPr>
        <w:t xml:space="preserve">, adaptive </w:t>
      </w:r>
      <w:r w:rsidRPr="00D80577">
        <w:rPr>
          <w:rFonts w:ascii="Arial" w:hAnsi="Arial" w:cs="Arial"/>
        </w:rPr>
        <w:lastRenderedPageBreak/>
        <w:t>strategic processes, and network involvement. The empirical evidence indicates that the relationship between the supply chain disruptions and operational performance is mediated by technological preparedness, knowledge management, and multi-sourcing practices, which inform the strategies of UK SMEs to mitigate risks and remain competitive in global supply chain management (Hafeez et al., 2025; Kanyepe et al., 2025).</w:t>
      </w:r>
    </w:p>
    <w:p w14:paraId="76445AF0" w14:textId="77777777" w:rsidR="00D72358" w:rsidRPr="00D80577" w:rsidRDefault="00D72358" w:rsidP="00D72358">
      <w:pPr>
        <w:pStyle w:val="Heading2"/>
        <w:spacing w:line="360" w:lineRule="auto"/>
        <w:jc w:val="both"/>
        <w:rPr>
          <w:rFonts w:ascii="Arial" w:hAnsi="Arial" w:cs="Arial"/>
          <w:b/>
          <w:bCs/>
          <w:color w:val="000000" w:themeColor="text1"/>
          <w:sz w:val="24"/>
          <w:szCs w:val="24"/>
        </w:rPr>
      </w:pPr>
      <w:bookmarkStart w:id="35" w:name="_Toc220890079"/>
      <w:r w:rsidRPr="00D80577">
        <w:rPr>
          <w:rFonts w:ascii="Arial" w:hAnsi="Arial" w:cs="Arial"/>
          <w:b/>
          <w:bCs/>
          <w:color w:val="000000" w:themeColor="text1"/>
          <w:sz w:val="24"/>
          <w:szCs w:val="24"/>
        </w:rPr>
        <w:t>2.6 Critical Analysis and Summary of Literature</w:t>
      </w:r>
      <w:bookmarkEnd w:id="35"/>
    </w:p>
    <w:p w14:paraId="3761AFE9"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Existing literature on international supply chain disruptions provides a solid foundation for understanding how SMEs adapt to global volatility. The conceptual richness of the theoretical synthesis between the Resource-Based View, the Dynamic Capabilities Theory, and the Relational View is enhanced as it shows the relationship between internal resources, flexibility, and network cooperation to build resilience. Research of this kind can be demonstrated by cross-country studies like Gurbuz et al. (2022) and Kiessling et al. (2024), which contribute to the comprehension of multiple adaptation strategies in institutional settings. Practical implications of the SMEs are also provided because the empirical findings present practical explanations of strategic responses, including supplier diversification, digitalisation, and innovation. Nevertheless, the literature has a number of limitations that are critical. The excessive focus on COVID-19 reduces the scope of generalisability, and the focus on other forms of disruptions (geopolitical, environmental or energy crisis) is not properly covered. The majority of the research has been based on quantitative and cross-sectional surveys, which do not provide long-term adaptation and recovery processes, which are essential. </w:t>
      </w:r>
    </w:p>
    <w:p w14:paraId="39A647E6" w14:textId="77777777" w:rsidR="00D72358" w:rsidRPr="00D80577" w:rsidRDefault="00D72358" w:rsidP="00D72358">
      <w:pPr>
        <w:spacing w:line="360" w:lineRule="auto"/>
        <w:jc w:val="both"/>
        <w:rPr>
          <w:rFonts w:ascii="Arial" w:hAnsi="Arial" w:cs="Arial"/>
          <w:color w:val="000000" w:themeColor="text1"/>
        </w:rPr>
      </w:pPr>
      <w:r w:rsidRPr="00D80577">
        <w:rPr>
          <w:rFonts w:ascii="Arial" w:hAnsi="Arial" w:cs="Arial"/>
          <w:color w:val="000000" w:themeColor="text1"/>
        </w:rPr>
        <w:t xml:space="preserve">Resilience also has conceptual ambiguity, with researchers defining it as a process, a result, or a capacity. Besides, the effects of digitalisation are not uniform, as the positive effects of technological adoption seem to be dependent on firm size, resources, and country context. Without any doubt, the literature gives a piecemeal but informative image. The key gaps are the lack of research conducted in the UK and sector-specific research, especially in the manufacturing sector, and the lack of focus on the policy and institutional effects on SME resilience. Mixed-method/longitudinal research approaches should also be used in the future to reflect the dynamic resilience processes and </w:t>
      </w:r>
      <w:r w:rsidRPr="00D80577">
        <w:rPr>
          <w:rFonts w:ascii="Arial" w:hAnsi="Arial" w:cs="Arial"/>
          <w:color w:val="000000" w:themeColor="text1"/>
        </w:rPr>
        <w:lastRenderedPageBreak/>
        <w:t>determine the effects of contextual factors and digital innovation on SME survival following a global supply chain disruption.</w:t>
      </w:r>
    </w:p>
    <w:p w14:paraId="2EF01D7F" w14:textId="77777777" w:rsidR="002E7566" w:rsidRPr="00D80577" w:rsidRDefault="002E7566">
      <w:pPr>
        <w:rPr>
          <w:rFonts w:ascii="Arial" w:hAnsi="Arial" w:cs="Arial"/>
        </w:rPr>
      </w:pPr>
    </w:p>
    <w:p w14:paraId="4CA8631C" w14:textId="77777777" w:rsidR="002E7566" w:rsidRPr="00D80577" w:rsidRDefault="002E7566">
      <w:pPr>
        <w:rPr>
          <w:rFonts w:ascii="Arial" w:hAnsi="Arial" w:cs="Arial"/>
        </w:rPr>
      </w:pPr>
    </w:p>
    <w:p w14:paraId="72EEF812" w14:textId="77777777" w:rsidR="002E7566" w:rsidRPr="00D80577" w:rsidRDefault="002E7566">
      <w:pPr>
        <w:rPr>
          <w:rFonts w:ascii="Arial" w:hAnsi="Arial" w:cs="Arial"/>
        </w:rPr>
      </w:pPr>
    </w:p>
    <w:p w14:paraId="54AFAEA4" w14:textId="77777777" w:rsidR="002E7566" w:rsidRPr="00D80577" w:rsidRDefault="002E7566">
      <w:pPr>
        <w:rPr>
          <w:rFonts w:ascii="Arial" w:hAnsi="Arial" w:cs="Arial"/>
        </w:rPr>
      </w:pPr>
    </w:p>
    <w:p w14:paraId="68189E59" w14:textId="77777777" w:rsidR="008D7394" w:rsidRPr="00D80577" w:rsidRDefault="008D7394">
      <w:pPr>
        <w:rPr>
          <w:rFonts w:ascii="Arial" w:hAnsi="Arial" w:cs="Arial"/>
        </w:rPr>
      </w:pPr>
    </w:p>
    <w:p w14:paraId="33A43FB6" w14:textId="77777777" w:rsidR="008D7394" w:rsidRPr="00D80577" w:rsidRDefault="008D7394">
      <w:pPr>
        <w:rPr>
          <w:rFonts w:ascii="Arial" w:hAnsi="Arial" w:cs="Arial"/>
        </w:rPr>
      </w:pPr>
    </w:p>
    <w:p w14:paraId="390BAE63" w14:textId="77777777" w:rsidR="008D7394" w:rsidRPr="00D80577" w:rsidRDefault="008D7394">
      <w:pPr>
        <w:rPr>
          <w:rFonts w:ascii="Arial" w:hAnsi="Arial" w:cs="Arial"/>
        </w:rPr>
      </w:pPr>
    </w:p>
    <w:p w14:paraId="4D8ACDDA" w14:textId="77777777" w:rsidR="008D7394" w:rsidRPr="00D80577" w:rsidRDefault="008D7394">
      <w:pPr>
        <w:rPr>
          <w:rFonts w:ascii="Arial" w:hAnsi="Arial" w:cs="Arial"/>
        </w:rPr>
      </w:pPr>
    </w:p>
    <w:p w14:paraId="08B54773" w14:textId="77777777" w:rsidR="008D7394" w:rsidRPr="00D80577" w:rsidRDefault="008D7394">
      <w:pPr>
        <w:rPr>
          <w:rFonts w:ascii="Arial" w:hAnsi="Arial" w:cs="Arial"/>
        </w:rPr>
      </w:pPr>
    </w:p>
    <w:p w14:paraId="0958B680" w14:textId="77777777" w:rsidR="008D7394" w:rsidRPr="00D80577" w:rsidRDefault="008D7394">
      <w:pPr>
        <w:rPr>
          <w:rFonts w:ascii="Arial" w:hAnsi="Arial" w:cs="Arial"/>
        </w:rPr>
      </w:pPr>
    </w:p>
    <w:p w14:paraId="4DED459E" w14:textId="77777777" w:rsidR="008D7394" w:rsidRPr="00D80577" w:rsidRDefault="008D7394">
      <w:pPr>
        <w:rPr>
          <w:rFonts w:ascii="Arial" w:hAnsi="Arial" w:cs="Arial"/>
        </w:rPr>
      </w:pPr>
    </w:p>
    <w:p w14:paraId="37D54286" w14:textId="77777777" w:rsidR="008D7394" w:rsidRPr="00D80577" w:rsidRDefault="008D7394">
      <w:pPr>
        <w:rPr>
          <w:rFonts w:ascii="Arial" w:hAnsi="Arial" w:cs="Arial"/>
        </w:rPr>
      </w:pPr>
    </w:p>
    <w:p w14:paraId="6098BC59" w14:textId="77777777" w:rsidR="008D7394" w:rsidRPr="00D80577" w:rsidRDefault="008D7394">
      <w:pPr>
        <w:rPr>
          <w:rFonts w:ascii="Arial" w:hAnsi="Arial" w:cs="Arial"/>
        </w:rPr>
      </w:pPr>
    </w:p>
    <w:p w14:paraId="3745E073" w14:textId="77777777" w:rsidR="008D7394" w:rsidRPr="00D80577" w:rsidRDefault="008D7394">
      <w:pPr>
        <w:rPr>
          <w:rFonts w:ascii="Arial" w:hAnsi="Arial" w:cs="Arial"/>
        </w:rPr>
      </w:pPr>
    </w:p>
    <w:p w14:paraId="04CF69B8" w14:textId="77777777" w:rsidR="008D7394" w:rsidRPr="00D80577" w:rsidRDefault="008D7394">
      <w:pPr>
        <w:rPr>
          <w:rFonts w:ascii="Arial" w:hAnsi="Arial" w:cs="Arial"/>
        </w:rPr>
      </w:pPr>
    </w:p>
    <w:p w14:paraId="2F101666" w14:textId="77777777" w:rsidR="008D7394" w:rsidRPr="00D80577" w:rsidRDefault="008D7394">
      <w:pPr>
        <w:rPr>
          <w:rFonts w:ascii="Arial" w:hAnsi="Arial" w:cs="Arial"/>
        </w:rPr>
      </w:pPr>
    </w:p>
    <w:p w14:paraId="5AACB867" w14:textId="77777777" w:rsidR="008D7394" w:rsidRPr="00D80577" w:rsidRDefault="008D7394">
      <w:pPr>
        <w:rPr>
          <w:rFonts w:ascii="Arial" w:hAnsi="Arial" w:cs="Arial"/>
        </w:rPr>
      </w:pPr>
    </w:p>
    <w:p w14:paraId="274E1421" w14:textId="77777777" w:rsidR="008D7394" w:rsidRPr="00D80577" w:rsidRDefault="008D7394">
      <w:pPr>
        <w:rPr>
          <w:rFonts w:ascii="Arial" w:hAnsi="Arial" w:cs="Arial"/>
        </w:rPr>
      </w:pPr>
    </w:p>
    <w:p w14:paraId="7FC061BD" w14:textId="77777777" w:rsidR="008D7394" w:rsidRPr="00D80577" w:rsidRDefault="008D7394">
      <w:pPr>
        <w:rPr>
          <w:rFonts w:ascii="Arial" w:hAnsi="Arial" w:cs="Arial"/>
        </w:rPr>
      </w:pPr>
    </w:p>
    <w:p w14:paraId="4FD7E51A" w14:textId="77777777" w:rsidR="008D7394" w:rsidRPr="00D80577" w:rsidRDefault="008D7394">
      <w:pPr>
        <w:rPr>
          <w:rFonts w:ascii="Arial" w:hAnsi="Arial" w:cs="Arial"/>
        </w:rPr>
      </w:pPr>
    </w:p>
    <w:p w14:paraId="5B771990" w14:textId="77777777" w:rsidR="008D7394" w:rsidRPr="00D80577" w:rsidRDefault="008D7394">
      <w:pPr>
        <w:rPr>
          <w:rFonts w:ascii="Arial" w:hAnsi="Arial" w:cs="Arial"/>
        </w:rPr>
      </w:pPr>
    </w:p>
    <w:p w14:paraId="78841977" w14:textId="77777777" w:rsidR="008D7394" w:rsidRPr="00D80577" w:rsidRDefault="008D7394">
      <w:pPr>
        <w:rPr>
          <w:rFonts w:ascii="Arial" w:hAnsi="Arial" w:cs="Arial"/>
        </w:rPr>
      </w:pPr>
    </w:p>
    <w:p w14:paraId="5D09845E" w14:textId="77777777" w:rsidR="008D7394" w:rsidRPr="00D80577" w:rsidRDefault="008D7394" w:rsidP="008D7394">
      <w:pPr>
        <w:rPr>
          <w:rFonts w:ascii="Arial" w:hAnsi="Arial" w:cs="Arial"/>
        </w:rPr>
      </w:pPr>
    </w:p>
    <w:p w14:paraId="7C6103F4" w14:textId="77777777" w:rsidR="008D7394" w:rsidRPr="00D80577" w:rsidRDefault="008D7394" w:rsidP="008D7394">
      <w:pPr>
        <w:rPr>
          <w:rFonts w:ascii="Arial" w:hAnsi="Arial" w:cs="Arial"/>
        </w:rPr>
      </w:pPr>
    </w:p>
    <w:p w14:paraId="050E53CE" w14:textId="29F2AB67" w:rsidR="008D7394" w:rsidRPr="00D80577" w:rsidRDefault="008D7394" w:rsidP="00E541D5">
      <w:pPr>
        <w:pStyle w:val="Heading1"/>
        <w:spacing w:line="360" w:lineRule="auto"/>
        <w:jc w:val="center"/>
        <w:rPr>
          <w:rFonts w:ascii="Arial" w:hAnsi="Arial" w:cs="Arial"/>
          <w:b/>
          <w:bCs/>
          <w:color w:val="000000" w:themeColor="text1"/>
          <w:sz w:val="28"/>
          <w:szCs w:val="28"/>
        </w:rPr>
      </w:pPr>
      <w:bookmarkStart w:id="36" w:name="_Toc220890080"/>
      <w:r w:rsidRPr="00D80577">
        <w:rPr>
          <w:rFonts w:ascii="Arial" w:hAnsi="Arial" w:cs="Arial"/>
          <w:b/>
          <w:bCs/>
          <w:color w:val="000000" w:themeColor="text1"/>
          <w:sz w:val="28"/>
          <w:szCs w:val="28"/>
        </w:rPr>
        <w:lastRenderedPageBreak/>
        <w:t>Chapter 3: Research Methodology</w:t>
      </w:r>
      <w:bookmarkEnd w:id="36"/>
    </w:p>
    <w:p w14:paraId="11B1C980" w14:textId="59CD3DAF" w:rsidR="008D7394" w:rsidRPr="00D80577" w:rsidRDefault="008D7394" w:rsidP="00E541D5">
      <w:pPr>
        <w:pStyle w:val="Heading2"/>
        <w:spacing w:line="360" w:lineRule="auto"/>
        <w:jc w:val="both"/>
        <w:rPr>
          <w:rFonts w:ascii="Arial" w:hAnsi="Arial" w:cs="Arial"/>
          <w:b/>
          <w:bCs/>
          <w:color w:val="000000" w:themeColor="text1"/>
          <w:sz w:val="24"/>
          <w:szCs w:val="24"/>
        </w:rPr>
      </w:pPr>
      <w:bookmarkStart w:id="37" w:name="_Toc220890081"/>
      <w:r w:rsidRPr="00D80577">
        <w:rPr>
          <w:rFonts w:ascii="Arial" w:hAnsi="Arial" w:cs="Arial"/>
          <w:b/>
          <w:bCs/>
          <w:color w:val="000000" w:themeColor="text1"/>
          <w:sz w:val="24"/>
          <w:szCs w:val="24"/>
        </w:rPr>
        <w:t>3.1 Introduction</w:t>
      </w:r>
      <w:bookmarkEnd w:id="37"/>
      <w:r w:rsidRPr="00D80577">
        <w:rPr>
          <w:rFonts w:ascii="Arial" w:hAnsi="Arial" w:cs="Arial"/>
          <w:b/>
          <w:bCs/>
          <w:color w:val="000000" w:themeColor="text1"/>
          <w:sz w:val="24"/>
          <w:szCs w:val="24"/>
        </w:rPr>
        <w:t xml:space="preserve"> </w:t>
      </w:r>
    </w:p>
    <w:p w14:paraId="6C8BE7CC" w14:textId="7C8A459C" w:rsidR="008D7394" w:rsidRPr="00D80577" w:rsidRDefault="008D7394" w:rsidP="00E541D5">
      <w:pPr>
        <w:spacing w:line="360" w:lineRule="auto"/>
        <w:jc w:val="both"/>
        <w:rPr>
          <w:rFonts w:ascii="Arial" w:hAnsi="Arial" w:cs="Arial"/>
          <w:color w:val="000000" w:themeColor="text1"/>
        </w:rPr>
      </w:pPr>
      <w:r w:rsidRPr="00D80577">
        <w:rPr>
          <w:rFonts w:ascii="Arial" w:hAnsi="Arial" w:cs="Arial"/>
          <w:color w:val="000000" w:themeColor="text1"/>
        </w:rPr>
        <w:t xml:space="preserve">This chapter presents the research design used to examine how the UK manufacturing firms of SMEs are affected by the international supply chain disruption. The research leverages the Saunders Research Onion as a guide to designing the research (Saunders, Lewis and Thornhill, 2019). All the layers of the onion, such as philosophy, methods of data collection, etc., are evaluated critically, and decisions made regarding them are justified based on the goals of the study. The major selection criteria </w:t>
      </w:r>
      <w:r w:rsidR="00D235F4" w:rsidRPr="00D80577">
        <w:rPr>
          <w:rFonts w:ascii="Arial" w:hAnsi="Arial" w:cs="Arial"/>
          <w:color w:val="000000" w:themeColor="text1"/>
        </w:rPr>
        <w:t>were a quantitative research strategy, which utilised structured questionnaires that were given to the UK SMEs and were analysed</w:t>
      </w:r>
      <w:r w:rsidRPr="00D80577">
        <w:rPr>
          <w:rFonts w:ascii="Arial" w:hAnsi="Arial" w:cs="Arial"/>
          <w:color w:val="000000" w:themeColor="text1"/>
        </w:rPr>
        <w:t xml:space="preserve"> through the use of statistical methods. Strengths and limitations of each of the chosen methodological options are also assessed in the chapter so that the study results </w:t>
      </w:r>
      <w:r w:rsidR="00D235F4" w:rsidRPr="00D80577">
        <w:rPr>
          <w:rFonts w:ascii="Arial" w:hAnsi="Arial" w:cs="Arial"/>
          <w:color w:val="000000" w:themeColor="text1"/>
        </w:rPr>
        <w:t>can</w:t>
      </w:r>
      <w:r w:rsidRPr="00D80577">
        <w:rPr>
          <w:rFonts w:ascii="Arial" w:hAnsi="Arial" w:cs="Arial"/>
          <w:color w:val="000000" w:themeColor="text1"/>
        </w:rPr>
        <w:t xml:space="preserve"> be considered rigorous, replicable, and generalizable. It is dedicated to the quantification of the relationship between disruptions, operational performance, and strategic responses, without forgetting about the intrinsic methodological limitations.</w:t>
      </w:r>
    </w:p>
    <w:p w14:paraId="4E487512" w14:textId="32E8F237" w:rsidR="008D7394" w:rsidRPr="00D80577" w:rsidRDefault="008D7394" w:rsidP="00E541D5">
      <w:pPr>
        <w:pStyle w:val="Heading2"/>
        <w:spacing w:line="360" w:lineRule="auto"/>
        <w:jc w:val="both"/>
        <w:rPr>
          <w:rFonts w:ascii="Arial" w:hAnsi="Arial" w:cs="Arial"/>
          <w:b/>
          <w:bCs/>
          <w:color w:val="000000" w:themeColor="text1"/>
          <w:sz w:val="24"/>
          <w:szCs w:val="24"/>
        </w:rPr>
      </w:pPr>
      <w:bookmarkStart w:id="38" w:name="_Toc220890082"/>
      <w:r w:rsidRPr="00D80577">
        <w:rPr>
          <w:rFonts w:ascii="Arial" w:hAnsi="Arial" w:cs="Arial"/>
          <w:b/>
          <w:bCs/>
          <w:color w:val="000000" w:themeColor="text1"/>
          <w:sz w:val="24"/>
          <w:szCs w:val="24"/>
        </w:rPr>
        <w:t>3.2 Research Philosophy</w:t>
      </w:r>
      <w:bookmarkEnd w:id="38"/>
      <w:r w:rsidRPr="00D80577">
        <w:rPr>
          <w:rFonts w:ascii="Arial" w:hAnsi="Arial" w:cs="Arial"/>
          <w:b/>
          <w:bCs/>
          <w:color w:val="000000" w:themeColor="text1"/>
          <w:sz w:val="24"/>
          <w:szCs w:val="24"/>
        </w:rPr>
        <w:t xml:space="preserve"> </w:t>
      </w:r>
    </w:p>
    <w:p w14:paraId="17D25F15" w14:textId="1C260187" w:rsidR="008D7394" w:rsidRPr="00D80577" w:rsidRDefault="008D7394" w:rsidP="00E541D5">
      <w:pPr>
        <w:spacing w:line="360" w:lineRule="auto"/>
        <w:jc w:val="both"/>
        <w:rPr>
          <w:rFonts w:ascii="Arial" w:hAnsi="Arial" w:cs="Arial"/>
          <w:color w:val="000000" w:themeColor="text1"/>
        </w:rPr>
      </w:pPr>
      <w:r w:rsidRPr="00D80577">
        <w:rPr>
          <w:rFonts w:ascii="Arial" w:hAnsi="Arial" w:cs="Arial"/>
          <w:color w:val="000000" w:themeColor="text1"/>
        </w:rPr>
        <w:t xml:space="preserve">The research philosophy used in this study is positivism, which focuses on observable, measurable phenomena and makes use of objective data as the means of determining patterns and causal relationships (Bryman and Bell, 2015; Saunders, Lewis and Thornhill, 2019). The </w:t>
      </w:r>
      <w:r w:rsidR="00D235F4" w:rsidRPr="00D80577">
        <w:rPr>
          <w:rFonts w:ascii="Arial" w:hAnsi="Arial" w:cs="Arial"/>
          <w:color w:val="000000" w:themeColor="text1"/>
        </w:rPr>
        <w:t>positivist approach coincides with the quantitative aspects of this study, in which the variables described in this study, including the efficiency of production, cost management, adoption of technology, and supply chain mitigation strategy, can be operationalised and analysed</w:t>
      </w:r>
      <w:r w:rsidRPr="00D80577">
        <w:rPr>
          <w:rFonts w:ascii="Arial" w:hAnsi="Arial" w:cs="Arial"/>
          <w:color w:val="000000" w:themeColor="text1"/>
        </w:rPr>
        <w:t xml:space="preserve"> statistically. One of the main advantages of positivism is that the results it produces can be </w:t>
      </w:r>
      <w:r w:rsidR="00D235F4" w:rsidRPr="00D80577">
        <w:rPr>
          <w:rFonts w:ascii="Arial" w:hAnsi="Arial" w:cs="Arial"/>
          <w:color w:val="000000" w:themeColor="text1"/>
        </w:rPr>
        <w:t xml:space="preserve">generalised and replicated, which is crucial in the </w:t>
      </w:r>
      <w:r w:rsidRPr="00D80577">
        <w:rPr>
          <w:rFonts w:ascii="Arial" w:hAnsi="Arial" w:cs="Arial"/>
          <w:color w:val="000000" w:themeColor="text1"/>
        </w:rPr>
        <w:t xml:space="preserve">case of comparing various SMEs in different parts of the UK. This method also facilitates hypothesis testing with the help of such theoretical frameworks as the Resource-Based View (RBV), Dynamic Capabilities Theory (DCT), and Network Theory, which allow conducting systematic analysis of the relationships among internal resources, adaptive capabilities, and SME resilience (Teece, Pisano and Shuen, 1994; Lubis, 2022). </w:t>
      </w:r>
    </w:p>
    <w:p w14:paraId="0BEA21C1" w14:textId="4A78A56C" w:rsidR="008D7394" w:rsidRPr="00D80577" w:rsidRDefault="008D7394" w:rsidP="00E541D5">
      <w:pPr>
        <w:spacing w:line="360" w:lineRule="auto"/>
        <w:jc w:val="both"/>
        <w:rPr>
          <w:rFonts w:ascii="Arial" w:hAnsi="Arial" w:cs="Arial"/>
          <w:color w:val="000000" w:themeColor="text1"/>
        </w:rPr>
      </w:pPr>
      <w:r w:rsidRPr="00D80577">
        <w:rPr>
          <w:rFonts w:ascii="Arial" w:hAnsi="Arial" w:cs="Arial"/>
          <w:color w:val="000000" w:themeColor="text1"/>
        </w:rPr>
        <w:lastRenderedPageBreak/>
        <w:t>Positivism is not without its limits</w:t>
      </w:r>
      <w:r w:rsidR="00D235F4" w:rsidRPr="00D80577">
        <w:rPr>
          <w:rFonts w:ascii="Arial" w:hAnsi="Arial" w:cs="Arial"/>
          <w:color w:val="000000" w:themeColor="text1"/>
        </w:rPr>
        <w:t>,</w:t>
      </w:r>
      <w:r w:rsidRPr="00D80577">
        <w:rPr>
          <w:rFonts w:ascii="Arial" w:hAnsi="Arial" w:cs="Arial"/>
          <w:color w:val="000000" w:themeColor="text1"/>
        </w:rPr>
        <w:t xml:space="preserve"> though. It is more likely to simplify complex phenomena and may disregard subjective and context-specific variables like managerial decision-making, corporate culture, or informal supplier networks, which affect the reactions of SMEs to supply chain disruptions (Bryman and Bell, 2015). Positivism is also based on the assumption that the social reality exists without human understanding, which might not entirely reflect </w:t>
      </w:r>
      <w:r w:rsidR="00D235F4" w:rsidRPr="00D80577">
        <w:rPr>
          <w:rFonts w:ascii="Arial" w:hAnsi="Arial" w:cs="Arial"/>
          <w:color w:val="000000" w:themeColor="text1"/>
        </w:rPr>
        <w:t xml:space="preserve">the </w:t>
      </w:r>
      <w:r w:rsidRPr="00D80577">
        <w:rPr>
          <w:rFonts w:ascii="Arial" w:hAnsi="Arial" w:cs="Arial"/>
          <w:color w:val="000000" w:themeColor="text1"/>
        </w:rPr>
        <w:t xml:space="preserve">peculiarities of SME activities (Saunders et al., 2019). Irrespective of these limitations, a positivist philosophy is relevant in this study since the main goal is to measure the relationships and evaluate patterns through structured, statistical means among the SMEs. The philosophy guarantees </w:t>
      </w:r>
      <w:r w:rsidR="00D235F4" w:rsidRPr="00D80577">
        <w:rPr>
          <w:rFonts w:ascii="Arial" w:hAnsi="Arial" w:cs="Arial"/>
          <w:color w:val="000000" w:themeColor="text1"/>
        </w:rPr>
        <w:t>rigorous</w:t>
      </w:r>
      <w:r w:rsidRPr="00D80577">
        <w:rPr>
          <w:rFonts w:ascii="Arial" w:hAnsi="Arial" w:cs="Arial"/>
          <w:color w:val="000000" w:themeColor="text1"/>
        </w:rPr>
        <w:t xml:space="preserve"> methodology, objectivity and reliability in the measurement of the effects of international supply chain disruptions.</w:t>
      </w:r>
    </w:p>
    <w:p w14:paraId="301D92B3" w14:textId="7A1CDBFE" w:rsidR="008D7394" w:rsidRPr="00D80577" w:rsidRDefault="008D7394" w:rsidP="00E541D5">
      <w:pPr>
        <w:pStyle w:val="Heading2"/>
        <w:spacing w:line="360" w:lineRule="auto"/>
        <w:jc w:val="both"/>
        <w:rPr>
          <w:rFonts w:ascii="Arial" w:hAnsi="Arial" w:cs="Arial"/>
          <w:b/>
          <w:bCs/>
          <w:color w:val="000000" w:themeColor="text1"/>
          <w:sz w:val="24"/>
          <w:szCs w:val="24"/>
        </w:rPr>
      </w:pPr>
      <w:bookmarkStart w:id="39" w:name="_Toc220890083"/>
      <w:r w:rsidRPr="00D80577">
        <w:rPr>
          <w:rFonts w:ascii="Arial" w:hAnsi="Arial" w:cs="Arial"/>
          <w:b/>
          <w:bCs/>
          <w:color w:val="000000" w:themeColor="text1"/>
          <w:sz w:val="24"/>
          <w:szCs w:val="24"/>
        </w:rPr>
        <w:t>3.3 Research Approach</w:t>
      </w:r>
      <w:bookmarkEnd w:id="39"/>
      <w:r w:rsidRPr="00D80577">
        <w:rPr>
          <w:rFonts w:ascii="Arial" w:hAnsi="Arial" w:cs="Arial"/>
          <w:b/>
          <w:bCs/>
          <w:color w:val="000000" w:themeColor="text1"/>
          <w:sz w:val="24"/>
          <w:szCs w:val="24"/>
        </w:rPr>
        <w:t xml:space="preserve"> </w:t>
      </w:r>
    </w:p>
    <w:p w14:paraId="3FA2B96B" w14:textId="6FE0DD41" w:rsidR="00E06DFA" w:rsidRPr="00D80577" w:rsidRDefault="00E06DFA" w:rsidP="00E541D5">
      <w:pPr>
        <w:spacing w:line="360" w:lineRule="auto"/>
        <w:jc w:val="both"/>
        <w:rPr>
          <w:rFonts w:ascii="Arial" w:hAnsi="Arial" w:cs="Arial"/>
          <w:color w:val="000000" w:themeColor="text1"/>
        </w:rPr>
      </w:pPr>
      <w:r w:rsidRPr="00D80577">
        <w:rPr>
          <w:rFonts w:ascii="Arial" w:hAnsi="Arial" w:cs="Arial"/>
          <w:color w:val="000000" w:themeColor="text1"/>
        </w:rPr>
        <w:t xml:space="preserve">The research method was a deductive one, which was in line with the positivist philosophy. Deduction involves </w:t>
      </w:r>
      <w:r w:rsidR="00D235F4" w:rsidRPr="00D80577">
        <w:rPr>
          <w:rFonts w:ascii="Arial" w:hAnsi="Arial" w:cs="Arial"/>
          <w:color w:val="000000" w:themeColor="text1"/>
        </w:rPr>
        <w:t>generalisation of hypotheses based on theories which are known,</w:t>
      </w:r>
      <w:r w:rsidRPr="00D80577">
        <w:rPr>
          <w:rFonts w:ascii="Arial" w:hAnsi="Arial" w:cs="Arial"/>
          <w:color w:val="000000" w:themeColor="text1"/>
        </w:rPr>
        <w:t xml:space="preserve"> and then they are tested empirically (Saunders, Lewis and Thornhill, 2019). In this paper, the Resource-Based View (RBV), Dynamic Capabilities Theory (DCT), and Network Theory were used to develop hypotheses to understand the idea of impacting internal resources, adaptive capabilities, and external networks on SME resilience to disruptions in international supply chains. </w:t>
      </w:r>
      <w:r w:rsidR="00D235F4" w:rsidRPr="00D80577">
        <w:rPr>
          <w:rFonts w:ascii="Arial" w:hAnsi="Arial" w:cs="Arial"/>
          <w:color w:val="000000" w:themeColor="text1"/>
        </w:rPr>
        <w:t>The deductive approach offers a methodological design and clarity whereby operationalisation</w:t>
      </w:r>
      <w:r w:rsidRPr="00D80577">
        <w:rPr>
          <w:rFonts w:ascii="Arial" w:hAnsi="Arial" w:cs="Arial"/>
          <w:color w:val="000000" w:themeColor="text1"/>
        </w:rPr>
        <w:t xml:space="preserve"> of variables like supplier diversification, adoption of digital, and managerial expertise can be accurately established. This will enable the statistical testing of the relationships between these factors and the operational performance so that the results are not only theoretically based but also reproducible (Barroga and Matanguihan, 2022). </w:t>
      </w:r>
    </w:p>
    <w:p w14:paraId="7DD9F4EC" w14:textId="60757C19" w:rsidR="00E06DFA" w:rsidRPr="00D80577" w:rsidRDefault="00E06DFA" w:rsidP="00E541D5">
      <w:pPr>
        <w:spacing w:line="360" w:lineRule="auto"/>
        <w:jc w:val="both"/>
        <w:rPr>
          <w:rFonts w:ascii="Arial" w:hAnsi="Arial" w:cs="Arial"/>
          <w:color w:val="000000" w:themeColor="text1"/>
        </w:rPr>
      </w:pPr>
      <w:r w:rsidRPr="00D80577">
        <w:rPr>
          <w:rFonts w:ascii="Arial" w:hAnsi="Arial" w:cs="Arial"/>
          <w:color w:val="000000" w:themeColor="text1"/>
        </w:rPr>
        <w:t xml:space="preserve">Nevertheless, deductive reasoning may be limiting and can fail to see unexpected variables or emergent phenomena in highly dynamic places such as global supply chains (Behfar and Okhuysen, 2018). Although the survey contained few open-ended questions in order to get some </w:t>
      </w:r>
      <w:r w:rsidR="00D235F4" w:rsidRPr="00D80577">
        <w:rPr>
          <w:rFonts w:ascii="Arial" w:hAnsi="Arial" w:cs="Arial"/>
          <w:color w:val="000000" w:themeColor="text1"/>
        </w:rPr>
        <w:t>context</w:t>
      </w:r>
      <w:r w:rsidRPr="00D80577">
        <w:rPr>
          <w:rFonts w:ascii="Arial" w:hAnsi="Arial" w:cs="Arial"/>
          <w:color w:val="000000" w:themeColor="text1"/>
        </w:rPr>
        <w:t xml:space="preserve">, the major emphasis was put on testing the hypothesis by means of quantification. The methodology is warranted by the fact that it provides a golden mean between theoretical </w:t>
      </w:r>
      <w:r w:rsidR="00D235F4" w:rsidRPr="00D80577">
        <w:rPr>
          <w:rFonts w:ascii="Arial" w:hAnsi="Arial" w:cs="Arial"/>
          <w:color w:val="000000" w:themeColor="text1"/>
        </w:rPr>
        <w:t xml:space="preserve">rigour and empirical measurement that allows conducting a </w:t>
      </w:r>
      <w:r w:rsidRPr="00D80577">
        <w:rPr>
          <w:rFonts w:ascii="Arial" w:hAnsi="Arial" w:cs="Arial"/>
          <w:color w:val="000000" w:themeColor="text1"/>
        </w:rPr>
        <w:t xml:space="preserve">systematic evaluation of the SME operational responses to disruptions. It </w:t>
      </w:r>
      <w:r w:rsidRPr="00D80577">
        <w:rPr>
          <w:rFonts w:ascii="Arial" w:hAnsi="Arial" w:cs="Arial"/>
          <w:color w:val="000000" w:themeColor="text1"/>
        </w:rPr>
        <w:lastRenderedPageBreak/>
        <w:t>makes certain that the research measures the quantifiable effect of supply chain shocks</w:t>
      </w:r>
      <w:r w:rsidR="00D235F4" w:rsidRPr="00D80577">
        <w:rPr>
          <w:rFonts w:ascii="Arial" w:hAnsi="Arial" w:cs="Arial"/>
          <w:color w:val="000000" w:themeColor="text1"/>
        </w:rPr>
        <w:t>,</w:t>
      </w:r>
      <w:r w:rsidRPr="00D80577">
        <w:rPr>
          <w:rFonts w:ascii="Arial" w:hAnsi="Arial" w:cs="Arial"/>
          <w:color w:val="000000" w:themeColor="text1"/>
        </w:rPr>
        <w:t xml:space="preserve"> and it is also consistent with the theoretical constructs.</w:t>
      </w:r>
    </w:p>
    <w:p w14:paraId="4EA2320A" w14:textId="77777777" w:rsidR="00E06DFA" w:rsidRPr="00D80577" w:rsidRDefault="00E06DFA" w:rsidP="00E541D5">
      <w:pPr>
        <w:pStyle w:val="Heading2"/>
        <w:spacing w:line="360" w:lineRule="auto"/>
        <w:jc w:val="both"/>
        <w:rPr>
          <w:rFonts w:ascii="Arial" w:hAnsi="Arial" w:cs="Arial"/>
          <w:b/>
          <w:bCs/>
          <w:color w:val="000000" w:themeColor="text1"/>
          <w:sz w:val="24"/>
          <w:szCs w:val="24"/>
        </w:rPr>
      </w:pPr>
      <w:bookmarkStart w:id="40" w:name="_Toc220890084"/>
      <w:r w:rsidRPr="00D80577">
        <w:rPr>
          <w:rFonts w:ascii="Arial" w:hAnsi="Arial" w:cs="Arial"/>
          <w:b/>
          <w:bCs/>
          <w:color w:val="000000" w:themeColor="text1"/>
          <w:sz w:val="24"/>
          <w:szCs w:val="24"/>
        </w:rPr>
        <w:t>3.4 Research Strategy</w:t>
      </w:r>
      <w:bookmarkEnd w:id="40"/>
      <w:r w:rsidRPr="00D80577">
        <w:rPr>
          <w:rFonts w:ascii="Arial" w:hAnsi="Arial" w:cs="Arial"/>
          <w:b/>
          <w:bCs/>
          <w:color w:val="000000" w:themeColor="text1"/>
          <w:sz w:val="24"/>
          <w:szCs w:val="24"/>
        </w:rPr>
        <w:t xml:space="preserve"> </w:t>
      </w:r>
    </w:p>
    <w:p w14:paraId="488AD051" w14:textId="424F6EC6" w:rsidR="00E06DFA" w:rsidRPr="00D80577" w:rsidRDefault="00E06DFA" w:rsidP="00E541D5">
      <w:pPr>
        <w:spacing w:line="360" w:lineRule="auto"/>
        <w:jc w:val="both"/>
        <w:rPr>
          <w:rFonts w:ascii="Arial" w:hAnsi="Arial" w:cs="Arial"/>
          <w:color w:val="000000" w:themeColor="text1"/>
        </w:rPr>
      </w:pPr>
      <w:r w:rsidRPr="00D80577">
        <w:rPr>
          <w:rFonts w:ascii="Arial" w:hAnsi="Arial" w:cs="Arial"/>
          <w:color w:val="000000" w:themeColor="text1"/>
        </w:rPr>
        <w:t xml:space="preserve">The survey approach has been chosen in this study, which corresponds to the main quantitative focus, and the aim to conduct a structured collection of data with a large sample of UK SMEs (Bryman and Bell, 2015; Saunders, Lewis and Thornhill, 2019). This research is particularly appropriate when it comes to surveys since they ensure that data is collected in a </w:t>
      </w:r>
      <w:r w:rsidR="00D235F4" w:rsidRPr="00D80577">
        <w:rPr>
          <w:rFonts w:ascii="Arial" w:hAnsi="Arial" w:cs="Arial"/>
          <w:color w:val="000000" w:themeColor="text1"/>
        </w:rPr>
        <w:t>standardised form, which is easy to compare, test statistically, and generalise</w:t>
      </w:r>
      <w:r w:rsidRPr="00D80577">
        <w:rPr>
          <w:rFonts w:ascii="Arial" w:hAnsi="Arial" w:cs="Arial"/>
          <w:color w:val="000000" w:themeColor="text1"/>
        </w:rPr>
        <w:t xml:space="preserve"> the findings. The key constructs addressed by the strategy to be </w:t>
      </w:r>
      <w:r w:rsidR="00D235F4" w:rsidRPr="00D80577">
        <w:rPr>
          <w:rFonts w:ascii="Arial" w:hAnsi="Arial" w:cs="Arial"/>
          <w:color w:val="000000" w:themeColor="text1"/>
        </w:rPr>
        <w:t xml:space="preserve">operationalised include production efficiency, product diversification in supply chains, and digital preparedness, which are the core focus in determining the impacts of international supply chain disruptions on the </w:t>
      </w:r>
      <w:r w:rsidRPr="00D80577">
        <w:rPr>
          <w:rFonts w:ascii="Arial" w:hAnsi="Arial" w:cs="Arial"/>
          <w:color w:val="000000" w:themeColor="text1"/>
        </w:rPr>
        <w:t>performance of SMEs</w:t>
      </w:r>
      <w:r w:rsidR="00C32BB7" w:rsidRPr="00D80577">
        <w:rPr>
          <w:rFonts w:ascii="Arial" w:hAnsi="Arial" w:cs="Arial"/>
          <w:color w:val="000000" w:themeColor="text1"/>
        </w:rPr>
        <w:t xml:space="preserve"> (Ali et al., 2024)</w:t>
      </w:r>
      <w:r w:rsidRPr="00D80577">
        <w:rPr>
          <w:rFonts w:ascii="Arial" w:hAnsi="Arial" w:cs="Arial"/>
          <w:color w:val="000000" w:themeColor="text1"/>
        </w:rPr>
        <w:t xml:space="preserve">. The primary advantage of </w:t>
      </w:r>
      <w:r w:rsidR="00D235F4" w:rsidRPr="00D80577">
        <w:rPr>
          <w:rFonts w:ascii="Arial" w:hAnsi="Arial" w:cs="Arial"/>
          <w:color w:val="000000" w:themeColor="text1"/>
        </w:rPr>
        <w:t xml:space="preserve">the </w:t>
      </w:r>
      <w:r w:rsidRPr="00D80577">
        <w:rPr>
          <w:rFonts w:ascii="Arial" w:hAnsi="Arial" w:cs="Arial"/>
          <w:color w:val="000000" w:themeColor="text1"/>
        </w:rPr>
        <w:t xml:space="preserve">survey method is that it is scalable and cost-effective to enable the collection of data on SMEs in different regions with minimum logistical limitations. The surveys also generate structured information that can be rigorously </w:t>
      </w:r>
      <w:r w:rsidR="00D235F4" w:rsidRPr="00D80577">
        <w:rPr>
          <w:rFonts w:ascii="Arial" w:hAnsi="Arial" w:cs="Arial"/>
          <w:color w:val="000000" w:themeColor="text1"/>
        </w:rPr>
        <w:t>analysed in terms of quantitative data,</w:t>
      </w:r>
      <w:r w:rsidRPr="00D80577">
        <w:rPr>
          <w:rFonts w:ascii="Arial" w:hAnsi="Arial" w:cs="Arial"/>
          <w:color w:val="000000" w:themeColor="text1"/>
        </w:rPr>
        <w:t xml:space="preserve"> allowing hypothesis testing based upon theoretical models. </w:t>
      </w:r>
    </w:p>
    <w:p w14:paraId="0825684A" w14:textId="4781E4B4" w:rsidR="00E06DFA" w:rsidRPr="00D80577" w:rsidRDefault="00E06DFA" w:rsidP="00C32BB7">
      <w:pPr>
        <w:spacing w:line="360" w:lineRule="auto"/>
        <w:jc w:val="both"/>
        <w:rPr>
          <w:rFonts w:ascii="Arial" w:hAnsi="Arial" w:cs="Arial"/>
          <w:color w:val="000000" w:themeColor="text1"/>
        </w:rPr>
      </w:pPr>
      <w:r w:rsidRPr="00D80577">
        <w:rPr>
          <w:rFonts w:ascii="Arial" w:hAnsi="Arial" w:cs="Arial"/>
          <w:color w:val="000000" w:themeColor="text1"/>
        </w:rPr>
        <w:t xml:space="preserve">In addition, </w:t>
      </w:r>
      <w:r w:rsidR="00D235F4" w:rsidRPr="00D80577">
        <w:rPr>
          <w:rFonts w:ascii="Arial" w:hAnsi="Arial" w:cs="Arial"/>
          <w:color w:val="000000" w:themeColor="text1"/>
        </w:rPr>
        <w:t>standardisation of surveys implies consistency in the measurement of the variables and thus minimises</w:t>
      </w:r>
      <w:r w:rsidRPr="00D80577">
        <w:rPr>
          <w:rFonts w:ascii="Arial" w:hAnsi="Arial" w:cs="Arial"/>
          <w:color w:val="000000" w:themeColor="text1"/>
        </w:rPr>
        <w:t xml:space="preserve"> researcher bias in the collection of data. However, there are significant weaknesses in surveys. They are based on self-reports that are susceptible to respondent bias or poor reporting (Rosenman, Tennekoon and Hill, 2011). Surveys can also not address subtle, context-driven variables, including managerial judgment, </w:t>
      </w:r>
      <w:r w:rsidR="00D235F4" w:rsidRPr="00D80577">
        <w:rPr>
          <w:rFonts w:ascii="Arial" w:hAnsi="Arial" w:cs="Arial"/>
          <w:color w:val="000000" w:themeColor="text1"/>
        </w:rPr>
        <w:t>organisational</w:t>
      </w:r>
      <w:r w:rsidRPr="00D80577">
        <w:rPr>
          <w:rFonts w:ascii="Arial" w:hAnsi="Arial" w:cs="Arial"/>
          <w:color w:val="000000" w:themeColor="text1"/>
        </w:rPr>
        <w:t xml:space="preserve"> culture or informal supplier relationships, which can have a major impact on SME resilience. Also, the response rates might be low</w:t>
      </w:r>
      <w:r w:rsidR="00D235F4" w:rsidRPr="00D80577">
        <w:rPr>
          <w:rFonts w:ascii="Arial" w:hAnsi="Arial" w:cs="Arial"/>
          <w:color w:val="000000" w:themeColor="text1"/>
        </w:rPr>
        <w:t>, and this may lead to non-response bias, which may compromise representativeness and generalisation</w:t>
      </w:r>
      <w:r w:rsidRPr="00D80577">
        <w:rPr>
          <w:rFonts w:ascii="Arial" w:hAnsi="Arial" w:cs="Arial"/>
          <w:color w:val="000000" w:themeColor="text1"/>
        </w:rPr>
        <w:t>. Irrespective of these issues, the strategy of the survey is warranted, since the research is oriented at quantifying the relations between the disruption of the supply chain and operational performance</w:t>
      </w:r>
      <w:r w:rsidR="00C32BB7" w:rsidRPr="00D80577">
        <w:rPr>
          <w:rFonts w:ascii="Arial" w:hAnsi="Arial" w:cs="Arial"/>
          <w:color w:val="000000" w:themeColor="text1"/>
        </w:rPr>
        <w:t xml:space="preserve"> (Sterrantino, 2024)</w:t>
      </w:r>
      <w:r w:rsidRPr="00D80577">
        <w:rPr>
          <w:rFonts w:ascii="Arial" w:hAnsi="Arial" w:cs="Arial"/>
          <w:color w:val="000000" w:themeColor="text1"/>
        </w:rPr>
        <w:t xml:space="preserve">. The survey has been pretested to </w:t>
      </w:r>
      <w:r w:rsidR="00D235F4" w:rsidRPr="00D80577">
        <w:rPr>
          <w:rFonts w:ascii="Arial" w:hAnsi="Arial" w:cs="Arial"/>
          <w:color w:val="000000" w:themeColor="text1"/>
        </w:rPr>
        <w:t>minimise the possible weaknesses,</w:t>
      </w:r>
      <w:r w:rsidRPr="00D80577">
        <w:rPr>
          <w:rFonts w:ascii="Arial" w:hAnsi="Arial" w:cs="Arial"/>
          <w:color w:val="000000" w:themeColor="text1"/>
        </w:rPr>
        <w:t xml:space="preserve"> and validation questions were added in order to decrease the measurement error. Statistical analysis (descriptive analysis, correlation, and regression) </w:t>
      </w:r>
      <w:r w:rsidRPr="00D80577">
        <w:rPr>
          <w:rFonts w:ascii="Arial" w:hAnsi="Arial" w:cs="Arial"/>
          <w:color w:val="000000" w:themeColor="text1"/>
        </w:rPr>
        <w:lastRenderedPageBreak/>
        <w:t xml:space="preserve">was used to offer </w:t>
      </w:r>
      <w:r w:rsidR="00D235F4" w:rsidRPr="00D80577">
        <w:rPr>
          <w:rFonts w:ascii="Arial" w:hAnsi="Arial" w:cs="Arial"/>
          <w:color w:val="000000" w:themeColor="text1"/>
        </w:rPr>
        <w:t xml:space="preserve">a sound, objective assessment of the hypothesis and reveal patterns of systemic understanding of SME resilience in the </w:t>
      </w:r>
      <w:r w:rsidRPr="00D80577">
        <w:rPr>
          <w:rFonts w:ascii="Arial" w:hAnsi="Arial" w:cs="Arial"/>
          <w:color w:val="000000" w:themeColor="text1"/>
        </w:rPr>
        <w:t>UK.</w:t>
      </w:r>
    </w:p>
    <w:p w14:paraId="4C34471C" w14:textId="16085A53" w:rsidR="00C32BB7" w:rsidRPr="00D80577" w:rsidRDefault="00C32BB7" w:rsidP="00C32BB7">
      <w:pPr>
        <w:spacing w:line="360" w:lineRule="auto"/>
        <w:jc w:val="both"/>
        <w:rPr>
          <w:rFonts w:ascii="Arial" w:hAnsi="Arial" w:cs="Arial"/>
          <w:color w:val="000000" w:themeColor="text1"/>
        </w:rPr>
      </w:pPr>
      <w:r w:rsidRPr="00D80577">
        <w:rPr>
          <w:rFonts w:ascii="Arial" w:hAnsi="Arial" w:cs="Arial"/>
          <w:b/>
          <w:bCs/>
          <w:color w:val="000000" w:themeColor="text1"/>
        </w:rPr>
        <w:t xml:space="preserve">3.5 Research Choices </w:t>
      </w:r>
      <w:r w:rsidRPr="00D80577">
        <w:rPr>
          <w:rFonts w:ascii="Arial" w:hAnsi="Arial" w:cs="Arial"/>
          <w:color w:val="000000" w:themeColor="text1"/>
        </w:rPr>
        <w:br/>
      </w:r>
      <w:r w:rsidR="00327CED" w:rsidRPr="00D80577">
        <w:rPr>
          <w:rFonts w:ascii="Arial" w:hAnsi="Arial" w:cs="Arial"/>
          <w:color w:val="000000" w:themeColor="text1"/>
        </w:rPr>
        <w:t xml:space="preserve">The quantitative method used was a mono-method where structured questionnaires were used to collect the data. The studied option takes adherence to the positivist philosophy and deductive logic with </w:t>
      </w:r>
      <w:r w:rsidR="00D235F4" w:rsidRPr="00D80577">
        <w:rPr>
          <w:rFonts w:ascii="Arial" w:hAnsi="Arial" w:cs="Arial"/>
          <w:color w:val="000000" w:themeColor="text1"/>
        </w:rPr>
        <w:t xml:space="preserve">a </w:t>
      </w:r>
      <w:r w:rsidR="00327CED" w:rsidRPr="00D80577">
        <w:rPr>
          <w:rFonts w:ascii="Arial" w:hAnsi="Arial" w:cs="Arial"/>
          <w:color w:val="000000" w:themeColor="text1"/>
        </w:rPr>
        <w:t xml:space="preserve">focus on observable, quantifiable variables and the possibility to test hypotheses statistically (Bryman and Bell, 2015). The methodology provides consistency and comparability among respondents, ease of analysis, with the help of software, such as SPSS, and enables systematic testing of the relationship between supply chain disruptions and SME performance indicators. Nevertheless, the technique has its flaws since it overlooks the qualitative aspects, including managerial logic, </w:t>
      </w:r>
      <w:r w:rsidR="00D235F4" w:rsidRPr="00D80577">
        <w:rPr>
          <w:rFonts w:ascii="Arial" w:hAnsi="Arial" w:cs="Arial"/>
          <w:color w:val="000000" w:themeColor="text1"/>
        </w:rPr>
        <w:t>organisational culture, or informal interactions with suppliers and may exclude the variables that arise in an emergent manner and have an</w:t>
      </w:r>
      <w:r w:rsidR="00327CED" w:rsidRPr="00D80577">
        <w:rPr>
          <w:rFonts w:ascii="Arial" w:hAnsi="Arial" w:cs="Arial"/>
          <w:color w:val="000000" w:themeColor="text1"/>
        </w:rPr>
        <w:t xml:space="preserve"> impact on SME resilience. Irrespective of these limitations, the mono-method approach is reasonable because of the major emphasis on measurable results and hypothesis-based analysis</w:t>
      </w:r>
      <w:r w:rsidRPr="00D80577">
        <w:rPr>
          <w:rFonts w:ascii="Arial" w:hAnsi="Arial" w:cs="Arial"/>
          <w:color w:val="000000" w:themeColor="text1"/>
        </w:rPr>
        <w:t>.</w:t>
      </w:r>
    </w:p>
    <w:p w14:paraId="4490525B" w14:textId="53240FA7" w:rsidR="00C32BB7" w:rsidRPr="00D80577" w:rsidRDefault="00327CED" w:rsidP="00E541D5">
      <w:pPr>
        <w:spacing w:line="360" w:lineRule="auto"/>
        <w:jc w:val="both"/>
        <w:rPr>
          <w:rFonts w:ascii="Arial" w:hAnsi="Arial" w:cs="Arial"/>
          <w:color w:val="000000" w:themeColor="text1"/>
        </w:rPr>
      </w:pPr>
      <w:r w:rsidRPr="00D80577">
        <w:rPr>
          <w:rFonts w:ascii="Arial" w:hAnsi="Arial" w:cs="Arial"/>
          <w:b/>
          <w:bCs/>
          <w:color w:val="000000" w:themeColor="text1"/>
        </w:rPr>
        <w:t xml:space="preserve">3.6 </w:t>
      </w:r>
      <w:r w:rsidR="00C32BB7" w:rsidRPr="00D80577">
        <w:rPr>
          <w:rFonts w:ascii="Arial" w:hAnsi="Arial" w:cs="Arial"/>
          <w:b/>
          <w:bCs/>
          <w:color w:val="000000" w:themeColor="text1"/>
        </w:rPr>
        <w:t xml:space="preserve">Time Horizon </w:t>
      </w:r>
      <w:r w:rsidR="00C32BB7" w:rsidRPr="00D80577">
        <w:rPr>
          <w:rFonts w:ascii="Arial" w:hAnsi="Arial" w:cs="Arial"/>
          <w:color w:val="000000" w:themeColor="text1"/>
        </w:rPr>
        <w:br/>
      </w:r>
      <w:r w:rsidR="00E541D5" w:rsidRPr="00D80577">
        <w:rPr>
          <w:rFonts w:ascii="Arial" w:hAnsi="Arial" w:cs="Arial"/>
          <w:color w:val="000000" w:themeColor="text1"/>
        </w:rPr>
        <w:t xml:space="preserve">The time horizon used was </w:t>
      </w:r>
      <w:r w:rsidR="00D235F4" w:rsidRPr="00D80577">
        <w:rPr>
          <w:rFonts w:ascii="Arial" w:hAnsi="Arial" w:cs="Arial"/>
          <w:color w:val="000000" w:themeColor="text1"/>
        </w:rPr>
        <w:t>cross-sectional</w:t>
      </w:r>
      <w:r w:rsidR="00E541D5" w:rsidRPr="00D80577">
        <w:rPr>
          <w:rFonts w:ascii="Arial" w:hAnsi="Arial" w:cs="Arial"/>
          <w:color w:val="000000" w:themeColor="text1"/>
        </w:rPr>
        <w:t xml:space="preserve"> since data of SMEs was collected at one time. The structure works well as a method of investigating the immediate effect of international supply chain shocks and relating variables that could be measured in the most effective way (Saunders, Lewis and Thornhill, 2019). However, it is not able to trace dynamic changes, processes of long-term adaptation, or changing strategies of resilience, so it cannot reveal anything about the effects over time. It is valid that the cross-sectional method is applied in this research because of the lack of resources, the necessity to obtain quick data from numerous SMEs, and the focus on the statistical analysis of relations as opposed to trends.</w:t>
      </w:r>
    </w:p>
    <w:p w14:paraId="210A8D67" w14:textId="13D7D824" w:rsidR="00BC13B7" w:rsidRPr="00D80577" w:rsidRDefault="00BC13B7" w:rsidP="00BC13B7">
      <w:pPr>
        <w:pStyle w:val="Heading2"/>
        <w:spacing w:line="360" w:lineRule="auto"/>
        <w:jc w:val="both"/>
        <w:rPr>
          <w:rFonts w:ascii="Arial" w:hAnsi="Arial" w:cs="Arial"/>
          <w:b/>
          <w:bCs/>
          <w:color w:val="000000" w:themeColor="text1"/>
          <w:sz w:val="24"/>
          <w:szCs w:val="24"/>
        </w:rPr>
      </w:pPr>
      <w:bookmarkStart w:id="41" w:name="_Toc220890085"/>
      <w:r w:rsidRPr="00D80577">
        <w:rPr>
          <w:rFonts w:ascii="Arial" w:hAnsi="Arial" w:cs="Arial"/>
          <w:b/>
          <w:bCs/>
          <w:color w:val="000000" w:themeColor="text1"/>
          <w:sz w:val="24"/>
          <w:szCs w:val="24"/>
        </w:rPr>
        <w:t>3.</w:t>
      </w:r>
      <w:r w:rsidR="007B42D6" w:rsidRPr="00D80577">
        <w:rPr>
          <w:rFonts w:ascii="Arial" w:hAnsi="Arial" w:cs="Arial"/>
          <w:b/>
          <w:bCs/>
          <w:color w:val="000000" w:themeColor="text1"/>
          <w:sz w:val="24"/>
          <w:szCs w:val="24"/>
        </w:rPr>
        <w:t>5</w:t>
      </w:r>
      <w:r w:rsidRPr="00D80577">
        <w:rPr>
          <w:rFonts w:ascii="Arial" w:hAnsi="Arial" w:cs="Arial"/>
          <w:b/>
          <w:bCs/>
          <w:color w:val="000000" w:themeColor="text1"/>
          <w:sz w:val="24"/>
          <w:szCs w:val="24"/>
        </w:rPr>
        <w:t xml:space="preserve"> Population, Sampling, and Sample Size</w:t>
      </w:r>
      <w:bookmarkEnd w:id="41"/>
    </w:p>
    <w:p w14:paraId="6C8713CE" w14:textId="3068B755" w:rsidR="00BC13B7" w:rsidRPr="00D80577" w:rsidRDefault="00BC13B7" w:rsidP="00BC13B7">
      <w:pPr>
        <w:spacing w:line="360" w:lineRule="auto"/>
        <w:jc w:val="both"/>
        <w:rPr>
          <w:rFonts w:ascii="Arial" w:hAnsi="Arial" w:cs="Arial"/>
          <w:color w:val="000000" w:themeColor="text1"/>
        </w:rPr>
      </w:pPr>
      <w:r w:rsidRPr="00D80577">
        <w:rPr>
          <w:rFonts w:ascii="Arial" w:hAnsi="Arial" w:cs="Arial"/>
          <w:color w:val="000000" w:themeColor="text1"/>
        </w:rPr>
        <w:t xml:space="preserve">The population of the research will include SME manufacturing </w:t>
      </w:r>
      <w:r w:rsidR="00D235F4" w:rsidRPr="00D80577">
        <w:rPr>
          <w:rFonts w:ascii="Arial" w:hAnsi="Arial" w:cs="Arial"/>
          <w:color w:val="000000" w:themeColor="text1"/>
        </w:rPr>
        <w:t>organisations in the UK, which are organisations</w:t>
      </w:r>
      <w:r w:rsidRPr="00D80577">
        <w:rPr>
          <w:rFonts w:ascii="Arial" w:hAnsi="Arial" w:cs="Arial"/>
          <w:color w:val="000000" w:themeColor="text1"/>
        </w:rPr>
        <w:t xml:space="preserve"> with less than 250 employees and an annual turnover of not more than £50 million (Gov.UK, 2024). These companies are already vulnerable to the effects of international supply </w:t>
      </w:r>
      <w:r w:rsidR="00D235F4" w:rsidRPr="00D80577">
        <w:rPr>
          <w:rFonts w:ascii="Arial" w:hAnsi="Arial" w:cs="Arial"/>
          <w:color w:val="000000" w:themeColor="text1"/>
        </w:rPr>
        <w:t>chain failures because of limited financial capabilities, just-in-time</w:t>
      </w:r>
      <w:r w:rsidRPr="00D80577">
        <w:rPr>
          <w:rFonts w:ascii="Arial" w:hAnsi="Arial" w:cs="Arial"/>
          <w:color w:val="000000" w:themeColor="text1"/>
        </w:rPr>
        <w:t xml:space="preserve">, </w:t>
      </w:r>
      <w:r w:rsidRPr="00D80577">
        <w:rPr>
          <w:rFonts w:ascii="Arial" w:hAnsi="Arial" w:cs="Arial"/>
          <w:color w:val="000000" w:themeColor="text1"/>
        </w:rPr>
        <w:lastRenderedPageBreak/>
        <w:t>and reliance on international suppliers, which makes them the best companies to explore the nature of operational resilience and strategic response.</w:t>
      </w:r>
    </w:p>
    <w:p w14:paraId="150FC48B" w14:textId="1EC485D7" w:rsidR="00BC13B7" w:rsidRPr="00D80577" w:rsidRDefault="00BC13B7" w:rsidP="00BC13B7">
      <w:pPr>
        <w:spacing w:line="360" w:lineRule="auto"/>
        <w:jc w:val="both"/>
        <w:rPr>
          <w:rFonts w:ascii="Arial" w:hAnsi="Arial" w:cs="Arial"/>
          <w:color w:val="000000" w:themeColor="text1"/>
        </w:rPr>
      </w:pPr>
      <w:r w:rsidRPr="00D80577">
        <w:rPr>
          <w:rFonts w:ascii="Arial" w:hAnsi="Arial" w:cs="Arial"/>
          <w:color w:val="000000" w:themeColor="text1"/>
        </w:rPr>
        <w:t xml:space="preserve">The purposive sampling approach that was used was non-probability, which focuses on SMEs that have relevant experience in international supply chain management. This will lead to the collection of quality data, which meets the objective of the research since respondents will have personal experience of supply chain disruptions (Etikan, Musa </w:t>
      </w:r>
      <w:r w:rsidR="001817A3" w:rsidRPr="00D80577">
        <w:rPr>
          <w:rFonts w:ascii="Arial" w:hAnsi="Arial" w:cs="Arial"/>
          <w:color w:val="000000" w:themeColor="text1"/>
        </w:rPr>
        <w:t xml:space="preserve">and </w:t>
      </w:r>
      <w:r w:rsidRPr="00D80577">
        <w:rPr>
          <w:rFonts w:ascii="Arial" w:hAnsi="Arial" w:cs="Arial"/>
          <w:color w:val="000000" w:themeColor="text1"/>
        </w:rPr>
        <w:t xml:space="preserve"> Alkassim, 2016). Nonetheless, purposive sampling leads to the possible selection bias and constriction of the generalizability of other samples, as the exclusion of firms not involved in international supply chains or manufacturing activities.</w:t>
      </w:r>
    </w:p>
    <w:p w14:paraId="4536D574" w14:textId="4F57F212" w:rsidR="00BC13B7" w:rsidRPr="00D80577" w:rsidRDefault="00BC13B7" w:rsidP="00BC13B7">
      <w:pPr>
        <w:spacing w:line="360" w:lineRule="auto"/>
        <w:jc w:val="both"/>
        <w:rPr>
          <w:rFonts w:ascii="Arial" w:hAnsi="Arial" w:cs="Arial"/>
          <w:color w:val="000000" w:themeColor="text1"/>
        </w:rPr>
      </w:pPr>
      <w:r w:rsidRPr="00D80577">
        <w:rPr>
          <w:rFonts w:ascii="Arial" w:hAnsi="Arial" w:cs="Arial"/>
          <w:color w:val="000000" w:themeColor="text1"/>
        </w:rPr>
        <w:t xml:space="preserve">The statistical reliability and practical feasibility were met by choosing a target sample of 100 employees of SMEs. This is in accordance with </w:t>
      </w:r>
      <w:r w:rsidR="00D235F4" w:rsidRPr="00D80577">
        <w:rPr>
          <w:rFonts w:ascii="Arial" w:hAnsi="Arial" w:cs="Arial"/>
          <w:color w:val="000000" w:themeColor="text1"/>
        </w:rPr>
        <w:t>the recommendations of Krejcie and Morgan (1970) for a finite population, which has adequate power for</w:t>
      </w:r>
      <w:r w:rsidRPr="00D80577">
        <w:rPr>
          <w:rFonts w:ascii="Arial" w:hAnsi="Arial" w:cs="Arial"/>
          <w:color w:val="000000" w:themeColor="text1"/>
        </w:rPr>
        <w:t xml:space="preserve"> regression and correlation analysis. A pretest on 10 SMEs was performed to ensure that the questions were clear and relevant to the research, which in the process increased the reliability and </w:t>
      </w:r>
      <w:r w:rsidR="00D235F4" w:rsidRPr="00D80577">
        <w:rPr>
          <w:rFonts w:ascii="Arial" w:hAnsi="Arial" w:cs="Arial"/>
          <w:color w:val="000000" w:themeColor="text1"/>
        </w:rPr>
        <w:t>minimised</w:t>
      </w:r>
      <w:r w:rsidRPr="00D80577">
        <w:rPr>
          <w:rFonts w:ascii="Arial" w:hAnsi="Arial" w:cs="Arial"/>
          <w:color w:val="000000" w:themeColor="text1"/>
        </w:rPr>
        <w:t xml:space="preserve"> error in measurement.</w:t>
      </w:r>
    </w:p>
    <w:p w14:paraId="2C197EAA" w14:textId="7D528954" w:rsidR="00BC13B7" w:rsidRPr="00D80577" w:rsidRDefault="00BC13B7" w:rsidP="00BC13B7">
      <w:pPr>
        <w:pStyle w:val="Caption"/>
        <w:keepNext/>
        <w:rPr>
          <w:rFonts w:ascii="Arial" w:hAnsi="Arial" w:cs="Arial"/>
          <w:i w:val="0"/>
          <w:iCs w:val="0"/>
          <w:sz w:val="24"/>
          <w:szCs w:val="24"/>
        </w:rPr>
      </w:pPr>
      <w:bookmarkStart w:id="42" w:name="_Toc220889978"/>
      <w:r w:rsidRPr="00D80577">
        <w:rPr>
          <w:rFonts w:ascii="Arial" w:hAnsi="Arial" w:cs="Arial"/>
          <w:i w:val="0"/>
          <w:iCs w:val="0"/>
          <w:sz w:val="24"/>
          <w:szCs w:val="24"/>
        </w:rPr>
        <w:t xml:space="preserve">Table </w:t>
      </w:r>
      <w:r w:rsidRPr="00D80577">
        <w:rPr>
          <w:rFonts w:ascii="Arial" w:hAnsi="Arial" w:cs="Arial"/>
          <w:i w:val="0"/>
          <w:iCs w:val="0"/>
          <w:sz w:val="24"/>
          <w:szCs w:val="24"/>
        </w:rPr>
        <w:fldChar w:fldCharType="begin"/>
      </w:r>
      <w:r w:rsidRPr="00D80577">
        <w:rPr>
          <w:rFonts w:ascii="Arial" w:hAnsi="Arial" w:cs="Arial"/>
          <w:i w:val="0"/>
          <w:iCs w:val="0"/>
          <w:sz w:val="24"/>
          <w:szCs w:val="24"/>
        </w:rPr>
        <w:instrText xml:space="preserve"> SEQ Table \* ARABIC </w:instrText>
      </w:r>
      <w:r w:rsidRPr="00D80577">
        <w:rPr>
          <w:rFonts w:ascii="Arial" w:hAnsi="Arial" w:cs="Arial"/>
          <w:i w:val="0"/>
          <w:iCs w:val="0"/>
          <w:sz w:val="24"/>
          <w:szCs w:val="24"/>
        </w:rPr>
        <w:fldChar w:fldCharType="separate"/>
      </w:r>
      <w:r w:rsidR="00743850" w:rsidRPr="00D80577">
        <w:rPr>
          <w:rFonts w:ascii="Arial" w:hAnsi="Arial" w:cs="Arial"/>
          <w:i w:val="0"/>
          <w:iCs w:val="0"/>
          <w:noProof/>
          <w:sz w:val="24"/>
          <w:szCs w:val="24"/>
        </w:rPr>
        <w:t>1</w:t>
      </w:r>
      <w:r w:rsidRPr="00D80577">
        <w:rPr>
          <w:rFonts w:ascii="Arial" w:hAnsi="Arial" w:cs="Arial"/>
          <w:i w:val="0"/>
          <w:iCs w:val="0"/>
          <w:sz w:val="24"/>
          <w:szCs w:val="24"/>
        </w:rPr>
        <w:fldChar w:fldCharType="end"/>
      </w:r>
      <w:r w:rsidRPr="00D80577">
        <w:rPr>
          <w:rFonts w:ascii="Arial" w:hAnsi="Arial" w:cs="Arial"/>
          <w:i w:val="0"/>
          <w:iCs w:val="0"/>
          <w:sz w:val="24"/>
          <w:szCs w:val="24"/>
        </w:rPr>
        <w:t xml:space="preserve"> Inclusion and Exclusion Criteria</w:t>
      </w:r>
      <w:bookmarkEnd w:id="42"/>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6"/>
        <w:gridCol w:w="4258"/>
        <w:gridCol w:w="2686"/>
      </w:tblGrid>
      <w:tr w:rsidR="00BC13B7" w:rsidRPr="00D80577" w14:paraId="12D0DFA4" w14:textId="77777777" w:rsidTr="00BC13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A79B2E"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Criteria</w:t>
            </w:r>
          </w:p>
        </w:tc>
        <w:tc>
          <w:tcPr>
            <w:tcW w:w="0" w:type="auto"/>
            <w:hideMark/>
          </w:tcPr>
          <w:p w14:paraId="2FF91DF6" w14:textId="77777777" w:rsidR="00BC13B7" w:rsidRPr="00D80577" w:rsidRDefault="00BC13B7" w:rsidP="00BC13B7">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Inclusion</w:t>
            </w:r>
          </w:p>
        </w:tc>
        <w:tc>
          <w:tcPr>
            <w:tcW w:w="0" w:type="auto"/>
            <w:hideMark/>
          </w:tcPr>
          <w:p w14:paraId="02FF2F94" w14:textId="77777777" w:rsidR="00BC13B7" w:rsidRPr="00D80577" w:rsidRDefault="00BC13B7" w:rsidP="00BC13B7">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Exclusion</w:t>
            </w:r>
          </w:p>
        </w:tc>
      </w:tr>
      <w:tr w:rsidR="00BC13B7" w:rsidRPr="00D80577" w14:paraId="259D2926" w14:textId="77777777" w:rsidTr="00BC1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2043C2"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Company Size</w:t>
            </w:r>
          </w:p>
        </w:tc>
        <w:tc>
          <w:tcPr>
            <w:tcW w:w="0" w:type="auto"/>
            <w:hideMark/>
          </w:tcPr>
          <w:p w14:paraId="5AD46E9F"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&lt;250 employees</w:t>
            </w:r>
          </w:p>
        </w:tc>
        <w:tc>
          <w:tcPr>
            <w:tcW w:w="0" w:type="auto"/>
            <w:hideMark/>
          </w:tcPr>
          <w:p w14:paraId="22A4C16D"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&gt;250 employees</w:t>
            </w:r>
          </w:p>
        </w:tc>
      </w:tr>
      <w:tr w:rsidR="00BC13B7" w:rsidRPr="00D80577" w14:paraId="33948757" w14:textId="77777777" w:rsidTr="00BC13B7">
        <w:tc>
          <w:tcPr>
            <w:cnfStyle w:val="001000000000" w:firstRow="0" w:lastRow="0" w:firstColumn="1" w:lastColumn="0" w:oddVBand="0" w:evenVBand="0" w:oddHBand="0" w:evenHBand="0" w:firstRowFirstColumn="0" w:firstRowLastColumn="0" w:lastRowFirstColumn="0" w:lastRowLastColumn="0"/>
            <w:tcW w:w="0" w:type="auto"/>
            <w:hideMark/>
          </w:tcPr>
          <w:p w14:paraId="19405346"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Annual Turnover</w:t>
            </w:r>
          </w:p>
        </w:tc>
        <w:tc>
          <w:tcPr>
            <w:tcW w:w="0" w:type="auto"/>
            <w:hideMark/>
          </w:tcPr>
          <w:p w14:paraId="53C76E4F"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&lt;£50 million</w:t>
            </w:r>
          </w:p>
        </w:tc>
        <w:tc>
          <w:tcPr>
            <w:tcW w:w="0" w:type="auto"/>
            <w:hideMark/>
          </w:tcPr>
          <w:p w14:paraId="24DFAA49"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&gt;£50 million</w:t>
            </w:r>
          </w:p>
        </w:tc>
      </w:tr>
      <w:tr w:rsidR="00BC13B7" w:rsidRPr="00D80577" w14:paraId="1E7B8C16" w14:textId="77777777" w:rsidTr="00BC1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8DFC2"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Industry Type</w:t>
            </w:r>
          </w:p>
        </w:tc>
        <w:tc>
          <w:tcPr>
            <w:tcW w:w="0" w:type="auto"/>
            <w:hideMark/>
          </w:tcPr>
          <w:p w14:paraId="294CF66F"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Manufacturing SMEs</w:t>
            </w:r>
          </w:p>
        </w:tc>
        <w:tc>
          <w:tcPr>
            <w:tcW w:w="0" w:type="auto"/>
            <w:hideMark/>
          </w:tcPr>
          <w:p w14:paraId="0896DBD1"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Non-manufacturing firms</w:t>
            </w:r>
          </w:p>
        </w:tc>
      </w:tr>
      <w:tr w:rsidR="00BC13B7" w:rsidRPr="00D80577" w14:paraId="449085E7" w14:textId="77777777" w:rsidTr="00BC13B7">
        <w:tc>
          <w:tcPr>
            <w:cnfStyle w:val="001000000000" w:firstRow="0" w:lastRow="0" w:firstColumn="1" w:lastColumn="0" w:oddVBand="0" w:evenVBand="0" w:oddHBand="0" w:evenHBand="0" w:firstRowFirstColumn="0" w:firstRowLastColumn="0" w:lastRowFirstColumn="0" w:lastRowLastColumn="0"/>
            <w:tcW w:w="0" w:type="auto"/>
            <w:hideMark/>
          </w:tcPr>
          <w:p w14:paraId="04B9F373"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Supply Chain Scope</w:t>
            </w:r>
          </w:p>
        </w:tc>
        <w:tc>
          <w:tcPr>
            <w:tcW w:w="0" w:type="auto"/>
            <w:hideMark/>
          </w:tcPr>
          <w:p w14:paraId="6CBD32E1"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Involvement in international supply chains</w:t>
            </w:r>
          </w:p>
        </w:tc>
        <w:tc>
          <w:tcPr>
            <w:tcW w:w="0" w:type="auto"/>
            <w:hideMark/>
          </w:tcPr>
          <w:p w14:paraId="3155D31B"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Domestic-only operations</w:t>
            </w:r>
          </w:p>
        </w:tc>
      </w:tr>
      <w:tr w:rsidR="00BC13B7" w:rsidRPr="00D80577" w14:paraId="662514E1" w14:textId="77777777" w:rsidTr="00BC1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6DD99D"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Operational Status</w:t>
            </w:r>
          </w:p>
        </w:tc>
        <w:tc>
          <w:tcPr>
            <w:tcW w:w="0" w:type="auto"/>
            <w:hideMark/>
          </w:tcPr>
          <w:p w14:paraId="4C424F0D"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Active SMEs with ongoing production</w:t>
            </w:r>
          </w:p>
        </w:tc>
        <w:tc>
          <w:tcPr>
            <w:tcW w:w="0" w:type="auto"/>
            <w:hideMark/>
          </w:tcPr>
          <w:p w14:paraId="26DF78AC" w14:textId="77777777" w:rsidR="00BC13B7" w:rsidRPr="00D80577" w:rsidRDefault="00BC13B7" w:rsidP="00BC13B7">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Dormant or closed firms</w:t>
            </w:r>
          </w:p>
        </w:tc>
      </w:tr>
      <w:tr w:rsidR="00BC13B7" w:rsidRPr="00D80577" w14:paraId="3B12C1ED" w14:textId="77777777" w:rsidTr="00BC13B7">
        <w:tc>
          <w:tcPr>
            <w:cnfStyle w:val="001000000000" w:firstRow="0" w:lastRow="0" w:firstColumn="1" w:lastColumn="0" w:oddVBand="0" w:evenVBand="0" w:oddHBand="0" w:evenHBand="0" w:firstRowFirstColumn="0" w:firstRowLastColumn="0" w:lastRowFirstColumn="0" w:lastRowLastColumn="0"/>
            <w:tcW w:w="0" w:type="auto"/>
            <w:hideMark/>
          </w:tcPr>
          <w:p w14:paraId="379EF6FF" w14:textId="77777777" w:rsidR="00BC13B7" w:rsidRPr="00D80577" w:rsidRDefault="00BC13B7" w:rsidP="00BC13B7">
            <w:pPr>
              <w:spacing w:line="240" w:lineRule="auto"/>
              <w:jc w:val="both"/>
              <w:rPr>
                <w:rFonts w:ascii="Arial" w:hAnsi="Arial" w:cs="Arial"/>
                <w:color w:val="000000" w:themeColor="text1"/>
                <w:sz w:val="22"/>
                <w:szCs w:val="22"/>
              </w:rPr>
            </w:pPr>
            <w:r w:rsidRPr="00D80577">
              <w:rPr>
                <w:rFonts w:ascii="Arial" w:hAnsi="Arial" w:cs="Arial"/>
                <w:color w:val="000000" w:themeColor="text1"/>
                <w:sz w:val="22"/>
                <w:szCs w:val="22"/>
              </w:rPr>
              <w:t>Geographic Location</w:t>
            </w:r>
          </w:p>
        </w:tc>
        <w:tc>
          <w:tcPr>
            <w:tcW w:w="0" w:type="auto"/>
            <w:hideMark/>
          </w:tcPr>
          <w:p w14:paraId="687666C2"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United Kingdom</w:t>
            </w:r>
          </w:p>
        </w:tc>
        <w:tc>
          <w:tcPr>
            <w:tcW w:w="0" w:type="auto"/>
            <w:hideMark/>
          </w:tcPr>
          <w:p w14:paraId="2150FD51" w14:textId="77777777" w:rsidR="00BC13B7" w:rsidRPr="00D80577" w:rsidRDefault="00BC13B7" w:rsidP="00BC13B7">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80577">
              <w:rPr>
                <w:rFonts w:ascii="Arial" w:hAnsi="Arial" w:cs="Arial"/>
                <w:color w:val="000000" w:themeColor="text1"/>
                <w:sz w:val="22"/>
                <w:szCs w:val="22"/>
              </w:rPr>
              <w:t>Outside UK</w:t>
            </w:r>
          </w:p>
        </w:tc>
      </w:tr>
    </w:tbl>
    <w:p w14:paraId="29A05974" w14:textId="77777777" w:rsidR="00BC13B7" w:rsidRPr="00D80577" w:rsidRDefault="00BC13B7" w:rsidP="00BC13B7">
      <w:pPr>
        <w:spacing w:line="360" w:lineRule="auto"/>
        <w:jc w:val="both"/>
        <w:rPr>
          <w:rFonts w:ascii="Arial" w:hAnsi="Arial" w:cs="Arial"/>
          <w:color w:val="000000" w:themeColor="text1"/>
        </w:rPr>
      </w:pPr>
    </w:p>
    <w:p w14:paraId="353CD41C" w14:textId="7E6D8456" w:rsidR="00BC13B7" w:rsidRPr="00D80577" w:rsidRDefault="00BC13B7" w:rsidP="001817A3">
      <w:pPr>
        <w:spacing w:line="360" w:lineRule="auto"/>
        <w:jc w:val="both"/>
        <w:rPr>
          <w:rFonts w:ascii="Arial" w:hAnsi="Arial" w:cs="Arial"/>
          <w:color w:val="000000" w:themeColor="text1"/>
        </w:rPr>
      </w:pPr>
      <w:r w:rsidRPr="00D80577">
        <w:rPr>
          <w:rFonts w:ascii="Arial" w:hAnsi="Arial" w:cs="Arial"/>
          <w:color w:val="000000" w:themeColor="text1"/>
        </w:rPr>
        <w:t>This methodological system ensures that the firms that are most aligned with the research questions are selected so that the effects of global supply chain disruptions on the performance of SMEs can be accurately evaluated</w:t>
      </w:r>
      <w:r w:rsidR="00D235F4" w:rsidRPr="00D80577">
        <w:rPr>
          <w:rFonts w:ascii="Arial" w:hAnsi="Arial" w:cs="Arial"/>
          <w:color w:val="000000" w:themeColor="text1"/>
        </w:rPr>
        <w:t xml:space="preserve">, and the constraints on the application of the findings to all </w:t>
      </w:r>
      <w:r w:rsidRPr="00D80577">
        <w:rPr>
          <w:rFonts w:ascii="Arial" w:hAnsi="Arial" w:cs="Arial"/>
          <w:color w:val="000000" w:themeColor="text1"/>
        </w:rPr>
        <w:t>populations can be considered.</w:t>
      </w:r>
    </w:p>
    <w:p w14:paraId="1F3B6D26" w14:textId="659B1BD5" w:rsidR="001817A3" w:rsidRPr="00D80577" w:rsidRDefault="007B42D6" w:rsidP="007B42D6">
      <w:pPr>
        <w:pStyle w:val="Heading2"/>
        <w:spacing w:line="360" w:lineRule="auto"/>
        <w:jc w:val="both"/>
        <w:rPr>
          <w:rFonts w:ascii="Arial" w:hAnsi="Arial" w:cs="Arial"/>
          <w:b/>
          <w:bCs/>
          <w:color w:val="000000" w:themeColor="text1"/>
          <w:sz w:val="24"/>
          <w:szCs w:val="24"/>
        </w:rPr>
      </w:pPr>
      <w:bookmarkStart w:id="43" w:name="_Toc220890086"/>
      <w:r w:rsidRPr="00D80577">
        <w:rPr>
          <w:rFonts w:ascii="Arial" w:hAnsi="Arial" w:cs="Arial"/>
          <w:b/>
          <w:bCs/>
          <w:color w:val="000000" w:themeColor="text1"/>
          <w:sz w:val="24"/>
          <w:szCs w:val="24"/>
        </w:rPr>
        <w:lastRenderedPageBreak/>
        <w:t xml:space="preserve">3.6 </w:t>
      </w:r>
      <w:r w:rsidR="001817A3" w:rsidRPr="00D80577">
        <w:rPr>
          <w:rFonts w:ascii="Arial" w:hAnsi="Arial" w:cs="Arial"/>
          <w:b/>
          <w:bCs/>
          <w:color w:val="000000" w:themeColor="text1"/>
          <w:sz w:val="24"/>
          <w:szCs w:val="24"/>
        </w:rPr>
        <w:t>Data Collection Method</w:t>
      </w:r>
      <w:bookmarkEnd w:id="43"/>
    </w:p>
    <w:p w14:paraId="49DC7613" w14:textId="77777777" w:rsidR="001817A3" w:rsidRPr="00D80577" w:rsidRDefault="001817A3" w:rsidP="007B42D6">
      <w:pPr>
        <w:spacing w:line="360" w:lineRule="auto"/>
        <w:jc w:val="both"/>
        <w:rPr>
          <w:rFonts w:ascii="Arial" w:hAnsi="Arial" w:cs="Arial"/>
          <w:color w:val="000000" w:themeColor="text1"/>
        </w:rPr>
      </w:pPr>
      <w:r w:rsidRPr="00D80577">
        <w:rPr>
          <w:rFonts w:ascii="Arial" w:hAnsi="Arial" w:cs="Arial"/>
          <w:color w:val="000000" w:themeColor="text1"/>
        </w:rPr>
        <w:t>Structured questionnaires were used to gather the data by being administered electronically to managers and supply chain officers of the UK SME manufacturing companies (Quaquebeke et al., 2022). The questionnaire was well structured in order to take into account appropriate quantitative data on four dimensions, namely: firm attributes, such as size, sector, and annual revenue; exposure to international supply chain disruptions, such as delays, shortages, and geopolitical influences; operational performance measures, such as production efficiency, cost management, and delivery times; and strategic and resilience measures, such as supplier diversification, the use of digital technologies, and the existence of collaborative partnerships. T</w:t>
      </w:r>
    </w:p>
    <w:p w14:paraId="184F7D99" w14:textId="2D843F6B" w:rsidR="001817A3" w:rsidRPr="00D80577" w:rsidRDefault="001817A3" w:rsidP="007B42D6">
      <w:pPr>
        <w:spacing w:line="360" w:lineRule="auto"/>
        <w:jc w:val="both"/>
        <w:rPr>
          <w:rFonts w:ascii="Arial" w:hAnsi="Arial" w:cs="Arial"/>
          <w:color w:val="000000" w:themeColor="text1"/>
        </w:rPr>
      </w:pPr>
      <w:r w:rsidRPr="00D80577">
        <w:rPr>
          <w:rFonts w:ascii="Arial" w:hAnsi="Arial" w:cs="Arial"/>
          <w:color w:val="000000" w:themeColor="text1"/>
        </w:rPr>
        <w:t xml:space="preserve">he formal nature of the questionnaire permits direct quantification of the responses, enables the systematic data cleaning, coding and statistical analysis, and permits comparability among the respondents where the same measurement scales are used (Singh, Neuert and Raykov, 2023). But this way is not always applicable, because it is possible that some answers are affected by the social desirability bias, and that intricate contextual problems are simplified by using closed-ended questions. In spite of these issues, the use of structured questionnaires was suitable in this study because of its effectiveness in gathering data among a geographically dispersed sample and because it corresponds to the philosophy of positivism and quantitative approach (Roxas and Lindsay, 2012). The pretesting of the questionnaire contributed to the increased clarity, reliability, and relevance of the questionnaire, and Likert scales facilitated </w:t>
      </w:r>
      <w:r w:rsidR="00D235F4" w:rsidRPr="00D80577">
        <w:rPr>
          <w:rFonts w:ascii="Arial" w:hAnsi="Arial" w:cs="Arial"/>
          <w:color w:val="000000" w:themeColor="text1"/>
        </w:rPr>
        <w:t>standardisation</w:t>
      </w:r>
      <w:r w:rsidRPr="00D80577">
        <w:rPr>
          <w:rFonts w:ascii="Arial" w:hAnsi="Arial" w:cs="Arial"/>
          <w:color w:val="000000" w:themeColor="text1"/>
        </w:rPr>
        <w:t xml:space="preserve"> of the subjective constructs of perceived resilience and the efficacy of mitigation strategies to contribute to the correlation and regression analysis.</w:t>
      </w:r>
    </w:p>
    <w:p w14:paraId="7487708B" w14:textId="2B915700" w:rsidR="00D07ECC" w:rsidRPr="00D80577" w:rsidRDefault="007B42D6" w:rsidP="007B42D6">
      <w:pPr>
        <w:pStyle w:val="Heading2"/>
        <w:spacing w:line="360" w:lineRule="auto"/>
        <w:jc w:val="both"/>
        <w:rPr>
          <w:rFonts w:ascii="Arial" w:hAnsi="Arial" w:cs="Arial"/>
          <w:b/>
          <w:bCs/>
          <w:color w:val="000000" w:themeColor="text1"/>
          <w:sz w:val="24"/>
          <w:szCs w:val="24"/>
        </w:rPr>
      </w:pPr>
      <w:bookmarkStart w:id="44" w:name="_Toc220890087"/>
      <w:r w:rsidRPr="00D80577">
        <w:rPr>
          <w:rFonts w:ascii="Arial" w:hAnsi="Arial" w:cs="Arial"/>
          <w:b/>
          <w:bCs/>
          <w:color w:val="000000" w:themeColor="text1"/>
          <w:sz w:val="24"/>
          <w:szCs w:val="24"/>
        </w:rPr>
        <w:t xml:space="preserve">3.7 </w:t>
      </w:r>
      <w:r w:rsidR="00D07ECC" w:rsidRPr="00D80577">
        <w:rPr>
          <w:rFonts w:ascii="Arial" w:hAnsi="Arial" w:cs="Arial"/>
          <w:b/>
          <w:bCs/>
          <w:color w:val="000000" w:themeColor="text1"/>
          <w:sz w:val="24"/>
          <w:szCs w:val="24"/>
        </w:rPr>
        <w:t>Data Analysis Method</w:t>
      </w:r>
      <w:bookmarkEnd w:id="44"/>
    </w:p>
    <w:p w14:paraId="1E1DCEB2" w14:textId="39338D60" w:rsidR="00D07ECC" w:rsidRPr="00D80577" w:rsidRDefault="00D07ECC" w:rsidP="007B42D6">
      <w:pPr>
        <w:spacing w:line="360" w:lineRule="auto"/>
        <w:jc w:val="both"/>
        <w:rPr>
          <w:rFonts w:ascii="Arial" w:hAnsi="Arial" w:cs="Arial"/>
          <w:color w:val="000000" w:themeColor="text1"/>
        </w:rPr>
      </w:pPr>
      <w:r w:rsidRPr="00D80577">
        <w:rPr>
          <w:rFonts w:ascii="Arial" w:hAnsi="Arial" w:cs="Arial"/>
          <w:color w:val="000000" w:themeColor="text1"/>
        </w:rPr>
        <w:t xml:space="preserve">Data obtained was </w:t>
      </w:r>
      <w:r w:rsidR="00D235F4" w:rsidRPr="00D80577">
        <w:rPr>
          <w:rFonts w:ascii="Arial" w:hAnsi="Arial" w:cs="Arial"/>
          <w:color w:val="000000" w:themeColor="text1"/>
        </w:rPr>
        <w:t>analysed</w:t>
      </w:r>
      <w:r w:rsidRPr="00D80577">
        <w:rPr>
          <w:rFonts w:ascii="Arial" w:hAnsi="Arial" w:cs="Arial"/>
          <w:color w:val="000000" w:themeColor="text1"/>
        </w:rPr>
        <w:t xml:space="preserve"> by both descriptive and inferential statistical methods in order to give a rigorous analysis of the relationships between international supply chain disruptions and SME operational performance. The mean, median, and standard deviation were used as the descriptive statistics to describe firm characteristics, disruption experiences, and adoption of resilience strategies (Bryman and Bell, 2015). A correlation analysis was used in inferential analysis to identify strength and direction of relationships </w:t>
      </w:r>
      <w:r w:rsidRPr="00D80577">
        <w:rPr>
          <w:rFonts w:ascii="Arial" w:hAnsi="Arial" w:cs="Arial"/>
          <w:color w:val="000000" w:themeColor="text1"/>
        </w:rPr>
        <w:lastRenderedPageBreak/>
        <w:t xml:space="preserve">between supply chain disruptions and performance metrics, and multiple regression analysis to test the impact of independent variables, including internal resources, digitalization, and supplier diversification, on dependent variables, including production efficiency, cost management, and overall operational performance (Saunders, Lewis and Thornhill, 2019). The advantages of the method are that it is able to measure the relationship, the hypotheses that are tested through theoretical constructs include the Resource-Based View, Dynamic Capabilities Theory, and Network Theory, and detect the important predictors of resilience in SMEs (Creswell and Creswell, 2018). </w:t>
      </w:r>
    </w:p>
    <w:p w14:paraId="44CFEF1E" w14:textId="0FD2A84C" w:rsidR="00D07ECC" w:rsidRPr="00D80577" w:rsidRDefault="00D07ECC" w:rsidP="007B42D6">
      <w:pPr>
        <w:spacing w:line="360" w:lineRule="auto"/>
        <w:jc w:val="both"/>
        <w:rPr>
          <w:rFonts w:ascii="Arial" w:hAnsi="Arial" w:cs="Arial"/>
          <w:color w:val="000000" w:themeColor="text1"/>
        </w:rPr>
      </w:pPr>
      <w:r w:rsidRPr="00D80577">
        <w:rPr>
          <w:rFonts w:ascii="Arial" w:hAnsi="Arial" w:cs="Arial"/>
          <w:color w:val="000000" w:themeColor="text1"/>
        </w:rPr>
        <w:t xml:space="preserve">Also, statistical analysis allows extrapolating the research to the broader population of UK SMEs under the constraints of </w:t>
      </w:r>
      <w:r w:rsidR="00D235F4" w:rsidRPr="00D80577">
        <w:rPr>
          <w:rFonts w:ascii="Arial" w:hAnsi="Arial" w:cs="Arial"/>
          <w:color w:val="000000" w:themeColor="text1"/>
        </w:rPr>
        <w:t xml:space="preserve">the </w:t>
      </w:r>
      <w:r w:rsidRPr="00D80577">
        <w:rPr>
          <w:rFonts w:ascii="Arial" w:hAnsi="Arial" w:cs="Arial"/>
          <w:color w:val="000000" w:themeColor="text1"/>
        </w:rPr>
        <w:t xml:space="preserve">purposive sampling technique. Nevertheless, there are weaknesses, which include the inability to discover the causal processes behind the observed relations entirely through the use of statistical methods, and the results of regression analysis might be influenced by the sample size, outliers, or multicollinearity (Hair et al., 2022). Nevertheless, these weaknesses do not rule out the fact that the SPSS software is used to facilitate proper computation, replication, and incorporation of the robustness checks to limit the possible bias, and thus, statistical analysis is the most suitable option to </w:t>
      </w:r>
      <w:r w:rsidR="00D235F4" w:rsidRPr="00D80577">
        <w:rPr>
          <w:rFonts w:ascii="Arial" w:hAnsi="Arial" w:cs="Arial"/>
          <w:color w:val="000000" w:themeColor="text1"/>
        </w:rPr>
        <w:t>assess</w:t>
      </w:r>
      <w:r w:rsidRPr="00D80577">
        <w:rPr>
          <w:rFonts w:ascii="Arial" w:hAnsi="Arial" w:cs="Arial"/>
          <w:color w:val="000000" w:themeColor="text1"/>
        </w:rPr>
        <w:t xml:space="preserve"> the effects of international supply chain disruption on SME performance.</w:t>
      </w:r>
    </w:p>
    <w:p w14:paraId="73FE24DD" w14:textId="6289028B" w:rsidR="00D07ECC" w:rsidRPr="00D80577" w:rsidRDefault="007B42D6" w:rsidP="007B42D6">
      <w:pPr>
        <w:pStyle w:val="Heading2"/>
        <w:spacing w:line="360" w:lineRule="auto"/>
        <w:jc w:val="both"/>
        <w:rPr>
          <w:rFonts w:ascii="Arial" w:hAnsi="Arial" w:cs="Arial"/>
          <w:b/>
          <w:bCs/>
          <w:color w:val="000000" w:themeColor="text1"/>
          <w:sz w:val="24"/>
          <w:szCs w:val="24"/>
        </w:rPr>
      </w:pPr>
      <w:bookmarkStart w:id="45" w:name="_Toc220890088"/>
      <w:r w:rsidRPr="00D80577">
        <w:rPr>
          <w:rFonts w:ascii="Arial" w:hAnsi="Arial" w:cs="Arial"/>
          <w:b/>
          <w:bCs/>
          <w:color w:val="000000" w:themeColor="text1"/>
          <w:sz w:val="24"/>
          <w:szCs w:val="24"/>
        </w:rPr>
        <w:t xml:space="preserve">3.8 </w:t>
      </w:r>
      <w:r w:rsidR="00D07ECC" w:rsidRPr="00D80577">
        <w:rPr>
          <w:rFonts w:ascii="Arial" w:hAnsi="Arial" w:cs="Arial"/>
          <w:b/>
          <w:bCs/>
          <w:color w:val="000000" w:themeColor="text1"/>
          <w:sz w:val="24"/>
          <w:szCs w:val="24"/>
        </w:rPr>
        <w:t>Ethical Considerations</w:t>
      </w:r>
      <w:bookmarkEnd w:id="45"/>
    </w:p>
    <w:p w14:paraId="1F36D567" w14:textId="468AB5F1" w:rsidR="00D07ECC" w:rsidRPr="00D80577" w:rsidRDefault="007B42D6" w:rsidP="007B42D6">
      <w:pPr>
        <w:spacing w:line="360" w:lineRule="auto"/>
        <w:jc w:val="both"/>
        <w:rPr>
          <w:rFonts w:ascii="Arial" w:hAnsi="Arial" w:cs="Arial"/>
          <w:color w:val="000000" w:themeColor="text1"/>
        </w:rPr>
      </w:pPr>
      <w:r w:rsidRPr="00D80577">
        <w:rPr>
          <w:rFonts w:ascii="Arial" w:hAnsi="Arial" w:cs="Arial"/>
          <w:color w:val="000000" w:themeColor="text1"/>
        </w:rPr>
        <w:t>The research process ensured that ethical standards were adhered to and</w:t>
      </w:r>
      <w:r w:rsidR="00D235F4" w:rsidRPr="00D80577">
        <w:rPr>
          <w:rFonts w:ascii="Arial" w:hAnsi="Arial" w:cs="Arial"/>
          <w:color w:val="000000" w:themeColor="text1"/>
        </w:rPr>
        <w:t>,</w:t>
      </w:r>
      <w:r w:rsidRPr="00D80577">
        <w:rPr>
          <w:rFonts w:ascii="Arial" w:hAnsi="Arial" w:cs="Arial"/>
          <w:color w:val="000000" w:themeColor="text1"/>
        </w:rPr>
        <w:t xml:space="preserve"> therefore, would keep the participants safe and the research findings credible. Every respondent agreed to the informed consent, guaranteed anonymity, and had the opportunity to withdraw without facing any consequences. Reporting was done in aggregate form, as identifying individual firms was unwanted, and participation of the ethical committee of the university research was obtained (Bryman and Bell, 2015; Saunders, Lewis and Thornhill</w:t>
      </w:r>
      <w:r w:rsidR="00D235F4" w:rsidRPr="00D80577">
        <w:rPr>
          <w:rFonts w:ascii="Arial" w:hAnsi="Arial" w:cs="Arial"/>
          <w:color w:val="000000" w:themeColor="text1"/>
        </w:rPr>
        <w:t xml:space="preserve">, </w:t>
      </w:r>
      <w:r w:rsidRPr="00D80577">
        <w:rPr>
          <w:rFonts w:ascii="Arial" w:hAnsi="Arial" w:cs="Arial"/>
          <w:color w:val="000000" w:themeColor="text1"/>
        </w:rPr>
        <w:t xml:space="preserve">2019). Ethical </w:t>
      </w:r>
      <w:r w:rsidR="00D235F4" w:rsidRPr="00D80577">
        <w:rPr>
          <w:rFonts w:ascii="Arial" w:hAnsi="Arial" w:cs="Arial"/>
          <w:color w:val="000000" w:themeColor="text1"/>
        </w:rPr>
        <w:t>rigour</w:t>
      </w:r>
      <w:r w:rsidRPr="00D80577">
        <w:rPr>
          <w:rFonts w:ascii="Arial" w:hAnsi="Arial" w:cs="Arial"/>
          <w:color w:val="000000" w:themeColor="text1"/>
        </w:rPr>
        <w:t xml:space="preserve"> establishes a trusting relationship with the respondents, which motivates them to provide true and correct answers, thereby increasing the general reliability of the data. Ethical considerations are also used to ensure that the institutional guidelines and legal requirements are met, especially when dealing with sensitive business information like </w:t>
      </w:r>
      <w:r w:rsidR="00D235F4" w:rsidRPr="00D80577">
        <w:rPr>
          <w:rFonts w:ascii="Arial" w:hAnsi="Arial" w:cs="Arial"/>
          <w:color w:val="000000" w:themeColor="text1"/>
        </w:rPr>
        <w:t>operational</w:t>
      </w:r>
      <w:r w:rsidRPr="00D80577">
        <w:rPr>
          <w:rFonts w:ascii="Arial" w:hAnsi="Arial" w:cs="Arial"/>
          <w:color w:val="000000" w:themeColor="text1"/>
        </w:rPr>
        <w:t xml:space="preserve"> performance and operating chain strategies </w:t>
      </w:r>
      <w:r w:rsidRPr="00D80577">
        <w:rPr>
          <w:rFonts w:ascii="Arial" w:hAnsi="Arial" w:cs="Arial"/>
          <w:color w:val="000000" w:themeColor="text1"/>
        </w:rPr>
        <w:lastRenderedPageBreak/>
        <w:t>(Creswell and Creswell, 2018). The scope of questioning can be restrained</w:t>
      </w:r>
      <w:r w:rsidR="00D235F4" w:rsidRPr="00D80577">
        <w:rPr>
          <w:rFonts w:ascii="Arial" w:hAnsi="Arial" w:cs="Arial"/>
          <w:color w:val="000000" w:themeColor="text1"/>
        </w:rPr>
        <w:t>, though,</w:t>
      </w:r>
      <w:r w:rsidRPr="00D80577">
        <w:rPr>
          <w:rFonts w:ascii="Arial" w:hAnsi="Arial" w:cs="Arial"/>
          <w:color w:val="000000" w:themeColor="text1"/>
        </w:rPr>
        <w:t xml:space="preserve"> by ethical considerations that might restrict the option of follow-up clarification and investigation of delicate practices. In spite of this weakness, ethical principle adherence is supported because it will protect the respondents, </w:t>
      </w:r>
      <w:r w:rsidR="00D235F4" w:rsidRPr="00D80577">
        <w:rPr>
          <w:rFonts w:ascii="Arial" w:hAnsi="Arial" w:cs="Arial"/>
          <w:color w:val="000000" w:themeColor="text1"/>
        </w:rPr>
        <w:t>minimise</w:t>
      </w:r>
      <w:r w:rsidRPr="00D80577">
        <w:rPr>
          <w:rFonts w:ascii="Arial" w:hAnsi="Arial" w:cs="Arial"/>
          <w:color w:val="000000" w:themeColor="text1"/>
        </w:rPr>
        <w:t xml:space="preserve"> the chances of non-response bias, and add to the validity and strength of the research results. Ethical diligence is hence inherent to the methodological integrity and practice of the study.</w:t>
      </w:r>
    </w:p>
    <w:p w14:paraId="72B4DBC9" w14:textId="54D69EC6" w:rsidR="007B42D6" w:rsidRPr="00D80577" w:rsidRDefault="007B42D6" w:rsidP="007B42D6">
      <w:pPr>
        <w:pStyle w:val="Heading2"/>
        <w:spacing w:line="360" w:lineRule="auto"/>
        <w:jc w:val="both"/>
        <w:rPr>
          <w:rFonts w:ascii="Arial" w:hAnsi="Arial" w:cs="Arial"/>
          <w:b/>
          <w:bCs/>
          <w:color w:val="000000" w:themeColor="text1"/>
          <w:sz w:val="24"/>
          <w:szCs w:val="24"/>
        </w:rPr>
      </w:pPr>
      <w:bookmarkStart w:id="46" w:name="_Toc220890089"/>
      <w:r w:rsidRPr="00D80577">
        <w:rPr>
          <w:rFonts w:ascii="Arial" w:hAnsi="Arial" w:cs="Arial"/>
          <w:b/>
          <w:bCs/>
          <w:color w:val="000000" w:themeColor="text1"/>
          <w:sz w:val="24"/>
          <w:szCs w:val="24"/>
        </w:rPr>
        <w:t>3.9 Chapter 3 Summary and Methodological Limitations</w:t>
      </w:r>
      <w:bookmarkEnd w:id="46"/>
      <w:r w:rsidRPr="00D80577">
        <w:rPr>
          <w:rFonts w:ascii="Arial" w:hAnsi="Arial" w:cs="Arial"/>
          <w:b/>
          <w:bCs/>
          <w:color w:val="000000" w:themeColor="text1"/>
          <w:sz w:val="24"/>
          <w:szCs w:val="24"/>
        </w:rPr>
        <w:t xml:space="preserve"> </w:t>
      </w:r>
    </w:p>
    <w:p w14:paraId="1A1648EC" w14:textId="29032C45" w:rsidR="007B42D6" w:rsidRPr="00D80577" w:rsidRDefault="007B42D6" w:rsidP="001817A3">
      <w:pPr>
        <w:spacing w:line="360" w:lineRule="auto"/>
        <w:jc w:val="both"/>
        <w:rPr>
          <w:rFonts w:ascii="Arial" w:hAnsi="Arial" w:cs="Arial"/>
          <w:color w:val="000000" w:themeColor="text1"/>
        </w:rPr>
      </w:pPr>
      <w:r w:rsidRPr="00D80577">
        <w:rPr>
          <w:rFonts w:ascii="Arial" w:hAnsi="Arial" w:cs="Arial"/>
          <w:color w:val="000000" w:themeColor="text1"/>
        </w:rPr>
        <w:t xml:space="preserve">Chapter 3 </w:t>
      </w:r>
      <w:r w:rsidR="00D235F4" w:rsidRPr="00D80577">
        <w:rPr>
          <w:rFonts w:ascii="Arial" w:hAnsi="Arial" w:cs="Arial"/>
          <w:color w:val="000000" w:themeColor="text1"/>
        </w:rPr>
        <w:t>summarises</w:t>
      </w:r>
      <w:r w:rsidRPr="00D80577">
        <w:rPr>
          <w:rFonts w:ascii="Arial" w:hAnsi="Arial" w:cs="Arial"/>
          <w:color w:val="000000" w:themeColor="text1"/>
        </w:rPr>
        <w:t xml:space="preserve"> critically the research methodology employed to conduct the study on the effect of international supply chain disruption on the UK SME manufacturing companies. Using the Research Onion by Saunders, the study embraces the philosophy of positivism and a deductive approach that makes it possible to test a hypothesis based on Resource-Based View, Dynamic Capabilities Theory, and Network Theory (Bryman &amp; Bell, 2015; Teece, Pisano and Shuen, 1994). A mono-method</w:t>
      </w:r>
      <w:r w:rsidR="00D235F4" w:rsidRPr="00D80577">
        <w:rPr>
          <w:rFonts w:ascii="Arial" w:hAnsi="Arial" w:cs="Arial"/>
          <w:color w:val="000000" w:themeColor="text1"/>
        </w:rPr>
        <w:t xml:space="preserve"> approach based on surveys gathered structured data on purposefully sampled SMEs, which could be statistically analysed</w:t>
      </w:r>
      <w:r w:rsidRPr="00D80577">
        <w:rPr>
          <w:rFonts w:ascii="Arial" w:hAnsi="Arial" w:cs="Arial"/>
          <w:color w:val="000000" w:themeColor="text1"/>
        </w:rPr>
        <w:t xml:space="preserve"> to examine the efficiency of production, supplier diversity, and adoption of digital platforms in production using SPSS (Saunders, Lewis and Thornhill, 2019). Although it has such strengths as replicability, objectivity, and generalizability, the weaknesses are potential bias in self-reported survey data, simplification of complex </w:t>
      </w:r>
      <w:r w:rsidR="00D235F4" w:rsidRPr="00D80577">
        <w:rPr>
          <w:rFonts w:ascii="Arial" w:hAnsi="Arial" w:cs="Arial"/>
          <w:color w:val="000000" w:themeColor="text1"/>
        </w:rPr>
        <w:t xml:space="preserve">organisational situations, a cross-sectional limitation, and </w:t>
      </w:r>
      <w:r w:rsidRPr="00D80577">
        <w:rPr>
          <w:rFonts w:ascii="Arial" w:hAnsi="Arial" w:cs="Arial"/>
          <w:color w:val="000000" w:themeColor="text1"/>
        </w:rPr>
        <w:t>reduced generali</w:t>
      </w:r>
      <w:r w:rsidR="00D235F4" w:rsidRPr="00D80577">
        <w:rPr>
          <w:rFonts w:ascii="Arial" w:hAnsi="Arial" w:cs="Arial"/>
          <w:color w:val="000000" w:themeColor="text1"/>
        </w:rPr>
        <w:t>s</w:t>
      </w:r>
      <w:r w:rsidRPr="00D80577">
        <w:rPr>
          <w:rFonts w:ascii="Arial" w:hAnsi="Arial" w:cs="Arial"/>
          <w:color w:val="000000" w:themeColor="text1"/>
        </w:rPr>
        <w:t>ability because of purposive sampling (Hair et al., 2022). Ethical controls guaranteed privacy but curtailed investigations into sensitive business procedures. All in all, the methodology is conducive to solid statistical analysis with admitted limitations.</w:t>
      </w:r>
    </w:p>
    <w:p w14:paraId="42C6D12D" w14:textId="77777777" w:rsidR="00D235F4" w:rsidRPr="00D80577" w:rsidRDefault="00D235F4" w:rsidP="001817A3">
      <w:pPr>
        <w:spacing w:line="360" w:lineRule="auto"/>
        <w:jc w:val="both"/>
        <w:rPr>
          <w:rFonts w:ascii="Arial" w:hAnsi="Arial" w:cs="Arial"/>
          <w:color w:val="000000" w:themeColor="text1"/>
        </w:rPr>
      </w:pPr>
    </w:p>
    <w:p w14:paraId="41774838" w14:textId="77777777" w:rsidR="00607D14" w:rsidRPr="00D80577" w:rsidRDefault="00607D14" w:rsidP="001817A3">
      <w:pPr>
        <w:spacing w:line="360" w:lineRule="auto"/>
        <w:jc w:val="both"/>
        <w:rPr>
          <w:rFonts w:ascii="Arial" w:hAnsi="Arial" w:cs="Arial"/>
          <w:color w:val="000000" w:themeColor="text1"/>
        </w:rPr>
      </w:pPr>
    </w:p>
    <w:p w14:paraId="4819A762" w14:textId="77777777" w:rsidR="00607D14" w:rsidRPr="00D80577" w:rsidRDefault="00607D14" w:rsidP="001817A3">
      <w:pPr>
        <w:spacing w:line="360" w:lineRule="auto"/>
        <w:jc w:val="both"/>
        <w:rPr>
          <w:rFonts w:ascii="Arial" w:hAnsi="Arial" w:cs="Arial"/>
          <w:color w:val="000000" w:themeColor="text1"/>
        </w:rPr>
      </w:pPr>
    </w:p>
    <w:p w14:paraId="310317CB" w14:textId="77777777" w:rsidR="00607D14" w:rsidRPr="00D80577" w:rsidRDefault="00607D14" w:rsidP="001817A3">
      <w:pPr>
        <w:spacing w:line="360" w:lineRule="auto"/>
        <w:jc w:val="both"/>
        <w:rPr>
          <w:rFonts w:ascii="Arial" w:hAnsi="Arial" w:cs="Arial"/>
          <w:color w:val="000000" w:themeColor="text1"/>
        </w:rPr>
      </w:pPr>
    </w:p>
    <w:p w14:paraId="4E2BDE15" w14:textId="77777777" w:rsidR="00607D14" w:rsidRPr="00D80577" w:rsidRDefault="00607D14" w:rsidP="001817A3">
      <w:pPr>
        <w:spacing w:line="360" w:lineRule="auto"/>
        <w:jc w:val="both"/>
        <w:rPr>
          <w:rFonts w:ascii="Arial" w:hAnsi="Arial" w:cs="Arial"/>
          <w:color w:val="000000" w:themeColor="text1"/>
        </w:rPr>
      </w:pPr>
    </w:p>
    <w:p w14:paraId="6D9504F0" w14:textId="77777777" w:rsidR="00607D14" w:rsidRPr="00D80577" w:rsidRDefault="00607D14" w:rsidP="001817A3">
      <w:pPr>
        <w:spacing w:line="360" w:lineRule="auto"/>
        <w:jc w:val="both"/>
        <w:rPr>
          <w:rFonts w:ascii="Arial" w:hAnsi="Arial" w:cs="Arial"/>
          <w:color w:val="000000" w:themeColor="text1"/>
        </w:rPr>
      </w:pPr>
    </w:p>
    <w:p w14:paraId="2901FA4D" w14:textId="77777777" w:rsidR="00607D14" w:rsidRPr="00D80577" w:rsidRDefault="00607D14" w:rsidP="00607D14">
      <w:pPr>
        <w:rPr>
          <w:rFonts w:ascii="Arial" w:hAnsi="Arial" w:cs="Arial"/>
        </w:rPr>
      </w:pPr>
    </w:p>
    <w:p w14:paraId="4BEC257A" w14:textId="77777777" w:rsidR="00607D14" w:rsidRPr="00D80577" w:rsidRDefault="00607D14" w:rsidP="00607D14">
      <w:pPr>
        <w:rPr>
          <w:rFonts w:ascii="Arial" w:hAnsi="Arial" w:cs="Arial"/>
        </w:rPr>
      </w:pPr>
    </w:p>
    <w:p w14:paraId="3D669A6E" w14:textId="77777777" w:rsidR="00607D14" w:rsidRPr="00D80577" w:rsidRDefault="00607D14" w:rsidP="00743850">
      <w:pPr>
        <w:pStyle w:val="Heading1"/>
        <w:spacing w:line="360" w:lineRule="auto"/>
        <w:jc w:val="center"/>
        <w:rPr>
          <w:rFonts w:ascii="Arial" w:hAnsi="Arial" w:cs="Arial"/>
          <w:b/>
          <w:bCs/>
          <w:color w:val="000000" w:themeColor="text1"/>
          <w:sz w:val="28"/>
          <w:szCs w:val="28"/>
        </w:rPr>
      </w:pPr>
      <w:bookmarkStart w:id="47" w:name="_Toc220890090"/>
      <w:r w:rsidRPr="00D80577">
        <w:rPr>
          <w:rFonts w:ascii="Arial" w:hAnsi="Arial" w:cs="Arial"/>
          <w:b/>
          <w:bCs/>
          <w:color w:val="000000" w:themeColor="text1"/>
          <w:sz w:val="28"/>
          <w:szCs w:val="28"/>
        </w:rPr>
        <w:t>Chapter 4: Results and Findings</w:t>
      </w:r>
      <w:bookmarkEnd w:id="47"/>
    </w:p>
    <w:p w14:paraId="27487C76" w14:textId="38951EA8" w:rsidR="00607D14" w:rsidRPr="00D80577" w:rsidRDefault="00743850" w:rsidP="00136126">
      <w:pPr>
        <w:pStyle w:val="Heading2"/>
        <w:spacing w:line="360" w:lineRule="auto"/>
        <w:jc w:val="both"/>
        <w:rPr>
          <w:rFonts w:ascii="Arial" w:hAnsi="Arial" w:cs="Arial"/>
          <w:b/>
          <w:bCs/>
          <w:color w:val="000000" w:themeColor="text1"/>
          <w:sz w:val="24"/>
          <w:szCs w:val="24"/>
        </w:rPr>
      </w:pPr>
      <w:bookmarkStart w:id="48" w:name="_Toc220890091"/>
      <w:r w:rsidRPr="00D80577">
        <w:rPr>
          <w:rFonts w:ascii="Arial" w:hAnsi="Arial" w:cs="Arial"/>
          <w:b/>
          <w:bCs/>
          <w:color w:val="000000" w:themeColor="text1"/>
          <w:sz w:val="24"/>
          <w:szCs w:val="24"/>
        </w:rPr>
        <w:t>4.1 Chapter Introduction</w:t>
      </w:r>
      <w:bookmarkEnd w:id="48"/>
    </w:p>
    <w:p w14:paraId="0E84CE32" w14:textId="36A09006" w:rsidR="00136126" w:rsidRPr="00D80577" w:rsidRDefault="00136126" w:rsidP="00136126">
      <w:pPr>
        <w:spacing w:line="360" w:lineRule="auto"/>
        <w:jc w:val="both"/>
        <w:rPr>
          <w:rFonts w:ascii="Arial" w:hAnsi="Arial" w:cs="Arial"/>
        </w:rPr>
      </w:pPr>
      <w:r w:rsidRPr="00D80577">
        <w:rPr>
          <w:rFonts w:ascii="Arial" w:hAnsi="Arial" w:cs="Arial"/>
        </w:rPr>
        <w:t>This chapter reports the findings and conclusions of the research on the international supply chain breakage within manufacturing companies in UK. It provides descriptive, frequency, correlation, reliability and regression analysis to answer the research questions. The chapter analyses major disruption determinants, their functional and financial consequences, and efficacy of the mitigation measures and presents facts to justify the purposes of the study.</w:t>
      </w:r>
    </w:p>
    <w:p w14:paraId="4274EDCE" w14:textId="6C55A023" w:rsidR="00743850" w:rsidRPr="00D80577" w:rsidRDefault="00743850" w:rsidP="00136126">
      <w:pPr>
        <w:pStyle w:val="Heading2"/>
        <w:spacing w:line="360" w:lineRule="auto"/>
        <w:jc w:val="both"/>
        <w:rPr>
          <w:rFonts w:ascii="Arial" w:hAnsi="Arial" w:cs="Arial"/>
          <w:b/>
          <w:bCs/>
          <w:color w:val="000000" w:themeColor="text1"/>
          <w:sz w:val="24"/>
          <w:szCs w:val="24"/>
        </w:rPr>
      </w:pPr>
      <w:bookmarkStart w:id="49" w:name="_Toc220890092"/>
      <w:r w:rsidRPr="00D80577">
        <w:rPr>
          <w:rFonts w:ascii="Arial" w:hAnsi="Arial" w:cs="Arial"/>
          <w:b/>
          <w:bCs/>
          <w:color w:val="000000" w:themeColor="text1"/>
          <w:sz w:val="24"/>
          <w:szCs w:val="24"/>
        </w:rPr>
        <w:t>4.2 Descriptive Statistics</w:t>
      </w:r>
      <w:bookmarkEnd w:id="49"/>
    </w:p>
    <w:p w14:paraId="779DE349" w14:textId="58765C79" w:rsidR="00743850" w:rsidRPr="00D80577" w:rsidRDefault="00743850" w:rsidP="00136126">
      <w:pPr>
        <w:spacing w:line="360" w:lineRule="auto"/>
        <w:jc w:val="both"/>
        <w:rPr>
          <w:rFonts w:ascii="Arial" w:hAnsi="Arial" w:cs="Arial"/>
          <w:color w:val="000000" w:themeColor="text1"/>
        </w:rPr>
      </w:pPr>
      <w:r w:rsidRPr="00D80577">
        <w:rPr>
          <w:rFonts w:ascii="Arial" w:hAnsi="Arial" w:cs="Arial"/>
          <w:color w:val="000000" w:themeColor="text1"/>
        </w:rPr>
        <w:t>The descriptive statistics are based on 150 valid answers according to the UK manufacturing firms, and there is no missing data, hence the reliability of the data. Background variables, such as the number of years of operation, industry sub-sector, and firm size, are important, as they assist in explaining the difference in exposure to international supply chain disruption. The mean scores of 3.7 to 4.0 and the median of 4 of items that are associated with geopolitical conflict, Brexit-related trade regulations, increasing cost of logistics and dependence on external suppliers suggest that participants strongly agree that these are the primary sources of international supply chain disruptions (RQ1). On the same note, a high consensus on questions concerning production delays, high production cost, fluctuation of raw material prices, decreased capacity to satisfy customer demand and decreasing business performance supports the adverse effects of disruptions in efficiency, cost management and overall performance (RQ2). Lastly, high mean scores for supplier diversification, nearshoring, digital monitoring tools, collaboration, and government support indicate the strategies implemented to reduce supply chain risks (RQ3).</w:t>
      </w:r>
    </w:p>
    <w:p w14:paraId="6B741201" w14:textId="71B06255" w:rsidR="00607D14" w:rsidRPr="00D80577" w:rsidRDefault="00607D14" w:rsidP="00607D14">
      <w:pPr>
        <w:pStyle w:val="Caption"/>
        <w:keepNext/>
        <w:rPr>
          <w:rFonts w:ascii="Arial" w:hAnsi="Arial" w:cs="Arial"/>
          <w:i w:val="0"/>
          <w:iCs w:val="0"/>
          <w:sz w:val="22"/>
          <w:szCs w:val="22"/>
        </w:rPr>
      </w:pPr>
      <w:bookmarkStart w:id="50" w:name="_Toc220889979"/>
      <w:r w:rsidRPr="00D80577">
        <w:rPr>
          <w:rFonts w:ascii="Arial" w:hAnsi="Arial" w:cs="Arial"/>
          <w:i w:val="0"/>
          <w:iCs w:val="0"/>
          <w:sz w:val="22"/>
          <w:szCs w:val="22"/>
        </w:rPr>
        <w:lastRenderedPageBreak/>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2</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Descriptive Statistics</w:t>
      </w:r>
      <w:bookmarkEnd w:id="50"/>
    </w:p>
    <w:tbl>
      <w:tblPr>
        <w:tblStyle w:val="PlainTable1"/>
        <w:tblW w:w="7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
        <w:gridCol w:w="460"/>
        <w:gridCol w:w="476"/>
        <w:gridCol w:w="476"/>
        <w:gridCol w:w="516"/>
        <w:gridCol w:w="477"/>
        <w:gridCol w:w="477"/>
        <w:gridCol w:w="477"/>
        <w:gridCol w:w="477"/>
        <w:gridCol w:w="477"/>
        <w:gridCol w:w="477"/>
        <w:gridCol w:w="477"/>
        <w:gridCol w:w="477"/>
        <w:gridCol w:w="477"/>
        <w:gridCol w:w="477"/>
        <w:gridCol w:w="477"/>
        <w:gridCol w:w="477"/>
        <w:gridCol w:w="477"/>
        <w:gridCol w:w="477"/>
        <w:gridCol w:w="477"/>
      </w:tblGrid>
      <w:tr w:rsidR="00607D14" w:rsidRPr="00D80577" w14:paraId="5AD98CF6" w14:textId="77777777" w:rsidTr="00E61BCE">
        <w:trPr>
          <w:cnfStyle w:val="100000000000" w:firstRow="1" w:lastRow="0" w:firstColumn="0" w:lastColumn="0" w:oddVBand="0" w:evenVBand="0" w:oddHBand="0"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7191" w:type="dxa"/>
            <w:gridSpan w:val="20"/>
            <w:hideMark/>
          </w:tcPr>
          <w:p w14:paraId="22DB8712" w14:textId="77777777" w:rsidR="00607D14" w:rsidRPr="00D80577" w:rsidRDefault="00607D14" w:rsidP="00E61BCE">
            <w:pPr>
              <w:spacing w:after="0" w:line="240" w:lineRule="auto"/>
              <w:jc w:val="center"/>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Statistics</w:t>
            </w:r>
          </w:p>
        </w:tc>
      </w:tr>
      <w:tr w:rsidR="00607D14" w:rsidRPr="00D80577" w14:paraId="52479665" w14:textId="77777777" w:rsidTr="00E61BCE">
        <w:trPr>
          <w:cnfStyle w:val="000000100000" w:firstRow="0" w:lastRow="0" w:firstColumn="0" w:lastColumn="0" w:oddVBand="0" w:evenVBand="0" w:oddHBand="1" w:evenHBand="0" w:firstRowFirstColumn="0" w:firstRowLastColumn="0" w:lastRowFirstColumn="0" w:lastRowLastColumn="0"/>
          <w:trHeight w:val="806"/>
        </w:trPr>
        <w:tc>
          <w:tcPr>
            <w:cnfStyle w:val="001000000000" w:firstRow="0" w:lastRow="0" w:firstColumn="1" w:lastColumn="0" w:oddVBand="0" w:evenVBand="0" w:oddHBand="0" w:evenHBand="0" w:firstRowFirstColumn="0" w:firstRowLastColumn="0" w:lastRowFirstColumn="0" w:lastRowLastColumn="0"/>
            <w:tcW w:w="161" w:type="dxa"/>
            <w:noWrap/>
            <w:hideMark/>
          </w:tcPr>
          <w:p w14:paraId="6701A7E2" w14:textId="77777777" w:rsidR="00607D14" w:rsidRPr="00D80577" w:rsidRDefault="00607D14" w:rsidP="00E61BCE">
            <w:pPr>
              <w:spacing w:after="0" w:line="240" w:lineRule="auto"/>
              <w:jc w:val="center"/>
              <w:rPr>
                <w:rFonts w:ascii="Arial" w:eastAsia="Times New Roman" w:hAnsi="Arial" w:cs="Arial"/>
                <w:color w:val="010205"/>
                <w:kern w:val="0"/>
                <w:sz w:val="16"/>
                <w:szCs w:val="16"/>
                <w14:ligatures w14:val="none"/>
              </w:rPr>
            </w:pPr>
          </w:p>
        </w:tc>
        <w:tc>
          <w:tcPr>
            <w:tcW w:w="351" w:type="dxa"/>
            <w:noWrap/>
            <w:hideMark/>
          </w:tcPr>
          <w:p w14:paraId="4592863B"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368" w:type="dxa"/>
            <w:hideMark/>
          </w:tcPr>
          <w:p w14:paraId="21346C5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 xml:space="preserve">Size of the firm </w:t>
            </w:r>
          </w:p>
        </w:tc>
        <w:tc>
          <w:tcPr>
            <w:tcW w:w="368" w:type="dxa"/>
            <w:hideMark/>
          </w:tcPr>
          <w:p w14:paraId="732BFB9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Industry sub-sector:</w:t>
            </w:r>
          </w:p>
        </w:tc>
        <w:tc>
          <w:tcPr>
            <w:tcW w:w="409" w:type="dxa"/>
            <w:hideMark/>
          </w:tcPr>
          <w:p w14:paraId="796001C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Years of operation of the firm:</w:t>
            </w:r>
          </w:p>
        </w:tc>
        <w:tc>
          <w:tcPr>
            <w:tcW w:w="368" w:type="dxa"/>
            <w:hideMark/>
          </w:tcPr>
          <w:p w14:paraId="73324B52"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w:t>
            </w:r>
          </w:p>
        </w:tc>
        <w:tc>
          <w:tcPr>
            <w:tcW w:w="368" w:type="dxa"/>
            <w:hideMark/>
          </w:tcPr>
          <w:p w14:paraId="6B8082F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Q2</w:t>
            </w:r>
          </w:p>
        </w:tc>
        <w:tc>
          <w:tcPr>
            <w:tcW w:w="368" w:type="dxa"/>
            <w:hideMark/>
          </w:tcPr>
          <w:p w14:paraId="3C2E545E"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Q3</w:t>
            </w:r>
          </w:p>
        </w:tc>
        <w:tc>
          <w:tcPr>
            <w:tcW w:w="368" w:type="dxa"/>
            <w:hideMark/>
          </w:tcPr>
          <w:p w14:paraId="58676AF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Q4</w:t>
            </w:r>
          </w:p>
        </w:tc>
        <w:tc>
          <w:tcPr>
            <w:tcW w:w="368" w:type="dxa"/>
            <w:hideMark/>
          </w:tcPr>
          <w:p w14:paraId="1280921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Q5</w:t>
            </w:r>
          </w:p>
        </w:tc>
        <w:tc>
          <w:tcPr>
            <w:tcW w:w="368" w:type="dxa"/>
            <w:hideMark/>
          </w:tcPr>
          <w:p w14:paraId="6971C4A3"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Q6</w:t>
            </w:r>
          </w:p>
        </w:tc>
        <w:tc>
          <w:tcPr>
            <w:tcW w:w="368" w:type="dxa"/>
            <w:hideMark/>
          </w:tcPr>
          <w:p w14:paraId="4C918F3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Q7</w:t>
            </w:r>
          </w:p>
        </w:tc>
        <w:tc>
          <w:tcPr>
            <w:tcW w:w="368" w:type="dxa"/>
            <w:hideMark/>
          </w:tcPr>
          <w:p w14:paraId="072FD6F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Q8</w:t>
            </w:r>
          </w:p>
        </w:tc>
        <w:tc>
          <w:tcPr>
            <w:tcW w:w="368" w:type="dxa"/>
            <w:hideMark/>
          </w:tcPr>
          <w:p w14:paraId="5156C57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Q9</w:t>
            </w:r>
          </w:p>
        </w:tc>
        <w:tc>
          <w:tcPr>
            <w:tcW w:w="368" w:type="dxa"/>
            <w:hideMark/>
          </w:tcPr>
          <w:p w14:paraId="08E1D96C"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Q10</w:t>
            </w:r>
          </w:p>
        </w:tc>
        <w:tc>
          <w:tcPr>
            <w:tcW w:w="368" w:type="dxa"/>
            <w:hideMark/>
          </w:tcPr>
          <w:p w14:paraId="5B5EB563"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Q11</w:t>
            </w:r>
          </w:p>
        </w:tc>
        <w:tc>
          <w:tcPr>
            <w:tcW w:w="368" w:type="dxa"/>
            <w:hideMark/>
          </w:tcPr>
          <w:p w14:paraId="5B6176CC"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Q12</w:t>
            </w:r>
          </w:p>
        </w:tc>
        <w:tc>
          <w:tcPr>
            <w:tcW w:w="368" w:type="dxa"/>
            <w:hideMark/>
          </w:tcPr>
          <w:p w14:paraId="4517562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Q13</w:t>
            </w:r>
          </w:p>
        </w:tc>
        <w:tc>
          <w:tcPr>
            <w:tcW w:w="368" w:type="dxa"/>
            <w:hideMark/>
          </w:tcPr>
          <w:p w14:paraId="2B514BD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Q14</w:t>
            </w:r>
          </w:p>
        </w:tc>
        <w:tc>
          <w:tcPr>
            <w:tcW w:w="368" w:type="dxa"/>
            <w:hideMark/>
          </w:tcPr>
          <w:p w14:paraId="68D86FD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Q15</w:t>
            </w:r>
          </w:p>
        </w:tc>
      </w:tr>
      <w:tr w:rsidR="00607D14" w:rsidRPr="00D80577" w14:paraId="4C9732B0" w14:textId="77777777" w:rsidTr="00E61BCE">
        <w:trPr>
          <w:trHeight w:val="650"/>
        </w:trPr>
        <w:tc>
          <w:tcPr>
            <w:cnfStyle w:val="001000000000" w:firstRow="0" w:lastRow="0" w:firstColumn="1" w:lastColumn="0" w:oddVBand="0" w:evenVBand="0" w:oddHBand="0" w:evenHBand="0" w:firstRowFirstColumn="0" w:firstRowLastColumn="0" w:lastRowFirstColumn="0" w:lastRowLastColumn="0"/>
            <w:tcW w:w="161" w:type="dxa"/>
            <w:vMerge w:val="restart"/>
            <w:hideMark/>
          </w:tcPr>
          <w:p w14:paraId="1F61943C" w14:textId="77777777" w:rsidR="00607D14" w:rsidRPr="00D80577" w:rsidRDefault="00607D14" w:rsidP="00E61BCE">
            <w:pPr>
              <w:spacing w:after="0" w:line="240" w:lineRule="auto"/>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N</w:t>
            </w:r>
          </w:p>
        </w:tc>
        <w:tc>
          <w:tcPr>
            <w:tcW w:w="351" w:type="dxa"/>
            <w:hideMark/>
          </w:tcPr>
          <w:p w14:paraId="7D8078B7"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Valid</w:t>
            </w:r>
          </w:p>
        </w:tc>
        <w:tc>
          <w:tcPr>
            <w:tcW w:w="368" w:type="dxa"/>
            <w:noWrap/>
            <w:hideMark/>
          </w:tcPr>
          <w:p w14:paraId="44A40A2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642655C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409" w:type="dxa"/>
            <w:noWrap/>
            <w:hideMark/>
          </w:tcPr>
          <w:p w14:paraId="2DB69F4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5209E9D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615BF48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1FBFE33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1F7B789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5ECEE02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4179E5B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7C6ED4D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42E7B51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4E19FDF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56305CF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186C76E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141B6F9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7B93BEC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6E09CAF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c>
          <w:tcPr>
            <w:tcW w:w="368" w:type="dxa"/>
            <w:noWrap/>
            <w:hideMark/>
          </w:tcPr>
          <w:p w14:paraId="08BCC32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w:t>
            </w:r>
          </w:p>
        </w:tc>
      </w:tr>
      <w:tr w:rsidR="00607D14" w:rsidRPr="00D80577" w14:paraId="2AA64751" w14:textId="77777777" w:rsidTr="00E61BCE">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161" w:type="dxa"/>
            <w:vMerge/>
            <w:hideMark/>
          </w:tcPr>
          <w:p w14:paraId="5F807861" w14:textId="77777777" w:rsidR="00607D14" w:rsidRPr="00D80577" w:rsidRDefault="00607D14" w:rsidP="00E61BCE">
            <w:pPr>
              <w:spacing w:after="0" w:line="240" w:lineRule="auto"/>
              <w:rPr>
                <w:rFonts w:ascii="Arial" w:eastAsia="Times New Roman" w:hAnsi="Arial" w:cs="Arial"/>
                <w:color w:val="264A60"/>
                <w:kern w:val="0"/>
                <w:sz w:val="16"/>
                <w:szCs w:val="16"/>
                <w14:ligatures w14:val="none"/>
              </w:rPr>
            </w:pPr>
          </w:p>
        </w:tc>
        <w:tc>
          <w:tcPr>
            <w:tcW w:w="351" w:type="dxa"/>
            <w:hideMark/>
          </w:tcPr>
          <w:p w14:paraId="5E971766"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Missing</w:t>
            </w:r>
          </w:p>
        </w:tc>
        <w:tc>
          <w:tcPr>
            <w:tcW w:w="368" w:type="dxa"/>
            <w:noWrap/>
            <w:hideMark/>
          </w:tcPr>
          <w:p w14:paraId="65698F0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1DA1CE4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409" w:type="dxa"/>
            <w:noWrap/>
            <w:hideMark/>
          </w:tcPr>
          <w:p w14:paraId="63722FA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2E9A578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721BE12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3299879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46F3470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7DF9BB7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7099230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3DE1FEA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21F2A27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74503EC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4584EF9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17E886F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4E8D948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2887FC1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03DF2AF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c>
          <w:tcPr>
            <w:tcW w:w="368" w:type="dxa"/>
            <w:noWrap/>
            <w:hideMark/>
          </w:tcPr>
          <w:p w14:paraId="238118E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w:t>
            </w:r>
          </w:p>
        </w:tc>
      </w:tr>
      <w:tr w:rsidR="00607D14" w:rsidRPr="00D80577" w14:paraId="3E2CCCDC" w14:textId="77777777" w:rsidTr="00E61BCE">
        <w:trPr>
          <w:trHeight w:val="650"/>
        </w:trPr>
        <w:tc>
          <w:tcPr>
            <w:cnfStyle w:val="001000000000" w:firstRow="0" w:lastRow="0" w:firstColumn="1" w:lastColumn="0" w:oddVBand="0" w:evenVBand="0" w:oddHBand="0" w:evenHBand="0" w:firstRowFirstColumn="0" w:firstRowLastColumn="0" w:lastRowFirstColumn="0" w:lastRowLastColumn="0"/>
            <w:tcW w:w="513" w:type="dxa"/>
            <w:gridSpan w:val="2"/>
            <w:hideMark/>
          </w:tcPr>
          <w:p w14:paraId="480AB4A2" w14:textId="77777777" w:rsidR="00607D14" w:rsidRPr="00D80577" w:rsidRDefault="00607D14" w:rsidP="00E61BCE">
            <w:pPr>
              <w:spacing w:after="0" w:line="240" w:lineRule="auto"/>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Mean</w:t>
            </w:r>
          </w:p>
        </w:tc>
        <w:tc>
          <w:tcPr>
            <w:tcW w:w="368" w:type="dxa"/>
            <w:noWrap/>
            <w:hideMark/>
          </w:tcPr>
          <w:p w14:paraId="5DC08C4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1.5933</w:t>
            </w:r>
          </w:p>
        </w:tc>
        <w:tc>
          <w:tcPr>
            <w:tcW w:w="368" w:type="dxa"/>
            <w:noWrap/>
            <w:hideMark/>
          </w:tcPr>
          <w:p w14:paraId="3ED19EE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2.2333</w:t>
            </w:r>
          </w:p>
        </w:tc>
        <w:tc>
          <w:tcPr>
            <w:tcW w:w="409" w:type="dxa"/>
            <w:noWrap/>
            <w:hideMark/>
          </w:tcPr>
          <w:p w14:paraId="0ACA2FC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2.0067</w:t>
            </w:r>
          </w:p>
        </w:tc>
        <w:tc>
          <w:tcPr>
            <w:tcW w:w="368" w:type="dxa"/>
            <w:noWrap/>
            <w:hideMark/>
          </w:tcPr>
          <w:p w14:paraId="0998BF8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3.9400</w:t>
            </w:r>
          </w:p>
        </w:tc>
        <w:tc>
          <w:tcPr>
            <w:tcW w:w="368" w:type="dxa"/>
            <w:noWrap/>
            <w:hideMark/>
          </w:tcPr>
          <w:p w14:paraId="43F8D27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3.8400</w:t>
            </w:r>
          </w:p>
        </w:tc>
        <w:tc>
          <w:tcPr>
            <w:tcW w:w="368" w:type="dxa"/>
            <w:noWrap/>
            <w:hideMark/>
          </w:tcPr>
          <w:p w14:paraId="3BAF2E6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4.0067</w:t>
            </w:r>
          </w:p>
        </w:tc>
        <w:tc>
          <w:tcPr>
            <w:tcW w:w="368" w:type="dxa"/>
            <w:noWrap/>
            <w:hideMark/>
          </w:tcPr>
          <w:p w14:paraId="4A949D2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4.0467</w:t>
            </w:r>
          </w:p>
        </w:tc>
        <w:tc>
          <w:tcPr>
            <w:tcW w:w="368" w:type="dxa"/>
            <w:noWrap/>
            <w:hideMark/>
          </w:tcPr>
          <w:p w14:paraId="425CE82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3.8000</w:t>
            </w:r>
          </w:p>
        </w:tc>
        <w:tc>
          <w:tcPr>
            <w:tcW w:w="368" w:type="dxa"/>
            <w:noWrap/>
            <w:hideMark/>
          </w:tcPr>
          <w:p w14:paraId="0143395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3.9667</w:t>
            </w:r>
          </w:p>
        </w:tc>
        <w:tc>
          <w:tcPr>
            <w:tcW w:w="368" w:type="dxa"/>
            <w:noWrap/>
            <w:hideMark/>
          </w:tcPr>
          <w:p w14:paraId="0AFAE31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3.7733</w:t>
            </w:r>
          </w:p>
        </w:tc>
        <w:tc>
          <w:tcPr>
            <w:tcW w:w="368" w:type="dxa"/>
            <w:noWrap/>
            <w:hideMark/>
          </w:tcPr>
          <w:p w14:paraId="55E7D80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3.7267</w:t>
            </w:r>
          </w:p>
        </w:tc>
        <w:tc>
          <w:tcPr>
            <w:tcW w:w="368" w:type="dxa"/>
            <w:noWrap/>
            <w:hideMark/>
          </w:tcPr>
          <w:p w14:paraId="3A58747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3.7067</w:t>
            </w:r>
          </w:p>
        </w:tc>
        <w:tc>
          <w:tcPr>
            <w:tcW w:w="368" w:type="dxa"/>
            <w:noWrap/>
            <w:hideMark/>
          </w:tcPr>
          <w:p w14:paraId="6E79575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3.7867</w:t>
            </w:r>
          </w:p>
        </w:tc>
        <w:tc>
          <w:tcPr>
            <w:tcW w:w="368" w:type="dxa"/>
            <w:noWrap/>
            <w:hideMark/>
          </w:tcPr>
          <w:p w14:paraId="4017A6F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3.7867</w:t>
            </w:r>
          </w:p>
        </w:tc>
        <w:tc>
          <w:tcPr>
            <w:tcW w:w="368" w:type="dxa"/>
            <w:noWrap/>
            <w:hideMark/>
          </w:tcPr>
          <w:p w14:paraId="666CA11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3.9400</w:t>
            </w:r>
          </w:p>
        </w:tc>
        <w:tc>
          <w:tcPr>
            <w:tcW w:w="368" w:type="dxa"/>
            <w:noWrap/>
            <w:hideMark/>
          </w:tcPr>
          <w:p w14:paraId="706D40B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3.8667</w:t>
            </w:r>
          </w:p>
        </w:tc>
        <w:tc>
          <w:tcPr>
            <w:tcW w:w="368" w:type="dxa"/>
            <w:noWrap/>
            <w:hideMark/>
          </w:tcPr>
          <w:p w14:paraId="2A58269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3.8333</w:t>
            </w:r>
          </w:p>
        </w:tc>
        <w:tc>
          <w:tcPr>
            <w:tcW w:w="368" w:type="dxa"/>
            <w:noWrap/>
            <w:hideMark/>
          </w:tcPr>
          <w:p w14:paraId="12CC2ED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3.8667</w:t>
            </w:r>
          </w:p>
        </w:tc>
      </w:tr>
      <w:tr w:rsidR="00607D14" w:rsidRPr="00D80577" w14:paraId="7496BC4A" w14:textId="77777777" w:rsidTr="00E61BCE">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513" w:type="dxa"/>
            <w:gridSpan w:val="2"/>
            <w:hideMark/>
          </w:tcPr>
          <w:p w14:paraId="57BBF1F5" w14:textId="77777777" w:rsidR="00607D14" w:rsidRPr="00D80577" w:rsidRDefault="00607D14" w:rsidP="00E61BCE">
            <w:pPr>
              <w:spacing w:after="0" w:line="240" w:lineRule="auto"/>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Median</w:t>
            </w:r>
          </w:p>
        </w:tc>
        <w:tc>
          <w:tcPr>
            <w:tcW w:w="368" w:type="dxa"/>
            <w:noWrap/>
            <w:hideMark/>
          </w:tcPr>
          <w:p w14:paraId="603E1C4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1.5000</w:t>
            </w:r>
          </w:p>
        </w:tc>
        <w:tc>
          <w:tcPr>
            <w:tcW w:w="368" w:type="dxa"/>
            <w:noWrap/>
            <w:hideMark/>
          </w:tcPr>
          <w:p w14:paraId="49CF5BD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2.0000</w:t>
            </w:r>
          </w:p>
        </w:tc>
        <w:tc>
          <w:tcPr>
            <w:tcW w:w="409" w:type="dxa"/>
            <w:noWrap/>
            <w:hideMark/>
          </w:tcPr>
          <w:p w14:paraId="3303C3C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2.0000</w:t>
            </w:r>
          </w:p>
        </w:tc>
        <w:tc>
          <w:tcPr>
            <w:tcW w:w="368" w:type="dxa"/>
            <w:noWrap/>
            <w:hideMark/>
          </w:tcPr>
          <w:p w14:paraId="3279FC9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0CDAE94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4534B8F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12A7AF1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45F518B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66C2EF8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5F6B612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357B434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54D1BFE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0DBC067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014FEAC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71EDAF7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4670B79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6D4078D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c>
          <w:tcPr>
            <w:tcW w:w="368" w:type="dxa"/>
            <w:noWrap/>
            <w:hideMark/>
          </w:tcPr>
          <w:p w14:paraId="5D67DD0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4.0000</w:t>
            </w:r>
          </w:p>
        </w:tc>
      </w:tr>
      <w:tr w:rsidR="00607D14" w:rsidRPr="00D80577" w14:paraId="4C967227" w14:textId="77777777" w:rsidTr="00E61BCE">
        <w:trPr>
          <w:trHeight w:val="650"/>
        </w:trPr>
        <w:tc>
          <w:tcPr>
            <w:cnfStyle w:val="001000000000" w:firstRow="0" w:lastRow="0" w:firstColumn="1" w:lastColumn="0" w:oddVBand="0" w:evenVBand="0" w:oddHBand="0" w:evenHBand="0" w:firstRowFirstColumn="0" w:firstRowLastColumn="0" w:lastRowFirstColumn="0" w:lastRowLastColumn="0"/>
            <w:tcW w:w="513" w:type="dxa"/>
            <w:gridSpan w:val="2"/>
            <w:hideMark/>
          </w:tcPr>
          <w:p w14:paraId="55C25AEB" w14:textId="77777777" w:rsidR="00607D14" w:rsidRPr="00D80577" w:rsidRDefault="00607D14" w:rsidP="00E61BCE">
            <w:pPr>
              <w:spacing w:after="0" w:line="240" w:lineRule="auto"/>
              <w:rPr>
                <w:rFonts w:ascii="Arial" w:eastAsia="Times New Roman" w:hAnsi="Arial" w:cs="Arial"/>
                <w:color w:val="264A60"/>
                <w:kern w:val="0"/>
                <w:sz w:val="16"/>
                <w:szCs w:val="16"/>
                <w14:ligatures w14:val="none"/>
              </w:rPr>
            </w:pPr>
            <w:r w:rsidRPr="00D80577">
              <w:rPr>
                <w:rFonts w:ascii="Arial" w:eastAsia="Times New Roman" w:hAnsi="Arial" w:cs="Arial"/>
                <w:color w:val="264A60"/>
                <w:kern w:val="0"/>
                <w:sz w:val="16"/>
                <w:szCs w:val="16"/>
                <w14:ligatures w14:val="none"/>
              </w:rPr>
              <w:t>Std. Deviation</w:t>
            </w:r>
          </w:p>
        </w:tc>
        <w:tc>
          <w:tcPr>
            <w:tcW w:w="368" w:type="dxa"/>
            <w:noWrap/>
            <w:hideMark/>
          </w:tcPr>
          <w:p w14:paraId="1C26C2E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0.65637</w:t>
            </w:r>
          </w:p>
        </w:tc>
        <w:tc>
          <w:tcPr>
            <w:tcW w:w="368" w:type="dxa"/>
            <w:noWrap/>
            <w:hideMark/>
          </w:tcPr>
          <w:p w14:paraId="161040C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1.07701</w:t>
            </w:r>
          </w:p>
        </w:tc>
        <w:tc>
          <w:tcPr>
            <w:tcW w:w="409" w:type="dxa"/>
            <w:noWrap/>
            <w:hideMark/>
          </w:tcPr>
          <w:p w14:paraId="089308B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0.96584</w:t>
            </w:r>
          </w:p>
        </w:tc>
        <w:tc>
          <w:tcPr>
            <w:tcW w:w="368" w:type="dxa"/>
            <w:noWrap/>
            <w:hideMark/>
          </w:tcPr>
          <w:p w14:paraId="0BC1FAD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1.10660</w:t>
            </w:r>
          </w:p>
        </w:tc>
        <w:tc>
          <w:tcPr>
            <w:tcW w:w="368" w:type="dxa"/>
            <w:noWrap/>
            <w:hideMark/>
          </w:tcPr>
          <w:p w14:paraId="2BC10A4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1.01055</w:t>
            </w:r>
          </w:p>
        </w:tc>
        <w:tc>
          <w:tcPr>
            <w:tcW w:w="368" w:type="dxa"/>
            <w:noWrap/>
            <w:hideMark/>
          </w:tcPr>
          <w:p w14:paraId="27B54A5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0.81510</w:t>
            </w:r>
          </w:p>
        </w:tc>
        <w:tc>
          <w:tcPr>
            <w:tcW w:w="368" w:type="dxa"/>
            <w:noWrap/>
            <w:hideMark/>
          </w:tcPr>
          <w:p w14:paraId="70F2F7E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1.04488</w:t>
            </w:r>
          </w:p>
        </w:tc>
        <w:tc>
          <w:tcPr>
            <w:tcW w:w="368" w:type="dxa"/>
            <w:noWrap/>
            <w:hideMark/>
          </w:tcPr>
          <w:p w14:paraId="341D272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1.02976</w:t>
            </w:r>
          </w:p>
        </w:tc>
        <w:tc>
          <w:tcPr>
            <w:tcW w:w="368" w:type="dxa"/>
            <w:noWrap/>
            <w:hideMark/>
          </w:tcPr>
          <w:p w14:paraId="5D73823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0.97909</w:t>
            </w:r>
          </w:p>
        </w:tc>
        <w:tc>
          <w:tcPr>
            <w:tcW w:w="368" w:type="dxa"/>
            <w:noWrap/>
            <w:hideMark/>
          </w:tcPr>
          <w:p w14:paraId="3356842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1.04366</w:t>
            </w:r>
          </w:p>
        </w:tc>
        <w:tc>
          <w:tcPr>
            <w:tcW w:w="368" w:type="dxa"/>
            <w:noWrap/>
            <w:hideMark/>
          </w:tcPr>
          <w:p w14:paraId="191839F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0.95465</w:t>
            </w:r>
          </w:p>
        </w:tc>
        <w:tc>
          <w:tcPr>
            <w:tcW w:w="368" w:type="dxa"/>
            <w:noWrap/>
            <w:hideMark/>
          </w:tcPr>
          <w:p w14:paraId="517466E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0.98680</w:t>
            </w:r>
          </w:p>
        </w:tc>
        <w:tc>
          <w:tcPr>
            <w:tcW w:w="368" w:type="dxa"/>
            <w:noWrap/>
            <w:hideMark/>
          </w:tcPr>
          <w:p w14:paraId="799BE81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0.92386</w:t>
            </w:r>
          </w:p>
        </w:tc>
        <w:tc>
          <w:tcPr>
            <w:tcW w:w="368" w:type="dxa"/>
            <w:noWrap/>
            <w:hideMark/>
          </w:tcPr>
          <w:p w14:paraId="6D24453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0.95949</w:t>
            </w:r>
          </w:p>
        </w:tc>
        <w:tc>
          <w:tcPr>
            <w:tcW w:w="368" w:type="dxa"/>
            <w:noWrap/>
            <w:hideMark/>
          </w:tcPr>
          <w:p w14:paraId="2381826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0.94286</w:t>
            </w:r>
          </w:p>
        </w:tc>
        <w:tc>
          <w:tcPr>
            <w:tcW w:w="368" w:type="dxa"/>
            <w:noWrap/>
            <w:hideMark/>
          </w:tcPr>
          <w:p w14:paraId="3A73FD9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0.92444</w:t>
            </w:r>
          </w:p>
        </w:tc>
        <w:tc>
          <w:tcPr>
            <w:tcW w:w="368" w:type="dxa"/>
            <w:noWrap/>
            <w:hideMark/>
          </w:tcPr>
          <w:p w14:paraId="0ED4335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0.88550</w:t>
            </w:r>
          </w:p>
        </w:tc>
        <w:tc>
          <w:tcPr>
            <w:tcW w:w="368" w:type="dxa"/>
            <w:noWrap/>
            <w:hideMark/>
          </w:tcPr>
          <w:p w14:paraId="7DC368B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6"/>
                <w:szCs w:val="16"/>
                <w14:ligatures w14:val="none"/>
              </w:rPr>
            </w:pPr>
            <w:r w:rsidRPr="00D80577">
              <w:rPr>
                <w:rFonts w:ascii="Arial" w:eastAsia="Times New Roman" w:hAnsi="Arial" w:cs="Arial"/>
                <w:color w:val="010205"/>
                <w:kern w:val="0"/>
                <w:sz w:val="16"/>
                <w:szCs w:val="16"/>
                <w14:ligatures w14:val="none"/>
              </w:rPr>
              <w:t>0.99439</w:t>
            </w:r>
          </w:p>
        </w:tc>
      </w:tr>
    </w:tbl>
    <w:p w14:paraId="42A62B4B" w14:textId="77777777" w:rsidR="00607D14" w:rsidRPr="00D80577" w:rsidRDefault="00607D14" w:rsidP="00607D14">
      <w:pPr>
        <w:rPr>
          <w:rFonts w:ascii="Arial" w:hAnsi="Arial" w:cs="Arial"/>
        </w:rPr>
      </w:pPr>
    </w:p>
    <w:p w14:paraId="7BD7B003" w14:textId="69D524CA" w:rsidR="00607D14" w:rsidRPr="00D80577" w:rsidRDefault="00743850" w:rsidP="00607D14">
      <w:pPr>
        <w:pStyle w:val="Heading2"/>
        <w:spacing w:line="360" w:lineRule="auto"/>
        <w:jc w:val="both"/>
        <w:rPr>
          <w:rFonts w:ascii="Arial" w:hAnsi="Arial" w:cs="Arial"/>
          <w:b/>
          <w:bCs/>
          <w:color w:val="000000" w:themeColor="text1"/>
          <w:sz w:val="24"/>
          <w:szCs w:val="24"/>
        </w:rPr>
      </w:pPr>
      <w:bookmarkStart w:id="51" w:name="_Toc220890093"/>
      <w:r w:rsidRPr="00D80577">
        <w:rPr>
          <w:rFonts w:ascii="Arial" w:hAnsi="Arial" w:cs="Arial"/>
          <w:b/>
          <w:bCs/>
          <w:color w:val="000000" w:themeColor="text1"/>
          <w:sz w:val="24"/>
          <w:szCs w:val="24"/>
        </w:rPr>
        <w:t xml:space="preserve">4.3 </w:t>
      </w:r>
      <w:r w:rsidR="00607D14" w:rsidRPr="00D80577">
        <w:rPr>
          <w:rFonts w:ascii="Arial" w:hAnsi="Arial" w:cs="Arial"/>
          <w:b/>
          <w:bCs/>
          <w:color w:val="000000" w:themeColor="text1"/>
          <w:sz w:val="24"/>
          <w:szCs w:val="24"/>
        </w:rPr>
        <w:t>Frequency Analysis</w:t>
      </w:r>
      <w:bookmarkEnd w:id="51"/>
    </w:p>
    <w:p w14:paraId="1C886624" w14:textId="77777777" w:rsidR="00607D14" w:rsidRPr="00D80577" w:rsidRDefault="00607D14" w:rsidP="00607D14">
      <w:pPr>
        <w:spacing w:line="360" w:lineRule="auto"/>
        <w:jc w:val="both"/>
        <w:rPr>
          <w:rFonts w:ascii="Arial" w:hAnsi="Arial" w:cs="Arial"/>
        </w:rPr>
      </w:pPr>
      <w:r w:rsidRPr="00D80577">
        <w:rPr>
          <w:rFonts w:ascii="Arial" w:hAnsi="Arial" w:cs="Arial"/>
        </w:rPr>
        <w:t>The sample includes 50 per cent micro-enterprises, 40.7 per cent small firms, and 9.3 per cent medium-sized firms. This distribution reveals that the majority of the firms are small-scale, which can affect their susceptibility to disruption in the supply chain because of the lack of resources. Smaller companies might be less effective in the face of production delays and cost control issues, which contribute to investigating RQ1 and RQ2 regarding the factors, causes, and effects of disruption on business performance.</w:t>
      </w:r>
    </w:p>
    <w:p w14:paraId="016D249C" w14:textId="1D30DA84" w:rsidR="00607D14" w:rsidRPr="00D80577" w:rsidRDefault="00607D14" w:rsidP="00607D14">
      <w:pPr>
        <w:pStyle w:val="Caption"/>
        <w:keepNext/>
        <w:rPr>
          <w:rFonts w:ascii="Arial" w:hAnsi="Arial" w:cs="Arial"/>
          <w:i w:val="0"/>
          <w:iCs w:val="0"/>
          <w:sz w:val="22"/>
          <w:szCs w:val="22"/>
        </w:rPr>
      </w:pPr>
      <w:bookmarkStart w:id="52" w:name="_Toc220889980"/>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3</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Demographic Question 1</w:t>
      </w:r>
      <w:bookmarkEnd w:id="52"/>
    </w:p>
    <w:tbl>
      <w:tblPr>
        <w:tblStyle w:val="PlainTable1"/>
        <w:tblW w:w="93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0"/>
        <w:gridCol w:w="1940"/>
        <w:gridCol w:w="1968"/>
        <w:gridCol w:w="1169"/>
        <w:gridCol w:w="1169"/>
        <w:gridCol w:w="1171"/>
      </w:tblGrid>
      <w:tr w:rsidR="00607D14" w:rsidRPr="00D80577" w14:paraId="58A4797A" w14:textId="77777777" w:rsidTr="00E61BCE">
        <w:trPr>
          <w:cnfStyle w:val="100000000000" w:firstRow="1" w:lastRow="0" w:firstColumn="0" w:lastColumn="0" w:oddVBand="0" w:evenVBand="0" w:oddHBand="0"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9357" w:type="dxa"/>
            <w:gridSpan w:val="6"/>
            <w:hideMark/>
          </w:tcPr>
          <w:p w14:paraId="37C34114"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Size of the firm (number of employees):</w:t>
            </w:r>
          </w:p>
        </w:tc>
      </w:tr>
      <w:tr w:rsidR="00607D14" w:rsidRPr="00D80577" w14:paraId="72219828" w14:textId="77777777" w:rsidTr="00E61BCE">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40" w:type="dxa"/>
            <w:noWrap/>
            <w:hideMark/>
          </w:tcPr>
          <w:p w14:paraId="38D515A9"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40" w:type="dxa"/>
            <w:noWrap/>
            <w:hideMark/>
          </w:tcPr>
          <w:p w14:paraId="61ACD427"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68" w:type="dxa"/>
            <w:hideMark/>
          </w:tcPr>
          <w:p w14:paraId="3E53BB4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69" w:type="dxa"/>
            <w:hideMark/>
          </w:tcPr>
          <w:p w14:paraId="2D43735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69" w:type="dxa"/>
            <w:hideMark/>
          </w:tcPr>
          <w:p w14:paraId="0FACE2C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0" w:type="dxa"/>
            <w:hideMark/>
          </w:tcPr>
          <w:p w14:paraId="768547D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7E2AE6FB" w14:textId="77777777" w:rsidTr="00E61BCE">
        <w:trPr>
          <w:trHeight w:val="514"/>
        </w:trPr>
        <w:tc>
          <w:tcPr>
            <w:cnfStyle w:val="001000000000" w:firstRow="0" w:lastRow="0" w:firstColumn="1" w:lastColumn="0" w:oddVBand="0" w:evenVBand="0" w:oddHBand="0" w:evenHBand="0" w:firstRowFirstColumn="0" w:firstRowLastColumn="0" w:lastRowFirstColumn="0" w:lastRowLastColumn="0"/>
            <w:tcW w:w="1940" w:type="dxa"/>
            <w:vMerge w:val="restart"/>
            <w:hideMark/>
          </w:tcPr>
          <w:p w14:paraId="0DD7386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40" w:type="dxa"/>
            <w:hideMark/>
          </w:tcPr>
          <w:p w14:paraId="149AD934"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Micro enterprise (1–9 employees)</w:t>
            </w:r>
          </w:p>
        </w:tc>
        <w:tc>
          <w:tcPr>
            <w:tcW w:w="1968" w:type="dxa"/>
            <w:noWrap/>
            <w:hideMark/>
          </w:tcPr>
          <w:p w14:paraId="138B4BF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75</w:t>
            </w:r>
          </w:p>
        </w:tc>
        <w:tc>
          <w:tcPr>
            <w:tcW w:w="1169" w:type="dxa"/>
            <w:noWrap/>
            <w:hideMark/>
          </w:tcPr>
          <w:p w14:paraId="61ED7B9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50.0</w:t>
            </w:r>
          </w:p>
        </w:tc>
        <w:tc>
          <w:tcPr>
            <w:tcW w:w="1169" w:type="dxa"/>
            <w:noWrap/>
            <w:hideMark/>
          </w:tcPr>
          <w:p w14:paraId="6EAC748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50.0</w:t>
            </w:r>
          </w:p>
        </w:tc>
        <w:tc>
          <w:tcPr>
            <w:tcW w:w="1170" w:type="dxa"/>
            <w:noWrap/>
            <w:hideMark/>
          </w:tcPr>
          <w:p w14:paraId="68FE485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50.0</w:t>
            </w:r>
          </w:p>
        </w:tc>
      </w:tr>
      <w:tr w:rsidR="00607D14" w:rsidRPr="00D80577" w14:paraId="41547473" w14:textId="77777777" w:rsidTr="00E61BCE">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1940" w:type="dxa"/>
            <w:vMerge/>
            <w:hideMark/>
          </w:tcPr>
          <w:p w14:paraId="4EEC2B29"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0" w:type="dxa"/>
            <w:hideMark/>
          </w:tcPr>
          <w:p w14:paraId="5540A706"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Small enterprise (10–49 employees)</w:t>
            </w:r>
          </w:p>
        </w:tc>
        <w:tc>
          <w:tcPr>
            <w:tcW w:w="1968" w:type="dxa"/>
            <w:noWrap/>
            <w:hideMark/>
          </w:tcPr>
          <w:p w14:paraId="2C5476E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61</w:t>
            </w:r>
          </w:p>
        </w:tc>
        <w:tc>
          <w:tcPr>
            <w:tcW w:w="1169" w:type="dxa"/>
            <w:noWrap/>
            <w:hideMark/>
          </w:tcPr>
          <w:p w14:paraId="3F637BE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40.7</w:t>
            </w:r>
          </w:p>
        </w:tc>
        <w:tc>
          <w:tcPr>
            <w:tcW w:w="1169" w:type="dxa"/>
            <w:noWrap/>
            <w:hideMark/>
          </w:tcPr>
          <w:p w14:paraId="6696096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40.7</w:t>
            </w:r>
          </w:p>
        </w:tc>
        <w:tc>
          <w:tcPr>
            <w:tcW w:w="1170" w:type="dxa"/>
            <w:noWrap/>
            <w:hideMark/>
          </w:tcPr>
          <w:p w14:paraId="24F40AF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90.7</w:t>
            </w:r>
          </w:p>
        </w:tc>
      </w:tr>
      <w:tr w:rsidR="00607D14" w:rsidRPr="00D80577" w14:paraId="56964F2C" w14:textId="77777777" w:rsidTr="00E61BCE">
        <w:trPr>
          <w:trHeight w:val="514"/>
        </w:trPr>
        <w:tc>
          <w:tcPr>
            <w:cnfStyle w:val="001000000000" w:firstRow="0" w:lastRow="0" w:firstColumn="1" w:lastColumn="0" w:oddVBand="0" w:evenVBand="0" w:oddHBand="0" w:evenHBand="0" w:firstRowFirstColumn="0" w:firstRowLastColumn="0" w:lastRowFirstColumn="0" w:lastRowLastColumn="0"/>
            <w:tcW w:w="1940" w:type="dxa"/>
            <w:vMerge/>
            <w:hideMark/>
          </w:tcPr>
          <w:p w14:paraId="600442C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0" w:type="dxa"/>
            <w:hideMark/>
          </w:tcPr>
          <w:p w14:paraId="1E81E44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Medium enterprise (50–249 employees)</w:t>
            </w:r>
          </w:p>
        </w:tc>
        <w:tc>
          <w:tcPr>
            <w:tcW w:w="1968" w:type="dxa"/>
            <w:noWrap/>
            <w:hideMark/>
          </w:tcPr>
          <w:p w14:paraId="781FE69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w:t>
            </w:r>
          </w:p>
        </w:tc>
        <w:tc>
          <w:tcPr>
            <w:tcW w:w="1169" w:type="dxa"/>
            <w:noWrap/>
            <w:hideMark/>
          </w:tcPr>
          <w:p w14:paraId="7ADE046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9.3</w:t>
            </w:r>
          </w:p>
        </w:tc>
        <w:tc>
          <w:tcPr>
            <w:tcW w:w="1169" w:type="dxa"/>
            <w:noWrap/>
            <w:hideMark/>
          </w:tcPr>
          <w:p w14:paraId="325C8DD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9.3</w:t>
            </w:r>
          </w:p>
        </w:tc>
        <w:tc>
          <w:tcPr>
            <w:tcW w:w="1170" w:type="dxa"/>
            <w:noWrap/>
            <w:hideMark/>
          </w:tcPr>
          <w:p w14:paraId="23BAF6A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114B7F3F" w14:textId="77777777" w:rsidTr="00E61BC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940" w:type="dxa"/>
            <w:vMerge/>
            <w:hideMark/>
          </w:tcPr>
          <w:p w14:paraId="5F681C48"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0" w:type="dxa"/>
            <w:hideMark/>
          </w:tcPr>
          <w:p w14:paraId="3811D31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68" w:type="dxa"/>
            <w:noWrap/>
            <w:hideMark/>
          </w:tcPr>
          <w:p w14:paraId="1EDB160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69" w:type="dxa"/>
            <w:noWrap/>
            <w:hideMark/>
          </w:tcPr>
          <w:p w14:paraId="55E8149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69" w:type="dxa"/>
            <w:noWrap/>
            <w:hideMark/>
          </w:tcPr>
          <w:p w14:paraId="436B5BE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0" w:type="dxa"/>
            <w:hideMark/>
          </w:tcPr>
          <w:p w14:paraId="08B1350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185D4E7C" w14:textId="77777777" w:rsidR="00607D14" w:rsidRPr="00D80577" w:rsidRDefault="00607D14" w:rsidP="00607D14">
      <w:pPr>
        <w:rPr>
          <w:rFonts w:ascii="Arial" w:hAnsi="Arial" w:cs="Arial"/>
        </w:rPr>
      </w:pPr>
    </w:p>
    <w:p w14:paraId="0763E432" w14:textId="10ACB5CA" w:rsidR="00607D14" w:rsidRPr="00D80577" w:rsidRDefault="00607D14" w:rsidP="00607D14">
      <w:pPr>
        <w:spacing w:line="360" w:lineRule="auto"/>
        <w:jc w:val="both"/>
        <w:rPr>
          <w:rFonts w:ascii="Arial" w:hAnsi="Arial" w:cs="Arial"/>
        </w:rPr>
      </w:pPr>
      <w:r w:rsidRPr="00D80577">
        <w:rPr>
          <w:rFonts w:ascii="Arial" w:hAnsi="Arial" w:cs="Arial"/>
        </w:rPr>
        <w:t>The respondents are primarily in textile and apparel (36%) and food and beverage manufacturing (28.7%), and below are electronics (22%), and metal/machinery (10%). Supply chain risks unique to the industry may have different impacts on production efficiency and cost variability. Knowledge of sub-sector representation will assist in defining which sectors are most at risk of disruption (RQ1) and how strategies might vary (RQ3).</w:t>
      </w:r>
    </w:p>
    <w:p w14:paraId="12D0EE18" w14:textId="77777777" w:rsidR="00065057" w:rsidRPr="00D80577" w:rsidRDefault="003D13A2" w:rsidP="00065057">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59E2A8E8" wp14:editId="2B47AAFF">
            <wp:extent cx="5943600" cy="3345180"/>
            <wp:effectExtent l="0" t="0" r="0" b="7620"/>
            <wp:docPr id="1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13"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00AB3DD3" w14:textId="1608370E" w:rsidR="003D13A2" w:rsidRPr="00D80577" w:rsidRDefault="00065057" w:rsidP="00065057">
      <w:pPr>
        <w:pStyle w:val="Caption"/>
        <w:jc w:val="center"/>
        <w:rPr>
          <w:rFonts w:ascii="Arial" w:hAnsi="Arial" w:cs="Arial"/>
          <w:i w:val="0"/>
          <w:iCs w:val="0"/>
          <w:sz w:val="22"/>
          <w:szCs w:val="22"/>
        </w:rPr>
      </w:pPr>
      <w:bookmarkStart w:id="53" w:name="_Toc220889958"/>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3</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Size of the firm (number of employees)</w:t>
      </w:r>
      <w:bookmarkEnd w:id="53"/>
    </w:p>
    <w:p w14:paraId="4E98A02C" w14:textId="77777777" w:rsidR="00607D14" w:rsidRPr="00D80577" w:rsidRDefault="00607D14" w:rsidP="00607D14">
      <w:pPr>
        <w:rPr>
          <w:rFonts w:ascii="Arial" w:hAnsi="Arial" w:cs="Arial"/>
        </w:rPr>
      </w:pPr>
    </w:p>
    <w:p w14:paraId="0C33B334" w14:textId="54470CC2" w:rsidR="00607D14" w:rsidRPr="00D80577" w:rsidRDefault="00607D14" w:rsidP="00607D14">
      <w:pPr>
        <w:pStyle w:val="Caption"/>
        <w:keepNext/>
        <w:rPr>
          <w:rFonts w:ascii="Arial" w:hAnsi="Arial" w:cs="Arial"/>
          <w:i w:val="0"/>
          <w:iCs w:val="0"/>
          <w:sz w:val="22"/>
          <w:szCs w:val="22"/>
        </w:rPr>
      </w:pPr>
      <w:bookmarkStart w:id="54" w:name="_Toc220889981"/>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4</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Demographic Question 2</w:t>
      </w:r>
      <w:bookmarkEnd w:id="54"/>
    </w:p>
    <w:tbl>
      <w:tblPr>
        <w:tblStyle w:val="PlainTable1"/>
        <w:tblW w:w="9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7"/>
        <w:gridCol w:w="1947"/>
        <w:gridCol w:w="1976"/>
        <w:gridCol w:w="1173"/>
        <w:gridCol w:w="1173"/>
        <w:gridCol w:w="1177"/>
      </w:tblGrid>
      <w:tr w:rsidR="00607D14" w:rsidRPr="00D80577" w14:paraId="16B90BAF" w14:textId="77777777" w:rsidTr="00E61BCE">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9393" w:type="dxa"/>
            <w:gridSpan w:val="6"/>
            <w:hideMark/>
          </w:tcPr>
          <w:p w14:paraId="50458981"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Industry sub-sector:</w:t>
            </w:r>
          </w:p>
        </w:tc>
      </w:tr>
      <w:tr w:rsidR="00607D14" w:rsidRPr="00D80577" w14:paraId="4BE8DE90" w14:textId="77777777" w:rsidTr="00E61BCE">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1947" w:type="dxa"/>
            <w:noWrap/>
            <w:hideMark/>
          </w:tcPr>
          <w:p w14:paraId="5401E8AD"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47" w:type="dxa"/>
            <w:noWrap/>
            <w:hideMark/>
          </w:tcPr>
          <w:p w14:paraId="68482636"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76" w:type="dxa"/>
            <w:hideMark/>
          </w:tcPr>
          <w:p w14:paraId="32EEDF0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3" w:type="dxa"/>
            <w:hideMark/>
          </w:tcPr>
          <w:p w14:paraId="10EDE6BC"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3" w:type="dxa"/>
            <w:hideMark/>
          </w:tcPr>
          <w:p w14:paraId="11B964B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4" w:type="dxa"/>
            <w:hideMark/>
          </w:tcPr>
          <w:p w14:paraId="1059464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1DF4D8D5" w14:textId="77777777" w:rsidTr="00E61BCE">
        <w:trPr>
          <w:trHeight w:val="496"/>
        </w:trPr>
        <w:tc>
          <w:tcPr>
            <w:cnfStyle w:val="001000000000" w:firstRow="0" w:lastRow="0" w:firstColumn="1" w:lastColumn="0" w:oddVBand="0" w:evenVBand="0" w:oddHBand="0" w:evenHBand="0" w:firstRowFirstColumn="0" w:firstRowLastColumn="0" w:lastRowFirstColumn="0" w:lastRowLastColumn="0"/>
            <w:tcW w:w="1947" w:type="dxa"/>
            <w:vMerge w:val="restart"/>
            <w:hideMark/>
          </w:tcPr>
          <w:p w14:paraId="3FAF27E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47" w:type="dxa"/>
            <w:hideMark/>
          </w:tcPr>
          <w:p w14:paraId="3D9BCBB3"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Food and beverage manufacturing</w:t>
            </w:r>
          </w:p>
        </w:tc>
        <w:tc>
          <w:tcPr>
            <w:tcW w:w="1976" w:type="dxa"/>
            <w:noWrap/>
            <w:hideMark/>
          </w:tcPr>
          <w:p w14:paraId="1CE25DA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43</w:t>
            </w:r>
          </w:p>
        </w:tc>
        <w:tc>
          <w:tcPr>
            <w:tcW w:w="1173" w:type="dxa"/>
            <w:noWrap/>
            <w:hideMark/>
          </w:tcPr>
          <w:p w14:paraId="332ECDE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c>
          <w:tcPr>
            <w:tcW w:w="1173" w:type="dxa"/>
            <w:noWrap/>
            <w:hideMark/>
          </w:tcPr>
          <w:p w14:paraId="259D8CF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c>
          <w:tcPr>
            <w:tcW w:w="1174" w:type="dxa"/>
            <w:noWrap/>
            <w:hideMark/>
          </w:tcPr>
          <w:p w14:paraId="2835406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r>
      <w:tr w:rsidR="00607D14" w:rsidRPr="00D80577" w14:paraId="5B622A27" w14:textId="77777777" w:rsidTr="00E61BCE">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47" w:type="dxa"/>
            <w:vMerge/>
            <w:hideMark/>
          </w:tcPr>
          <w:p w14:paraId="552F314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7" w:type="dxa"/>
            <w:hideMark/>
          </w:tcPr>
          <w:p w14:paraId="0E83539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Textile and apparel manufacturing</w:t>
            </w:r>
          </w:p>
        </w:tc>
        <w:tc>
          <w:tcPr>
            <w:tcW w:w="1976" w:type="dxa"/>
            <w:noWrap/>
            <w:hideMark/>
          </w:tcPr>
          <w:p w14:paraId="5F2A313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54</w:t>
            </w:r>
          </w:p>
        </w:tc>
        <w:tc>
          <w:tcPr>
            <w:tcW w:w="1173" w:type="dxa"/>
            <w:noWrap/>
            <w:hideMark/>
          </w:tcPr>
          <w:p w14:paraId="70AF5D7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36.0</w:t>
            </w:r>
          </w:p>
        </w:tc>
        <w:tc>
          <w:tcPr>
            <w:tcW w:w="1173" w:type="dxa"/>
            <w:noWrap/>
            <w:hideMark/>
          </w:tcPr>
          <w:p w14:paraId="12A10DC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36.0</w:t>
            </w:r>
          </w:p>
        </w:tc>
        <w:tc>
          <w:tcPr>
            <w:tcW w:w="1174" w:type="dxa"/>
            <w:noWrap/>
            <w:hideMark/>
          </w:tcPr>
          <w:p w14:paraId="479933B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64.7</w:t>
            </w:r>
          </w:p>
        </w:tc>
      </w:tr>
      <w:tr w:rsidR="00607D14" w:rsidRPr="00D80577" w14:paraId="1B303EDC" w14:textId="77777777" w:rsidTr="00E61BCE">
        <w:trPr>
          <w:trHeight w:val="496"/>
        </w:trPr>
        <w:tc>
          <w:tcPr>
            <w:cnfStyle w:val="001000000000" w:firstRow="0" w:lastRow="0" w:firstColumn="1" w:lastColumn="0" w:oddVBand="0" w:evenVBand="0" w:oddHBand="0" w:evenHBand="0" w:firstRowFirstColumn="0" w:firstRowLastColumn="0" w:lastRowFirstColumn="0" w:lastRowLastColumn="0"/>
            <w:tcW w:w="1947" w:type="dxa"/>
            <w:vMerge/>
            <w:hideMark/>
          </w:tcPr>
          <w:p w14:paraId="5FF81439"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7" w:type="dxa"/>
            <w:hideMark/>
          </w:tcPr>
          <w:p w14:paraId="4B2CCAC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Electronics and electrical equipment</w:t>
            </w:r>
          </w:p>
        </w:tc>
        <w:tc>
          <w:tcPr>
            <w:tcW w:w="1976" w:type="dxa"/>
            <w:noWrap/>
            <w:hideMark/>
          </w:tcPr>
          <w:p w14:paraId="106C796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c>
          <w:tcPr>
            <w:tcW w:w="1173" w:type="dxa"/>
            <w:noWrap/>
            <w:hideMark/>
          </w:tcPr>
          <w:p w14:paraId="2C7B46D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22.0</w:t>
            </w:r>
          </w:p>
        </w:tc>
        <w:tc>
          <w:tcPr>
            <w:tcW w:w="1173" w:type="dxa"/>
            <w:noWrap/>
            <w:hideMark/>
          </w:tcPr>
          <w:p w14:paraId="1059130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22.0</w:t>
            </w:r>
          </w:p>
        </w:tc>
        <w:tc>
          <w:tcPr>
            <w:tcW w:w="1174" w:type="dxa"/>
            <w:noWrap/>
            <w:hideMark/>
          </w:tcPr>
          <w:p w14:paraId="443AB4A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86.7</w:t>
            </w:r>
          </w:p>
        </w:tc>
      </w:tr>
      <w:tr w:rsidR="00607D14" w:rsidRPr="00D80577" w14:paraId="68928C7B" w14:textId="77777777" w:rsidTr="00E61BCE">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47" w:type="dxa"/>
            <w:vMerge/>
            <w:hideMark/>
          </w:tcPr>
          <w:p w14:paraId="24E8448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7" w:type="dxa"/>
            <w:hideMark/>
          </w:tcPr>
          <w:p w14:paraId="7D98E6BF"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Metal and machinery manufacturing</w:t>
            </w:r>
          </w:p>
        </w:tc>
        <w:tc>
          <w:tcPr>
            <w:tcW w:w="1976" w:type="dxa"/>
            <w:noWrap/>
            <w:hideMark/>
          </w:tcPr>
          <w:p w14:paraId="6DD91E1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w:t>
            </w:r>
          </w:p>
        </w:tc>
        <w:tc>
          <w:tcPr>
            <w:tcW w:w="1173" w:type="dxa"/>
            <w:noWrap/>
            <w:hideMark/>
          </w:tcPr>
          <w:p w14:paraId="3D63C64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w:t>
            </w:r>
          </w:p>
        </w:tc>
        <w:tc>
          <w:tcPr>
            <w:tcW w:w="1173" w:type="dxa"/>
            <w:noWrap/>
            <w:hideMark/>
          </w:tcPr>
          <w:p w14:paraId="37BB342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w:t>
            </w:r>
          </w:p>
        </w:tc>
        <w:tc>
          <w:tcPr>
            <w:tcW w:w="1174" w:type="dxa"/>
            <w:noWrap/>
            <w:hideMark/>
          </w:tcPr>
          <w:p w14:paraId="23CC1D7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96.7</w:t>
            </w:r>
          </w:p>
        </w:tc>
      </w:tr>
      <w:tr w:rsidR="00607D14" w:rsidRPr="00D80577" w14:paraId="435EE4DE" w14:textId="77777777" w:rsidTr="00E61BCE">
        <w:trPr>
          <w:trHeight w:val="280"/>
        </w:trPr>
        <w:tc>
          <w:tcPr>
            <w:cnfStyle w:val="001000000000" w:firstRow="0" w:lastRow="0" w:firstColumn="1" w:lastColumn="0" w:oddVBand="0" w:evenVBand="0" w:oddHBand="0" w:evenHBand="0" w:firstRowFirstColumn="0" w:firstRowLastColumn="0" w:lastRowFirstColumn="0" w:lastRowLastColumn="0"/>
            <w:tcW w:w="1947" w:type="dxa"/>
            <w:vMerge/>
            <w:hideMark/>
          </w:tcPr>
          <w:p w14:paraId="5924445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7" w:type="dxa"/>
            <w:hideMark/>
          </w:tcPr>
          <w:p w14:paraId="5F5FA363"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Other</w:t>
            </w:r>
          </w:p>
        </w:tc>
        <w:tc>
          <w:tcPr>
            <w:tcW w:w="1976" w:type="dxa"/>
            <w:noWrap/>
            <w:hideMark/>
          </w:tcPr>
          <w:p w14:paraId="730BF39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w:t>
            </w:r>
          </w:p>
        </w:tc>
        <w:tc>
          <w:tcPr>
            <w:tcW w:w="1173" w:type="dxa"/>
            <w:noWrap/>
            <w:hideMark/>
          </w:tcPr>
          <w:p w14:paraId="2C8DC86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c>
          <w:tcPr>
            <w:tcW w:w="1173" w:type="dxa"/>
            <w:noWrap/>
            <w:hideMark/>
          </w:tcPr>
          <w:p w14:paraId="564D95F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c>
          <w:tcPr>
            <w:tcW w:w="1174" w:type="dxa"/>
            <w:noWrap/>
            <w:hideMark/>
          </w:tcPr>
          <w:p w14:paraId="7980202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7A143701" w14:textId="77777777" w:rsidTr="00E61BCE">
        <w:trPr>
          <w:cnfStyle w:val="000000100000" w:firstRow="0" w:lastRow="0" w:firstColumn="0" w:lastColumn="0" w:oddVBand="0" w:evenVBand="0" w:oddHBand="1"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1947" w:type="dxa"/>
            <w:vMerge/>
            <w:hideMark/>
          </w:tcPr>
          <w:p w14:paraId="2A7EEAF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7" w:type="dxa"/>
            <w:hideMark/>
          </w:tcPr>
          <w:p w14:paraId="620A0403"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76" w:type="dxa"/>
            <w:noWrap/>
            <w:hideMark/>
          </w:tcPr>
          <w:p w14:paraId="3548DCF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3" w:type="dxa"/>
            <w:noWrap/>
            <w:hideMark/>
          </w:tcPr>
          <w:p w14:paraId="47514BC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3" w:type="dxa"/>
            <w:noWrap/>
            <w:hideMark/>
          </w:tcPr>
          <w:p w14:paraId="14D470D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4" w:type="dxa"/>
            <w:hideMark/>
          </w:tcPr>
          <w:p w14:paraId="34FA1C1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748F1859" w14:textId="77777777" w:rsidR="00607D14" w:rsidRPr="00D80577" w:rsidRDefault="00607D14" w:rsidP="00607D14">
      <w:pPr>
        <w:rPr>
          <w:rFonts w:ascii="Arial" w:hAnsi="Arial" w:cs="Arial"/>
        </w:rPr>
      </w:pPr>
    </w:p>
    <w:p w14:paraId="6FF73610" w14:textId="77777777" w:rsidR="003D13A2" w:rsidRPr="00D80577" w:rsidRDefault="003D13A2" w:rsidP="003D13A2">
      <w:pPr>
        <w:spacing w:line="360" w:lineRule="auto"/>
        <w:jc w:val="both"/>
        <w:rPr>
          <w:rFonts w:ascii="Arial" w:eastAsia="Calibri" w:hAnsi="Arial" w:cs="Arial"/>
        </w:rPr>
      </w:pPr>
      <w:r w:rsidRPr="00D80577">
        <w:rPr>
          <w:rFonts w:ascii="Arial" w:eastAsia="Calibri" w:hAnsi="Arial" w:cs="Arial"/>
        </w:rPr>
        <w:t>The ages of most firms are relatively young: 36% are less than 5 years old, 37.3% are between 5 and 10 years old, and only 10% are over 20 years old. About managing the international supply chain disruption, the younger firms might be less experienced, which can impact their resilience and decision-making. This is associated with RQ2 and RQ3 as it demonstrates the possibility of making mitigation strategies and operational efficiency dependent on firm maturity.</w:t>
      </w:r>
    </w:p>
    <w:p w14:paraId="444387A9" w14:textId="77777777" w:rsidR="00065057" w:rsidRPr="00D80577" w:rsidRDefault="00065057" w:rsidP="00065057">
      <w:pPr>
        <w:keepNext/>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25D17573" wp14:editId="5400B0C0">
            <wp:extent cx="5943600" cy="3345180"/>
            <wp:effectExtent l="0" t="0" r="0" b="762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4"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30A5F942" w14:textId="3538E4B7" w:rsidR="00607D14" w:rsidRPr="00D80577" w:rsidRDefault="00065057" w:rsidP="00065057">
      <w:pPr>
        <w:pStyle w:val="Caption"/>
        <w:jc w:val="center"/>
        <w:rPr>
          <w:rFonts w:ascii="Arial" w:hAnsi="Arial" w:cs="Arial"/>
          <w:i w:val="0"/>
          <w:iCs w:val="0"/>
          <w:sz w:val="22"/>
          <w:szCs w:val="22"/>
        </w:rPr>
      </w:pPr>
      <w:bookmarkStart w:id="55" w:name="_Toc220889959"/>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4</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Industry sub-sector</w:t>
      </w:r>
      <w:bookmarkEnd w:id="55"/>
    </w:p>
    <w:p w14:paraId="7F58CFA3" w14:textId="7DF48319" w:rsidR="00607D14" w:rsidRPr="00D80577" w:rsidRDefault="00607D14" w:rsidP="00607D14">
      <w:pPr>
        <w:pStyle w:val="Caption"/>
        <w:keepNext/>
        <w:rPr>
          <w:rFonts w:ascii="Arial" w:hAnsi="Arial" w:cs="Arial"/>
          <w:i w:val="0"/>
          <w:iCs w:val="0"/>
          <w:sz w:val="22"/>
          <w:szCs w:val="22"/>
        </w:rPr>
      </w:pPr>
      <w:bookmarkStart w:id="56" w:name="_Toc220889982"/>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5</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Demographic Question 3</w:t>
      </w:r>
      <w:bookmarkEnd w:id="56"/>
    </w:p>
    <w:tbl>
      <w:tblPr>
        <w:tblStyle w:val="PlainTable1"/>
        <w:tblW w:w="95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9"/>
        <w:gridCol w:w="1979"/>
        <w:gridCol w:w="2009"/>
        <w:gridCol w:w="1192"/>
        <w:gridCol w:w="1192"/>
        <w:gridCol w:w="1200"/>
      </w:tblGrid>
      <w:tr w:rsidR="00607D14" w:rsidRPr="00D80577" w14:paraId="500D825D" w14:textId="77777777" w:rsidTr="00E61BCE">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9551" w:type="dxa"/>
            <w:gridSpan w:val="6"/>
            <w:hideMark/>
          </w:tcPr>
          <w:p w14:paraId="6A58143E"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Years of operation of the firm:</w:t>
            </w:r>
          </w:p>
        </w:tc>
      </w:tr>
      <w:tr w:rsidR="00607D14" w:rsidRPr="00D80577" w14:paraId="5FFDD45A" w14:textId="77777777" w:rsidTr="00E61BCE">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1979" w:type="dxa"/>
            <w:noWrap/>
            <w:hideMark/>
          </w:tcPr>
          <w:p w14:paraId="314EFC95"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p>
        </w:tc>
        <w:tc>
          <w:tcPr>
            <w:tcW w:w="1979" w:type="dxa"/>
            <w:noWrap/>
            <w:hideMark/>
          </w:tcPr>
          <w:p w14:paraId="3E3CAEF4"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14:ligatures w14:val="none"/>
              </w:rPr>
            </w:pPr>
          </w:p>
        </w:tc>
        <w:tc>
          <w:tcPr>
            <w:tcW w:w="2009" w:type="dxa"/>
            <w:hideMark/>
          </w:tcPr>
          <w:p w14:paraId="3910A3C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92" w:type="dxa"/>
            <w:hideMark/>
          </w:tcPr>
          <w:p w14:paraId="4E67DAAA"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92" w:type="dxa"/>
            <w:hideMark/>
          </w:tcPr>
          <w:p w14:paraId="013C8FA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96" w:type="dxa"/>
            <w:hideMark/>
          </w:tcPr>
          <w:p w14:paraId="0B5F3EEE"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271C8658" w14:textId="77777777" w:rsidTr="00E61BCE">
        <w:trPr>
          <w:trHeight w:val="274"/>
        </w:trPr>
        <w:tc>
          <w:tcPr>
            <w:cnfStyle w:val="001000000000" w:firstRow="0" w:lastRow="0" w:firstColumn="1" w:lastColumn="0" w:oddVBand="0" w:evenVBand="0" w:oddHBand="0" w:evenHBand="0" w:firstRowFirstColumn="0" w:firstRowLastColumn="0" w:lastRowFirstColumn="0" w:lastRowLastColumn="0"/>
            <w:tcW w:w="1979" w:type="dxa"/>
            <w:vMerge w:val="restart"/>
            <w:hideMark/>
          </w:tcPr>
          <w:p w14:paraId="27C8664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79" w:type="dxa"/>
            <w:hideMark/>
          </w:tcPr>
          <w:p w14:paraId="4E07E72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Less than 5 years</w:t>
            </w:r>
          </w:p>
        </w:tc>
        <w:tc>
          <w:tcPr>
            <w:tcW w:w="2009" w:type="dxa"/>
            <w:noWrap/>
            <w:hideMark/>
          </w:tcPr>
          <w:p w14:paraId="203C136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54</w:t>
            </w:r>
          </w:p>
        </w:tc>
        <w:tc>
          <w:tcPr>
            <w:tcW w:w="1192" w:type="dxa"/>
            <w:noWrap/>
            <w:hideMark/>
          </w:tcPr>
          <w:p w14:paraId="3BC0DB1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36.0</w:t>
            </w:r>
          </w:p>
        </w:tc>
        <w:tc>
          <w:tcPr>
            <w:tcW w:w="1192" w:type="dxa"/>
            <w:noWrap/>
            <w:hideMark/>
          </w:tcPr>
          <w:p w14:paraId="70A0D8B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36.0</w:t>
            </w:r>
          </w:p>
        </w:tc>
        <w:tc>
          <w:tcPr>
            <w:tcW w:w="1196" w:type="dxa"/>
            <w:noWrap/>
            <w:hideMark/>
          </w:tcPr>
          <w:p w14:paraId="65A5DD0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36.0</w:t>
            </w:r>
          </w:p>
        </w:tc>
      </w:tr>
      <w:tr w:rsidR="00607D14" w:rsidRPr="00D80577" w14:paraId="6816D5D0" w14:textId="77777777" w:rsidTr="00E61BCE">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979" w:type="dxa"/>
            <w:vMerge/>
            <w:hideMark/>
          </w:tcPr>
          <w:p w14:paraId="0C5AB809"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9" w:type="dxa"/>
            <w:hideMark/>
          </w:tcPr>
          <w:p w14:paraId="0F52F17D"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5–10 years</w:t>
            </w:r>
          </w:p>
        </w:tc>
        <w:tc>
          <w:tcPr>
            <w:tcW w:w="2009" w:type="dxa"/>
            <w:noWrap/>
            <w:hideMark/>
          </w:tcPr>
          <w:p w14:paraId="7C06EF1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56</w:t>
            </w:r>
          </w:p>
        </w:tc>
        <w:tc>
          <w:tcPr>
            <w:tcW w:w="1192" w:type="dxa"/>
            <w:noWrap/>
            <w:hideMark/>
          </w:tcPr>
          <w:p w14:paraId="310E7B4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37.3</w:t>
            </w:r>
          </w:p>
        </w:tc>
        <w:tc>
          <w:tcPr>
            <w:tcW w:w="1192" w:type="dxa"/>
            <w:noWrap/>
            <w:hideMark/>
          </w:tcPr>
          <w:p w14:paraId="139B2DE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37.3</w:t>
            </w:r>
          </w:p>
        </w:tc>
        <w:tc>
          <w:tcPr>
            <w:tcW w:w="1196" w:type="dxa"/>
            <w:noWrap/>
            <w:hideMark/>
          </w:tcPr>
          <w:p w14:paraId="433BCC3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73.3</w:t>
            </w:r>
          </w:p>
        </w:tc>
      </w:tr>
      <w:tr w:rsidR="00607D14" w:rsidRPr="00D80577" w14:paraId="33229F63" w14:textId="77777777" w:rsidTr="00E61BCE">
        <w:trPr>
          <w:trHeight w:val="396"/>
        </w:trPr>
        <w:tc>
          <w:tcPr>
            <w:cnfStyle w:val="001000000000" w:firstRow="0" w:lastRow="0" w:firstColumn="1" w:lastColumn="0" w:oddVBand="0" w:evenVBand="0" w:oddHBand="0" w:evenHBand="0" w:firstRowFirstColumn="0" w:firstRowLastColumn="0" w:lastRowFirstColumn="0" w:lastRowLastColumn="0"/>
            <w:tcW w:w="1979" w:type="dxa"/>
            <w:vMerge/>
            <w:hideMark/>
          </w:tcPr>
          <w:p w14:paraId="4F15795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9" w:type="dxa"/>
            <w:hideMark/>
          </w:tcPr>
          <w:p w14:paraId="05DD8E60"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11–20 years</w:t>
            </w:r>
          </w:p>
        </w:tc>
        <w:tc>
          <w:tcPr>
            <w:tcW w:w="2009" w:type="dxa"/>
            <w:noWrap/>
            <w:hideMark/>
          </w:tcPr>
          <w:p w14:paraId="1FABA51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w:t>
            </w:r>
          </w:p>
        </w:tc>
        <w:tc>
          <w:tcPr>
            <w:tcW w:w="1192" w:type="dxa"/>
            <w:noWrap/>
            <w:hideMark/>
          </w:tcPr>
          <w:p w14:paraId="16E8F6E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16.7</w:t>
            </w:r>
          </w:p>
        </w:tc>
        <w:tc>
          <w:tcPr>
            <w:tcW w:w="1192" w:type="dxa"/>
            <w:noWrap/>
            <w:hideMark/>
          </w:tcPr>
          <w:p w14:paraId="0255322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16.7</w:t>
            </w:r>
          </w:p>
        </w:tc>
        <w:tc>
          <w:tcPr>
            <w:tcW w:w="1196" w:type="dxa"/>
            <w:noWrap/>
            <w:hideMark/>
          </w:tcPr>
          <w:p w14:paraId="197185B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90.0</w:t>
            </w:r>
          </w:p>
        </w:tc>
      </w:tr>
      <w:tr w:rsidR="00607D14" w:rsidRPr="00D80577" w14:paraId="32D22A01" w14:textId="77777777" w:rsidTr="00E61BCE">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1979" w:type="dxa"/>
            <w:vMerge/>
            <w:hideMark/>
          </w:tcPr>
          <w:p w14:paraId="5249596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9" w:type="dxa"/>
            <w:hideMark/>
          </w:tcPr>
          <w:p w14:paraId="62F7A659"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More than 20 years</w:t>
            </w:r>
          </w:p>
        </w:tc>
        <w:tc>
          <w:tcPr>
            <w:tcW w:w="2009" w:type="dxa"/>
            <w:noWrap/>
            <w:hideMark/>
          </w:tcPr>
          <w:p w14:paraId="51B58DA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w:t>
            </w:r>
          </w:p>
        </w:tc>
        <w:tc>
          <w:tcPr>
            <w:tcW w:w="1192" w:type="dxa"/>
            <w:noWrap/>
            <w:hideMark/>
          </w:tcPr>
          <w:p w14:paraId="3D0934E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w:t>
            </w:r>
          </w:p>
        </w:tc>
        <w:tc>
          <w:tcPr>
            <w:tcW w:w="1192" w:type="dxa"/>
            <w:noWrap/>
            <w:hideMark/>
          </w:tcPr>
          <w:p w14:paraId="253EB8C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w:t>
            </w:r>
          </w:p>
        </w:tc>
        <w:tc>
          <w:tcPr>
            <w:tcW w:w="1196" w:type="dxa"/>
            <w:noWrap/>
            <w:hideMark/>
          </w:tcPr>
          <w:p w14:paraId="7243EC6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3F1A94B2" w14:textId="77777777" w:rsidTr="00E61BCE">
        <w:trPr>
          <w:trHeight w:val="278"/>
        </w:trPr>
        <w:tc>
          <w:tcPr>
            <w:cnfStyle w:val="001000000000" w:firstRow="0" w:lastRow="0" w:firstColumn="1" w:lastColumn="0" w:oddVBand="0" w:evenVBand="0" w:oddHBand="0" w:evenHBand="0" w:firstRowFirstColumn="0" w:firstRowLastColumn="0" w:lastRowFirstColumn="0" w:lastRowLastColumn="0"/>
            <w:tcW w:w="1979" w:type="dxa"/>
            <w:vMerge/>
            <w:hideMark/>
          </w:tcPr>
          <w:p w14:paraId="43A22D8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9" w:type="dxa"/>
            <w:hideMark/>
          </w:tcPr>
          <w:p w14:paraId="3FB93A42"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2009" w:type="dxa"/>
            <w:noWrap/>
            <w:hideMark/>
          </w:tcPr>
          <w:p w14:paraId="3FFCC1E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92" w:type="dxa"/>
            <w:noWrap/>
            <w:hideMark/>
          </w:tcPr>
          <w:p w14:paraId="5EA6AEA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2" w:type="dxa"/>
            <w:noWrap/>
            <w:hideMark/>
          </w:tcPr>
          <w:p w14:paraId="3B87154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6" w:type="dxa"/>
            <w:hideMark/>
          </w:tcPr>
          <w:p w14:paraId="48494CF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79C738E4" w14:textId="77777777" w:rsidR="00607D14" w:rsidRPr="00D80577" w:rsidRDefault="00607D14" w:rsidP="00607D14">
      <w:pPr>
        <w:rPr>
          <w:rFonts w:ascii="Arial" w:hAnsi="Arial" w:cs="Arial"/>
        </w:rPr>
      </w:pPr>
    </w:p>
    <w:p w14:paraId="1C61D15E" w14:textId="77777777" w:rsidR="003D13A2" w:rsidRPr="00D80577" w:rsidRDefault="003D13A2" w:rsidP="003D13A2">
      <w:pPr>
        <w:spacing w:line="360" w:lineRule="auto"/>
        <w:jc w:val="both"/>
        <w:rPr>
          <w:rFonts w:ascii="Arial" w:eastAsia="Calibri" w:hAnsi="Arial" w:cs="Arial"/>
        </w:rPr>
      </w:pPr>
      <w:r w:rsidRPr="00D80577">
        <w:rPr>
          <w:rFonts w:ascii="Arial" w:eastAsia="Calibri" w:hAnsi="Arial" w:cs="Arial"/>
        </w:rPr>
        <w:t>There is a combined 81.3 per cent agreement and strong agreement that geopolitical conflicts severely affect supply chains, with only 10.7 per cent of the respondents disagreeing. This shows that the influence of external politics is considered one of the key contributors to supply chain unpredictability by firms, and it directly answers RQ1 on the key causes of global disruptions. The high agreement reflects the significance of tracking events in the world as part of risk management planning (RQ3).</w:t>
      </w:r>
    </w:p>
    <w:p w14:paraId="09FF7380" w14:textId="77777777" w:rsidR="009349E5" w:rsidRPr="00D80577" w:rsidRDefault="009349E5" w:rsidP="009349E5">
      <w:pPr>
        <w:keepNext/>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695B066F" wp14:editId="2CD0006D">
            <wp:extent cx="5943600" cy="3345180"/>
            <wp:effectExtent l="0" t="0" r="0" b="7620"/>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5"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6ADE86ED" w14:textId="1257E1C4" w:rsidR="00607D14" w:rsidRPr="00D80577" w:rsidRDefault="009349E5" w:rsidP="009349E5">
      <w:pPr>
        <w:pStyle w:val="Caption"/>
        <w:jc w:val="center"/>
        <w:rPr>
          <w:rFonts w:ascii="Arial" w:hAnsi="Arial" w:cs="Arial"/>
          <w:i w:val="0"/>
          <w:iCs w:val="0"/>
          <w:sz w:val="22"/>
          <w:szCs w:val="22"/>
        </w:rPr>
      </w:pPr>
      <w:bookmarkStart w:id="57" w:name="_Toc220889960"/>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5</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Years of operation of the firm</w:t>
      </w:r>
      <w:bookmarkEnd w:id="57"/>
    </w:p>
    <w:p w14:paraId="491F2644" w14:textId="759C3F73" w:rsidR="00607D14" w:rsidRPr="00D80577" w:rsidRDefault="00607D14" w:rsidP="00607D14">
      <w:pPr>
        <w:pStyle w:val="Caption"/>
        <w:keepNext/>
        <w:rPr>
          <w:rFonts w:ascii="Arial" w:hAnsi="Arial" w:cs="Arial"/>
          <w:i w:val="0"/>
          <w:iCs w:val="0"/>
          <w:sz w:val="22"/>
          <w:szCs w:val="22"/>
          <w:lang w:val="fr-FR"/>
        </w:rPr>
      </w:pPr>
      <w:bookmarkStart w:id="58" w:name="_Toc220889983"/>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6</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1</w:t>
      </w:r>
      <w:bookmarkEnd w:id="58"/>
      <w:r w:rsidRPr="00D80577">
        <w:rPr>
          <w:rFonts w:ascii="Arial" w:hAnsi="Arial" w:cs="Arial"/>
          <w:i w:val="0"/>
          <w:iCs w:val="0"/>
          <w:sz w:val="22"/>
          <w:szCs w:val="22"/>
          <w:lang w:val="fr-FR"/>
        </w:rPr>
        <w:t xml:space="preserve"> </w:t>
      </w:r>
    </w:p>
    <w:tbl>
      <w:tblPr>
        <w:tblStyle w:val="PlainTable1"/>
        <w:tblW w:w="95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1980"/>
        <w:gridCol w:w="2009"/>
        <w:gridCol w:w="1193"/>
        <w:gridCol w:w="1193"/>
        <w:gridCol w:w="1197"/>
      </w:tblGrid>
      <w:tr w:rsidR="00607D14" w:rsidRPr="00D80577" w14:paraId="568EB86A" w14:textId="77777777" w:rsidTr="00E61BCE">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9552" w:type="dxa"/>
            <w:gridSpan w:val="6"/>
            <w:hideMark/>
          </w:tcPr>
          <w:p w14:paraId="75EB14ED"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International geopolitical conflicts have significantly disrupted our supply chain operations.</w:t>
            </w:r>
          </w:p>
        </w:tc>
      </w:tr>
      <w:tr w:rsidR="00607D14" w:rsidRPr="00D80577" w14:paraId="510FEB2E" w14:textId="77777777" w:rsidTr="00E61BC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3C459F23"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80" w:type="dxa"/>
            <w:noWrap/>
            <w:hideMark/>
          </w:tcPr>
          <w:p w14:paraId="55F6D96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2009" w:type="dxa"/>
            <w:hideMark/>
          </w:tcPr>
          <w:p w14:paraId="79FE4C0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93" w:type="dxa"/>
            <w:hideMark/>
          </w:tcPr>
          <w:p w14:paraId="2BB6C68A"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93" w:type="dxa"/>
            <w:hideMark/>
          </w:tcPr>
          <w:p w14:paraId="1DEB5F7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94" w:type="dxa"/>
            <w:hideMark/>
          </w:tcPr>
          <w:p w14:paraId="69BB49ED"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100228A3" w14:textId="77777777" w:rsidTr="00E61BCE">
        <w:trPr>
          <w:trHeight w:val="268"/>
        </w:trPr>
        <w:tc>
          <w:tcPr>
            <w:cnfStyle w:val="001000000000" w:firstRow="0" w:lastRow="0" w:firstColumn="1" w:lastColumn="0" w:oddVBand="0" w:evenVBand="0" w:oddHBand="0" w:evenHBand="0" w:firstRowFirstColumn="0" w:firstRowLastColumn="0" w:lastRowFirstColumn="0" w:lastRowLastColumn="0"/>
            <w:tcW w:w="1980" w:type="dxa"/>
            <w:vMerge w:val="restart"/>
            <w:hideMark/>
          </w:tcPr>
          <w:p w14:paraId="6ABE14A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80" w:type="dxa"/>
            <w:hideMark/>
          </w:tcPr>
          <w:p w14:paraId="192A6B49"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2009" w:type="dxa"/>
            <w:noWrap/>
            <w:hideMark/>
          </w:tcPr>
          <w:p w14:paraId="0B62A09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w:t>
            </w:r>
          </w:p>
        </w:tc>
        <w:tc>
          <w:tcPr>
            <w:tcW w:w="1193" w:type="dxa"/>
            <w:noWrap/>
            <w:hideMark/>
          </w:tcPr>
          <w:p w14:paraId="61B7AF3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93" w:type="dxa"/>
            <w:noWrap/>
            <w:hideMark/>
          </w:tcPr>
          <w:p w14:paraId="5ECA0CE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94" w:type="dxa"/>
            <w:noWrap/>
            <w:hideMark/>
          </w:tcPr>
          <w:p w14:paraId="085DC2A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r>
      <w:tr w:rsidR="00607D14" w:rsidRPr="00D80577" w14:paraId="48BA47BB" w14:textId="77777777" w:rsidTr="00E61BCE">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980" w:type="dxa"/>
            <w:vMerge/>
            <w:hideMark/>
          </w:tcPr>
          <w:p w14:paraId="3DDDBB2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0" w:type="dxa"/>
            <w:hideMark/>
          </w:tcPr>
          <w:p w14:paraId="7E608028"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2009" w:type="dxa"/>
            <w:noWrap/>
            <w:hideMark/>
          </w:tcPr>
          <w:p w14:paraId="57216DF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93" w:type="dxa"/>
            <w:noWrap/>
            <w:hideMark/>
          </w:tcPr>
          <w:p w14:paraId="3883E10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3" w:type="dxa"/>
            <w:noWrap/>
            <w:hideMark/>
          </w:tcPr>
          <w:p w14:paraId="365C12D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4" w:type="dxa"/>
            <w:noWrap/>
            <w:hideMark/>
          </w:tcPr>
          <w:p w14:paraId="054BD1B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10.7</w:t>
            </w:r>
          </w:p>
        </w:tc>
      </w:tr>
      <w:tr w:rsidR="00607D14" w:rsidRPr="00D80577" w14:paraId="67DA8A75" w14:textId="77777777" w:rsidTr="00E61BCE">
        <w:trPr>
          <w:trHeight w:val="268"/>
        </w:trPr>
        <w:tc>
          <w:tcPr>
            <w:cnfStyle w:val="001000000000" w:firstRow="0" w:lastRow="0" w:firstColumn="1" w:lastColumn="0" w:oddVBand="0" w:evenVBand="0" w:oddHBand="0" w:evenHBand="0" w:firstRowFirstColumn="0" w:firstRowLastColumn="0" w:lastRowFirstColumn="0" w:lastRowLastColumn="0"/>
            <w:tcW w:w="1980" w:type="dxa"/>
            <w:vMerge/>
            <w:hideMark/>
          </w:tcPr>
          <w:p w14:paraId="2D5EA56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0" w:type="dxa"/>
            <w:hideMark/>
          </w:tcPr>
          <w:p w14:paraId="22FB48E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2009" w:type="dxa"/>
            <w:noWrap/>
            <w:hideMark/>
          </w:tcPr>
          <w:p w14:paraId="1D29083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w:t>
            </w:r>
          </w:p>
        </w:tc>
        <w:tc>
          <w:tcPr>
            <w:tcW w:w="1193" w:type="dxa"/>
            <w:noWrap/>
            <w:hideMark/>
          </w:tcPr>
          <w:p w14:paraId="4A2CB2D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93" w:type="dxa"/>
            <w:noWrap/>
            <w:hideMark/>
          </w:tcPr>
          <w:p w14:paraId="2FD6D1C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94" w:type="dxa"/>
            <w:noWrap/>
            <w:hideMark/>
          </w:tcPr>
          <w:p w14:paraId="5F3AA50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18.7</w:t>
            </w:r>
          </w:p>
        </w:tc>
      </w:tr>
      <w:tr w:rsidR="00607D14" w:rsidRPr="00D80577" w14:paraId="2DE4E68E" w14:textId="77777777" w:rsidTr="00E61BCE">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980" w:type="dxa"/>
            <w:vMerge/>
            <w:hideMark/>
          </w:tcPr>
          <w:p w14:paraId="45FEA72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0" w:type="dxa"/>
            <w:hideMark/>
          </w:tcPr>
          <w:p w14:paraId="5560998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2009" w:type="dxa"/>
            <w:noWrap/>
            <w:hideMark/>
          </w:tcPr>
          <w:p w14:paraId="75EDC51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75</w:t>
            </w:r>
          </w:p>
        </w:tc>
        <w:tc>
          <w:tcPr>
            <w:tcW w:w="1193" w:type="dxa"/>
            <w:noWrap/>
            <w:hideMark/>
          </w:tcPr>
          <w:p w14:paraId="3DB03F9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50.0</w:t>
            </w:r>
          </w:p>
        </w:tc>
        <w:tc>
          <w:tcPr>
            <w:tcW w:w="1193" w:type="dxa"/>
            <w:noWrap/>
            <w:hideMark/>
          </w:tcPr>
          <w:p w14:paraId="2D84F53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50.0</w:t>
            </w:r>
          </w:p>
        </w:tc>
        <w:tc>
          <w:tcPr>
            <w:tcW w:w="1194" w:type="dxa"/>
            <w:noWrap/>
            <w:hideMark/>
          </w:tcPr>
          <w:p w14:paraId="60BF81D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68.7</w:t>
            </w:r>
          </w:p>
        </w:tc>
      </w:tr>
      <w:tr w:rsidR="00607D14" w:rsidRPr="00D80577" w14:paraId="15DF37C3" w14:textId="77777777" w:rsidTr="00E61BCE">
        <w:trPr>
          <w:trHeight w:val="268"/>
        </w:trPr>
        <w:tc>
          <w:tcPr>
            <w:cnfStyle w:val="001000000000" w:firstRow="0" w:lastRow="0" w:firstColumn="1" w:lastColumn="0" w:oddVBand="0" w:evenVBand="0" w:oddHBand="0" w:evenHBand="0" w:firstRowFirstColumn="0" w:firstRowLastColumn="0" w:lastRowFirstColumn="0" w:lastRowLastColumn="0"/>
            <w:tcW w:w="1980" w:type="dxa"/>
            <w:vMerge/>
            <w:hideMark/>
          </w:tcPr>
          <w:p w14:paraId="416D9A1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0" w:type="dxa"/>
            <w:hideMark/>
          </w:tcPr>
          <w:p w14:paraId="24BC7F21"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2009" w:type="dxa"/>
            <w:noWrap/>
            <w:hideMark/>
          </w:tcPr>
          <w:p w14:paraId="6E65DF9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93" w:type="dxa"/>
            <w:noWrap/>
            <w:hideMark/>
          </w:tcPr>
          <w:p w14:paraId="554086F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31.3</w:t>
            </w:r>
          </w:p>
        </w:tc>
        <w:tc>
          <w:tcPr>
            <w:tcW w:w="1193" w:type="dxa"/>
            <w:noWrap/>
            <w:hideMark/>
          </w:tcPr>
          <w:p w14:paraId="27859D9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31.3</w:t>
            </w:r>
          </w:p>
        </w:tc>
        <w:tc>
          <w:tcPr>
            <w:tcW w:w="1194" w:type="dxa"/>
            <w:noWrap/>
            <w:hideMark/>
          </w:tcPr>
          <w:p w14:paraId="4BFBCC7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1BDACEF4" w14:textId="77777777" w:rsidTr="00E61BCE">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980" w:type="dxa"/>
            <w:vMerge/>
            <w:hideMark/>
          </w:tcPr>
          <w:p w14:paraId="2F6B0178"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0" w:type="dxa"/>
            <w:hideMark/>
          </w:tcPr>
          <w:p w14:paraId="372412F7"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2009" w:type="dxa"/>
            <w:noWrap/>
            <w:hideMark/>
          </w:tcPr>
          <w:p w14:paraId="7DF8544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93" w:type="dxa"/>
            <w:noWrap/>
            <w:hideMark/>
          </w:tcPr>
          <w:p w14:paraId="3AC75EF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3" w:type="dxa"/>
            <w:noWrap/>
            <w:hideMark/>
          </w:tcPr>
          <w:p w14:paraId="0D925AA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4" w:type="dxa"/>
            <w:hideMark/>
          </w:tcPr>
          <w:p w14:paraId="42ADAD3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3442346B" w14:textId="77777777" w:rsidR="00607D14" w:rsidRPr="00D80577" w:rsidRDefault="00607D14" w:rsidP="00607D14">
      <w:pPr>
        <w:rPr>
          <w:rFonts w:ascii="Arial" w:hAnsi="Arial" w:cs="Arial"/>
        </w:rPr>
      </w:pPr>
    </w:p>
    <w:p w14:paraId="621F2F0C" w14:textId="77777777" w:rsidR="003D13A2" w:rsidRPr="00D80577" w:rsidRDefault="003D13A2" w:rsidP="003D13A2">
      <w:pPr>
        <w:spacing w:line="360" w:lineRule="auto"/>
        <w:jc w:val="both"/>
        <w:rPr>
          <w:rFonts w:ascii="Arial" w:eastAsia="Calibri" w:hAnsi="Arial" w:cs="Arial"/>
        </w:rPr>
      </w:pPr>
      <w:r w:rsidRPr="00D80577">
        <w:rPr>
          <w:rFonts w:ascii="Arial" w:eastAsia="Calibri" w:hAnsi="Arial" w:cs="Arial"/>
        </w:rPr>
        <w:t>Three-quarters of the companies (75.3) say that the Brexit-related rules delay international sourcing, and 10.7% say they do not. This underlines regulatory disruptions as one of the critical influences on the supply chain reliability (RQ1). There is also a possibility that the delays will affect the production efficiency and cost management, which is a context of RQ2. To reduce these impacts, firms can either implement localised sourcing or diversification of suppliers (RQ3).</w:t>
      </w:r>
    </w:p>
    <w:p w14:paraId="68E827A2"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4B96C1D6" wp14:editId="5C6DCF24">
            <wp:extent cx="5943600" cy="3345180"/>
            <wp:effectExtent l="0" t="0" r="0" b="7620"/>
            <wp:docPr id="1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6"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563946F5" w14:textId="328AF86F" w:rsidR="009349E5" w:rsidRPr="00D80577" w:rsidRDefault="009349E5" w:rsidP="009349E5">
      <w:pPr>
        <w:pStyle w:val="Caption"/>
        <w:jc w:val="center"/>
        <w:rPr>
          <w:rFonts w:ascii="Arial" w:eastAsia="Calibri" w:hAnsi="Arial" w:cs="Arial"/>
          <w:i w:val="0"/>
          <w:iCs w:val="0"/>
          <w:sz w:val="22"/>
          <w:szCs w:val="22"/>
        </w:rPr>
      </w:pPr>
      <w:bookmarkStart w:id="59" w:name="_Toc220889961"/>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6</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International geopolitical conflicts</w:t>
      </w:r>
      <w:bookmarkEnd w:id="59"/>
    </w:p>
    <w:p w14:paraId="6AE1B52D" w14:textId="77777777" w:rsidR="00607D14" w:rsidRPr="00D80577" w:rsidRDefault="00607D14" w:rsidP="00607D14">
      <w:pPr>
        <w:rPr>
          <w:rFonts w:ascii="Arial" w:hAnsi="Arial" w:cs="Arial"/>
        </w:rPr>
      </w:pPr>
    </w:p>
    <w:p w14:paraId="01741D0C" w14:textId="7F2A9AC9" w:rsidR="00607D14" w:rsidRPr="00D80577" w:rsidRDefault="00607D14" w:rsidP="00607D14">
      <w:pPr>
        <w:pStyle w:val="Caption"/>
        <w:keepNext/>
        <w:rPr>
          <w:rFonts w:ascii="Arial" w:hAnsi="Arial" w:cs="Arial"/>
          <w:i w:val="0"/>
          <w:iCs w:val="0"/>
          <w:sz w:val="22"/>
          <w:szCs w:val="22"/>
        </w:rPr>
      </w:pPr>
      <w:bookmarkStart w:id="60" w:name="_Toc220889984"/>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7</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2</w:t>
      </w:r>
      <w:bookmarkEnd w:id="60"/>
    </w:p>
    <w:tbl>
      <w:tblPr>
        <w:tblStyle w:val="PlainTable1"/>
        <w:tblW w:w="9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5"/>
        <w:gridCol w:w="1965"/>
        <w:gridCol w:w="1995"/>
        <w:gridCol w:w="1184"/>
        <w:gridCol w:w="1184"/>
        <w:gridCol w:w="1189"/>
      </w:tblGrid>
      <w:tr w:rsidR="00607D14" w:rsidRPr="00D80577" w14:paraId="743B255B" w14:textId="77777777" w:rsidTr="00E61BCE">
        <w:trPr>
          <w:cnfStyle w:val="100000000000" w:firstRow="1" w:lastRow="0" w:firstColumn="0" w:lastColumn="0" w:oddVBand="0" w:evenVBand="0" w:oddHBand="0"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9482" w:type="dxa"/>
            <w:gridSpan w:val="6"/>
            <w:hideMark/>
          </w:tcPr>
          <w:p w14:paraId="6FF0640C"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Brexit-related trade regulations have caused delays in sourcing materials internationally.</w:t>
            </w:r>
          </w:p>
        </w:tc>
      </w:tr>
      <w:tr w:rsidR="00607D14" w:rsidRPr="00D80577" w14:paraId="07D527C4" w14:textId="77777777" w:rsidTr="003D13A2">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1965" w:type="dxa"/>
            <w:noWrap/>
            <w:hideMark/>
          </w:tcPr>
          <w:p w14:paraId="1C14FDC9"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5" w:type="dxa"/>
            <w:noWrap/>
            <w:hideMark/>
          </w:tcPr>
          <w:p w14:paraId="6C58C6E2"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95" w:type="dxa"/>
            <w:hideMark/>
          </w:tcPr>
          <w:p w14:paraId="24D2B52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4" w:type="dxa"/>
            <w:hideMark/>
          </w:tcPr>
          <w:p w14:paraId="427C661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4" w:type="dxa"/>
            <w:hideMark/>
          </w:tcPr>
          <w:p w14:paraId="39667BA5"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9" w:type="dxa"/>
            <w:hideMark/>
          </w:tcPr>
          <w:p w14:paraId="2BA22E4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23898F9A" w14:textId="77777777" w:rsidTr="003D13A2">
        <w:trPr>
          <w:trHeight w:val="285"/>
        </w:trPr>
        <w:tc>
          <w:tcPr>
            <w:cnfStyle w:val="001000000000" w:firstRow="0" w:lastRow="0" w:firstColumn="1" w:lastColumn="0" w:oddVBand="0" w:evenVBand="0" w:oddHBand="0" w:evenHBand="0" w:firstRowFirstColumn="0" w:firstRowLastColumn="0" w:lastRowFirstColumn="0" w:lastRowLastColumn="0"/>
            <w:tcW w:w="1965" w:type="dxa"/>
            <w:vMerge w:val="restart"/>
            <w:hideMark/>
          </w:tcPr>
          <w:p w14:paraId="17634DD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5" w:type="dxa"/>
            <w:hideMark/>
          </w:tcPr>
          <w:p w14:paraId="57AEF1F3"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95" w:type="dxa"/>
            <w:noWrap/>
            <w:hideMark/>
          </w:tcPr>
          <w:p w14:paraId="6D84C8D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w:t>
            </w:r>
          </w:p>
        </w:tc>
        <w:tc>
          <w:tcPr>
            <w:tcW w:w="1184" w:type="dxa"/>
            <w:noWrap/>
            <w:hideMark/>
          </w:tcPr>
          <w:p w14:paraId="1A1B0BC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84" w:type="dxa"/>
            <w:noWrap/>
            <w:hideMark/>
          </w:tcPr>
          <w:p w14:paraId="1AA0637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89" w:type="dxa"/>
            <w:noWrap/>
            <w:hideMark/>
          </w:tcPr>
          <w:p w14:paraId="16144AE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r>
      <w:tr w:rsidR="00607D14" w:rsidRPr="00D80577" w14:paraId="4DFB8740" w14:textId="77777777" w:rsidTr="003D13A2">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965" w:type="dxa"/>
            <w:vMerge/>
            <w:hideMark/>
          </w:tcPr>
          <w:p w14:paraId="6F56D61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5" w:type="dxa"/>
            <w:hideMark/>
          </w:tcPr>
          <w:p w14:paraId="715F432F"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95" w:type="dxa"/>
            <w:noWrap/>
            <w:hideMark/>
          </w:tcPr>
          <w:p w14:paraId="6EA1496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w:t>
            </w:r>
          </w:p>
        </w:tc>
        <w:tc>
          <w:tcPr>
            <w:tcW w:w="1184" w:type="dxa"/>
            <w:noWrap/>
            <w:hideMark/>
          </w:tcPr>
          <w:p w14:paraId="3C89BA7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84" w:type="dxa"/>
            <w:noWrap/>
            <w:hideMark/>
          </w:tcPr>
          <w:p w14:paraId="0AC3ADD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89" w:type="dxa"/>
            <w:noWrap/>
            <w:hideMark/>
          </w:tcPr>
          <w:p w14:paraId="0FF1E56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10.7</w:t>
            </w:r>
          </w:p>
        </w:tc>
      </w:tr>
      <w:tr w:rsidR="00607D14" w:rsidRPr="00D80577" w14:paraId="62A22D2A" w14:textId="77777777" w:rsidTr="003D13A2">
        <w:trPr>
          <w:trHeight w:val="285"/>
        </w:trPr>
        <w:tc>
          <w:tcPr>
            <w:cnfStyle w:val="001000000000" w:firstRow="0" w:lastRow="0" w:firstColumn="1" w:lastColumn="0" w:oddVBand="0" w:evenVBand="0" w:oddHBand="0" w:evenHBand="0" w:firstRowFirstColumn="0" w:firstRowLastColumn="0" w:lastRowFirstColumn="0" w:lastRowLastColumn="0"/>
            <w:tcW w:w="1965" w:type="dxa"/>
            <w:vMerge/>
            <w:hideMark/>
          </w:tcPr>
          <w:p w14:paraId="4580775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5" w:type="dxa"/>
            <w:hideMark/>
          </w:tcPr>
          <w:p w14:paraId="6C70382C"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95" w:type="dxa"/>
            <w:noWrap/>
            <w:hideMark/>
          </w:tcPr>
          <w:p w14:paraId="2827E6D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w:t>
            </w:r>
          </w:p>
        </w:tc>
        <w:tc>
          <w:tcPr>
            <w:tcW w:w="1184" w:type="dxa"/>
            <w:noWrap/>
            <w:hideMark/>
          </w:tcPr>
          <w:p w14:paraId="1DCEE36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14.0</w:t>
            </w:r>
          </w:p>
        </w:tc>
        <w:tc>
          <w:tcPr>
            <w:tcW w:w="1184" w:type="dxa"/>
            <w:noWrap/>
            <w:hideMark/>
          </w:tcPr>
          <w:p w14:paraId="24F79DF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14.0</w:t>
            </w:r>
          </w:p>
        </w:tc>
        <w:tc>
          <w:tcPr>
            <w:tcW w:w="1189" w:type="dxa"/>
            <w:noWrap/>
            <w:hideMark/>
          </w:tcPr>
          <w:p w14:paraId="4A7416F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r>
      <w:tr w:rsidR="00607D14" w:rsidRPr="00D80577" w14:paraId="0E8CB90A" w14:textId="77777777" w:rsidTr="003D13A2">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965" w:type="dxa"/>
            <w:vMerge/>
            <w:hideMark/>
          </w:tcPr>
          <w:p w14:paraId="02AB94E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5" w:type="dxa"/>
            <w:hideMark/>
          </w:tcPr>
          <w:p w14:paraId="0B7B2F7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95" w:type="dxa"/>
            <w:noWrap/>
            <w:hideMark/>
          </w:tcPr>
          <w:p w14:paraId="0FD7C24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77</w:t>
            </w:r>
          </w:p>
        </w:tc>
        <w:tc>
          <w:tcPr>
            <w:tcW w:w="1184" w:type="dxa"/>
            <w:noWrap/>
            <w:hideMark/>
          </w:tcPr>
          <w:p w14:paraId="63448EB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51.3</w:t>
            </w:r>
          </w:p>
        </w:tc>
        <w:tc>
          <w:tcPr>
            <w:tcW w:w="1184" w:type="dxa"/>
            <w:noWrap/>
            <w:hideMark/>
          </w:tcPr>
          <w:p w14:paraId="58242C9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51.3</w:t>
            </w:r>
          </w:p>
        </w:tc>
        <w:tc>
          <w:tcPr>
            <w:tcW w:w="1189" w:type="dxa"/>
            <w:noWrap/>
            <w:hideMark/>
          </w:tcPr>
          <w:p w14:paraId="7ED00CE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76.0</w:t>
            </w:r>
          </w:p>
        </w:tc>
      </w:tr>
      <w:tr w:rsidR="00607D14" w:rsidRPr="00D80577" w14:paraId="5735232B" w14:textId="77777777" w:rsidTr="003D13A2">
        <w:trPr>
          <w:trHeight w:val="285"/>
        </w:trPr>
        <w:tc>
          <w:tcPr>
            <w:cnfStyle w:val="001000000000" w:firstRow="0" w:lastRow="0" w:firstColumn="1" w:lastColumn="0" w:oddVBand="0" w:evenVBand="0" w:oddHBand="0" w:evenHBand="0" w:firstRowFirstColumn="0" w:firstRowLastColumn="0" w:lastRowFirstColumn="0" w:lastRowLastColumn="0"/>
            <w:tcW w:w="1965" w:type="dxa"/>
            <w:vMerge/>
            <w:hideMark/>
          </w:tcPr>
          <w:p w14:paraId="47A37F7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5" w:type="dxa"/>
            <w:hideMark/>
          </w:tcPr>
          <w:p w14:paraId="665EA37E"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95" w:type="dxa"/>
            <w:noWrap/>
            <w:hideMark/>
          </w:tcPr>
          <w:p w14:paraId="57B304B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w:t>
            </w:r>
          </w:p>
        </w:tc>
        <w:tc>
          <w:tcPr>
            <w:tcW w:w="1184" w:type="dxa"/>
            <w:noWrap/>
            <w:hideMark/>
          </w:tcPr>
          <w:p w14:paraId="09C9E36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24.0</w:t>
            </w:r>
          </w:p>
        </w:tc>
        <w:tc>
          <w:tcPr>
            <w:tcW w:w="1184" w:type="dxa"/>
            <w:noWrap/>
            <w:hideMark/>
          </w:tcPr>
          <w:p w14:paraId="21260CB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24.0</w:t>
            </w:r>
          </w:p>
        </w:tc>
        <w:tc>
          <w:tcPr>
            <w:tcW w:w="1189" w:type="dxa"/>
            <w:noWrap/>
            <w:hideMark/>
          </w:tcPr>
          <w:p w14:paraId="4BC171B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4DCD19E5" w14:textId="77777777" w:rsidTr="003D13A2">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965" w:type="dxa"/>
            <w:vMerge/>
            <w:hideMark/>
          </w:tcPr>
          <w:p w14:paraId="2C931BB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5" w:type="dxa"/>
            <w:hideMark/>
          </w:tcPr>
          <w:p w14:paraId="229AEEF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95" w:type="dxa"/>
            <w:noWrap/>
            <w:hideMark/>
          </w:tcPr>
          <w:p w14:paraId="2CCDFEA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4" w:type="dxa"/>
            <w:noWrap/>
            <w:hideMark/>
          </w:tcPr>
          <w:p w14:paraId="75B00C3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4" w:type="dxa"/>
            <w:noWrap/>
            <w:hideMark/>
          </w:tcPr>
          <w:p w14:paraId="7DD24E6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9" w:type="dxa"/>
            <w:hideMark/>
          </w:tcPr>
          <w:p w14:paraId="0815F7B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12A35168" w14:textId="77777777" w:rsidR="009349E5" w:rsidRPr="00D80577" w:rsidRDefault="009349E5" w:rsidP="003D13A2">
      <w:pPr>
        <w:spacing w:line="360" w:lineRule="auto"/>
        <w:jc w:val="both"/>
        <w:rPr>
          <w:rFonts w:ascii="Arial" w:eastAsia="Calibri" w:hAnsi="Arial" w:cs="Arial"/>
        </w:rPr>
      </w:pPr>
    </w:p>
    <w:p w14:paraId="6B1C5DBF" w14:textId="5B84D9C5"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Three-quarters of the respondents (82 per cent) are in agreement or strongly agree that the increasing costs in transportation and logistics are a bad thing that impacts the reliability of supply, and those who do not agree are only 5.3 per cent. This implies that cost pressures are commonly understood as a factor that augments supply chain susceptibility (RQ1). These higher expenses will lower profit margins and pressure operational efficiency, which supports RQ2 regarding the financial and production impacts.</w:t>
      </w:r>
    </w:p>
    <w:p w14:paraId="7A0FA6EB"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1AAAC772" wp14:editId="27D4CC7C">
            <wp:extent cx="5943600" cy="3345180"/>
            <wp:effectExtent l="0" t="0" r="0" b="7620"/>
            <wp:docPr id="1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17"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7F205780" w14:textId="52499812" w:rsidR="003D13A2" w:rsidRPr="00D80577" w:rsidRDefault="009349E5" w:rsidP="009349E5">
      <w:pPr>
        <w:pStyle w:val="Caption"/>
        <w:jc w:val="center"/>
        <w:rPr>
          <w:rFonts w:ascii="Arial" w:eastAsia="Calibri" w:hAnsi="Arial" w:cs="Arial"/>
          <w:i w:val="0"/>
          <w:iCs w:val="0"/>
          <w:sz w:val="22"/>
          <w:szCs w:val="22"/>
        </w:rPr>
      </w:pPr>
      <w:bookmarkStart w:id="61" w:name="_Toc220889962"/>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7</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Brexit-related trade regulations</w:t>
      </w:r>
      <w:bookmarkEnd w:id="61"/>
    </w:p>
    <w:p w14:paraId="7CFFCE8C" w14:textId="2CCCB963" w:rsidR="00607D14" w:rsidRPr="00D80577" w:rsidRDefault="00607D14" w:rsidP="00607D14">
      <w:pPr>
        <w:pStyle w:val="Caption"/>
        <w:keepNext/>
        <w:rPr>
          <w:rFonts w:ascii="Arial" w:hAnsi="Arial" w:cs="Arial"/>
          <w:i w:val="0"/>
          <w:iCs w:val="0"/>
          <w:sz w:val="22"/>
          <w:szCs w:val="22"/>
        </w:rPr>
      </w:pPr>
      <w:bookmarkStart w:id="62" w:name="_Toc220889985"/>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8</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3</w:t>
      </w:r>
      <w:bookmarkEnd w:id="62"/>
    </w:p>
    <w:tbl>
      <w:tblPr>
        <w:tblStyle w:val="PlainTable1"/>
        <w:tblW w:w="9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1960"/>
        <w:gridCol w:w="1989"/>
        <w:gridCol w:w="1181"/>
        <w:gridCol w:w="1181"/>
        <w:gridCol w:w="1186"/>
      </w:tblGrid>
      <w:tr w:rsidR="00607D14" w:rsidRPr="00D80577" w14:paraId="2C9314B6" w14:textId="77777777" w:rsidTr="00E61BCE">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9457" w:type="dxa"/>
            <w:gridSpan w:val="6"/>
            <w:hideMark/>
          </w:tcPr>
          <w:p w14:paraId="2629CC65"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Rising global transportation and logistics costs have affected supply reliability.</w:t>
            </w:r>
          </w:p>
        </w:tc>
      </w:tr>
      <w:tr w:rsidR="00607D14" w:rsidRPr="00D80577" w14:paraId="01C005C4" w14:textId="77777777" w:rsidTr="00E61BCE">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960" w:type="dxa"/>
            <w:noWrap/>
            <w:hideMark/>
          </w:tcPr>
          <w:p w14:paraId="218E51AD"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p>
        </w:tc>
        <w:tc>
          <w:tcPr>
            <w:tcW w:w="1960" w:type="dxa"/>
            <w:noWrap/>
            <w:hideMark/>
          </w:tcPr>
          <w:p w14:paraId="6BE01F3B"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14:ligatures w14:val="none"/>
              </w:rPr>
            </w:pPr>
          </w:p>
        </w:tc>
        <w:tc>
          <w:tcPr>
            <w:tcW w:w="1989" w:type="dxa"/>
            <w:hideMark/>
          </w:tcPr>
          <w:p w14:paraId="101AFBE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1" w:type="dxa"/>
            <w:hideMark/>
          </w:tcPr>
          <w:p w14:paraId="763F25F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1" w:type="dxa"/>
            <w:hideMark/>
          </w:tcPr>
          <w:p w14:paraId="6FA1168D"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2" w:type="dxa"/>
            <w:hideMark/>
          </w:tcPr>
          <w:p w14:paraId="11EB0F8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4656260A" w14:textId="77777777" w:rsidTr="00E61BCE">
        <w:trPr>
          <w:trHeight w:val="408"/>
        </w:trPr>
        <w:tc>
          <w:tcPr>
            <w:cnfStyle w:val="001000000000" w:firstRow="0" w:lastRow="0" w:firstColumn="1" w:lastColumn="0" w:oddVBand="0" w:evenVBand="0" w:oddHBand="0" w:evenHBand="0" w:firstRowFirstColumn="0" w:firstRowLastColumn="0" w:lastRowFirstColumn="0" w:lastRowLastColumn="0"/>
            <w:tcW w:w="1960" w:type="dxa"/>
            <w:vMerge w:val="restart"/>
            <w:hideMark/>
          </w:tcPr>
          <w:p w14:paraId="3EA9E18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0" w:type="dxa"/>
            <w:hideMark/>
          </w:tcPr>
          <w:p w14:paraId="163CFFA3"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9" w:type="dxa"/>
            <w:noWrap/>
            <w:hideMark/>
          </w:tcPr>
          <w:p w14:paraId="3D27DEA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w:t>
            </w:r>
          </w:p>
        </w:tc>
        <w:tc>
          <w:tcPr>
            <w:tcW w:w="1181" w:type="dxa"/>
            <w:noWrap/>
            <w:hideMark/>
          </w:tcPr>
          <w:p w14:paraId="3D96006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1.3</w:t>
            </w:r>
          </w:p>
        </w:tc>
        <w:tc>
          <w:tcPr>
            <w:tcW w:w="1181" w:type="dxa"/>
            <w:noWrap/>
            <w:hideMark/>
          </w:tcPr>
          <w:p w14:paraId="3E9AC87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1.3</w:t>
            </w:r>
          </w:p>
        </w:tc>
        <w:tc>
          <w:tcPr>
            <w:tcW w:w="1182" w:type="dxa"/>
            <w:noWrap/>
            <w:hideMark/>
          </w:tcPr>
          <w:p w14:paraId="530A1F0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1.3</w:t>
            </w:r>
          </w:p>
        </w:tc>
      </w:tr>
      <w:tr w:rsidR="00607D14" w:rsidRPr="00D80577" w14:paraId="02CC6086" w14:textId="77777777" w:rsidTr="00E61BCE">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1960" w:type="dxa"/>
            <w:vMerge/>
            <w:hideMark/>
          </w:tcPr>
          <w:p w14:paraId="71FE322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3FD82C23"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9" w:type="dxa"/>
            <w:noWrap/>
            <w:hideMark/>
          </w:tcPr>
          <w:p w14:paraId="6322065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w:t>
            </w:r>
          </w:p>
        </w:tc>
        <w:tc>
          <w:tcPr>
            <w:tcW w:w="1181" w:type="dxa"/>
            <w:noWrap/>
            <w:hideMark/>
          </w:tcPr>
          <w:p w14:paraId="2B5935D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81" w:type="dxa"/>
            <w:noWrap/>
            <w:hideMark/>
          </w:tcPr>
          <w:p w14:paraId="1872EF2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82" w:type="dxa"/>
            <w:noWrap/>
            <w:hideMark/>
          </w:tcPr>
          <w:p w14:paraId="0C4D0BD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r>
      <w:tr w:rsidR="00607D14" w:rsidRPr="00D80577" w14:paraId="1ED1E1E1" w14:textId="77777777" w:rsidTr="00E61BCE">
        <w:trPr>
          <w:trHeight w:val="279"/>
        </w:trPr>
        <w:tc>
          <w:tcPr>
            <w:cnfStyle w:val="001000000000" w:firstRow="0" w:lastRow="0" w:firstColumn="1" w:lastColumn="0" w:oddVBand="0" w:evenVBand="0" w:oddHBand="0" w:evenHBand="0" w:firstRowFirstColumn="0" w:firstRowLastColumn="0" w:lastRowFirstColumn="0" w:lastRowLastColumn="0"/>
            <w:tcW w:w="1960" w:type="dxa"/>
            <w:vMerge/>
            <w:hideMark/>
          </w:tcPr>
          <w:p w14:paraId="759F9C3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0739CCC6"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89" w:type="dxa"/>
            <w:noWrap/>
            <w:hideMark/>
          </w:tcPr>
          <w:p w14:paraId="4F716EA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w:t>
            </w:r>
          </w:p>
        </w:tc>
        <w:tc>
          <w:tcPr>
            <w:tcW w:w="1181" w:type="dxa"/>
            <w:noWrap/>
            <w:hideMark/>
          </w:tcPr>
          <w:p w14:paraId="4DAF6C7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12.7</w:t>
            </w:r>
          </w:p>
        </w:tc>
        <w:tc>
          <w:tcPr>
            <w:tcW w:w="1181" w:type="dxa"/>
            <w:noWrap/>
            <w:hideMark/>
          </w:tcPr>
          <w:p w14:paraId="5DDFE81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12.7</w:t>
            </w:r>
          </w:p>
        </w:tc>
        <w:tc>
          <w:tcPr>
            <w:tcW w:w="1182" w:type="dxa"/>
            <w:noWrap/>
            <w:hideMark/>
          </w:tcPr>
          <w:p w14:paraId="71D8A22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18.0</w:t>
            </w:r>
          </w:p>
        </w:tc>
      </w:tr>
      <w:tr w:rsidR="00607D14" w:rsidRPr="00D80577" w14:paraId="5D990178" w14:textId="77777777" w:rsidTr="00E61BCE">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1960" w:type="dxa"/>
            <w:vMerge/>
            <w:hideMark/>
          </w:tcPr>
          <w:p w14:paraId="74D3264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636FDB03"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9" w:type="dxa"/>
            <w:noWrap/>
            <w:hideMark/>
          </w:tcPr>
          <w:p w14:paraId="5531F9E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85</w:t>
            </w:r>
          </w:p>
        </w:tc>
        <w:tc>
          <w:tcPr>
            <w:tcW w:w="1181" w:type="dxa"/>
            <w:noWrap/>
            <w:hideMark/>
          </w:tcPr>
          <w:p w14:paraId="794CD76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56.7</w:t>
            </w:r>
          </w:p>
        </w:tc>
        <w:tc>
          <w:tcPr>
            <w:tcW w:w="1181" w:type="dxa"/>
            <w:noWrap/>
            <w:hideMark/>
          </w:tcPr>
          <w:p w14:paraId="13F0650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56.7</w:t>
            </w:r>
          </w:p>
        </w:tc>
        <w:tc>
          <w:tcPr>
            <w:tcW w:w="1182" w:type="dxa"/>
            <w:noWrap/>
            <w:hideMark/>
          </w:tcPr>
          <w:p w14:paraId="085FC86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74.7</w:t>
            </w:r>
          </w:p>
        </w:tc>
      </w:tr>
      <w:tr w:rsidR="00607D14" w:rsidRPr="00D80577" w14:paraId="574F5B74" w14:textId="77777777" w:rsidTr="00E61BCE">
        <w:trPr>
          <w:trHeight w:val="403"/>
        </w:trPr>
        <w:tc>
          <w:tcPr>
            <w:cnfStyle w:val="001000000000" w:firstRow="0" w:lastRow="0" w:firstColumn="1" w:lastColumn="0" w:oddVBand="0" w:evenVBand="0" w:oddHBand="0" w:evenHBand="0" w:firstRowFirstColumn="0" w:firstRowLastColumn="0" w:lastRowFirstColumn="0" w:lastRowLastColumn="0"/>
            <w:tcW w:w="1960" w:type="dxa"/>
            <w:vMerge/>
            <w:hideMark/>
          </w:tcPr>
          <w:p w14:paraId="51DA4CC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3EC17079"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9" w:type="dxa"/>
            <w:noWrap/>
            <w:hideMark/>
          </w:tcPr>
          <w:p w14:paraId="1E04B28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38</w:t>
            </w:r>
          </w:p>
        </w:tc>
        <w:tc>
          <w:tcPr>
            <w:tcW w:w="1181" w:type="dxa"/>
            <w:noWrap/>
            <w:hideMark/>
          </w:tcPr>
          <w:p w14:paraId="3542372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25.3</w:t>
            </w:r>
          </w:p>
        </w:tc>
        <w:tc>
          <w:tcPr>
            <w:tcW w:w="1181" w:type="dxa"/>
            <w:noWrap/>
            <w:hideMark/>
          </w:tcPr>
          <w:p w14:paraId="484A463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25.3</w:t>
            </w:r>
          </w:p>
        </w:tc>
        <w:tc>
          <w:tcPr>
            <w:tcW w:w="1182" w:type="dxa"/>
            <w:noWrap/>
            <w:hideMark/>
          </w:tcPr>
          <w:p w14:paraId="647428D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4C80C2CB" w14:textId="77777777" w:rsidTr="00E61BCE">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1A74567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7C251D1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9" w:type="dxa"/>
            <w:noWrap/>
            <w:hideMark/>
          </w:tcPr>
          <w:p w14:paraId="36D9043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1" w:type="dxa"/>
            <w:noWrap/>
            <w:hideMark/>
          </w:tcPr>
          <w:p w14:paraId="3E83B9A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1" w:type="dxa"/>
            <w:noWrap/>
            <w:hideMark/>
          </w:tcPr>
          <w:p w14:paraId="5E76F9D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2" w:type="dxa"/>
            <w:hideMark/>
          </w:tcPr>
          <w:p w14:paraId="155A83D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02BDD0F9" w14:textId="77777777" w:rsidR="00607D14" w:rsidRPr="00D80577" w:rsidRDefault="00607D14" w:rsidP="00607D14">
      <w:pPr>
        <w:rPr>
          <w:rFonts w:ascii="Arial" w:hAnsi="Arial" w:cs="Arial"/>
        </w:rPr>
      </w:pPr>
    </w:p>
    <w:p w14:paraId="499C6BA7" w14:textId="77777777" w:rsidR="003D13A2" w:rsidRPr="00D80577" w:rsidRDefault="003D13A2" w:rsidP="003D13A2">
      <w:pPr>
        <w:spacing w:line="360" w:lineRule="auto"/>
        <w:jc w:val="both"/>
        <w:rPr>
          <w:rFonts w:ascii="Arial" w:eastAsia="Calibri" w:hAnsi="Arial" w:cs="Arial"/>
        </w:rPr>
      </w:pPr>
      <w:r w:rsidRPr="00D80577">
        <w:rPr>
          <w:rFonts w:ascii="Arial" w:eastAsia="Calibri" w:hAnsi="Arial" w:cs="Arial"/>
        </w:rPr>
        <w:t>Sixty-eight point six per cent of those asked state that they agree or strongly agree that the dependence on foreign suppliers increases the risk of disruption, and this result demonstrates that the global dependency is one of the greatest weaknesses (RQ1). This dependency has the potential of increasing delays, cost unpredictability, and production efficiency, which is connected to RQ2. To reduce these risks, the firms can implement the suppliers diversification or nearshoring policy, which prompts RQ3.</w:t>
      </w:r>
    </w:p>
    <w:p w14:paraId="232434D7" w14:textId="77777777" w:rsidR="009349E5" w:rsidRPr="00D80577" w:rsidRDefault="009349E5" w:rsidP="009349E5">
      <w:pPr>
        <w:keepNext/>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561E76A0" wp14:editId="4C7E6B9A">
            <wp:extent cx="5943600" cy="3345180"/>
            <wp:effectExtent l="0" t="0" r="0" b="7620"/>
            <wp:docPr id="10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pic:cNvPicPr>
                      <a:picLocks noChangeAspect="1" noChangeArrowheads="1"/>
                    </pic:cNvPicPr>
                  </pic:nvPicPr>
                  <pic:blipFill>
                    <a:blip r:embed="rId18"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73A2C636" w14:textId="6525BF06" w:rsidR="00607D14" w:rsidRPr="00D80577" w:rsidRDefault="009349E5" w:rsidP="009349E5">
      <w:pPr>
        <w:pStyle w:val="Caption"/>
        <w:jc w:val="center"/>
        <w:rPr>
          <w:rFonts w:ascii="Arial" w:hAnsi="Arial" w:cs="Arial"/>
          <w:i w:val="0"/>
          <w:iCs w:val="0"/>
          <w:sz w:val="22"/>
          <w:szCs w:val="22"/>
        </w:rPr>
      </w:pPr>
      <w:bookmarkStart w:id="63" w:name="_Toc220889963"/>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8</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Rising global transportation and logistics costs</w:t>
      </w:r>
      <w:bookmarkEnd w:id="63"/>
    </w:p>
    <w:p w14:paraId="19F6BAFA" w14:textId="244FD4F9" w:rsidR="00607D14" w:rsidRPr="00D80577" w:rsidRDefault="00607D14" w:rsidP="00607D14">
      <w:pPr>
        <w:pStyle w:val="Caption"/>
        <w:keepNext/>
        <w:rPr>
          <w:rFonts w:ascii="Arial" w:hAnsi="Arial" w:cs="Arial"/>
          <w:i w:val="0"/>
          <w:iCs w:val="0"/>
          <w:sz w:val="22"/>
          <w:szCs w:val="22"/>
          <w:lang w:val="fr-FR"/>
        </w:rPr>
      </w:pPr>
      <w:bookmarkStart w:id="64" w:name="_Toc220889986"/>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9</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4</w:t>
      </w:r>
      <w:bookmarkEnd w:id="64"/>
    </w:p>
    <w:tbl>
      <w:tblPr>
        <w:tblStyle w:val="PlainTable1"/>
        <w:tblW w:w="9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1960"/>
        <w:gridCol w:w="1989"/>
        <w:gridCol w:w="1181"/>
        <w:gridCol w:w="1181"/>
        <w:gridCol w:w="1186"/>
      </w:tblGrid>
      <w:tr w:rsidR="00607D14" w:rsidRPr="00D80577" w14:paraId="61FBAE48" w14:textId="77777777" w:rsidTr="00E61BCE">
        <w:trPr>
          <w:cnfStyle w:val="100000000000" w:firstRow="1" w:lastRow="0" w:firstColumn="0" w:lastColumn="0" w:oddVBand="0" w:evenVBand="0" w:oddHBand="0"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9457" w:type="dxa"/>
            <w:gridSpan w:val="6"/>
            <w:hideMark/>
          </w:tcPr>
          <w:p w14:paraId="47069129"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Dependence on overseas suppliers increases the risk of supply chain disruption.</w:t>
            </w:r>
          </w:p>
        </w:tc>
      </w:tr>
      <w:tr w:rsidR="00607D14" w:rsidRPr="00D80577" w14:paraId="198BAEC9" w14:textId="77777777" w:rsidTr="003D13A2">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960" w:type="dxa"/>
            <w:noWrap/>
            <w:hideMark/>
          </w:tcPr>
          <w:p w14:paraId="0F59EF94"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0" w:type="dxa"/>
            <w:noWrap/>
            <w:hideMark/>
          </w:tcPr>
          <w:p w14:paraId="0848B81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89" w:type="dxa"/>
            <w:hideMark/>
          </w:tcPr>
          <w:p w14:paraId="68CA199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1" w:type="dxa"/>
            <w:hideMark/>
          </w:tcPr>
          <w:p w14:paraId="2C44EFF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1" w:type="dxa"/>
            <w:hideMark/>
          </w:tcPr>
          <w:p w14:paraId="6BB72B2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6" w:type="dxa"/>
            <w:hideMark/>
          </w:tcPr>
          <w:p w14:paraId="6CFF4F22"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7ECA0FBC" w14:textId="77777777" w:rsidTr="003D13A2">
        <w:trPr>
          <w:trHeight w:val="257"/>
        </w:trPr>
        <w:tc>
          <w:tcPr>
            <w:cnfStyle w:val="001000000000" w:firstRow="0" w:lastRow="0" w:firstColumn="1" w:lastColumn="0" w:oddVBand="0" w:evenVBand="0" w:oddHBand="0" w:evenHBand="0" w:firstRowFirstColumn="0" w:firstRowLastColumn="0" w:lastRowFirstColumn="0" w:lastRowLastColumn="0"/>
            <w:tcW w:w="1960" w:type="dxa"/>
            <w:vMerge w:val="restart"/>
            <w:hideMark/>
          </w:tcPr>
          <w:p w14:paraId="1EBD09F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0" w:type="dxa"/>
            <w:hideMark/>
          </w:tcPr>
          <w:p w14:paraId="55353F39"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9" w:type="dxa"/>
            <w:noWrap/>
            <w:hideMark/>
          </w:tcPr>
          <w:p w14:paraId="76C7416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w:t>
            </w:r>
          </w:p>
        </w:tc>
        <w:tc>
          <w:tcPr>
            <w:tcW w:w="1181" w:type="dxa"/>
            <w:noWrap/>
            <w:hideMark/>
          </w:tcPr>
          <w:p w14:paraId="5524E22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81" w:type="dxa"/>
            <w:noWrap/>
            <w:hideMark/>
          </w:tcPr>
          <w:p w14:paraId="03042AC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86" w:type="dxa"/>
            <w:noWrap/>
            <w:hideMark/>
          </w:tcPr>
          <w:p w14:paraId="51E950B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r>
      <w:tr w:rsidR="00607D14" w:rsidRPr="00D80577" w14:paraId="6937F153" w14:textId="77777777" w:rsidTr="003D13A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960" w:type="dxa"/>
            <w:vMerge/>
            <w:hideMark/>
          </w:tcPr>
          <w:p w14:paraId="28CAAA4A"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01F3B0A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9" w:type="dxa"/>
            <w:noWrap/>
            <w:hideMark/>
          </w:tcPr>
          <w:p w14:paraId="7CCBB87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w:t>
            </w:r>
          </w:p>
        </w:tc>
        <w:tc>
          <w:tcPr>
            <w:tcW w:w="1181" w:type="dxa"/>
            <w:noWrap/>
            <w:hideMark/>
          </w:tcPr>
          <w:p w14:paraId="2E71E03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c>
          <w:tcPr>
            <w:tcW w:w="1181" w:type="dxa"/>
            <w:noWrap/>
            <w:hideMark/>
          </w:tcPr>
          <w:p w14:paraId="61B2928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c>
          <w:tcPr>
            <w:tcW w:w="1186" w:type="dxa"/>
            <w:noWrap/>
            <w:hideMark/>
          </w:tcPr>
          <w:p w14:paraId="1AAC90B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9.3</w:t>
            </w:r>
          </w:p>
        </w:tc>
      </w:tr>
      <w:tr w:rsidR="00607D14" w:rsidRPr="00D80577" w14:paraId="0D0451A1" w14:textId="77777777" w:rsidTr="003D13A2">
        <w:trPr>
          <w:trHeight w:val="257"/>
        </w:trPr>
        <w:tc>
          <w:tcPr>
            <w:cnfStyle w:val="001000000000" w:firstRow="0" w:lastRow="0" w:firstColumn="1" w:lastColumn="0" w:oddVBand="0" w:evenVBand="0" w:oddHBand="0" w:evenHBand="0" w:firstRowFirstColumn="0" w:firstRowLastColumn="0" w:lastRowFirstColumn="0" w:lastRowLastColumn="0"/>
            <w:tcW w:w="1960" w:type="dxa"/>
            <w:vMerge/>
            <w:hideMark/>
          </w:tcPr>
          <w:p w14:paraId="2231F63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71C04A04"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89" w:type="dxa"/>
            <w:noWrap/>
            <w:hideMark/>
          </w:tcPr>
          <w:p w14:paraId="78E45CB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18</w:t>
            </w:r>
          </w:p>
        </w:tc>
        <w:tc>
          <w:tcPr>
            <w:tcW w:w="1181" w:type="dxa"/>
            <w:noWrap/>
            <w:hideMark/>
          </w:tcPr>
          <w:p w14:paraId="6BC5834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12.0</w:t>
            </w:r>
          </w:p>
        </w:tc>
        <w:tc>
          <w:tcPr>
            <w:tcW w:w="1181" w:type="dxa"/>
            <w:noWrap/>
            <w:hideMark/>
          </w:tcPr>
          <w:p w14:paraId="134996C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12.0</w:t>
            </w:r>
          </w:p>
        </w:tc>
        <w:tc>
          <w:tcPr>
            <w:tcW w:w="1186" w:type="dxa"/>
            <w:noWrap/>
            <w:hideMark/>
          </w:tcPr>
          <w:p w14:paraId="092935D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r>
      <w:tr w:rsidR="00607D14" w:rsidRPr="00D80577" w14:paraId="49EF9EE3" w14:textId="77777777" w:rsidTr="003D13A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960" w:type="dxa"/>
            <w:vMerge/>
            <w:hideMark/>
          </w:tcPr>
          <w:p w14:paraId="79BC480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4723493F"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9" w:type="dxa"/>
            <w:noWrap/>
            <w:hideMark/>
          </w:tcPr>
          <w:p w14:paraId="2FBDCB8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59</w:t>
            </w:r>
          </w:p>
        </w:tc>
        <w:tc>
          <w:tcPr>
            <w:tcW w:w="1181" w:type="dxa"/>
            <w:noWrap/>
            <w:hideMark/>
          </w:tcPr>
          <w:p w14:paraId="1F35EB7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39.3</w:t>
            </w:r>
          </w:p>
        </w:tc>
        <w:tc>
          <w:tcPr>
            <w:tcW w:w="1181" w:type="dxa"/>
            <w:noWrap/>
            <w:hideMark/>
          </w:tcPr>
          <w:p w14:paraId="7297CE0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39.3</w:t>
            </w:r>
          </w:p>
        </w:tc>
        <w:tc>
          <w:tcPr>
            <w:tcW w:w="1186" w:type="dxa"/>
            <w:noWrap/>
            <w:hideMark/>
          </w:tcPr>
          <w:p w14:paraId="44C80EE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60.7</w:t>
            </w:r>
          </w:p>
        </w:tc>
      </w:tr>
      <w:tr w:rsidR="00607D14" w:rsidRPr="00D80577" w14:paraId="5A353D8A" w14:textId="77777777" w:rsidTr="003D13A2">
        <w:trPr>
          <w:trHeight w:val="257"/>
        </w:trPr>
        <w:tc>
          <w:tcPr>
            <w:cnfStyle w:val="001000000000" w:firstRow="0" w:lastRow="0" w:firstColumn="1" w:lastColumn="0" w:oddVBand="0" w:evenVBand="0" w:oddHBand="0" w:evenHBand="0" w:firstRowFirstColumn="0" w:firstRowLastColumn="0" w:lastRowFirstColumn="0" w:lastRowLastColumn="0"/>
            <w:tcW w:w="1960" w:type="dxa"/>
            <w:vMerge/>
            <w:hideMark/>
          </w:tcPr>
          <w:p w14:paraId="08AF397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453B68C3"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9" w:type="dxa"/>
            <w:noWrap/>
            <w:hideMark/>
          </w:tcPr>
          <w:p w14:paraId="132EC9F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59</w:t>
            </w:r>
          </w:p>
        </w:tc>
        <w:tc>
          <w:tcPr>
            <w:tcW w:w="1181" w:type="dxa"/>
            <w:noWrap/>
            <w:hideMark/>
          </w:tcPr>
          <w:p w14:paraId="050713B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39.3</w:t>
            </w:r>
          </w:p>
        </w:tc>
        <w:tc>
          <w:tcPr>
            <w:tcW w:w="1181" w:type="dxa"/>
            <w:noWrap/>
            <w:hideMark/>
          </w:tcPr>
          <w:p w14:paraId="7B8C77D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39.3</w:t>
            </w:r>
          </w:p>
        </w:tc>
        <w:tc>
          <w:tcPr>
            <w:tcW w:w="1186" w:type="dxa"/>
            <w:noWrap/>
            <w:hideMark/>
          </w:tcPr>
          <w:p w14:paraId="56DF93C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18DA8FAD" w14:textId="77777777" w:rsidTr="003D13A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960" w:type="dxa"/>
            <w:vMerge/>
            <w:hideMark/>
          </w:tcPr>
          <w:p w14:paraId="4786C7D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18ACCAB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9" w:type="dxa"/>
            <w:noWrap/>
            <w:hideMark/>
          </w:tcPr>
          <w:p w14:paraId="37E87E0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1" w:type="dxa"/>
            <w:noWrap/>
            <w:hideMark/>
          </w:tcPr>
          <w:p w14:paraId="6D37C64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1" w:type="dxa"/>
            <w:noWrap/>
            <w:hideMark/>
          </w:tcPr>
          <w:p w14:paraId="0FBF908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6" w:type="dxa"/>
            <w:hideMark/>
          </w:tcPr>
          <w:p w14:paraId="43185DF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214730EC" w14:textId="77777777" w:rsidR="009349E5" w:rsidRPr="00D80577" w:rsidRDefault="009349E5" w:rsidP="003D13A2">
      <w:pPr>
        <w:spacing w:line="360" w:lineRule="auto"/>
        <w:jc w:val="both"/>
        <w:rPr>
          <w:rFonts w:ascii="Arial" w:eastAsia="Calibri" w:hAnsi="Arial" w:cs="Arial"/>
        </w:rPr>
      </w:pPr>
    </w:p>
    <w:p w14:paraId="07491D04" w14:textId="316F98D7" w:rsidR="003D13A2" w:rsidRPr="00D80577" w:rsidRDefault="003D13A2" w:rsidP="003D13A2">
      <w:pPr>
        <w:spacing w:line="360" w:lineRule="auto"/>
        <w:jc w:val="both"/>
        <w:rPr>
          <w:rFonts w:ascii="Arial" w:eastAsia="Calibri" w:hAnsi="Arial" w:cs="Arial"/>
        </w:rPr>
      </w:pPr>
      <w:r w:rsidRPr="00D80577">
        <w:rPr>
          <w:rFonts w:ascii="Arial" w:eastAsia="Calibri" w:hAnsi="Arial" w:cs="Arial"/>
        </w:rPr>
        <w:t>The majority (70.7% agree or strongly agree) believe that global supply chains face significant unseen risks, which may indicate a major operational problem due to a lack of visibility. Poor visibility may not allow timely identification of delays or quality problems to influence the cost and production schedules (RQ2). The digital monitoring tools are hence important mitigation strategies (RQ3).</w:t>
      </w:r>
    </w:p>
    <w:p w14:paraId="7E8AD967"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51D6C16F" wp14:editId="4AF59A23">
            <wp:extent cx="5943600" cy="3345180"/>
            <wp:effectExtent l="0" t="0" r="0" b="7620"/>
            <wp:docPr id="10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7"/>
                    <pic:cNvPicPr>
                      <a:picLocks noChangeAspect="1" noChangeArrowheads="1"/>
                    </pic:cNvPicPr>
                  </pic:nvPicPr>
                  <pic:blipFill>
                    <a:blip r:embed="rId19"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1E151E67" w14:textId="1CD80832" w:rsidR="009349E5" w:rsidRPr="00D80577" w:rsidRDefault="009349E5" w:rsidP="009349E5">
      <w:pPr>
        <w:pStyle w:val="Caption"/>
        <w:jc w:val="center"/>
        <w:rPr>
          <w:rFonts w:ascii="Arial" w:eastAsia="Calibri" w:hAnsi="Arial" w:cs="Arial"/>
          <w:i w:val="0"/>
          <w:iCs w:val="0"/>
          <w:sz w:val="22"/>
          <w:szCs w:val="22"/>
        </w:rPr>
      </w:pPr>
      <w:bookmarkStart w:id="65" w:name="_Toc220889964"/>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9</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Dependence on overseas suppliers</w:t>
      </w:r>
      <w:bookmarkEnd w:id="65"/>
    </w:p>
    <w:p w14:paraId="439D8473" w14:textId="26AF1B45" w:rsidR="00607D14" w:rsidRPr="00D80577" w:rsidRDefault="00607D14" w:rsidP="00607D14">
      <w:pPr>
        <w:pStyle w:val="Caption"/>
        <w:keepNext/>
        <w:rPr>
          <w:rFonts w:ascii="Arial" w:hAnsi="Arial" w:cs="Arial"/>
          <w:i w:val="0"/>
          <w:iCs w:val="0"/>
          <w:sz w:val="22"/>
          <w:szCs w:val="22"/>
        </w:rPr>
      </w:pPr>
      <w:bookmarkStart w:id="66" w:name="_Toc220889987"/>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10</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5</w:t>
      </w:r>
      <w:bookmarkEnd w:id="66"/>
    </w:p>
    <w:tbl>
      <w:tblPr>
        <w:tblStyle w:val="PlainTable1"/>
        <w:tblW w:w="94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5"/>
        <w:gridCol w:w="1955"/>
        <w:gridCol w:w="1984"/>
        <w:gridCol w:w="1178"/>
        <w:gridCol w:w="1178"/>
        <w:gridCol w:w="1183"/>
      </w:tblGrid>
      <w:tr w:rsidR="00607D14" w:rsidRPr="00D80577" w14:paraId="53E346D6" w14:textId="77777777" w:rsidTr="00E61BCE">
        <w:trPr>
          <w:cnfStyle w:val="100000000000" w:firstRow="1" w:lastRow="0" w:firstColumn="0" w:lastColumn="0" w:oddVBand="0" w:evenVBand="0" w:oddHBand="0"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9433" w:type="dxa"/>
            <w:gridSpan w:val="6"/>
            <w:hideMark/>
          </w:tcPr>
          <w:p w14:paraId="13483343"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Limited visibility into international suppliers contributes to unexpected disruptions.</w:t>
            </w:r>
          </w:p>
        </w:tc>
      </w:tr>
      <w:tr w:rsidR="00607D14" w:rsidRPr="00D80577" w14:paraId="29F88E7A" w14:textId="77777777" w:rsidTr="00E61BCE">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1955" w:type="dxa"/>
            <w:noWrap/>
            <w:hideMark/>
          </w:tcPr>
          <w:p w14:paraId="5121741B"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55" w:type="dxa"/>
            <w:noWrap/>
            <w:hideMark/>
          </w:tcPr>
          <w:p w14:paraId="0B700D06"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84" w:type="dxa"/>
            <w:hideMark/>
          </w:tcPr>
          <w:p w14:paraId="64B0512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8" w:type="dxa"/>
            <w:hideMark/>
          </w:tcPr>
          <w:p w14:paraId="5B264B4A"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8" w:type="dxa"/>
            <w:hideMark/>
          </w:tcPr>
          <w:p w14:paraId="672334F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9" w:type="dxa"/>
            <w:hideMark/>
          </w:tcPr>
          <w:p w14:paraId="4CB3D4D3"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456F6349" w14:textId="77777777" w:rsidTr="00E61BCE">
        <w:trPr>
          <w:trHeight w:val="266"/>
        </w:trPr>
        <w:tc>
          <w:tcPr>
            <w:cnfStyle w:val="001000000000" w:firstRow="0" w:lastRow="0" w:firstColumn="1" w:lastColumn="0" w:oddVBand="0" w:evenVBand="0" w:oddHBand="0" w:evenHBand="0" w:firstRowFirstColumn="0" w:firstRowLastColumn="0" w:lastRowFirstColumn="0" w:lastRowLastColumn="0"/>
            <w:tcW w:w="1955" w:type="dxa"/>
            <w:vMerge w:val="restart"/>
            <w:hideMark/>
          </w:tcPr>
          <w:p w14:paraId="3F7EA068"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55" w:type="dxa"/>
            <w:hideMark/>
          </w:tcPr>
          <w:p w14:paraId="77DC978F"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4" w:type="dxa"/>
            <w:noWrap/>
            <w:hideMark/>
          </w:tcPr>
          <w:p w14:paraId="64AF4AB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w:t>
            </w:r>
          </w:p>
        </w:tc>
        <w:tc>
          <w:tcPr>
            <w:tcW w:w="1178" w:type="dxa"/>
            <w:noWrap/>
            <w:hideMark/>
          </w:tcPr>
          <w:p w14:paraId="33D28C2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78" w:type="dxa"/>
            <w:noWrap/>
            <w:hideMark/>
          </w:tcPr>
          <w:p w14:paraId="2F56773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79" w:type="dxa"/>
            <w:noWrap/>
            <w:hideMark/>
          </w:tcPr>
          <w:p w14:paraId="2327B59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r>
      <w:tr w:rsidR="00607D14" w:rsidRPr="00D80577" w14:paraId="1FF6C6A7" w14:textId="77777777" w:rsidTr="00E61BCE">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1955" w:type="dxa"/>
            <w:vMerge/>
            <w:hideMark/>
          </w:tcPr>
          <w:p w14:paraId="5D40CF25"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5" w:type="dxa"/>
            <w:hideMark/>
          </w:tcPr>
          <w:p w14:paraId="1A57A04D"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4" w:type="dxa"/>
            <w:noWrap/>
            <w:hideMark/>
          </w:tcPr>
          <w:p w14:paraId="2EAD65F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w:t>
            </w:r>
          </w:p>
        </w:tc>
        <w:tc>
          <w:tcPr>
            <w:tcW w:w="1178" w:type="dxa"/>
            <w:noWrap/>
            <w:hideMark/>
          </w:tcPr>
          <w:p w14:paraId="4D2E87B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78" w:type="dxa"/>
            <w:noWrap/>
            <w:hideMark/>
          </w:tcPr>
          <w:p w14:paraId="0D18FAB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79" w:type="dxa"/>
            <w:noWrap/>
            <w:hideMark/>
          </w:tcPr>
          <w:p w14:paraId="12569DF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10.7</w:t>
            </w:r>
          </w:p>
        </w:tc>
      </w:tr>
      <w:tr w:rsidR="00607D14" w:rsidRPr="00D80577" w14:paraId="6D426423" w14:textId="77777777" w:rsidTr="00E61BCE">
        <w:trPr>
          <w:trHeight w:val="266"/>
        </w:trPr>
        <w:tc>
          <w:tcPr>
            <w:cnfStyle w:val="001000000000" w:firstRow="0" w:lastRow="0" w:firstColumn="1" w:lastColumn="0" w:oddVBand="0" w:evenVBand="0" w:oddHBand="0" w:evenHBand="0" w:firstRowFirstColumn="0" w:firstRowLastColumn="0" w:lastRowFirstColumn="0" w:lastRowLastColumn="0"/>
            <w:tcW w:w="1955" w:type="dxa"/>
            <w:vMerge/>
            <w:hideMark/>
          </w:tcPr>
          <w:p w14:paraId="592FB7C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5" w:type="dxa"/>
            <w:hideMark/>
          </w:tcPr>
          <w:p w14:paraId="16AB2A16"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84" w:type="dxa"/>
            <w:noWrap/>
            <w:hideMark/>
          </w:tcPr>
          <w:p w14:paraId="3F7A561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w:t>
            </w:r>
          </w:p>
        </w:tc>
        <w:tc>
          <w:tcPr>
            <w:tcW w:w="1178" w:type="dxa"/>
            <w:noWrap/>
            <w:hideMark/>
          </w:tcPr>
          <w:p w14:paraId="5344E6B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18.7</w:t>
            </w:r>
          </w:p>
        </w:tc>
        <w:tc>
          <w:tcPr>
            <w:tcW w:w="1178" w:type="dxa"/>
            <w:noWrap/>
            <w:hideMark/>
          </w:tcPr>
          <w:p w14:paraId="15534C0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18.7</w:t>
            </w:r>
          </w:p>
        </w:tc>
        <w:tc>
          <w:tcPr>
            <w:tcW w:w="1179" w:type="dxa"/>
            <w:noWrap/>
            <w:hideMark/>
          </w:tcPr>
          <w:p w14:paraId="37986AB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29.3</w:t>
            </w:r>
          </w:p>
        </w:tc>
      </w:tr>
      <w:tr w:rsidR="00607D14" w:rsidRPr="00D80577" w14:paraId="7AC40EEC" w14:textId="77777777" w:rsidTr="00E61BCE">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1955" w:type="dxa"/>
            <w:vMerge/>
            <w:hideMark/>
          </w:tcPr>
          <w:p w14:paraId="2708905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5" w:type="dxa"/>
            <w:hideMark/>
          </w:tcPr>
          <w:p w14:paraId="0E97578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4" w:type="dxa"/>
            <w:noWrap/>
            <w:hideMark/>
          </w:tcPr>
          <w:p w14:paraId="5F0535F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69</w:t>
            </w:r>
          </w:p>
        </w:tc>
        <w:tc>
          <w:tcPr>
            <w:tcW w:w="1178" w:type="dxa"/>
            <w:noWrap/>
            <w:hideMark/>
          </w:tcPr>
          <w:p w14:paraId="65F4752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46.0</w:t>
            </w:r>
          </w:p>
        </w:tc>
        <w:tc>
          <w:tcPr>
            <w:tcW w:w="1178" w:type="dxa"/>
            <w:noWrap/>
            <w:hideMark/>
          </w:tcPr>
          <w:p w14:paraId="6E40833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46.0</w:t>
            </w:r>
          </w:p>
        </w:tc>
        <w:tc>
          <w:tcPr>
            <w:tcW w:w="1179" w:type="dxa"/>
            <w:noWrap/>
            <w:hideMark/>
          </w:tcPr>
          <w:p w14:paraId="3BF6811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75.3</w:t>
            </w:r>
          </w:p>
        </w:tc>
      </w:tr>
      <w:tr w:rsidR="00607D14" w:rsidRPr="00D80577" w14:paraId="3C8DE9EA" w14:textId="77777777" w:rsidTr="00E61BCE">
        <w:trPr>
          <w:trHeight w:val="266"/>
        </w:trPr>
        <w:tc>
          <w:tcPr>
            <w:cnfStyle w:val="001000000000" w:firstRow="0" w:lastRow="0" w:firstColumn="1" w:lastColumn="0" w:oddVBand="0" w:evenVBand="0" w:oddHBand="0" w:evenHBand="0" w:firstRowFirstColumn="0" w:firstRowLastColumn="0" w:lastRowFirstColumn="0" w:lastRowLastColumn="0"/>
            <w:tcW w:w="1955" w:type="dxa"/>
            <w:vMerge/>
            <w:hideMark/>
          </w:tcPr>
          <w:p w14:paraId="4E7D685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5" w:type="dxa"/>
            <w:hideMark/>
          </w:tcPr>
          <w:p w14:paraId="3C1803E8"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4" w:type="dxa"/>
            <w:noWrap/>
            <w:hideMark/>
          </w:tcPr>
          <w:p w14:paraId="005AA74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w:t>
            </w:r>
          </w:p>
        </w:tc>
        <w:tc>
          <w:tcPr>
            <w:tcW w:w="1178" w:type="dxa"/>
            <w:noWrap/>
            <w:hideMark/>
          </w:tcPr>
          <w:p w14:paraId="30CF6FD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c>
          <w:tcPr>
            <w:tcW w:w="1178" w:type="dxa"/>
            <w:noWrap/>
            <w:hideMark/>
          </w:tcPr>
          <w:p w14:paraId="21031F7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c>
          <w:tcPr>
            <w:tcW w:w="1179" w:type="dxa"/>
            <w:noWrap/>
            <w:hideMark/>
          </w:tcPr>
          <w:p w14:paraId="0FDA161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0FD2B353" w14:textId="77777777" w:rsidTr="00E61BCE">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1955" w:type="dxa"/>
            <w:vMerge/>
            <w:hideMark/>
          </w:tcPr>
          <w:p w14:paraId="2B537805"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5" w:type="dxa"/>
            <w:hideMark/>
          </w:tcPr>
          <w:p w14:paraId="3C3032A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4" w:type="dxa"/>
            <w:noWrap/>
            <w:hideMark/>
          </w:tcPr>
          <w:p w14:paraId="20132A0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8" w:type="dxa"/>
            <w:noWrap/>
            <w:hideMark/>
          </w:tcPr>
          <w:p w14:paraId="1A3FF25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8" w:type="dxa"/>
            <w:noWrap/>
            <w:hideMark/>
          </w:tcPr>
          <w:p w14:paraId="2241868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9" w:type="dxa"/>
            <w:hideMark/>
          </w:tcPr>
          <w:p w14:paraId="46D260A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213623A9" w14:textId="77777777" w:rsidR="00607D14" w:rsidRPr="00D80577" w:rsidRDefault="00607D14" w:rsidP="00607D14">
      <w:pPr>
        <w:rPr>
          <w:rFonts w:ascii="Arial" w:hAnsi="Arial" w:cs="Arial"/>
        </w:rPr>
      </w:pPr>
    </w:p>
    <w:p w14:paraId="3502E030" w14:textId="66F5C6E0"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lastRenderedPageBreak/>
        <w:t>74.7 per cent of companies concur or even strongly agree that supply chain disruption often causes delays in the production timetable. This is a first-hand example of how operational interference can affect efficiency (RQ2), thereby influencing delivery punctuality and customer satisfaction. The finding implies the need for active measures, including working with suppliers and implementing technology-based monitoring systems to ensure the continuity of production (RQ3).</w:t>
      </w:r>
    </w:p>
    <w:p w14:paraId="6FA9D9E1"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7072E733" wp14:editId="188BF031">
            <wp:extent cx="5943600" cy="3345180"/>
            <wp:effectExtent l="0" t="0" r="0" b="7620"/>
            <wp:docPr id="10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pic:cNvPicPr>
                      <a:picLocks noChangeAspect="1" noChangeArrowheads="1"/>
                    </pic:cNvPicPr>
                  </pic:nvPicPr>
                  <pic:blipFill>
                    <a:blip r:embed="rId20"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0EC77CDF" w14:textId="113531AB" w:rsidR="009349E5" w:rsidRPr="00D80577" w:rsidRDefault="009349E5" w:rsidP="009349E5">
      <w:pPr>
        <w:pStyle w:val="Caption"/>
        <w:jc w:val="center"/>
        <w:rPr>
          <w:rFonts w:ascii="Arial" w:eastAsia="Calibri" w:hAnsi="Arial" w:cs="Arial"/>
          <w:i w:val="0"/>
          <w:iCs w:val="0"/>
          <w:sz w:val="22"/>
          <w:szCs w:val="22"/>
        </w:rPr>
      </w:pPr>
      <w:bookmarkStart w:id="67" w:name="_Toc220889965"/>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10</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Limited visibility into international suppliers</w:t>
      </w:r>
      <w:bookmarkEnd w:id="67"/>
    </w:p>
    <w:p w14:paraId="7AE3FD1E" w14:textId="27D59503" w:rsidR="00607D14" w:rsidRPr="00D80577" w:rsidRDefault="00607D14" w:rsidP="00607D14">
      <w:pPr>
        <w:pStyle w:val="Caption"/>
        <w:keepNext/>
        <w:rPr>
          <w:rFonts w:ascii="Arial" w:hAnsi="Arial" w:cs="Arial"/>
          <w:i w:val="0"/>
          <w:iCs w:val="0"/>
          <w:sz w:val="22"/>
          <w:szCs w:val="22"/>
          <w:lang w:val="fr-FR"/>
        </w:rPr>
      </w:pPr>
      <w:bookmarkStart w:id="68" w:name="_Toc220889988"/>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11</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6</w:t>
      </w:r>
      <w:bookmarkEnd w:id="68"/>
    </w:p>
    <w:tbl>
      <w:tblPr>
        <w:tblStyle w:val="PlainTable1"/>
        <w:tblW w:w="9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3"/>
        <w:gridCol w:w="1953"/>
        <w:gridCol w:w="1982"/>
        <w:gridCol w:w="1177"/>
        <w:gridCol w:w="1177"/>
        <w:gridCol w:w="1179"/>
      </w:tblGrid>
      <w:tr w:rsidR="00607D14" w:rsidRPr="00D80577" w14:paraId="4983B5E3" w14:textId="77777777" w:rsidTr="00E61BCE">
        <w:trPr>
          <w:cnfStyle w:val="100000000000" w:firstRow="1" w:lastRow="0" w:firstColumn="0" w:lastColumn="0" w:oddVBand="0" w:evenVBand="0" w:oddHBand="0"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9421" w:type="dxa"/>
            <w:gridSpan w:val="6"/>
            <w:hideMark/>
          </w:tcPr>
          <w:p w14:paraId="4A5F6A74"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Supply chain disruptions have caused frequent delays in production schedules.</w:t>
            </w:r>
          </w:p>
        </w:tc>
      </w:tr>
      <w:tr w:rsidR="00607D14" w:rsidRPr="00D80577" w14:paraId="0F424461" w14:textId="77777777" w:rsidTr="00E61BCE">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953" w:type="dxa"/>
            <w:noWrap/>
            <w:hideMark/>
          </w:tcPr>
          <w:p w14:paraId="5CE5A5D2"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53" w:type="dxa"/>
            <w:noWrap/>
            <w:hideMark/>
          </w:tcPr>
          <w:p w14:paraId="711759C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82" w:type="dxa"/>
            <w:hideMark/>
          </w:tcPr>
          <w:p w14:paraId="27DB339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7" w:type="dxa"/>
            <w:hideMark/>
          </w:tcPr>
          <w:p w14:paraId="1F5789C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7" w:type="dxa"/>
            <w:hideMark/>
          </w:tcPr>
          <w:p w14:paraId="7C4CF07A"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8" w:type="dxa"/>
            <w:hideMark/>
          </w:tcPr>
          <w:p w14:paraId="2EB2751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738EDA49" w14:textId="77777777" w:rsidTr="00E61BCE">
        <w:trPr>
          <w:trHeight w:val="276"/>
        </w:trPr>
        <w:tc>
          <w:tcPr>
            <w:cnfStyle w:val="001000000000" w:firstRow="0" w:lastRow="0" w:firstColumn="1" w:lastColumn="0" w:oddVBand="0" w:evenVBand="0" w:oddHBand="0" w:evenHBand="0" w:firstRowFirstColumn="0" w:firstRowLastColumn="0" w:lastRowFirstColumn="0" w:lastRowLastColumn="0"/>
            <w:tcW w:w="1953" w:type="dxa"/>
            <w:vMerge w:val="restart"/>
            <w:hideMark/>
          </w:tcPr>
          <w:p w14:paraId="7C45F4FB"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53" w:type="dxa"/>
            <w:hideMark/>
          </w:tcPr>
          <w:p w14:paraId="22D446C8"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2" w:type="dxa"/>
            <w:noWrap/>
            <w:hideMark/>
          </w:tcPr>
          <w:p w14:paraId="44AC3B6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w:t>
            </w:r>
          </w:p>
        </w:tc>
        <w:tc>
          <w:tcPr>
            <w:tcW w:w="1177" w:type="dxa"/>
            <w:noWrap/>
            <w:hideMark/>
          </w:tcPr>
          <w:p w14:paraId="1E6FA29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77" w:type="dxa"/>
            <w:noWrap/>
            <w:hideMark/>
          </w:tcPr>
          <w:p w14:paraId="3BBDD30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78" w:type="dxa"/>
            <w:noWrap/>
            <w:hideMark/>
          </w:tcPr>
          <w:p w14:paraId="7C55684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r>
      <w:tr w:rsidR="00607D14" w:rsidRPr="00D80577" w14:paraId="7C100C44" w14:textId="77777777" w:rsidTr="00E61BCE">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53" w:type="dxa"/>
            <w:vMerge/>
            <w:hideMark/>
          </w:tcPr>
          <w:p w14:paraId="4A592904"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3" w:type="dxa"/>
            <w:hideMark/>
          </w:tcPr>
          <w:p w14:paraId="59875A17"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2" w:type="dxa"/>
            <w:noWrap/>
            <w:hideMark/>
          </w:tcPr>
          <w:p w14:paraId="389803D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w:t>
            </w:r>
          </w:p>
        </w:tc>
        <w:tc>
          <w:tcPr>
            <w:tcW w:w="1177" w:type="dxa"/>
            <w:noWrap/>
            <w:hideMark/>
          </w:tcPr>
          <w:p w14:paraId="3AD72C2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w:t>
            </w:r>
          </w:p>
        </w:tc>
        <w:tc>
          <w:tcPr>
            <w:tcW w:w="1177" w:type="dxa"/>
            <w:noWrap/>
            <w:hideMark/>
          </w:tcPr>
          <w:p w14:paraId="6BC511E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w:t>
            </w:r>
          </w:p>
        </w:tc>
        <w:tc>
          <w:tcPr>
            <w:tcW w:w="1178" w:type="dxa"/>
            <w:noWrap/>
            <w:hideMark/>
          </w:tcPr>
          <w:p w14:paraId="024DC1C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r>
      <w:tr w:rsidR="00607D14" w:rsidRPr="00D80577" w14:paraId="3B32E57B" w14:textId="77777777" w:rsidTr="00E61BCE">
        <w:trPr>
          <w:trHeight w:val="276"/>
        </w:trPr>
        <w:tc>
          <w:tcPr>
            <w:cnfStyle w:val="001000000000" w:firstRow="0" w:lastRow="0" w:firstColumn="1" w:lastColumn="0" w:oddVBand="0" w:evenVBand="0" w:oddHBand="0" w:evenHBand="0" w:firstRowFirstColumn="0" w:firstRowLastColumn="0" w:lastRowFirstColumn="0" w:lastRowLastColumn="0"/>
            <w:tcW w:w="1953" w:type="dxa"/>
            <w:vMerge/>
            <w:hideMark/>
          </w:tcPr>
          <w:p w14:paraId="0EB37B2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3" w:type="dxa"/>
            <w:hideMark/>
          </w:tcPr>
          <w:p w14:paraId="168847AF"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82" w:type="dxa"/>
            <w:noWrap/>
            <w:hideMark/>
          </w:tcPr>
          <w:p w14:paraId="0532C71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29</w:t>
            </w:r>
          </w:p>
        </w:tc>
        <w:tc>
          <w:tcPr>
            <w:tcW w:w="1177" w:type="dxa"/>
            <w:noWrap/>
            <w:hideMark/>
          </w:tcPr>
          <w:p w14:paraId="080D626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77" w:type="dxa"/>
            <w:noWrap/>
            <w:hideMark/>
          </w:tcPr>
          <w:p w14:paraId="0484CC1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78" w:type="dxa"/>
            <w:noWrap/>
            <w:hideMark/>
          </w:tcPr>
          <w:p w14:paraId="7596F49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25.3</w:t>
            </w:r>
          </w:p>
        </w:tc>
      </w:tr>
      <w:tr w:rsidR="00607D14" w:rsidRPr="00D80577" w14:paraId="3F54602A" w14:textId="77777777" w:rsidTr="00E61BCE">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53" w:type="dxa"/>
            <w:vMerge/>
            <w:hideMark/>
          </w:tcPr>
          <w:p w14:paraId="2A9A6D3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3" w:type="dxa"/>
            <w:hideMark/>
          </w:tcPr>
          <w:p w14:paraId="015D7091"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2" w:type="dxa"/>
            <w:noWrap/>
            <w:hideMark/>
          </w:tcPr>
          <w:p w14:paraId="78B40F0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64</w:t>
            </w:r>
          </w:p>
        </w:tc>
        <w:tc>
          <w:tcPr>
            <w:tcW w:w="1177" w:type="dxa"/>
            <w:noWrap/>
            <w:hideMark/>
          </w:tcPr>
          <w:p w14:paraId="2EB0E9F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42.7</w:t>
            </w:r>
          </w:p>
        </w:tc>
        <w:tc>
          <w:tcPr>
            <w:tcW w:w="1177" w:type="dxa"/>
            <w:noWrap/>
            <w:hideMark/>
          </w:tcPr>
          <w:p w14:paraId="540C821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42.7</w:t>
            </w:r>
          </w:p>
        </w:tc>
        <w:tc>
          <w:tcPr>
            <w:tcW w:w="1178" w:type="dxa"/>
            <w:noWrap/>
            <w:hideMark/>
          </w:tcPr>
          <w:p w14:paraId="7EE8AD7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68.0</w:t>
            </w:r>
          </w:p>
        </w:tc>
      </w:tr>
      <w:tr w:rsidR="00607D14" w:rsidRPr="00D80577" w14:paraId="5574BB44" w14:textId="77777777" w:rsidTr="00E61BCE">
        <w:trPr>
          <w:trHeight w:val="276"/>
        </w:trPr>
        <w:tc>
          <w:tcPr>
            <w:cnfStyle w:val="001000000000" w:firstRow="0" w:lastRow="0" w:firstColumn="1" w:lastColumn="0" w:oddVBand="0" w:evenVBand="0" w:oddHBand="0" w:evenHBand="0" w:firstRowFirstColumn="0" w:firstRowLastColumn="0" w:lastRowFirstColumn="0" w:lastRowLastColumn="0"/>
            <w:tcW w:w="1953" w:type="dxa"/>
            <w:vMerge/>
            <w:hideMark/>
          </w:tcPr>
          <w:p w14:paraId="22F9F75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3" w:type="dxa"/>
            <w:hideMark/>
          </w:tcPr>
          <w:p w14:paraId="6A91798C"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2" w:type="dxa"/>
            <w:noWrap/>
            <w:hideMark/>
          </w:tcPr>
          <w:p w14:paraId="69F0E69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w:t>
            </w:r>
          </w:p>
        </w:tc>
        <w:tc>
          <w:tcPr>
            <w:tcW w:w="1177" w:type="dxa"/>
            <w:noWrap/>
            <w:hideMark/>
          </w:tcPr>
          <w:p w14:paraId="59CC37C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32.0</w:t>
            </w:r>
          </w:p>
        </w:tc>
        <w:tc>
          <w:tcPr>
            <w:tcW w:w="1177" w:type="dxa"/>
            <w:noWrap/>
            <w:hideMark/>
          </w:tcPr>
          <w:p w14:paraId="0A84BB3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32.0</w:t>
            </w:r>
          </w:p>
        </w:tc>
        <w:tc>
          <w:tcPr>
            <w:tcW w:w="1178" w:type="dxa"/>
            <w:noWrap/>
            <w:hideMark/>
          </w:tcPr>
          <w:p w14:paraId="210EF25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3ED1070F" w14:textId="77777777" w:rsidTr="00E61BCE">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53" w:type="dxa"/>
            <w:vMerge/>
            <w:hideMark/>
          </w:tcPr>
          <w:p w14:paraId="7A41059A"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3" w:type="dxa"/>
            <w:hideMark/>
          </w:tcPr>
          <w:p w14:paraId="2B80E659"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2" w:type="dxa"/>
            <w:noWrap/>
            <w:hideMark/>
          </w:tcPr>
          <w:p w14:paraId="0B11B27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7" w:type="dxa"/>
            <w:noWrap/>
            <w:hideMark/>
          </w:tcPr>
          <w:p w14:paraId="40F903D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7" w:type="dxa"/>
            <w:noWrap/>
            <w:hideMark/>
          </w:tcPr>
          <w:p w14:paraId="2C14D27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8" w:type="dxa"/>
            <w:hideMark/>
          </w:tcPr>
          <w:p w14:paraId="35DB72D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74088E55" w14:textId="77777777" w:rsidR="00607D14" w:rsidRPr="00D80577" w:rsidRDefault="00607D14" w:rsidP="00607D14">
      <w:pPr>
        <w:rPr>
          <w:rFonts w:ascii="Arial" w:hAnsi="Arial" w:cs="Arial"/>
        </w:rPr>
      </w:pPr>
    </w:p>
    <w:p w14:paraId="07494273" w14:textId="61919FA4"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lastRenderedPageBreak/>
        <w:t>They have 64.6 per cent agreeableness, strongly agreeing that international disruptions add to the costs of production, with only 11.3 per cent saying that it does not. A direct financial effect of supply chain instability is associated with rising costs, which is connected to RQ2. Such cost pressures can affect pricing, profit margins, and overall competitiveness, and therefore firms seek mitigation strategies such as supplier diversification or nearshoring (RQ3).</w:t>
      </w:r>
    </w:p>
    <w:p w14:paraId="26474F68"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5EA69775" wp14:editId="4DB2D1E5">
            <wp:extent cx="5943600" cy="3345180"/>
            <wp:effectExtent l="0" t="0" r="0" b="7620"/>
            <wp:docPr id="10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9"/>
                    <pic:cNvPicPr>
                      <a:picLocks noChangeAspect="1" noChangeArrowheads="1"/>
                    </pic:cNvPicPr>
                  </pic:nvPicPr>
                  <pic:blipFill>
                    <a:blip r:embed="rId21"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24A43AD0" w14:textId="6D771DB4" w:rsidR="009349E5" w:rsidRPr="00D80577" w:rsidRDefault="009349E5" w:rsidP="009349E5">
      <w:pPr>
        <w:pStyle w:val="Caption"/>
        <w:jc w:val="center"/>
        <w:rPr>
          <w:rFonts w:ascii="Arial" w:eastAsia="Calibri" w:hAnsi="Arial" w:cs="Arial"/>
          <w:i w:val="0"/>
          <w:iCs w:val="0"/>
          <w:sz w:val="22"/>
          <w:szCs w:val="22"/>
          <w:lang w:val="fr-FR"/>
        </w:rPr>
      </w:pPr>
      <w:bookmarkStart w:id="69" w:name="_Toc220889966"/>
      <w:r w:rsidRPr="00D80577">
        <w:rPr>
          <w:rFonts w:ascii="Arial" w:hAnsi="Arial" w:cs="Arial"/>
          <w:i w:val="0"/>
          <w:iCs w:val="0"/>
          <w:sz w:val="22"/>
          <w:szCs w:val="22"/>
          <w:lang w:val="fr-FR"/>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11</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Frequent production delays</w:t>
      </w:r>
      <w:bookmarkEnd w:id="69"/>
    </w:p>
    <w:p w14:paraId="4252A50D" w14:textId="2D53C5E5" w:rsidR="00607D14" w:rsidRPr="00D80577" w:rsidRDefault="00607D14" w:rsidP="00607D14">
      <w:pPr>
        <w:pStyle w:val="Caption"/>
        <w:keepNext/>
        <w:rPr>
          <w:rFonts w:ascii="Arial" w:hAnsi="Arial" w:cs="Arial"/>
          <w:i w:val="0"/>
          <w:iCs w:val="0"/>
          <w:sz w:val="22"/>
          <w:szCs w:val="22"/>
          <w:lang w:val="fr-FR"/>
        </w:rPr>
      </w:pPr>
      <w:bookmarkStart w:id="70" w:name="_Toc220889989"/>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12</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7</w:t>
      </w:r>
      <w:bookmarkEnd w:id="70"/>
    </w:p>
    <w:tbl>
      <w:tblPr>
        <w:tblStyle w:val="PlainTable1"/>
        <w:tblW w:w="93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3"/>
        <w:gridCol w:w="1943"/>
        <w:gridCol w:w="1971"/>
        <w:gridCol w:w="1171"/>
        <w:gridCol w:w="1171"/>
        <w:gridCol w:w="1173"/>
      </w:tblGrid>
      <w:tr w:rsidR="00607D14" w:rsidRPr="00D80577" w14:paraId="755B5581" w14:textId="77777777" w:rsidTr="00E61BCE">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9372" w:type="dxa"/>
            <w:gridSpan w:val="6"/>
            <w:hideMark/>
          </w:tcPr>
          <w:p w14:paraId="2086FB17"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International supply disruptions have increased overall production costs.</w:t>
            </w:r>
          </w:p>
        </w:tc>
      </w:tr>
      <w:tr w:rsidR="00607D14" w:rsidRPr="00D80577" w14:paraId="1EC7014F" w14:textId="77777777" w:rsidTr="00E61BCE">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943" w:type="dxa"/>
            <w:noWrap/>
            <w:hideMark/>
          </w:tcPr>
          <w:p w14:paraId="4BEC1FE3" w14:textId="77777777" w:rsidR="00607D14" w:rsidRPr="00D80577" w:rsidRDefault="00607D14" w:rsidP="00E61BCE">
            <w:pPr>
              <w:spacing w:after="0" w:line="240" w:lineRule="auto"/>
              <w:jc w:val="center"/>
              <w:rPr>
                <w:rFonts w:ascii="Arial" w:eastAsia="Times New Roman" w:hAnsi="Arial" w:cs="Arial"/>
                <w:color w:val="010205"/>
                <w:kern w:val="0"/>
                <w:sz w:val="18"/>
                <w:szCs w:val="18"/>
                <w14:ligatures w14:val="none"/>
              </w:rPr>
            </w:pPr>
          </w:p>
        </w:tc>
        <w:tc>
          <w:tcPr>
            <w:tcW w:w="1943" w:type="dxa"/>
            <w:noWrap/>
            <w:hideMark/>
          </w:tcPr>
          <w:p w14:paraId="3C902234"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14:ligatures w14:val="none"/>
              </w:rPr>
            </w:pPr>
          </w:p>
        </w:tc>
        <w:tc>
          <w:tcPr>
            <w:tcW w:w="1971" w:type="dxa"/>
            <w:hideMark/>
          </w:tcPr>
          <w:p w14:paraId="007CFD7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1" w:type="dxa"/>
            <w:hideMark/>
          </w:tcPr>
          <w:p w14:paraId="56143FCE"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1" w:type="dxa"/>
            <w:hideMark/>
          </w:tcPr>
          <w:p w14:paraId="61E0948E"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1" w:type="dxa"/>
            <w:hideMark/>
          </w:tcPr>
          <w:p w14:paraId="7FB0054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0BBD967D" w14:textId="77777777" w:rsidTr="00E61BCE">
        <w:trPr>
          <w:trHeight w:val="266"/>
        </w:trPr>
        <w:tc>
          <w:tcPr>
            <w:cnfStyle w:val="001000000000" w:firstRow="0" w:lastRow="0" w:firstColumn="1" w:lastColumn="0" w:oddVBand="0" w:evenVBand="0" w:oddHBand="0" w:evenHBand="0" w:firstRowFirstColumn="0" w:firstRowLastColumn="0" w:lastRowFirstColumn="0" w:lastRowLastColumn="0"/>
            <w:tcW w:w="1943" w:type="dxa"/>
            <w:vMerge w:val="restart"/>
            <w:hideMark/>
          </w:tcPr>
          <w:p w14:paraId="5389F41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43" w:type="dxa"/>
            <w:hideMark/>
          </w:tcPr>
          <w:p w14:paraId="6E64E4C6"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71" w:type="dxa"/>
            <w:noWrap/>
            <w:hideMark/>
          </w:tcPr>
          <w:p w14:paraId="2FA96D6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w:t>
            </w:r>
          </w:p>
        </w:tc>
        <w:tc>
          <w:tcPr>
            <w:tcW w:w="1171" w:type="dxa"/>
            <w:noWrap/>
            <w:hideMark/>
          </w:tcPr>
          <w:p w14:paraId="11D6CA6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c>
          <w:tcPr>
            <w:tcW w:w="1171" w:type="dxa"/>
            <w:noWrap/>
            <w:hideMark/>
          </w:tcPr>
          <w:p w14:paraId="7820B8C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c>
          <w:tcPr>
            <w:tcW w:w="1171" w:type="dxa"/>
            <w:noWrap/>
            <w:hideMark/>
          </w:tcPr>
          <w:p w14:paraId="1A5D637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3.3</w:t>
            </w:r>
          </w:p>
        </w:tc>
      </w:tr>
      <w:tr w:rsidR="00607D14" w:rsidRPr="00D80577" w14:paraId="39860920" w14:textId="77777777" w:rsidTr="00E61BCE">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943" w:type="dxa"/>
            <w:vMerge/>
            <w:hideMark/>
          </w:tcPr>
          <w:p w14:paraId="0342ED1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3" w:type="dxa"/>
            <w:hideMark/>
          </w:tcPr>
          <w:p w14:paraId="398F31C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71" w:type="dxa"/>
            <w:noWrap/>
            <w:hideMark/>
          </w:tcPr>
          <w:p w14:paraId="45745FC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w:t>
            </w:r>
          </w:p>
        </w:tc>
        <w:tc>
          <w:tcPr>
            <w:tcW w:w="1171" w:type="dxa"/>
            <w:noWrap/>
            <w:hideMark/>
          </w:tcPr>
          <w:p w14:paraId="1C8B3BA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71" w:type="dxa"/>
            <w:noWrap/>
            <w:hideMark/>
          </w:tcPr>
          <w:p w14:paraId="247C076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71" w:type="dxa"/>
            <w:noWrap/>
            <w:hideMark/>
          </w:tcPr>
          <w:p w14:paraId="4535BC4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11.3</w:t>
            </w:r>
          </w:p>
        </w:tc>
      </w:tr>
      <w:tr w:rsidR="00607D14" w:rsidRPr="00D80577" w14:paraId="7A6C5FB2" w14:textId="77777777" w:rsidTr="00E61BCE">
        <w:trPr>
          <w:trHeight w:val="288"/>
        </w:trPr>
        <w:tc>
          <w:tcPr>
            <w:cnfStyle w:val="001000000000" w:firstRow="0" w:lastRow="0" w:firstColumn="1" w:lastColumn="0" w:oddVBand="0" w:evenVBand="0" w:oddHBand="0" w:evenHBand="0" w:firstRowFirstColumn="0" w:firstRowLastColumn="0" w:lastRowFirstColumn="0" w:lastRowLastColumn="0"/>
            <w:tcW w:w="1943" w:type="dxa"/>
            <w:vMerge/>
            <w:hideMark/>
          </w:tcPr>
          <w:p w14:paraId="6618F61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3" w:type="dxa"/>
            <w:hideMark/>
          </w:tcPr>
          <w:p w14:paraId="66A534D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71" w:type="dxa"/>
            <w:noWrap/>
            <w:hideMark/>
          </w:tcPr>
          <w:p w14:paraId="6AE99C5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36</w:t>
            </w:r>
          </w:p>
        </w:tc>
        <w:tc>
          <w:tcPr>
            <w:tcW w:w="1171" w:type="dxa"/>
            <w:noWrap/>
            <w:hideMark/>
          </w:tcPr>
          <w:p w14:paraId="1F20575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24.0</w:t>
            </w:r>
          </w:p>
        </w:tc>
        <w:tc>
          <w:tcPr>
            <w:tcW w:w="1171" w:type="dxa"/>
            <w:noWrap/>
            <w:hideMark/>
          </w:tcPr>
          <w:p w14:paraId="36C4011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24.0</w:t>
            </w:r>
          </w:p>
        </w:tc>
        <w:tc>
          <w:tcPr>
            <w:tcW w:w="1171" w:type="dxa"/>
            <w:noWrap/>
            <w:hideMark/>
          </w:tcPr>
          <w:p w14:paraId="186BCB8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35.3</w:t>
            </w:r>
          </w:p>
        </w:tc>
      </w:tr>
      <w:tr w:rsidR="00607D14" w:rsidRPr="00D80577" w14:paraId="6E6DBF75" w14:textId="77777777" w:rsidTr="00E61BCE">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1943" w:type="dxa"/>
            <w:vMerge/>
            <w:hideMark/>
          </w:tcPr>
          <w:p w14:paraId="2AA02574"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3" w:type="dxa"/>
            <w:hideMark/>
          </w:tcPr>
          <w:p w14:paraId="5CC99B4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71" w:type="dxa"/>
            <w:noWrap/>
            <w:hideMark/>
          </w:tcPr>
          <w:p w14:paraId="3D57896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56</w:t>
            </w:r>
          </w:p>
        </w:tc>
        <w:tc>
          <w:tcPr>
            <w:tcW w:w="1171" w:type="dxa"/>
            <w:noWrap/>
            <w:hideMark/>
          </w:tcPr>
          <w:p w14:paraId="623E0EC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37.3</w:t>
            </w:r>
          </w:p>
        </w:tc>
        <w:tc>
          <w:tcPr>
            <w:tcW w:w="1171" w:type="dxa"/>
            <w:noWrap/>
            <w:hideMark/>
          </w:tcPr>
          <w:p w14:paraId="01C8C4A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37.3</w:t>
            </w:r>
          </w:p>
        </w:tc>
        <w:tc>
          <w:tcPr>
            <w:tcW w:w="1171" w:type="dxa"/>
            <w:noWrap/>
            <w:hideMark/>
          </w:tcPr>
          <w:p w14:paraId="0E2CF98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72.7</w:t>
            </w:r>
          </w:p>
        </w:tc>
      </w:tr>
      <w:tr w:rsidR="00607D14" w:rsidRPr="00D80577" w14:paraId="1823A263" w14:textId="77777777" w:rsidTr="00E61BCE">
        <w:trPr>
          <w:trHeight w:val="243"/>
        </w:trPr>
        <w:tc>
          <w:tcPr>
            <w:cnfStyle w:val="001000000000" w:firstRow="0" w:lastRow="0" w:firstColumn="1" w:lastColumn="0" w:oddVBand="0" w:evenVBand="0" w:oddHBand="0" w:evenHBand="0" w:firstRowFirstColumn="0" w:firstRowLastColumn="0" w:lastRowFirstColumn="0" w:lastRowLastColumn="0"/>
            <w:tcW w:w="1943" w:type="dxa"/>
            <w:vMerge/>
            <w:hideMark/>
          </w:tcPr>
          <w:p w14:paraId="0356CF5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3" w:type="dxa"/>
            <w:hideMark/>
          </w:tcPr>
          <w:p w14:paraId="345BE171"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71" w:type="dxa"/>
            <w:noWrap/>
            <w:hideMark/>
          </w:tcPr>
          <w:p w14:paraId="43E47A6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41</w:t>
            </w:r>
          </w:p>
        </w:tc>
        <w:tc>
          <w:tcPr>
            <w:tcW w:w="1171" w:type="dxa"/>
            <w:noWrap/>
            <w:hideMark/>
          </w:tcPr>
          <w:p w14:paraId="2F39814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27.3</w:t>
            </w:r>
          </w:p>
        </w:tc>
        <w:tc>
          <w:tcPr>
            <w:tcW w:w="1171" w:type="dxa"/>
            <w:noWrap/>
            <w:hideMark/>
          </w:tcPr>
          <w:p w14:paraId="4C21B79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27.3</w:t>
            </w:r>
          </w:p>
        </w:tc>
        <w:tc>
          <w:tcPr>
            <w:tcW w:w="1171" w:type="dxa"/>
            <w:noWrap/>
            <w:hideMark/>
          </w:tcPr>
          <w:p w14:paraId="448E0A0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6D2FFFC2" w14:textId="77777777" w:rsidTr="00E61BCE">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1943" w:type="dxa"/>
            <w:vMerge/>
            <w:hideMark/>
          </w:tcPr>
          <w:p w14:paraId="2A195C6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3" w:type="dxa"/>
            <w:hideMark/>
          </w:tcPr>
          <w:p w14:paraId="29FA83E2"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71" w:type="dxa"/>
            <w:noWrap/>
            <w:hideMark/>
          </w:tcPr>
          <w:p w14:paraId="0AA22BE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1" w:type="dxa"/>
            <w:noWrap/>
            <w:hideMark/>
          </w:tcPr>
          <w:p w14:paraId="0A7A01C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1" w:type="dxa"/>
            <w:noWrap/>
            <w:hideMark/>
          </w:tcPr>
          <w:p w14:paraId="05A1E04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1" w:type="dxa"/>
            <w:hideMark/>
          </w:tcPr>
          <w:p w14:paraId="2E256F6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6573B5E7" w14:textId="77777777" w:rsidR="00607D14" w:rsidRPr="00D80577" w:rsidRDefault="00607D14" w:rsidP="00607D14">
      <w:pPr>
        <w:rPr>
          <w:rFonts w:ascii="Arial" w:hAnsi="Arial" w:cs="Arial"/>
        </w:rPr>
      </w:pPr>
    </w:p>
    <w:p w14:paraId="231645A6" w14:textId="3DBE42C2"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lastRenderedPageBreak/>
        <w:t>A majority of the respondents (62.6%) cite cost fluctuations in raw materials as one of the factors negatively impacting profit margins. It means that the implication of supply chain disruptions is financial, as it can affect the performance of businesses (RQ2). Firms can use hedging approaches or source locally to address volatility related to RQ3 on effective mitigation practices.</w:t>
      </w:r>
    </w:p>
    <w:p w14:paraId="3BFAE2E4"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02F11844" wp14:editId="7A6CE803">
            <wp:extent cx="5943600" cy="3345180"/>
            <wp:effectExtent l="0" t="0" r="0" b="7620"/>
            <wp:docPr id="10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pic:cNvPicPr>
                      <a:picLocks noChangeAspect="1" noChangeArrowheads="1"/>
                    </pic:cNvPicPr>
                  </pic:nvPicPr>
                  <pic:blipFill>
                    <a:blip r:embed="rId22"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0393C892" w14:textId="3ED3C827" w:rsidR="009349E5" w:rsidRPr="00D80577" w:rsidRDefault="009349E5" w:rsidP="009349E5">
      <w:pPr>
        <w:pStyle w:val="Caption"/>
        <w:jc w:val="center"/>
        <w:rPr>
          <w:rFonts w:ascii="Arial" w:eastAsia="Calibri" w:hAnsi="Arial" w:cs="Arial"/>
          <w:i w:val="0"/>
          <w:iCs w:val="0"/>
          <w:sz w:val="22"/>
          <w:szCs w:val="22"/>
        </w:rPr>
      </w:pPr>
      <w:bookmarkStart w:id="71" w:name="_Toc220889967"/>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12</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Increased production costs</w:t>
      </w:r>
      <w:bookmarkEnd w:id="71"/>
    </w:p>
    <w:p w14:paraId="0EFBA516" w14:textId="6661E73D" w:rsidR="00607D14" w:rsidRPr="00D80577" w:rsidRDefault="00607D14" w:rsidP="00607D14">
      <w:pPr>
        <w:pStyle w:val="Caption"/>
        <w:keepNext/>
        <w:rPr>
          <w:rFonts w:ascii="Arial" w:hAnsi="Arial" w:cs="Arial"/>
          <w:i w:val="0"/>
          <w:iCs w:val="0"/>
          <w:sz w:val="22"/>
          <w:szCs w:val="22"/>
        </w:rPr>
      </w:pPr>
      <w:bookmarkStart w:id="72" w:name="_Toc220889990"/>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13</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8</w:t>
      </w:r>
      <w:bookmarkEnd w:id="72"/>
    </w:p>
    <w:tbl>
      <w:tblPr>
        <w:tblStyle w:val="PlainTable1"/>
        <w:tblW w:w="93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8"/>
        <w:gridCol w:w="1948"/>
        <w:gridCol w:w="1976"/>
        <w:gridCol w:w="1174"/>
        <w:gridCol w:w="1174"/>
        <w:gridCol w:w="1176"/>
      </w:tblGrid>
      <w:tr w:rsidR="00607D14" w:rsidRPr="00D80577" w14:paraId="043B7C64" w14:textId="77777777" w:rsidTr="00E61BCE">
        <w:trPr>
          <w:cnfStyle w:val="100000000000" w:firstRow="1" w:lastRow="0" w:firstColumn="0" w:lastColumn="0" w:oddVBand="0" w:evenVBand="0" w:oddHBand="0"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9396" w:type="dxa"/>
            <w:gridSpan w:val="6"/>
            <w:hideMark/>
          </w:tcPr>
          <w:p w14:paraId="287AA5E8"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Cost volatility in raw materials has negatively affected profit margins.</w:t>
            </w:r>
          </w:p>
        </w:tc>
      </w:tr>
      <w:tr w:rsidR="00607D14" w:rsidRPr="00D80577" w14:paraId="53D25469" w14:textId="77777777" w:rsidTr="00E61BCE">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1948" w:type="dxa"/>
            <w:noWrap/>
            <w:hideMark/>
          </w:tcPr>
          <w:p w14:paraId="791FCA43"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48" w:type="dxa"/>
            <w:noWrap/>
            <w:hideMark/>
          </w:tcPr>
          <w:p w14:paraId="539F668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76" w:type="dxa"/>
            <w:hideMark/>
          </w:tcPr>
          <w:p w14:paraId="252DEC9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4" w:type="dxa"/>
            <w:hideMark/>
          </w:tcPr>
          <w:p w14:paraId="6DDA2DA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4" w:type="dxa"/>
            <w:hideMark/>
          </w:tcPr>
          <w:p w14:paraId="66154BF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74" w:type="dxa"/>
            <w:hideMark/>
          </w:tcPr>
          <w:p w14:paraId="5A10DBE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5922D41A" w14:textId="77777777" w:rsidTr="00E61BCE">
        <w:trPr>
          <w:trHeight w:val="341"/>
        </w:trPr>
        <w:tc>
          <w:tcPr>
            <w:cnfStyle w:val="001000000000" w:firstRow="0" w:lastRow="0" w:firstColumn="1" w:lastColumn="0" w:oddVBand="0" w:evenVBand="0" w:oddHBand="0" w:evenHBand="0" w:firstRowFirstColumn="0" w:firstRowLastColumn="0" w:lastRowFirstColumn="0" w:lastRowLastColumn="0"/>
            <w:tcW w:w="1948" w:type="dxa"/>
            <w:vMerge w:val="restart"/>
            <w:hideMark/>
          </w:tcPr>
          <w:p w14:paraId="46FD324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48" w:type="dxa"/>
            <w:hideMark/>
          </w:tcPr>
          <w:p w14:paraId="7A7E0050"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76" w:type="dxa"/>
            <w:noWrap/>
            <w:hideMark/>
          </w:tcPr>
          <w:p w14:paraId="4EDF044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74" w:type="dxa"/>
            <w:noWrap/>
            <w:hideMark/>
          </w:tcPr>
          <w:p w14:paraId="5CB51F4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74" w:type="dxa"/>
            <w:noWrap/>
            <w:hideMark/>
          </w:tcPr>
          <w:p w14:paraId="2B7E5CD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74" w:type="dxa"/>
            <w:noWrap/>
            <w:hideMark/>
          </w:tcPr>
          <w:p w14:paraId="29BD2AE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7483EF01" w14:textId="77777777" w:rsidTr="00E61BCE">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948" w:type="dxa"/>
            <w:vMerge/>
            <w:hideMark/>
          </w:tcPr>
          <w:p w14:paraId="282FC589"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8" w:type="dxa"/>
            <w:hideMark/>
          </w:tcPr>
          <w:p w14:paraId="4BB9D55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76" w:type="dxa"/>
            <w:noWrap/>
            <w:hideMark/>
          </w:tcPr>
          <w:p w14:paraId="33392EE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w:t>
            </w:r>
          </w:p>
        </w:tc>
        <w:tc>
          <w:tcPr>
            <w:tcW w:w="1174" w:type="dxa"/>
            <w:noWrap/>
            <w:hideMark/>
          </w:tcPr>
          <w:p w14:paraId="33C97A1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74" w:type="dxa"/>
            <w:noWrap/>
            <w:hideMark/>
          </w:tcPr>
          <w:p w14:paraId="535E595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74" w:type="dxa"/>
            <w:noWrap/>
            <w:hideMark/>
          </w:tcPr>
          <w:p w14:paraId="659732C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8.7</w:t>
            </w:r>
          </w:p>
        </w:tc>
      </w:tr>
      <w:tr w:rsidR="00607D14" w:rsidRPr="00D80577" w14:paraId="723C6E5E" w14:textId="77777777" w:rsidTr="00E61BCE">
        <w:trPr>
          <w:trHeight w:val="341"/>
        </w:trPr>
        <w:tc>
          <w:tcPr>
            <w:cnfStyle w:val="001000000000" w:firstRow="0" w:lastRow="0" w:firstColumn="1" w:lastColumn="0" w:oddVBand="0" w:evenVBand="0" w:oddHBand="0" w:evenHBand="0" w:firstRowFirstColumn="0" w:firstRowLastColumn="0" w:lastRowFirstColumn="0" w:lastRowLastColumn="0"/>
            <w:tcW w:w="1948" w:type="dxa"/>
            <w:vMerge/>
            <w:hideMark/>
          </w:tcPr>
          <w:p w14:paraId="0474FD1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8" w:type="dxa"/>
            <w:hideMark/>
          </w:tcPr>
          <w:p w14:paraId="171E1B6C"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76" w:type="dxa"/>
            <w:noWrap/>
            <w:hideMark/>
          </w:tcPr>
          <w:p w14:paraId="790EBD5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43</w:t>
            </w:r>
          </w:p>
        </w:tc>
        <w:tc>
          <w:tcPr>
            <w:tcW w:w="1174" w:type="dxa"/>
            <w:noWrap/>
            <w:hideMark/>
          </w:tcPr>
          <w:p w14:paraId="4581F0B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c>
          <w:tcPr>
            <w:tcW w:w="1174" w:type="dxa"/>
            <w:noWrap/>
            <w:hideMark/>
          </w:tcPr>
          <w:p w14:paraId="24FD8FE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c>
          <w:tcPr>
            <w:tcW w:w="1174" w:type="dxa"/>
            <w:noWrap/>
            <w:hideMark/>
          </w:tcPr>
          <w:p w14:paraId="2E86537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37.3</w:t>
            </w:r>
          </w:p>
        </w:tc>
      </w:tr>
      <w:tr w:rsidR="00607D14" w:rsidRPr="00D80577" w14:paraId="2E0AF332" w14:textId="77777777" w:rsidTr="00E61BCE">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948" w:type="dxa"/>
            <w:vMerge/>
            <w:hideMark/>
          </w:tcPr>
          <w:p w14:paraId="1362F53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8" w:type="dxa"/>
            <w:hideMark/>
          </w:tcPr>
          <w:p w14:paraId="5665727A"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76" w:type="dxa"/>
            <w:noWrap/>
            <w:hideMark/>
          </w:tcPr>
          <w:p w14:paraId="0CE5A11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62</w:t>
            </w:r>
          </w:p>
        </w:tc>
        <w:tc>
          <w:tcPr>
            <w:tcW w:w="1174" w:type="dxa"/>
            <w:noWrap/>
            <w:hideMark/>
          </w:tcPr>
          <w:p w14:paraId="6060CE7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41.3</w:t>
            </w:r>
          </w:p>
        </w:tc>
        <w:tc>
          <w:tcPr>
            <w:tcW w:w="1174" w:type="dxa"/>
            <w:noWrap/>
            <w:hideMark/>
          </w:tcPr>
          <w:p w14:paraId="7CDE458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41.3</w:t>
            </w:r>
          </w:p>
        </w:tc>
        <w:tc>
          <w:tcPr>
            <w:tcW w:w="1174" w:type="dxa"/>
            <w:noWrap/>
            <w:hideMark/>
          </w:tcPr>
          <w:p w14:paraId="761F68F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78.7</w:t>
            </w:r>
          </w:p>
        </w:tc>
      </w:tr>
      <w:tr w:rsidR="00607D14" w:rsidRPr="00D80577" w14:paraId="63FA6746" w14:textId="77777777" w:rsidTr="00E61BCE">
        <w:trPr>
          <w:trHeight w:val="341"/>
        </w:trPr>
        <w:tc>
          <w:tcPr>
            <w:cnfStyle w:val="001000000000" w:firstRow="0" w:lastRow="0" w:firstColumn="1" w:lastColumn="0" w:oddVBand="0" w:evenVBand="0" w:oddHBand="0" w:evenHBand="0" w:firstRowFirstColumn="0" w:firstRowLastColumn="0" w:lastRowFirstColumn="0" w:lastRowLastColumn="0"/>
            <w:tcW w:w="1948" w:type="dxa"/>
            <w:vMerge/>
            <w:hideMark/>
          </w:tcPr>
          <w:p w14:paraId="75209DC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8" w:type="dxa"/>
            <w:hideMark/>
          </w:tcPr>
          <w:p w14:paraId="7F52BD1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76" w:type="dxa"/>
            <w:noWrap/>
            <w:hideMark/>
          </w:tcPr>
          <w:p w14:paraId="242D838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w:t>
            </w:r>
          </w:p>
        </w:tc>
        <w:tc>
          <w:tcPr>
            <w:tcW w:w="1174" w:type="dxa"/>
            <w:noWrap/>
            <w:hideMark/>
          </w:tcPr>
          <w:p w14:paraId="011CDB3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74" w:type="dxa"/>
            <w:noWrap/>
            <w:hideMark/>
          </w:tcPr>
          <w:p w14:paraId="4B11C34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74" w:type="dxa"/>
            <w:noWrap/>
            <w:hideMark/>
          </w:tcPr>
          <w:p w14:paraId="037CC0B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69A212A0" w14:textId="77777777" w:rsidTr="00E61BCE">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948" w:type="dxa"/>
            <w:vMerge/>
            <w:hideMark/>
          </w:tcPr>
          <w:p w14:paraId="1858E21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48" w:type="dxa"/>
            <w:hideMark/>
          </w:tcPr>
          <w:p w14:paraId="24E74BC7"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76" w:type="dxa"/>
            <w:noWrap/>
            <w:hideMark/>
          </w:tcPr>
          <w:p w14:paraId="5852D19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4" w:type="dxa"/>
            <w:noWrap/>
            <w:hideMark/>
          </w:tcPr>
          <w:p w14:paraId="7C3F151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4" w:type="dxa"/>
            <w:noWrap/>
            <w:hideMark/>
          </w:tcPr>
          <w:p w14:paraId="1B1A37D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4" w:type="dxa"/>
            <w:hideMark/>
          </w:tcPr>
          <w:p w14:paraId="57DD8E1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09B17C63" w14:textId="77777777" w:rsidR="00607D14" w:rsidRPr="00D80577" w:rsidRDefault="00607D14" w:rsidP="00607D14">
      <w:pPr>
        <w:rPr>
          <w:rFonts w:ascii="Arial" w:hAnsi="Arial" w:cs="Arial"/>
        </w:rPr>
      </w:pPr>
    </w:p>
    <w:p w14:paraId="78FDA9E5" w14:textId="6B7EE9D7"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lastRenderedPageBreak/>
        <w:t>Sixty-seven point three per cent of respondents agree or strongly agree that supply chain disruptions cause them to lose the capacity to deliver customer orders on time. This work emphasises efficiency and service-level issues (RQ2) and the need to focus on resilience mechanisms, including nearshoring, supplier partnership, or digital surveillance (RQ3).</w:t>
      </w:r>
    </w:p>
    <w:p w14:paraId="3B40AEDF"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4948117D" wp14:editId="23D016F6">
            <wp:extent cx="5943600" cy="3345180"/>
            <wp:effectExtent l="0" t="0" r="0" b="7620"/>
            <wp:docPr id="10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 name="Picture 11"/>
                    <pic:cNvPicPr>
                      <a:picLocks noChangeAspect="1" noChangeArrowheads="1"/>
                    </pic:cNvPicPr>
                  </pic:nvPicPr>
                  <pic:blipFill>
                    <a:blip r:embed="rId23"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42AD7A0C" w14:textId="0E0E5A90" w:rsidR="009349E5" w:rsidRPr="00D80577" w:rsidRDefault="009349E5" w:rsidP="009349E5">
      <w:pPr>
        <w:pStyle w:val="Caption"/>
        <w:jc w:val="center"/>
        <w:rPr>
          <w:rFonts w:ascii="Arial" w:eastAsia="Calibri" w:hAnsi="Arial" w:cs="Arial"/>
          <w:i w:val="0"/>
          <w:iCs w:val="0"/>
          <w:sz w:val="22"/>
          <w:szCs w:val="22"/>
        </w:rPr>
      </w:pPr>
      <w:bookmarkStart w:id="73" w:name="_Toc220889968"/>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13</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Raw material cost volatility</w:t>
      </w:r>
      <w:bookmarkEnd w:id="73"/>
    </w:p>
    <w:p w14:paraId="4E10B566" w14:textId="0F114D78" w:rsidR="00607D14" w:rsidRPr="00D80577" w:rsidRDefault="00607D14" w:rsidP="00607D14">
      <w:pPr>
        <w:pStyle w:val="Caption"/>
        <w:keepNext/>
        <w:rPr>
          <w:rFonts w:ascii="Arial" w:hAnsi="Arial" w:cs="Arial"/>
          <w:i w:val="0"/>
          <w:iCs w:val="0"/>
          <w:sz w:val="22"/>
          <w:szCs w:val="22"/>
        </w:rPr>
      </w:pPr>
      <w:bookmarkStart w:id="74" w:name="_Toc220889991"/>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14</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9</w:t>
      </w:r>
      <w:bookmarkEnd w:id="74"/>
    </w:p>
    <w:tbl>
      <w:tblPr>
        <w:tblStyle w:val="PlainTable1"/>
        <w:tblW w:w="9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1960"/>
        <w:gridCol w:w="1989"/>
        <w:gridCol w:w="1181"/>
        <w:gridCol w:w="1181"/>
        <w:gridCol w:w="1186"/>
      </w:tblGrid>
      <w:tr w:rsidR="00607D14" w:rsidRPr="00D80577" w14:paraId="4C68D608" w14:textId="77777777" w:rsidTr="00E61BCE">
        <w:trPr>
          <w:cnfStyle w:val="100000000000" w:firstRow="1" w:lastRow="0" w:firstColumn="0" w:lastColumn="0" w:oddVBand="0" w:evenVBand="0" w:oddHBand="0"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9457" w:type="dxa"/>
            <w:gridSpan w:val="6"/>
            <w:hideMark/>
          </w:tcPr>
          <w:p w14:paraId="366B9E6B" w14:textId="77777777" w:rsidR="00607D14" w:rsidRPr="00D80577" w:rsidRDefault="00607D14" w:rsidP="00E61BCE">
            <w:pPr>
              <w:jc w:val="center"/>
              <w:rPr>
                <w:rFonts w:ascii="Arial" w:eastAsia="Times New Roman" w:hAnsi="Arial" w:cs="Arial"/>
                <w:b w:val="0"/>
                <w:bCs w:val="0"/>
                <w:color w:val="010205"/>
                <w:kern w:val="0"/>
                <w:sz w:val="22"/>
                <w:szCs w:val="22"/>
                <w14:ligatures w14:val="none"/>
              </w:rPr>
            </w:pPr>
          </w:p>
          <w:p w14:paraId="59A93BD2"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Supply chain disruptions have reduced our firm’s ability to meet customer demand on time.</w:t>
            </w:r>
          </w:p>
        </w:tc>
      </w:tr>
      <w:tr w:rsidR="00607D14" w:rsidRPr="00D80577" w14:paraId="76437D70" w14:textId="77777777" w:rsidTr="00E61BCE">
        <w:trPr>
          <w:cnfStyle w:val="000000100000" w:firstRow="0" w:lastRow="0" w:firstColumn="0" w:lastColumn="0" w:oddVBand="0" w:evenVBand="0" w:oddHBand="1"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1960" w:type="dxa"/>
            <w:noWrap/>
            <w:hideMark/>
          </w:tcPr>
          <w:p w14:paraId="6CE7DC93"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0" w:type="dxa"/>
            <w:noWrap/>
            <w:hideMark/>
          </w:tcPr>
          <w:p w14:paraId="1605F448"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89" w:type="dxa"/>
            <w:hideMark/>
          </w:tcPr>
          <w:p w14:paraId="7D7931D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1" w:type="dxa"/>
            <w:hideMark/>
          </w:tcPr>
          <w:p w14:paraId="2D78F99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1" w:type="dxa"/>
            <w:hideMark/>
          </w:tcPr>
          <w:p w14:paraId="150BE79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2" w:type="dxa"/>
            <w:hideMark/>
          </w:tcPr>
          <w:p w14:paraId="04C0DF4F"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1EAFCB53" w14:textId="77777777" w:rsidTr="00E61BCE">
        <w:trPr>
          <w:trHeight w:val="265"/>
        </w:trPr>
        <w:tc>
          <w:tcPr>
            <w:cnfStyle w:val="001000000000" w:firstRow="0" w:lastRow="0" w:firstColumn="1" w:lastColumn="0" w:oddVBand="0" w:evenVBand="0" w:oddHBand="0" w:evenHBand="0" w:firstRowFirstColumn="0" w:firstRowLastColumn="0" w:lastRowFirstColumn="0" w:lastRowLastColumn="0"/>
            <w:tcW w:w="1960" w:type="dxa"/>
            <w:vMerge w:val="restart"/>
            <w:hideMark/>
          </w:tcPr>
          <w:p w14:paraId="1630242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0" w:type="dxa"/>
            <w:hideMark/>
          </w:tcPr>
          <w:p w14:paraId="4FE8C12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9" w:type="dxa"/>
            <w:noWrap/>
            <w:hideMark/>
          </w:tcPr>
          <w:p w14:paraId="2F475AE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81" w:type="dxa"/>
            <w:noWrap/>
            <w:hideMark/>
          </w:tcPr>
          <w:p w14:paraId="5F76FFF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1" w:type="dxa"/>
            <w:noWrap/>
            <w:hideMark/>
          </w:tcPr>
          <w:p w14:paraId="7345D14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2" w:type="dxa"/>
            <w:noWrap/>
            <w:hideMark/>
          </w:tcPr>
          <w:p w14:paraId="587BC13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737A3CE6" w14:textId="77777777" w:rsidTr="00E61BCE">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5917E40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0494A9B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9" w:type="dxa"/>
            <w:noWrap/>
            <w:hideMark/>
          </w:tcPr>
          <w:p w14:paraId="563F363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16</w:t>
            </w:r>
          </w:p>
        </w:tc>
        <w:tc>
          <w:tcPr>
            <w:tcW w:w="1181" w:type="dxa"/>
            <w:noWrap/>
            <w:hideMark/>
          </w:tcPr>
          <w:p w14:paraId="520F649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10.7</w:t>
            </w:r>
          </w:p>
        </w:tc>
        <w:tc>
          <w:tcPr>
            <w:tcW w:w="1181" w:type="dxa"/>
            <w:noWrap/>
            <w:hideMark/>
          </w:tcPr>
          <w:p w14:paraId="3393172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10.7</w:t>
            </w:r>
          </w:p>
        </w:tc>
        <w:tc>
          <w:tcPr>
            <w:tcW w:w="1182" w:type="dxa"/>
            <w:noWrap/>
            <w:hideMark/>
          </w:tcPr>
          <w:p w14:paraId="2CEBF74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13.3</w:t>
            </w:r>
          </w:p>
        </w:tc>
      </w:tr>
      <w:tr w:rsidR="00607D14" w:rsidRPr="00D80577" w14:paraId="4C549438" w14:textId="77777777" w:rsidTr="00E61BCE">
        <w:trPr>
          <w:trHeight w:val="26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337F492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352631EA"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89" w:type="dxa"/>
            <w:noWrap/>
            <w:hideMark/>
          </w:tcPr>
          <w:p w14:paraId="1555A23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29</w:t>
            </w:r>
          </w:p>
        </w:tc>
        <w:tc>
          <w:tcPr>
            <w:tcW w:w="1181" w:type="dxa"/>
            <w:noWrap/>
            <w:hideMark/>
          </w:tcPr>
          <w:p w14:paraId="113C16E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81" w:type="dxa"/>
            <w:noWrap/>
            <w:hideMark/>
          </w:tcPr>
          <w:p w14:paraId="494690D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82" w:type="dxa"/>
            <w:noWrap/>
            <w:hideMark/>
          </w:tcPr>
          <w:p w14:paraId="332FD03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32.7</w:t>
            </w:r>
          </w:p>
        </w:tc>
      </w:tr>
      <w:tr w:rsidR="00607D14" w:rsidRPr="00D80577" w14:paraId="6753B7CD" w14:textId="77777777" w:rsidTr="00E61BCE">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63C6FCF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63E25FC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9" w:type="dxa"/>
            <w:noWrap/>
            <w:hideMark/>
          </w:tcPr>
          <w:p w14:paraId="7E82026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72</w:t>
            </w:r>
          </w:p>
        </w:tc>
        <w:tc>
          <w:tcPr>
            <w:tcW w:w="1181" w:type="dxa"/>
            <w:noWrap/>
            <w:hideMark/>
          </w:tcPr>
          <w:p w14:paraId="5CA4105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48.0</w:t>
            </w:r>
          </w:p>
        </w:tc>
        <w:tc>
          <w:tcPr>
            <w:tcW w:w="1181" w:type="dxa"/>
            <w:noWrap/>
            <w:hideMark/>
          </w:tcPr>
          <w:p w14:paraId="1D131C6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48.0</w:t>
            </w:r>
          </w:p>
        </w:tc>
        <w:tc>
          <w:tcPr>
            <w:tcW w:w="1182" w:type="dxa"/>
            <w:noWrap/>
            <w:hideMark/>
          </w:tcPr>
          <w:p w14:paraId="0134F2D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80.7</w:t>
            </w:r>
          </w:p>
        </w:tc>
      </w:tr>
      <w:tr w:rsidR="00607D14" w:rsidRPr="00D80577" w14:paraId="262EB1CD" w14:textId="77777777" w:rsidTr="00E61BCE">
        <w:trPr>
          <w:trHeight w:val="26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11BF340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6F3CB056"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9" w:type="dxa"/>
            <w:noWrap/>
            <w:hideMark/>
          </w:tcPr>
          <w:p w14:paraId="0645B66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29</w:t>
            </w:r>
          </w:p>
        </w:tc>
        <w:tc>
          <w:tcPr>
            <w:tcW w:w="1181" w:type="dxa"/>
            <w:noWrap/>
            <w:hideMark/>
          </w:tcPr>
          <w:p w14:paraId="3B72405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81" w:type="dxa"/>
            <w:noWrap/>
            <w:hideMark/>
          </w:tcPr>
          <w:p w14:paraId="291B1DA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19.3</w:t>
            </w:r>
          </w:p>
        </w:tc>
        <w:tc>
          <w:tcPr>
            <w:tcW w:w="1182" w:type="dxa"/>
            <w:noWrap/>
            <w:hideMark/>
          </w:tcPr>
          <w:p w14:paraId="104E480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150022F1" w14:textId="77777777" w:rsidTr="00E61BCE">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1960" w:type="dxa"/>
            <w:vMerge/>
            <w:hideMark/>
          </w:tcPr>
          <w:p w14:paraId="6867DD3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0" w:type="dxa"/>
            <w:hideMark/>
          </w:tcPr>
          <w:p w14:paraId="739E555A"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9" w:type="dxa"/>
            <w:noWrap/>
            <w:hideMark/>
          </w:tcPr>
          <w:p w14:paraId="1C3D5DC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1" w:type="dxa"/>
            <w:noWrap/>
            <w:hideMark/>
          </w:tcPr>
          <w:p w14:paraId="7942528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1" w:type="dxa"/>
            <w:noWrap/>
            <w:hideMark/>
          </w:tcPr>
          <w:p w14:paraId="0066208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2" w:type="dxa"/>
            <w:hideMark/>
          </w:tcPr>
          <w:p w14:paraId="68FB8A9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41492AE0" w14:textId="77777777" w:rsidR="00607D14" w:rsidRPr="00D80577" w:rsidRDefault="00607D14" w:rsidP="00607D14">
      <w:pPr>
        <w:rPr>
          <w:rFonts w:ascii="Arial" w:hAnsi="Arial" w:cs="Arial"/>
        </w:rPr>
      </w:pPr>
    </w:p>
    <w:p w14:paraId="2EFEBD7A" w14:textId="1EBEA93B"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 xml:space="preserve">Sixty-seven point three per cent of respondents accept or strongly accept that international supply chain instability negatively impacts overall business performance. </w:t>
      </w:r>
      <w:r w:rsidRPr="00D80577">
        <w:rPr>
          <w:rFonts w:ascii="Arial" w:eastAsia="Calibri" w:hAnsi="Arial" w:cs="Arial"/>
        </w:rPr>
        <w:lastRenderedPageBreak/>
        <w:t>This is the combination of the operation and financial effects of disruptions, which is connected to RQ2. It highlights the necessity of sound risk mitigation measures, including diversification, technology adoption, and government assistance (RQ3).</w:t>
      </w:r>
    </w:p>
    <w:p w14:paraId="44EDFB3A"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3B09BD0D" wp14:editId="5E836864">
            <wp:extent cx="5943600" cy="3345180"/>
            <wp:effectExtent l="0" t="0" r="0" b="7620"/>
            <wp:docPr id="10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2"/>
                    <pic:cNvPicPr>
                      <a:picLocks noChangeAspect="1" noChangeArrowheads="1"/>
                    </pic:cNvPicPr>
                  </pic:nvPicPr>
                  <pic:blipFill>
                    <a:blip r:embed="rId24"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0DC2AA03" w14:textId="2CC051E0" w:rsidR="009349E5" w:rsidRPr="00D80577" w:rsidRDefault="009349E5" w:rsidP="009349E5">
      <w:pPr>
        <w:pStyle w:val="Caption"/>
        <w:jc w:val="center"/>
        <w:rPr>
          <w:rFonts w:ascii="Arial" w:eastAsia="Calibri" w:hAnsi="Arial" w:cs="Arial"/>
          <w:i w:val="0"/>
          <w:iCs w:val="0"/>
          <w:sz w:val="22"/>
          <w:szCs w:val="22"/>
        </w:rPr>
      </w:pPr>
      <w:bookmarkStart w:id="75" w:name="_Toc220889969"/>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14</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Reduced ability to meet customer demand</w:t>
      </w:r>
      <w:bookmarkEnd w:id="75"/>
    </w:p>
    <w:p w14:paraId="134663D1" w14:textId="33128090" w:rsidR="00607D14" w:rsidRPr="00D80577" w:rsidRDefault="00607D14" w:rsidP="00607D14">
      <w:pPr>
        <w:pStyle w:val="Caption"/>
        <w:keepNext/>
        <w:rPr>
          <w:rFonts w:ascii="Arial" w:hAnsi="Arial" w:cs="Arial"/>
          <w:i w:val="0"/>
          <w:iCs w:val="0"/>
          <w:sz w:val="22"/>
          <w:szCs w:val="22"/>
          <w:lang w:val="fr-FR"/>
        </w:rPr>
      </w:pPr>
      <w:bookmarkStart w:id="76" w:name="_Toc220889992"/>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15</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10</w:t>
      </w:r>
      <w:bookmarkEnd w:id="76"/>
    </w:p>
    <w:tbl>
      <w:tblPr>
        <w:tblStyle w:val="PlainTable1"/>
        <w:tblW w:w="95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9"/>
        <w:gridCol w:w="1969"/>
        <w:gridCol w:w="1999"/>
        <w:gridCol w:w="1187"/>
        <w:gridCol w:w="1187"/>
        <w:gridCol w:w="1190"/>
      </w:tblGrid>
      <w:tr w:rsidR="00607D14" w:rsidRPr="00D80577" w14:paraId="0A64EA56" w14:textId="77777777" w:rsidTr="00E61BCE">
        <w:trPr>
          <w:cnfStyle w:val="100000000000" w:firstRow="1" w:lastRow="0"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9501" w:type="dxa"/>
            <w:gridSpan w:val="6"/>
            <w:hideMark/>
          </w:tcPr>
          <w:p w14:paraId="7DB7AC96"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Overall business performance has declined due to international supply chain instability.</w:t>
            </w:r>
          </w:p>
        </w:tc>
      </w:tr>
      <w:tr w:rsidR="00607D14" w:rsidRPr="00D80577" w14:paraId="4FB4B435" w14:textId="77777777" w:rsidTr="00E61BCE">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1969" w:type="dxa"/>
            <w:noWrap/>
            <w:hideMark/>
          </w:tcPr>
          <w:p w14:paraId="5C7E91D3"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9" w:type="dxa"/>
            <w:noWrap/>
            <w:hideMark/>
          </w:tcPr>
          <w:p w14:paraId="7EAD2869"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99" w:type="dxa"/>
            <w:hideMark/>
          </w:tcPr>
          <w:p w14:paraId="53F43F6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7" w:type="dxa"/>
            <w:hideMark/>
          </w:tcPr>
          <w:p w14:paraId="5C31249D"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7" w:type="dxa"/>
            <w:hideMark/>
          </w:tcPr>
          <w:p w14:paraId="64567ED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8" w:type="dxa"/>
            <w:hideMark/>
          </w:tcPr>
          <w:p w14:paraId="654CD5D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308BA148" w14:textId="77777777" w:rsidTr="00E61BCE">
        <w:trPr>
          <w:trHeight w:val="304"/>
        </w:trPr>
        <w:tc>
          <w:tcPr>
            <w:cnfStyle w:val="001000000000" w:firstRow="0" w:lastRow="0" w:firstColumn="1" w:lastColumn="0" w:oddVBand="0" w:evenVBand="0" w:oddHBand="0" w:evenHBand="0" w:firstRowFirstColumn="0" w:firstRowLastColumn="0" w:lastRowFirstColumn="0" w:lastRowLastColumn="0"/>
            <w:tcW w:w="1969" w:type="dxa"/>
            <w:vMerge w:val="restart"/>
            <w:hideMark/>
          </w:tcPr>
          <w:p w14:paraId="62722EF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9" w:type="dxa"/>
            <w:hideMark/>
          </w:tcPr>
          <w:p w14:paraId="517FBDA6"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99" w:type="dxa"/>
            <w:noWrap/>
            <w:hideMark/>
          </w:tcPr>
          <w:p w14:paraId="2C9B6AF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87" w:type="dxa"/>
            <w:noWrap/>
            <w:hideMark/>
          </w:tcPr>
          <w:p w14:paraId="616246A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7" w:type="dxa"/>
            <w:noWrap/>
            <w:hideMark/>
          </w:tcPr>
          <w:p w14:paraId="123DBA8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8" w:type="dxa"/>
            <w:noWrap/>
            <w:hideMark/>
          </w:tcPr>
          <w:p w14:paraId="652AA86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327A56EF" w14:textId="77777777" w:rsidTr="00E61BC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969" w:type="dxa"/>
            <w:vMerge/>
            <w:hideMark/>
          </w:tcPr>
          <w:p w14:paraId="77B7188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4634D6E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99" w:type="dxa"/>
            <w:noWrap/>
            <w:hideMark/>
          </w:tcPr>
          <w:p w14:paraId="7425FA8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w:t>
            </w:r>
          </w:p>
        </w:tc>
        <w:tc>
          <w:tcPr>
            <w:tcW w:w="1187" w:type="dxa"/>
            <w:noWrap/>
            <w:hideMark/>
          </w:tcPr>
          <w:p w14:paraId="7008918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87" w:type="dxa"/>
            <w:noWrap/>
            <w:hideMark/>
          </w:tcPr>
          <w:p w14:paraId="13C4311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4.7</w:t>
            </w:r>
          </w:p>
        </w:tc>
        <w:tc>
          <w:tcPr>
            <w:tcW w:w="1188" w:type="dxa"/>
            <w:noWrap/>
            <w:hideMark/>
          </w:tcPr>
          <w:p w14:paraId="689B8CE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7.3</w:t>
            </w:r>
          </w:p>
        </w:tc>
      </w:tr>
      <w:tr w:rsidR="00607D14" w:rsidRPr="00D80577" w14:paraId="168A6756" w14:textId="77777777" w:rsidTr="00E61BCE">
        <w:trPr>
          <w:trHeight w:val="304"/>
        </w:trPr>
        <w:tc>
          <w:tcPr>
            <w:cnfStyle w:val="001000000000" w:firstRow="0" w:lastRow="0" w:firstColumn="1" w:lastColumn="0" w:oddVBand="0" w:evenVBand="0" w:oddHBand="0" w:evenHBand="0" w:firstRowFirstColumn="0" w:firstRowLastColumn="0" w:lastRowFirstColumn="0" w:lastRowLastColumn="0"/>
            <w:tcW w:w="1969" w:type="dxa"/>
            <w:vMerge/>
            <w:hideMark/>
          </w:tcPr>
          <w:p w14:paraId="1A65EBD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53144DFF"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99" w:type="dxa"/>
            <w:noWrap/>
            <w:hideMark/>
          </w:tcPr>
          <w:p w14:paraId="4D011BC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38</w:t>
            </w:r>
          </w:p>
        </w:tc>
        <w:tc>
          <w:tcPr>
            <w:tcW w:w="1187" w:type="dxa"/>
            <w:noWrap/>
            <w:hideMark/>
          </w:tcPr>
          <w:p w14:paraId="3E92BF7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25.3</w:t>
            </w:r>
          </w:p>
        </w:tc>
        <w:tc>
          <w:tcPr>
            <w:tcW w:w="1187" w:type="dxa"/>
            <w:noWrap/>
            <w:hideMark/>
          </w:tcPr>
          <w:p w14:paraId="1EC6FCFD"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25.3</w:t>
            </w:r>
          </w:p>
        </w:tc>
        <w:tc>
          <w:tcPr>
            <w:tcW w:w="1188" w:type="dxa"/>
            <w:noWrap/>
            <w:hideMark/>
          </w:tcPr>
          <w:p w14:paraId="52E42C7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32.7</w:t>
            </w:r>
          </w:p>
        </w:tc>
      </w:tr>
      <w:tr w:rsidR="00607D14" w:rsidRPr="00D80577" w14:paraId="59C02165" w14:textId="77777777" w:rsidTr="00E61BC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969" w:type="dxa"/>
            <w:vMerge/>
            <w:hideMark/>
          </w:tcPr>
          <w:p w14:paraId="56AB181F"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7CC93AD8"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99" w:type="dxa"/>
            <w:noWrap/>
            <w:hideMark/>
          </w:tcPr>
          <w:p w14:paraId="4EE36BA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69</w:t>
            </w:r>
          </w:p>
        </w:tc>
        <w:tc>
          <w:tcPr>
            <w:tcW w:w="1187" w:type="dxa"/>
            <w:noWrap/>
            <w:hideMark/>
          </w:tcPr>
          <w:p w14:paraId="05A5B0D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46.0</w:t>
            </w:r>
          </w:p>
        </w:tc>
        <w:tc>
          <w:tcPr>
            <w:tcW w:w="1187" w:type="dxa"/>
            <w:noWrap/>
            <w:hideMark/>
          </w:tcPr>
          <w:p w14:paraId="407D493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46.0</w:t>
            </w:r>
          </w:p>
        </w:tc>
        <w:tc>
          <w:tcPr>
            <w:tcW w:w="1188" w:type="dxa"/>
            <w:noWrap/>
            <w:hideMark/>
          </w:tcPr>
          <w:p w14:paraId="216FD16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78.7</w:t>
            </w:r>
          </w:p>
        </w:tc>
      </w:tr>
      <w:tr w:rsidR="00607D14" w:rsidRPr="00D80577" w14:paraId="2247181B" w14:textId="77777777" w:rsidTr="00E61BCE">
        <w:trPr>
          <w:trHeight w:val="304"/>
        </w:trPr>
        <w:tc>
          <w:tcPr>
            <w:cnfStyle w:val="001000000000" w:firstRow="0" w:lastRow="0" w:firstColumn="1" w:lastColumn="0" w:oddVBand="0" w:evenVBand="0" w:oddHBand="0" w:evenHBand="0" w:firstRowFirstColumn="0" w:firstRowLastColumn="0" w:lastRowFirstColumn="0" w:lastRowLastColumn="0"/>
            <w:tcW w:w="1969" w:type="dxa"/>
            <w:vMerge/>
            <w:hideMark/>
          </w:tcPr>
          <w:p w14:paraId="3ACE118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0E827EB2"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99" w:type="dxa"/>
            <w:noWrap/>
            <w:hideMark/>
          </w:tcPr>
          <w:p w14:paraId="3F433DA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w:t>
            </w:r>
          </w:p>
        </w:tc>
        <w:tc>
          <w:tcPr>
            <w:tcW w:w="1187" w:type="dxa"/>
            <w:noWrap/>
            <w:hideMark/>
          </w:tcPr>
          <w:p w14:paraId="11A19C2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87" w:type="dxa"/>
            <w:noWrap/>
            <w:hideMark/>
          </w:tcPr>
          <w:p w14:paraId="7FEFF4C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88" w:type="dxa"/>
            <w:noWrap/>
            <w:hideMark/>
          </w:tcPr>
          <w:p w14:paraId="338F79F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489319C3" w14:textId="77777777" w:rsidTr="00E61BC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969" w:type="dxa"/>
            <w:vMerge/>
            <w:hideMark/>
          </w:tcPr>
          <w:p w14:paraId="1C7484B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3D13860B"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99" w:type="dxa"/>
            <w:noWrap/>
            <w:hideMark/>
          </w:tcPr>
          <w:p w14:paraId="310A249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7" w:type="dxa"/>
            <w:noWrap/>
            <w:hideMark/>
          </w:tcPr>
          <w:p w14:paraId="6D2BAC5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7" w:type="dxa"/>
            <w:noWrap/>
            <w:hideMark/>
          </w:tcPr>
          <w:p w14:paraId="3F7EA75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8" w:type="dxa"/>
            <w:hideMark/>
          </w:tcPr>
          <w:p w14:paraId="78E6C7F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4E503A8F" w14:textId="77777777" w:rsidR="00607D14" w:rsidRPr="00D80577" w:rsidRDefault="00607D14" w:rsidP="00607D14">
      <w:pPr>
        <w:rPr>
          <w:rFonts w:ascii="Arial" w:hAnsi="Arial" w:cs="Arial"/>
        </w:rPr>
      </w:pPr>
    </w:p>
    <w:p w14:paraId="76E36F4A" w14:textId="654A0E9B"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 xml:space="preserve">67.3 per cent of firms report that diversifying suppliers reduces disruption, supporting a successful risk mitigation strategy (RQ3). The diversification will be beneficial in managing the dependence on certain suppliers, enhancing the continuation of production, </w:t>
      </w:r>
      <w:r w:rsidRPr="00D80577">
        <w:rPr>
          <w:rFonts w:ascii="Arial" w:eastAsia="Calibri" w:hAnsi="Arial" w:cs="Arial"/>
        </w:rPr>
        <w:lastRenderedPageBreak/>
        <w:t>and minimising the expenses or delivery risks, thereby indirectly contributing to the achievement of efficiency and business performance goals (RQ2).</w:t>
      </w:r>
    </w:p>
    <w:p w14:paraId="0AE99F39"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256FAA1B" wp14:editId="25E31B5E">
            <wp:extent cx="5943600" cy="3345180"/>
            <wp:effectExtent l="0" t="0" r="0" b="7620"/>
            <wp:docPr id="10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3"/>
                    <pic:cNvPicPr>
                      <a:picLocks noChangeAspect="1" noChangeArrowheads="1"/>
                    </pic:cNvPicPr>
                  </pic:nvPicPr>
                  <pic:blipFill>
                    <a:blip r:embed="rId25"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2C6A011C" w14:textId="40F8A7C1" w:rsidR="009349E5" w:rsidRPr="00D80577" w:rsidRDefault="009349E5" w:rsidP="009349E5">
      <w:pPr>
        <w:pStyle w:val="Caption"/>
        <w:jc w:val="center"/>
        <w:rPr>
          <w:rFonts w:ascii="Arial" w:eastAsia="Calibri" w:hAnsi="Arial" w:cs="Arial"/>
          <w:i w:val="0"/>
          <w:iCs w:val="0"/>
          <w:sz w:val="22"/>
          <w:szCs w:val="22"/>
        </w:rPr>
      </w:pPr>
      <w:bookmarkStart w:id="77" w:name="_Toc220889970"/>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15</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Decline in overall business performance</w:t>
      </w:r>
      <w:bookmarkEnd w:id="77"/>
    </w:p>
    <w:p w14:paraId="224A0D4C" w14:textId="4FCD1FF7" w:rsidR="00607D14" w:rsidRPr="00D80577" w:rsidRDefault="00607D14" w:rsidP="00607D14">
      <w:pPr>
        <w:pStyle w:val="Caption"/>
        <w:keepNext/>
        <w:rPr>
          <w:rFonts w:ascii="Arial" w:hAnsi="Arial" w:cs="Arial"/>
          <w:i w:val="0"/>
          <w:iCs w:val="0"/>
          <w:sz w:val="22"/>
          <w:szCs w:val="22"/>
          <w:lang w:val="fr-FR"/>
        </w:rPr>
      </w:pPr>
      <w:bookmarkStart w:id="78" w:name="_Toc220889993"/>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16</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11</w:t>
      </w:r>
      <w:bookmarkEnd w:id="78"/>
    </w:p>
    <w:tbl>
      <w:tblPr>
        <w:tblStyle w:val="PlainTable1"/>
        <w:tblW w:w="95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9"/>
        <w:gridCol w:w="1969"/>
        <w:gridCol w:w="1999"/>
        <w:gridCol w:w="1187"/>
        <w:gridCol w:w="1187"/>
        <w:gridCol w:w="1190"/>
      </w:tblGrid>
      <w:tr w:rsidR="00607D14" w:rsidRPr="00D80577" w14:paraId="1846E52C" w14:textId="77777777" w:rsidTr="00E61BCE">
        <w:trPr>
          <w:cnfStyle w:val="100000000000" w:firstRow="1" w:lastRow="0" w:firstColumn="0" w:lastColumn="0" w:oddVBand="0" w:evenVBand="0" w:oddHBand="0"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9501" w:type="dxa"/>
            <w:gridSpan w:val="6"/>
            <w:hideMark/>
          </w:tcPr>
          <w:p w14:paraId="0E3166F1"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Supplier diversification has helped reduce the impact of supply chain disruptions.</w:t>
            </w:r>
          </w:p>
        </w:tc>
      </w:tr>
      <w:tr w:rsidR="00607D14" w:rsidRPr="00D80577" w14:paraId="6AB9DD0B" w14:textId="77777777" w:rsidTr="00E61BCE">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1969" w:type="dxa"/>
            <w:noWrap/>
            <w:hideMark/>
          </w:tcPr>
          <w:p w14:paraId="72D2969B"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9" w:type="dxa"/>
            <w:noWrap/>
            <w:hideMark/>
          </w:tcPr>
          <w:p w14:paraId="13E8BF68"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99" w:type="dxa"/>
            <w:hideMark/>
          </w:tcPr>
          <w:p w14:paraId="6303BF7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7" w:type="dxa"/>
            <w:hideMark/>
          </w:tcPr>
          <w:p w14:paraId="21D4108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7" w:type="dxa"/>
            <w:hideMark/>
          </w:tcPr>
          <w:p w14:paraId="5F8B6AB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8" w:type="dxa"/>
            <w:hideMark/>
          </w:tcPr>
          <w:p w14:paraId="02895CCD"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1F6B5C98" w14:textId="77777777" w:rsidTr="00E61BCE">
        <w:trPr>
          <w:trHeight w:val="261"/>
        </w:trPr>
        <w:tc>
          <w:tcPr>
            <w:cnfStyle w:val="001000000000" w:firstRow="0" w:lastRow="0" w:firstColumn="1" w:lastColumn="0" w:oddVBand="0" w:evenVBand="0" w:oddHBand="0" w:evenHBand="0" w:firstRowFirstColumn="0" w:firstRowLastColumn="0" w:lastRowFirstColumn="0" w:lastRowLastColumn="0"/>
            <w:tcW w:w="1969" w:type="dxa"/>
            <w:vMerge w:val="restart"/>
            <w:hideMark/>
          </w:tcPr>
          <w:p w14:paraId="7761CE28"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9" w:type="dxa"/>
            <w:hideMark/>
          </w:tcPr>
          <w:p w14:paraId="7E2EB93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99" w:type="dxa"/>
            <w:noWrap/>
            <w:hideMark/>
          </w:tcPr>
          <w:p w14:paraId="6185116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w:t>
            </w:r>
          </w:p>
        </w:tc>
        <w:tc>
          <w:tcPr>
            <w:tcW w:w="1187" w:type="dxa"/>
            <w:noWrap/>
            <w:hideMark/>
          </w:tcPr>
          <w:p w14:paraId="48FA92A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w:t>
            </w:r>
          </w:p>
        </w:tc>
        <w:tc>
          <w:tcPr>
            <w:tcW w:w="1187" w:type="dxa"/>
            <w:noWrap/>
            <w:hideMark/>
          </w:tcPr>
          <w:p w14:paraId="4FDA28B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w:t>
            </w:r>
          </w:p>
        </w:tc>
        <w:tc>
          <w:tcPr>
            <w:tcW w:w="1188" w:type="dxa"/>
            <w:noWrap/>
            <w:hideMark/>
          </w:tcPr>
          <w:p w14:paraId="7F5949A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w:t>
            </w:r>
          </w:p>
        </w:tc>
      </w:tr>
      <w:tr w:rsidR="00607D14" w:rsidRPr="00D80577" w14:paraId="4E0AEBF5" w14:textId="77777777" w:rsidTr="00E61BCE">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969" w:type="dxa"/>
            <w:vMerge/>
            <w:hideMark/>
          </w:tcPr>
          <w:p w14:paraId="74CBED49"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4E5B00F4"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99" w:type="dxa"/>
            <w:noWrap/>
            <w:hideMark/>
          </w:tcPr>
          <w:p w14:paraId="14407F2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12</w:t>
            </w:r>
          </w:p>
        </w:tc>
        <w:tc>
          <w:tcPr>
            <w:tcW w:w="1187" w:type="dxa"/>
            <w:noWrap/>
            <w:hideMark/>
          </w:tcPr>
          <w:p w14:paraId="095B1EA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87" w:type="dxa"/>
            <w:noWrap/>
            <w:hideMark/>
          </w:tcPr>
          <w:p w14:paraId="07B4204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8.0</w:t>
            </w:r>
          </w:p>
        </w:tc>
        <w:tc>
          <w:tcPr>
            <w:tcW w:w="1188" w:type="dxa"/>
            <w:noWrap/>
            <w:hideMark/>
          </w:tcPr>
          <w:p w14:paraId="2446DFF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w:t>
            </w:r>
          </w:p>
        </w:tc>
      </w:tr>
      <w:tr w:rsidR="00607D14" w:rsidRPr="00D80577" w14:paraId="587053B1" w14:textId="77777777" w:rsidTr="00E61BCE">
        <w:trPr>
          <w:trHeight w:val="261"/>
        </w:trPr>
        <w:tc>
          <w:tcPr>
            <w:cnfStyle w:val="001000000000" w:firstRow="0" w:lastRow="0" w:firstColumn="1" w:lastColumn="0" w:oddVBand="0" w:evenVBand="0" w:oddHBand="0" w:evenHBand="0" w:firstRowFirstColumn="0" w:firstRowLastColumn="0" w:lastRowFirstColumn="0" w:lastRowLastColumn="0"/>
            <w:tcW w:w="1969" w:type="dxa"/>
            <w:vMerge/>
            <w:hideMark/>
          </w:tcPr>
          <w:p w14:paraId="140AFF0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04E788E4"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99" w:type="dxa"/>
            <w:noWrap/>
            <w:hideMark/>
          </w:tcPr>
          <w:p w14:paraId="417B4D4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34</w:t>
            </w:r>
          </w:p>
        </w:tc>
        <w:tc>
          <w:tcPr>
            <w:tcW w:w="1187" w:type="dxa"/>
            <w:noWrap/>
            <w:hideMark/>
          </w:tcPr>
          <w:p w14:paraId="325043F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87" w:type="dxa"/>
            <w:noWrap/>
            <w:hideMark/>
          </w:tcPr>
          <w:p w14:paraId="4C4CCDF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88" w:type="dxa"/>
            <w:noWrap/>
            <w:hideMark/>
          </w:tcPr>
          <w:p w14:paraId="3985ADF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32.7</w:t>
            </w:r>
          </w:p>
        </w:tc>
      </w:tr>
      <w:tr w:rsidR="00607D14" w:rsidRPr="00D80577" w14:paraId="1AD8B148" w14:textId="77777777" w:rsidTr="00E61BCE">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969" w:type="dxa"/>
            <w:vMerge/>
            <w:hideMark/>
          </w:tcPr>
          <w:p w14:paraId="6847A183"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1F0C143B"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99" w:type="dxa"/>
            <w:noWrap/>
            <w:hideMark/>
          </w:tcPr>
          <w:p w14:paraId="2D70D5A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66</w:t>
            </w:r>
          </w:p>
        </w:tc>
        <w:tc>
          <w:tcPr>
            <w:tcW w:w="1187" w:type="dxa"/>
            <w:noWrap/>
            <w:hideMark/>
          </w:tcPr>
          <w:p w14:paraId="5CC146A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44.0</w:t>
            </w:r>
          </w:p>
        </w:tc>
        <w:tc>
          <w:tcPr>
            <w:tcW w:w="1187" w:type="dxa"/>
            <w:noWrap/>
            <w:hideMark/>
          </w:tcPr>
          <w:p w14:paraId="7DC140F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44.0</w:t>
            </w:r>
          </w:p>
        </w:tc>
        <w:tc>
          <w:tcPr>
            <w:tcW w:w="1188" w:type="dxa"/>
            <w:noWrap/>
            <w:hideMark/>
          </w:tcPr>
          <w:p w14:paraId="79E6806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76.7</w:t>
            </w:r>
          </w:p>
        </w:tc>
      </w:tr>
      <w:tr w:rsidR="00607D14" w:rsidRPr="00D80577" w14:paraId="51C31EF4" w14:textId="77777777" w:rsidTr="00E61BCE">
        <w:trPr>
          <w:trHeight w:val="261"/>
        </w:trPr>
        <w:tc>
          <w:tcPr>
            <w:cnfStyle w:val="001000000000" w:firstRow="0" w:lastRow="0" w:firstColumn="1" w:lastColumn="0" w:oddVBand="0" w:evenVBand="0" w:oddHBand="0" w:evenHBand="0" w:firstRowFirstColumn="0" w:firstRowLastColumn="0" w:lastRowFirstColumn="0" w:lastRowLastColumn="0"/>
            <w:tcW w:w="1969" w:type="dxa"/>
            <w:vMerge/>
            <w:hideMark/>
          </w:tcPr>
          <w:p w14:paraId="0615E41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10DCCE8E"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99" w:type="dxa"/>
            <w:noWrap/>
            <w:hideMark/>
          </w:tcPr>
          <w:p w14:paraId="01ECE2E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35</w:t>
            </w:r>
          </w:p>
        </w:tc>
        <w:tc>
          <w:tcPr>
            <w:tcW w:w="1187" w:type="dxa"/>
            <w:noWrap/>
            <w:hideMark/>
          </w:tcPr>
          <w:p w14:paraId="77C945B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23.3</w:t>
            </w:r>
          </w:p>
        </w:tc>
        <w:tc>
          <w:tcPr>
            <w:tcW w:w="1187" w:type="dxa"/>
            <w:noWrap/>
            <w:hideMark/>
          </w:tcPr>
          <w:p w14:paraId="7F83F46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23.3</w:t>
            </w:r>
          </w:p>
        </w:tc>
        <w:tc>
          <w:tcPr>
            <w:tcW w:w="1188" w:type="dxa"/>
            <w:noWrap/>
            <w:hideMark/>
          </w:tcPr>
          <w:p w14:paraId="0444782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179B9F54" w14:textId="77777777" w:rsidTr="00E61BCE">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969" w:type="dxa"/>
            <w:vMerge/>
            <w:hideMark/>
          </w:tcPr>
          <w:p w14:paraId="458750DB"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9" w:type="dxa"/>
            <w:hideMark/>
          </w:tcPr>
          <w:p w14:paraId="7335AFB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99" w:type="dxa"/>
            <w:noWrap/>
            <w:hideMark/>
          </w:tcPr>
          <w:p w14:paraId="6DA29DE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7" w:type="dxa"/>
            <w:noWrap/>
            <w:hideMark/>
          </w:tcPr>
          <w:p w14:paraId="1290772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7" w:type="dxa"/>
            <w:noWrap/>
            <w:hideMark/>
          </w:tcPr>
          <w:p w14:paraId="4B3874C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8" w:type="dxa"/>
            <w:hideMark/>
          </w:tcPr>
          <w:p w14:paraId="4FE4CD0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483C1C0D" w14:textId="77777777" w:rsidR="00607D14" w:rsidRPr="00D80577" w:rsidRDefault="00607D14" w:rsidP="00607D14">
      <w:pPr>
        <w:rPr>
          <w:rFonts w:ascii="Arial" w:hAnsi="Arial" w:cs="Arial"/>
        </w:rPr>
      </w:pPr>
    </w:p>
    <w:p w14:paraId="450D03F3" w14:textId="04BF01E9"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There is a 79.4 per cent agreement that nearshoring or local sourcing will increase the reliability of the supply chain. This is a mitigation measure that is closely applicable to RQ3 and demonstrates that decreasing reliance on remote vendors enhances efficiency in operations and minimises vulnerability to global shocks (RQ2).</w:t>
      </w:r>
    </w:p>
    <w:p w14:paraId="689465D9"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lastRenderedPageBreak/>
        <w:drawing>
          <wp:inline distT="0" distB="0" distL="0" distR="0" wp14:anchorId="212C84D0" wp14:editId="08318884">
            <wp:extent cx="5943600" cy="3345180"/>
            <wp:effectExtent l="0" t="0" r="0" b="7620"/>
            <wp:docPr id="10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4"/>
                    <pic:cNvPicPr>
                      <a:picLocks noChangeAspect="1" noChangeArrowheads="1"/>
                    </pic:cNvPicPr>
                  </pic:nvPicPr>
                  <pic:blipFill>
                    <a:blip r:embed="rId26"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6D4F6F44" w14:textId="60F0E630" w:rsidR="009349E5" w:rsidRPr="00D80577" w:rsidRDefault="009349E5" w:rsidP="009349E5">
      <w:pPr>
        <w:pStyle w:val="Caption"/>
        <w:jc w:val="center"/>
        <w:rPr>
          <w:rFonts w:ascii="Arial" w:eastAsia="Calibri" w:hAnsi="Arial" w:cs="Arial"/>
          <w:i w:val="0"/>
          <w:iCs w:val="0"/>
          <w:sz w:val="22"/>
          <w:szCs w:val="22"/>
          <w:lang w:val="fr-FR"/>
        </w:rPr>
      </w:pPr>
      <w:bookmarkStart w:id="79" w:name="_Toc220889971"/>
      <w:r w:rsidRPr="00D80577">
        <w:rPr>
          <w:rFonts w:ascii="Arial" w:hAnsi="Arial" w:cs="Arial"/>
          <w:i w:val="0"/>
          <w:iCs w:val="0"/>
          <w:sz w:val="22"/>
          <w:szCs w:val="22"/>
          <w:lang w:val="fr-FR"/>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16</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Supplier diversification</w:t>
      </w:r>
      <w:bookmarkEnd w:id="79"/>
    </w:p>
    <w:p w14:paraId="7A393EC0" w14:textId="4F4135C0" w:rsidR="00607D14" w:rsidRPr="00D80577" w:rsidRDefault="00607D14" w:rsidP="00607D14">
      <w:pPr>
        <w:pStyle w:val="Caption"/>
        <w:keepNext/>
        <w:rPr>
          <w:rFonts w:ascii="Arial" w:hAnsi="Arial" w:cs="Arial"/>
          <w:i w:val="0"/>
          <w:iCs w:val="0"/>
          <w:sz w:val="22"/>
          <w:szCs w:val="22"/>
          <w:lang w:val="fr-FR"/>
        </w:rPr>
      </w:pPr>
      <w:bookmarkStart w:id="80" w:name="_Toc220889994"/>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17</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12</w:t>
      </w:r>
      <w:bookmarkEnd w:id="80"/>
    </w:p>
    <w:tbl>
      <w:tblPr>
        <w:tblStyle w:val="PlainTable1"/>
        <w:tblW w:w="9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5"/>
        <w:gridCol w:w="1975"/>
        <w:gridCol w:w="2004"/>
        <w:gridCol w:w="1190"/>
        <w:gridCol w:w="1190"/>
        <w:gridCol w:w="1195"/>
      </w:tblGrid>
      <w:tr w:rsidR="00607D14" w:rsidRPr="00D80577" w14:paraId="5DC4E551" w14:textId="77777777" w:rsidTr="00E61BCE">
        <w:trPr>
          <w:cnfStyle w:val="100000000000" w:firstRow="1" w:lastRow="0" w:firstColumn="0" w:lastColumn="0" w:oddVBand="0" w:evenVBand="0" w:oddHBand="0"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9529" w:type="dxa"/>
            <w:gridSpan w:val="6"/>
            <w:hideMark/>
          </w:tcPr>
          <w:p w14:paraId="1F5D6A54"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Nearshoring or local sourcing has improved supply chain reliability.</w:t>
            </w:r>
          </w:p>
        </w:tc>
      </w:tr>
      <w:tr w:rsidR="00607D14" w:rsidRPr="00D80577" w14:paraId="75D2C477" w14:textId="77777777" w:rsidTr="00E61BCE">
        <w:trPr>
          <w:cnfStyle w:val="000000100000" w:firstRow="0" w:lastRow="0" w:firstColumn="0" w:lastColumn="0" w:oddVBand="0" w:evenVBand="0" w:oddHBand="1"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1975" w:type="dxa"/>
            <w:noWrap/>
            <w:hideMark/>
          </w:tcPr>
          <w:p w14:paraId="659E353B"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75" w:type="dxa"/>
            <w:noWrap/>
            <w:hideMark/>
          </w:tcPr>
          <w:p w14:paraId="016D0C5A"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2004" w:type="dxa"/>
            <w:hideMark/>
          </w:tcPr>
          <w:p w14:paraId="4F7F8C1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90" w:type="dxa"/>
            <w:hideMark/>
          </w:tcPr>
          <w:p w14:paraId="6B2E65C9"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90" w:type="dxa"/>
            <w:hideMark/>
          </w:tcPr>
          <w:p w14:paraId="6E03B8FE"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91" w:type="dxa"/>
            <w:hideMark/>
          </w:tcPr>
          <w:p w14:paraId="1FDCD48C"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6F12CFD9"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75" w:type="dxa"/>
            <w:vMerge w:val="restart"/>
            <w:hideMark/>
          </w:tcPr>
          <w:p w14:paraId="31C7FF9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75" w:type="dxa"/>
            <w:hideMark/>
          </w:tcPr>
          <w:p w14:paraId="60A629F0"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2004" w:type="dxa"/>
            <w:noWrap/>
            <w:hideMark/>
          </w:tcPr>
          <w:p w14:paraId="61A3B85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90" w:type="dxa"/>
            <w:noWrap/>
            <w:hideMark/>
          </w:tcPr>
          <w:p w14:paraId="60E4183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0" w:type="dxa"/>
            <w:noWrap/>
            <w:hideMark/>
          </w:tcPr>
          <w:p w14:paraId="298175F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1" w:type="dxa"/>
            <w:noWrap/>
            <w:hideMark/>
          </w:tcPr>
          <w:p w14:paraId="6697F80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6964D2D8"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75" w:type="dxa"/>
            <w:vMerge/>
            <w:hideMark/>
          </w:tcPr>
          <w:p w14:paraId="3FBCB79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5" w:type="dxa"/>
            <w:hideMark/>
          </w:tcPr>
          <w:p w14:paraId="45DBC3CB"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2004" w:type="dxa"/>
            <w:noWrap/>
            <w:hideMark/>
          </w:tcPr>
          <w:p w14:paraId="1AF3157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w:t>
            </w:r>
          </w:p>
        </w:tc>
        <w:tc>
          <w:tcPr>
            <w:tcW w:w="1190" w:type="dxa"/>
            <w:noWrap/>
            <w:hideMark/>
          </w:tcPr>
          <w:p w14:paraId="7A8B647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6.7</w:t>
            </w:r>
          </w:p>
        </w:tc>
        <w:tc>
          <w:tcPr>
            <w:tcW w:w="1190" w:type="dxa"/>
            <w:noWrap/>
            <w:hideMark/>
          </w:tcPr>
          <w:p w14:paraId="5099710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6.7</w:t>
            </w:r>
          </w:p>
        </w:tc>
        <w:tc>
          <w:tcPr>
            <w:tcW w:w="1191" w:type="dxa"/>
            <w:noWrap/>
            <w:hideMark/>
          </w:tcPr>
          <w:p w14:paraId="2992376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9.3</w:t>
            </w:r>
          </w:p>
        </w:tc>
      </w:tr>
      <w:tr w:rsidR="00607D14" w:rsidRPr="00D80577" w14:paraId="1CC0957D"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75" w:type="dxa"/>
            <w:vMerge/>
            <w:hideMark/>
          </w:tcPr>
          <w:p w14:paraId="5BF9938A"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5" w:type="dxa"/>
            <w:hideMark/>
          </w:tcPr>
          <w:p w14:paraId="109E04A1"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2004" w:type="dxa"/>
            <w:noWrap/>
            <w:hideMark/>
          </w:tcPr>
          <w:p w14:paraId="192452C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17</w:t>
            </w:r>
          </w:p>
        </w:tc>
        <w:tc>
          <w:tcPr>
            <w:tcW w:w="1190" w:type="dxa"/>
            <w:noWrap/>
            <w:hideMark/>
          </w:tcPr>
          <w:p w14:paraId="21878DC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11.3</w:t>
            </w:r>
          </w:p>
        </w:tc>
        <w:tc>
          <w:tcPr>
            <w:tcW w:w="1190" w:type="dxa"/>
            <w:noWrap/>
            <w:hideMark/>
          </w:tcPr>
          <w:p w14:paraId="6856F910"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11.3</w:t>
            </w:r>
          </w:p>
        </w:tc>
        <w:tc>
          <w:tcPr>
            <w:tcW w:w="1191" w:type="dxa"/>
            <w:noWrap/>
            <w:hideMark/>
          </w:tcPr>
          <w:p w14:paraId="6B9DB89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20.7</w:t>
            </w:r>
          </w:p>
        </w:tc>
      </w:tr>
      <w:tr w:rsidR="00607D14" w:rsidRPr="00D80577" w14:paraId="3A05AAC1"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75" w:type="dxa"/>
            <w:vMerge/>
            <w:hideMark/>
          </w:tcPr>
          <w:p w14:paraId="23339B4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5" w:type="dxa"/>
            <w:hideMark/>
          </w:tcPr>
          <w:p w14:paraId="0DD8B57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2004" w:type="dxa"/>
            <w:noWrap/>
            <w:hideMark/>
          </w:tcPr>
          <w:p w14:paraId="4DB6FC7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79</w:t>
            </w:r>
          </w:p>
        </w:tc>
        <w:tc>
          <w:tcPr>
            <w:tcW w:w="1190" w:type="dxa"/>
            <w:noWrap/>
            <w:hideMark/>
          </w:tcPr>
          <w:p w14:paraId="000101D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52.7</w:t>
            </w:r>
          </w:p>
        </w:tc>
        <w:tc>
          <w:tcPr>
            <w:tcW w:w="1190" w:type="dxa"/>
            <w:noWrap/>
            <w:hideMark/>
          </w:tcPr>
          <w:p w14:paraId="41B0FC1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52.7</w:t>
            </w:r>
          </w:p>
        </w:tc>
        <w:tc>
          <w:tcPr>
            <w:tcW w:w="1191" w:type="dxa"/>
            <w:noWrap/>
            <w:hideMark/>
          </w:tcPr>
          <w:p w14:paraId="3DC497F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73.3</w:t>
            </w:r>
          </w:p>
        </w:tc>
      </w:tr>
      <w:tr w:rsidR="00607D14" w:rsidRPr="00D80577" w14:paraId="02F30E4B"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75" w:type="dxa"/>
            <w:vMerge/>
            <w:hideMark/>
          </w:tcPr>
          <w:p w14:paraId="06747C6B"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5" w:type="dxa"/>
            <w:hideMark/>
          </w:tcPr>
          <w:p w14:paraId="3DD5C13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2004" w:type="dxa"/>
            <w:noWrap/>
            <w:hideMark/>
          </w:tcPr>
          <w:p w14:paraId="4C62BC4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90" w:type="dxa"/>
            <w:noWrap/>
            <w:hideMark/>
          </w:tcPr>
          <w:p w14:paraId="02DE442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26.7</w:t>
            </w:r>
          </w:p>
        </w:tc>
        <w:tc>
          <w:tcPr>
            <w:tcW w:w="1190" w:type="dxa"/>
            <w:noWrap/>
            <w:hideMark/>
          </w:tcPr>
          <w:p w14:paraId="23E8EA1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26.7</w:t>
            </w:r>
          </w:p>
        </w:tc>
        <w:tc>
          <w:tcPr>
            <w:tcW w:w="1191" w:type="dxa"/>
            <w:noWrap/>
            <w:hideMark/>
          </w:tcPr>
          <w:p w14:paraId="3968C24E"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69CFDEFF"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75" w:type="dxa"/>
            <w:vMerge/>
            <w:hideMark/>
          </w:tcPr>
          <w:p w14:paraId="41781290"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75" w:type="dxa"/>
            <w:hideMark/>
          </w:tcPr>
          <w:p w14:paraId="366CE473"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2004" w:type="dxa"/>
            <w:noWrap/>
            <w:hideMark/>
          </w:tcPr>
          <w:p w14:paraId="0A84DADC"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90" w:type="dxa"/>
            <w:noWrap/>
            <w:hideMark/>
          </w:tcPr>
          <w:p w14:paraId="25CCDD8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0" w:type="dxa"/>
            <w:noWrap/>
            <w:hideMark/>
          </w:tcPr>
          <w:p w14:paraId="3F5C237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1" w:type="dxa"/>
            <w:hideMark/>
          </w:tcPr>
          <w:p w14:paraId="4CC983B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66AAC7B5" w14:textId="77777777" w:rsidR="00607D14" w:rsidRPr="00D80577" w:rsidRDefault="00607D14" w:rsidP="00607D14">
      <w:pPr>
        <w:rPr>
          <w:rFonts w:ascii="Arial" w:hAnsi="Arial" w:cs="Arial"/>
        </w:rPr>
      </w:pPr>
    </w:p>
    <w:p w14:paraId="40BC5A3F" w14:textId="4E81EE8E"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Three-quarters (75.4) of companies believe that digital tools increase disruption readiness. The fact that it is highly adopted shows that technology has increasingly been used to manage supply chain risks (RQ3) and that monitoring enhances response time and minimises operational and financial effects (RQ2).</w:t>
      </w:r>
    </w:p>
    <w:p w14:paraId="63DA0FD0"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lastRenderedPageBreak/>
        <w:drawing>
          <wp:inline distT="0" distB="0" distL="0" distR="0" wp14:anchorId="0BAF013E" wp14:editId="6F47620A">
            <wp:extent cx="5943600" cy="3345180"/>
            <wp:effectExtent l="0" t="0" r="0" b="7620"/>
            <wp:docPr id="10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 name="Picture 15"/>
                    <pic:cNvPicPr>
                      <a:picLocks noChangeAspect="1" noChangeArrowheads="1"/>
                    </pic:cNvPicPr>
                  </pic:nvPicPr>
                  <pic:blipFill>
                    <a:blip r:embed="rId27"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07A109AB" w14:textId="42003D6B" w:rsidR="009349E5" w:rsidRPr="00D80577" w:rsidRDefault="009349E5" w:rsidP="009349E5">
      <w:pPr>
        <w:pStyle w:val="Caption"/>
        <w:jc w:val="center"/>
        <w:rPr>
          <w:rFonts w:ascii="Arial" w:eastAsia="Calibri" w:hAnsi="Arial" w:cs="Arial"/>
          <w:i w:val="0"/>
          <w:iCs w:val="0"/>
          <w:sz w:val="22"/>
          <w:szCs w:val="22"/>
        </w:rPr>
      </w:pPr>
      <w:bookmarkStart w:id="81" w:name="_Toc220889972"/>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17</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Nearshoring or local sourcing</w:t>
      </w:r>
      <w:bookmarkEnd w:id="81"/>
    </w:p>
    <w:p w14:paraId="06E71D82" w14:textId="3AC4389D" w:rsidR="00607D14" w:rsidRPr="00D80577" w:rsidRDefault="00607D14" w:rsidP="00607D14">
      <w:pPr>
        <w:pStyle w:val="Caption"/>
        <w:keepNext/>
        <w:rPr>
          <w:rFonts w:ascii="Arial" w:hAnsi="Arial" w:cs="Arial"/>
          <w:i w:val="0"/>
          <w:iCs w:val="0"/>
          <w:sz w:val="22"/>
          <w:szCs w:val="22"/>
        </w:rPr>
      </w:pPr>
      <w:bookmarkStart w:id="82" w:name="_Toc220889995"/>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18</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13</w:t>
      </w:r>
      <w:bookmarkEnd w:id="82"/>
    </w:p>
    <w:tbl>
      <w:tblPr>
        <w:tblStyle w:val="PlainTable1"/>
        <w:tblW w:w="95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7"/>
        <w:gridCol w:w="1987"/>
        <w:gridCol w:w="2017"/>
        <w:gridCol w:w="1197"/>
        <w:gridCol w:w="1197"/>
        <w:gridCol w:w="1202"/>
      </w:tblGrid>
      <w:tr w:rsidR="00607D14" w:rsidRPr="00D80577" w14:paraId="4B302A9E" w14:textId="77777777" w:rsidTr="00E61BCE">
        <w:trPr>
          <w:cnfStyle w:val="100000000000" w:firstRow="1" w:lastRow="0" w:firstColumn="0" w:lastColumn="0" w:oddVBand="0" w:evenVBand="0" w:oddHBand="0" w:evenHBand="0" w:firstRowFirstColumn="0" w:firstRowLastColumn="0" w:lastRowFirstColumn="0" w:lastRowLastColumn="0"/>
          <w:trHeight w:val="601"/>
        </w:trPr>
        <w:tc>
          <w:tcPr>
            <w:cnfStyle w:val="001000000000" w:firstRow="0" w:lastRow="0" w:firstColumn="1" w:lastColumn="0" w:oddVBand="0" w:evenVBand="0" w:oddHBand="0" w:evenHBand="0" w:firstRowFirstColumn="0" w:firstRowLastColumn="0" w:lastRowFirstColumn="0" w:lastRowLastColumn="0"/>
            <w:tcW w:w="9587" w:type="dxa"/>
            <w:gridSpan w:val="6"/>
            <w:hideMark/>
          </w:tcPr>
          <w:p w14:paraId="14DF0785"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Digital supply chain monitoring tools have enhanced disruption preparedness.</w:t>
            </w:r>
          </w:p>
        </w:tc>
      </w:tr>
      <w:tr w:rsidR="00607D14" w:rsidRPr="00D80577" w14:paraId="4C292470" w14:textId="77777777" w:rsidTr="00E61BCE">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1987" w:type="dxa"/>
            <w:noWrap/>
            <w:hideMark/>
          </w:tcPr>
          <w:p w14:paraId="11DFDD2C"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87" w:type="dxa"/>
            <w:noWrap/>
            <w:hideMark/>
          </w:tcPr>
          <w:p w14:paraId="5434986E"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2017" w:type="dxa"/>
            <w:hideMark/>
          </w:tcPr>
          <w:p w14:paraId="00C89DB0"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97" w:type="dxa"/>
            <w:hideMark/>
          </w:tcPr>
          <w:p w14:paraId="2B5627B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97" w:type="dxa"/>
            <w:hideMark/>
          </w:tcPr>
          <w:p w14:paraId="233EECA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98" w:type="dxa"/>
            <w:hideMark/>
          </w:tcPr>
          <w:p w14:paraId="40099F18"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7D653A48"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87" w:type="dxa"/>
            <w:vMerge w:val="restart"/>
            <w:hideMark/>
          </w:tcPr>
          <w:p w14:paraId="6167AE35"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87" w:type="dxa"/>
            <w:hideMark/>
          </w:tcPr>
          <w:p w14:paraId="61931911"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2017" w:type="dxa"/>
            <w:noWrap/>
            <w:hideMark/>
          </w:tcPr>
          <w:p w14:paraId="63359E0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97" w:type="dxa"/>
            <w:noWrap/>
            <w:hideMark/>
          </w:tcPr>
          <w:p w14:paraId="1AFB7DB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7" w:type="dxa"/>
            <w:noWrap/>
            <w:hideMark/>
          </w:tcPr>
          <w:p w14:paraId="3D1341F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98" w:type="dxa"/>
            <w:noWrap/>
            <w:hideMark/>
          </w:tcPr>
          <w:p w14:paraId="26D6115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48050100"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87" w:type="dxa"/>
            <w:vMerge/>
            <w:hideMark/>
          </w:tcPr>
          <w:p w14:paraId="2F79D504"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7" w:type="dxa"/>
            <w:hideMark/>
          </w:tcPr>
          <w:p w14:paraId="6FEDD3D7"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2017" w:type="dxa"/>
            <w:noWrap/>
            <w:hideMark/>
          </w:tcPr>
          <w:p w14:paraId="11E4D3B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w:t>
            </w:r>
          </w:p>
        </w:tc>
        <w:tc>
          <w:tcPr>
            <w:tcW w:w="1197" w:type="dxa"/>
            <w:noWrap/>
            <w:hideMark/>
          </w:tcPr>
          <w:p w14:paraId="129A1F6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97" w:type="dxa"/>
            <w:noWrap/>
            <w:hideMark/>
          </w:tcPr>
          <w:p w14:paraId="3DB417D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c>
          <w:tcPr>
            <w:tcW w:w="1198" w:type="dxa"/>
            <w:noWrap/>
            <w:hideMark/>
          </w:tcPr>
          <w:p w14:paraId="4103C0B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8.7</w:t>
            </w:r>
          </w:p>
        </w:tc>
      </w:tr>
      <w:tr w:rsidR="00607D14" w:rsidRPr="00D80577" w14:paraId="3D7838D8"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87" w:type="dxa"/>
            <w:vMerge/>
            <w:hideMark/>
          </w:tcPr>
          <w:p w14:paraId="030432A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7" w:type="dxa"/>
            <w:hideMark/>
          </w:tcPr>
          <w:p w14:paraId="5317AF05"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2017" w:type="dxa"/>
            <w:noWrap/>
            <w:hideMark/>
          </w:tcPr>
          <w:p w14:paraId="4EA22CC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w:t>
            </w:r>
          </w:p>
        </w:tc>
        <w:tc>
          <w:tcPr>
            <w:tcW w:w="1197" w:type="dxa"/>
            <w:noWrap/>
            <w:hideMark/>
          </w:tcPr>
          <w:p w14:paraId="3E9DD17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16.0</w:t>
            </w:r>
          </w:p>
        </w:tc>
        <w:tc>
          <w:tcPr>
            <w:tcW w:w="1197" w:type="dxa"/>
            <w:noWrap/>
            <w:hideMark/>
          </w:tcPr>
          <w:p w14:paraId="4778F0D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16.0</w:t>
            </w:r>
          </w:p>
        </w:tc>
        <w:tc>
          <w:tcPr>
            <w:tcW w:w="1198" w:type="dxa"/>
            <w:noWrap/>
            <w:hideMark/>
          </w:tcPr>
          <w:p w14:paraId="05BCF7B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r>
      <w:tr w:rsidR="00607D14" w:rsidRPr="00D80577" w14:paraId="7FDC6F5A"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87" w:type="dxa"/>
            <w:vMerge/>
            <w:hideMark/>
          </w:tcPr>
          <w:p w14:paraId="482978A1"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7" w:type="dxa"/>
            <w:hideMark/>
          </w:tcPr>
          <w:p w14:paraId="7A05A13C"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2017" w:type="dxa"/>
            <w:noWrap/>
            <w:hideMark/>
          </w:tcPr>
          <w:p w14:paraId="4507787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79</w:t>
            </w:r>
          </w:p>
        </w:tc>
        <w:tc>
          <w:tcPr>
            <w:tcW w:w="1197" w:type="dxa"/>
            <w:noWrap/>
            <w:hideMark/>
          </w:tcPr>
          <w:p w14:paraId="4AA4C52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52.7</w:t>
            </w:r>
          </w:p>
        </w:tc>
        <w:tc>
          <w:tcPr>
            <w:tcW w:w="1197" w:type="dxa"/>
            <w:noWrap/>
            <w:hideMark/>
          </w:tcPr>
          <w:p w14:paraId="2E2BEF7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52.7</w:t>
            </w:r>
          </w:p>
        </w:tc>
        <w:tc>
          <w:tcPr>
            <w:tcW w:w="1198" w:type="dxa"/>
            <w:noWrap/>
            <w:hideMark/>
          </w:tcPr>
          <w:p w14:paraId="668E659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77.3</w:t>
            </w:r>
          </w:p>
        </w:tc>
      </w:tr>
      <w:tr w:rsidR="00607D14" w:rsidRPr="00D80577" w14:paraId="302CE97A" w14:textId="77777777" w:rsidTr="00E61BCE">
        <w:trPr>
          <w:trHeight w:val="283"/>
        </w:trPr>
        <w:tc>
          <w:tcPr>
            <w:cnfStyle w:val="001000000000" w:firstRow="0" w:lastRow="0" w:firstColumn="1" w:lastColumn="0" w:oddVBand="0" w:evenVBand="0" w:oddHBand="0" w:evenHBand="0" w:firstRowFirstColumn="0" w:firstRowLastColumn="0" w:lastRowFirstColumn="0" w:lastRowLastColumn="0"/>
            <w:tcW w:w="1987" w:type="dxa"/>
            <w:vMerge/>
            <w:hideMark/>
          </w:tcPr>
          <w:p w14:paraId="46A8C88E"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7" w:type="dxa"/>
            <w:hideMark/>
          </w:tcPr>
          <w:p w14:paraId="5422C8F9"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2017" w:type="dxa"/>
            <w:noWrap/>
            <w:hideMark/>
          </w:tcPr>
          <w:p w14:paraId="5584ED0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34</w:t>
            </w:r>
          </w:p>
        </w:tc>
        <w:tc>
          <w:tcPr>
            <w:tcW w:w="1197" w:type="dxa"/>
            <w:noWrap/>
            <w:hideMark/>
          </w:tcPr>
          <w:p w14:paraId="6786B11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97" w:type="dxa"/>
            <w:noWrap/>
            <w:hideMark/>
          </w:tcPr>
          <w:p w14:paraId="3545718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98" w:type="dxa"/>
            <w:noWrap/>
            <w:hideMark/>
          </w:tcPr>
          <w:p w14:paraId="44208F7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6BF7C2BF" w14:textId="77777777" w:rsidTr="00E61B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987" w:type="dxa"/>
            <w:vMerge/>
            <w:hideMark/>
          </w:tcPr>
          <w:p w14:paraId="4605C2F7"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87" w:type="dxa"/>
            <w:hideMark/>
          </w:tcPr>
          <w:p w14:paraId="661548CE"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2017" w:type="dxa"/>
            <w:noWrap/>
            <w:hideMark/>
          </w:tcPr>
          <w:p w14:paraId="5997073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97" w:type="dxa"/>
            <w:noWrap/>
            <w:hideMark/>
          </w:tcPr>
          <w:p w14:paraId="11FB9C0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7" w:type="dxa"/>
            <w:noWrap/>
            <w:hideMark/>
          </w:tcPr>
          <w:p w14:paraId="7C9E498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98" w:type="dxa"/>
            <w:hideMark/>
          </w:tcPr>
          <w:p w14:paraId="5F76CF3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1AF716D2" w14:textId="77777777" w:rsidR="00607D14" w:rsidRPr="00D80577" w:rsidRDefault="00607D14" w:rsidP="00607D14">
      <w:pPr>
        <w:rPr>
          <w:rFonts w:ascii="Arial" w:hAnsi="Arial" w:cs="Arial"/>
        </w:rPr>
      </w:pPr>
    </w:p>
    <w:p w14:paraId="14332C77" w14:textId="017CCFDC"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70% of the participants say they agree or strongly agree that collaboration is a resilience enhancer. This emphasises the role of cooperative relationships in reducing supply chain risks (RQ3) and contributes to the continuity of operations through the implementation of improved coordination and contingency planning (RQ2).</w:t>
      </w:r>
    </w:p>
    <w:p w14:paraId="3D1721AE"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lastRenderedPageBreak/>
        <w:drawing>
          <wp:inline distT="0" distB="0" distL="0" distR="0" wp14:anchorId="36B3E0A8" wp14:editId="330B796A">
            <wp:extent cx="5943600" cy="3345180"/>
            <wp:effectExtent l="0" t="0" r="0" b="7620"/>
            <wp:docPr id="10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6"/>
                    <pic:cNvPicPr>
                      <a:picLocks noChangeAspect="1" noChangeArrowheads="1"/>
                    </pic:cNvPicPr>
                  </pic:nvPicPr>
                  <pic:blipFill>
                    <a:blip r:embed="rId28"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19B39F0F" w14:textId="7AE29DF9" w:rsidR="009349E5" w:rsidRPr="00D80577" w:rsidRDefault="009349E5" w:rsidP="009349E5">
      <w:pPr>
        <w:pStyle w:val="Caption"/>
        <w:jc w:val="center"/>
        <w:rPr>
          <w:rFonts w:ascii="Arial" w:eastAsia="Calibri" w:hAnsi="Arial" w:cs="Arial"/>
          <w:i w:val="0"/>
          <w:iCs w:val="0"/>
          <w:sz w:val="22"/>
          <w:szCs w:val="22"/>
        </w:rPr>
      </w:pPr>
      <w:bookmarkStart w:id="83" w:name="_Toc220889973"/>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18</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Digital supply chain monitoring tools</w:t>
      </w:r>
      <w:bookmarkEnd w:id="83"/>
    </w:p>
    <w:p w14:paraId="07157672" w14:textId="731DADDF" w:rsidR="00607D14" w:rsidRPr="00D80577" w:rsidRDefault="00607D14" w:rsidP="00607D14">
      <w:pPr>
        <w:pStyle w:val="Caption"/>
        <w:keepNext/>
        <w:rPr>
          <w:rFonts w:ascii="Arial" w:hAnsi="Arial" w:cs="Arial"/>
          <w:i w:val="0"/>
          <w:iCs w:val="0"/>
          <w:sz w:val="22"/>
          <w:szCs w:val="22"/>
          <w:lang w:val="fr-FR"/>
        </w:rPr>
      </w:pPr>
      <w:bookmarkStart w:id="84" w:name="_Toc220889996"/>
      <w:r w:rsidRPr="00D80577">
        <w:rPr>
          <w:rFonts w:ascii="Arial" w:hAnsi="Arial" w:cs="Arial"/>
          <w:i w:val="0"/>
          <w:iCs w:val="0"/>
          <w:sz w:val="22"/>
          <w:szCs w:val="22"/>
          <w:lang w:val="fr-FR"/>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lang w:val="fr-FR"/>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lang w:val="fr-FR"/>
        </w:rPr>
        <w:t>19</w:t>
      </w:r>
      <w:r w:rsidRPr="00D80577">
        <w:rPr>
          <w:rFonts w:ascii="Arial" w:hAnsi="Arial" w:cs="Arial"/>
          <w:i w:val="0"/>
          <w:iCs w:val="0"/>
          <w:sz w:val="22"/>
          <w:szCs w:val="22"/>
        </w:rPr>
        <w:fldChar w:fldCharType="end"/>
      </w:r>
      <w:r w:rsidRPr="00D80577">
        <w:rPr>
          <w:rFonts w:ascii="Arial" w:hAnsi="Arial" w:cs="Arial"/>
          <w:i w:val="0"/>
          <w:iCs w:val="0"/>
          <w:sz w:val="22"/>
          <w:szCs w:val="22"/>
          <w:lang w:val="fr-FR"/>
        </w:rPr>
        <w:t xml:space="preserve"> Response to Questionnaire Statement 14</w:t>
      </w:r>
      <w:bookmarkEnd w:id="84"/>
    </w:p>
    <w:tbl>
      <w:tblPr>
        <w:tblStyle w:val="PlainTable1"/>
        <w:tblW w:w="9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3"/>
        <w:gridCol w:w="1963"/>
        <w:gridCol w:w="1992"/>
        <w:gridCol w:w="1183"/>
        <w:gridCol w:w="1183"/>
        <w:gridCol w:w="1188"/>
      </w:tblGrid>
      <w:tr w:rsidR="00607D14" w:rsidRPr="00D80577" w14:paraId="76F8EFD3" w14:textId="77777777" w:rsidTr="00E61BCE">
        <w:trPr>
          <w:cnfStyle w:val="100000000000" w:firstRow="1" w:lastRow="0" w:firstColumn="0" w:lastColumn="0" w:oddVBand="0" w:evenVBand="0" w:oddHBand="0"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9472" w:type="dxa"/>
            <w:gridSpan w:val="6"/>
            <w:hideMark/>
          </w:tcPr>
          <w:p w14:paraId="0A3D9139"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Collaboration with suppliers improves resilience during international disruptions.</w:t>
            </w:r>
          </w:p>
        </w:tc>
      </w:tr>
      <w:tr w:rsidR="00607D14" w:rsidRPr="00D80577" w14:paraId="27814463" w14:textId="77777777" w:rsidTr="00E61BCE">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1963" w:type="dxa"/>
            <w:noWrap/>
            <w:hideMark/>
          </w:tcPr>
          <w:p w14:paraId="471573BA"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63" w:type="dxa"/>
            <w:noWrap/>
            <w:hideMark/>
          </w:tcPr>
          <w:p w14:paraId="1D058D0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92" w:type="dxa"/>
            <w:hideMark/>
          </w:tcPr>
          <w:p w14:paraId="78FEF816"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83" w:type="dxa"/>
            <w:hideMark/>
          </w:tcPr>
          <w:p w14:paraId="688061F2"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83" w:type="dxa"/>
            <w:hideMark/>
          </w:tcPr>
          <w:p w14:paraId="203A67CB"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4" w:type="dxa"/>
            <w:hideMark/>
          </w:tcPr>
          <w:p w14:paraId="7BAC9947"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5B03F7CA" w14:textId="77777777" w:rsidTr="00E61BCE">
        <w:trPr>
          <w:trHeight w:val="310"/>
        </w:trPr>
        <w:tc>
          <w:tcPr>
            <w:cnfStyle w:val="001000000000" w:firstRow="0" w:lastRow="0" w:firstColumn="1" w:lastColumn="0" w:oddVBand="0" w:evenVBand="0" w:oddHBand="0" w:evenHBand="0" w:firstRowFirstColumn="0" w:firstRowLastColumn="0" w:lastRowFirstColumn="0" w:lastRowLastColumn="0"/>
            <w:tcW w:w="1963" w:type="dxa"/>
            <w:vMerge w:val="restart"/>
            <w:hideMark/>
          </w:tcPr>
          <w:p w14:paraId="25294CBA"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63" w:type="dxa"/>
            <w:hideMark/>
          </w:tcPr>
          <w:p w14:paraId="3C714F57"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92" w:type="dxa"/>
            <w:noWrap/>
            <w:hideMark/>
          </w:tcPr>
          <w:p w14:paraId="61FD994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83" w:type="dxa"/>
            <w:noWrap/>
            <w:hideMark/>
          </w:tcPr>
          <w:p w14:paraId="58EEA02C"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3" w:type="dxa"/>
            <w:noWrap/>
            <w:hideMark/>
          </w:tcPr>
          <w:p w14:paraId="55838E3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4" w:type="dxa"/>
            <w:noWrap/>
            <w:hideMark/>
          </w:tcPr>
          <w:p w14:paraId="32F4238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r>
      <w:tr w:rsidR="00607D14" w:rsidRPr="00D80577" w14:paraId="720C79E1" w14:textId="77777777" w:rsidTr="00E61BCE">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963" w:type="dxa"/>
            <w:vMerge/>
            <w:hideMark/>
          </w:tcPr>
          <w:p w14:paraId="4245E2FD"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3" w:type="dxa"/>
            <w:hideMark/>
          </w:tcPr>
          <w:p w14:paraId="0E21DF4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92" w:type="dxa"/>
            <w:noWrap/>
            <w:hideMark/>
          </w:tcPr>
          <w:p w14:paraId="447E5DD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w:t>
            </w:r>
          </w:p>
        </w:tc>
        <w:tc>
          <w:tcPr>
            <w:tcW w:w="1183" w:type="dxa"/>
            <w:noWrap/>
            <w:hideMark/>
          </w:tcPr>
          <w:p w14:paraId="3EE2AE70"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3" w:type="dxa"/>
            <w:noWrap/>
            <w:hideMark/>
          </w:tcPr>
          <w:p w14:paraId="194AD468"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2.7</w:t>
            </w:r>
          </w:p>
        </w:tc>
        <w:tc>
          <w:tcPr>
            <w:tcW w:w="1184" w:type="dxa"/>
            <w:noWrap/>
            <w:hideMark/>
          </w:tcPr>
          <w:p w14:paraId="66C36BD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r>
      <w:tr w:rsidR="00607D14" w:rsidRPr="00D80577" w14:paraId="4E74A25B" w14:textId="77777777" w:rsidTr="00E61BCE">
        <w:trPr>
          <w:trHeight w:val="310"/>
        </w:trPr>
        <w:tc>
          <w:tcPr>
            <w:cnfStyle w:val="001000000000" w:firstRow="0" w:lastRow="0" w:firstColumn="1" w:lastColumn="0" w:oddVBand="0" w:evenVBand="0" w:oddHBand="0" w:evenHBand="0" w:firstRowFirstColumn="0" w:firstRowLastColumn="0" w:lastRowFirstColumn="0" w:lastRowLastColumn="0"/>
            <w:tcW w:w="1963" w:type="dxa"/>
            <w:vMerge/>
            <w:hideMark/>
          </w:tcPr>
          <w:p w14:paraId="63ACB315"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3" w:type="dxa"/>
            <w:hideMark/>
          </w:tcPr>
          <w:p w14:paraId="735F20B1"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Neutral</w:t>
            </w:r>
          </w:p>
        </w:tc>
        <w:tc>
          <w:tcPr>
            <w:tcW w:w="1992" w:type="dxa"/>
            <w:noWrap/>
            <w:hideMark/>
          </w:tcPr>
          <w:p w14:paraId="23760E0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37</w:t>
            </w:r>
          </w:p>
        </w:tc>
        <w:tc>
          <w:tcPr>
            <w:tcW w:w="1183" w:type="dxa"/>
            <w:noWrap/>
            <w:hideMark/>
          </w:tcPr>
          <w:p w14:paraId="0303FED4"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c>
          <w:tcPr>
            <w:tcW w:w="1183" w:type="dxa"/>
            <w:noWrap/>
            <w:hideMark/>
          </w:tcPr>
          <w:p w14:paraId="4B53C2E9"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24.7</w:t>
            </w:r>
          </w:p>
        </w:tc>
        <w:tc>
          <w:tcPr>
            <w:tcW w:w="1184" w:type="dxa"/>
            <w:noWrap/>
            <w:hideMark/>
          </w:tcPr>
          <w:p w14:paraId="676951D1"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30.0</w:t>
            </w:r>
          </w:p>
        </w:tc>
      </w:tr>
      <w:tr w:rsidR="00607D14" w:rsidRPr="00D80577" w14:paraId="1C68CF37" w14:textId="77777777" w:rsidTr="00E61BCE">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963" w:type="dxa"/>
            <w:vMerge/>
            <w:hideMark/>
          </w:tcPr>
          <w:p w14:paraId="6B855852"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3" w:type="dxa"/>
            <w:hideMark/>
          </w:tcPr>
          <w:p w14:paraId="759A24C4"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92" w:type="dxa"/>
            <w:noWrap/>
            <w:hideMark/>
          </w:tcPr>
          <w:p w14:paraId="3581717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73</w:t>
            </w:r>
          </w:p>
        </w:tc>
        <w:tc>
          <w:tcPr>
            <w:tcW w:w="1183" w:type="dxa"/>
            <w:noWrap/>
            <w:hideMark/>
          </w:tcPr>
          <w:p w14:paraId="41EA71E4"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48.7</w:t>
            </w:r>
          </w:p>
        </w:tc>
        <w:tc>
          <w:tcPr>
            <w:tcW w:w="1183" w:type="dxa"/>
            <w:noWrap/>
            <w:hideMark/>
          </w:tcPr>
          <w:p w14:paraId="5A20103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48.7</w:t>
            </w:r>
          </w:p>
        </w:tc>
        <w:tc>
          <w:tcPr>
            <w:tcW w:w="1184" w:type="dxa"/>
            <w:noWrap/>
            <w:hideMark/>
          </w:tcPr>
          <w:p w14:paraId="1B1C014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78.7</w:t>
            </w:r>
          </w:p>
        </w:tc>
      </w:tr>
      <w:tr w:rsidR="00607D14" w:rsidRPr="00D80577" w14:paraId="268D5024" w14:textId="77777777" w:rsidTr="00E61BCE">
        <w:trPr>
          <w:trHeight w:val="310"/>
        </w:trPr>
        <w:tc>
          <w:tcPr>
            <w:cnfStyle w:val="001000000000" w:firstRow="0" w:lastRow="0" w:firstColumn="1" w:lastColumn="0" w:oddVBand="0" w:evenVBand="0" w:oddHBand="0" w:evenHBand="0" w:firstRowFirstColumn="0" w:firstRowLastColumn="0" w:lastRowFirstColumn="0" w:lastRowLastColumn="0"/>
            <w:tcW w:w="1963" w:type="dxa"/>
            <w:vMerge/>
            <w:hideMark/>
          </w:tcPr>
          <w:p w14:paraId="7BE2381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3" w:type="dxa"/>
            <w:hideMark/>
          </w:tcPr>
          <w:p w14:paraId="308E8C4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92" w:type="dxa"/>
            <w:noWrap/>
            <w:hideMark/>
          </w:tcPr>
          <w:p w14:paraId="67A8ED1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32</w:t>
            </w:r>
          </w:p>
        </w:tc>
        <w:tc>
          <w:tcPr>
            <w:tcW w:w="1183" w:type="dxa"/>
            <w:noWrap/>
            <w:hideMark/>
          </w:tcPr>
          <w:p w14:paraId="569C6F0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83" w:type="dxa"/>
            <w:noWrap/>
            <w:hideMark/>
          </w:tcPr>
          <w:p w14:paraId="4A5B8FE5"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w:t>
            </w:r>
          </w:p>
        </w:tc>
        <w:tc>
          <w:tcPr>
            <w:tcW w:w="1184" w:type="dxa"/>
            <w:noWrap/>
            <w:hideMark/>
          </w:tcPr>
          <w:p w14:paraId="35AC1ACF"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39CDCE26" w14:textId="77777777" w:rsidTr="00E61BCE">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963" w:type="dxa"/>
            <w:vMerge/>
            <w:hideMark/>
          </w:tcPr>
          <w:p w14:paraId="16483FD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63" w:type="dxa"/>
            <w:hideMark/>
          </w:tcPr>
          <w:p w14:paraId="6CC69909"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92" w:type="dxa"/>
            <w:noWrap/>
            <w:hideMark/>
          </w:tcPr>
          <w:p w14:paraId="19E9DE5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83" w:type="dxa"/>
            <w:noWrap/>
            <w:hideMark/>
          </w:tcPr>
          <w:p w14:paraId="3C04656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3" w:type="dxa"/>
            <w:noWrap/>
            <w:hideMark/>
          </w:tcPr>
          <w:p w14:paraId="0FB43063"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4" w:type="dxa"/>
            <w:hideMark/>
          </w:tcPr>
          <w:p w14:paraId="0EB1105F"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276A6624" w14:textId="77777777" w:rsidR="00607D14" w:rsidRPr="00D80577" w:rsidRDefault="00607D14" w:rsidP="00607D14">
      <w:pPr>
        <w:rPr>
          <w:rFonts w:ascii="Arial" w:hAnsi="Arial" w:cs="Arial"/>
        </w:rPr>
      </w:pPr>
    </w:p>
    <w:p w14:paraId="37DD40DB" w14:textId="17B51DB6" w:rsidR="00607D14" w:rsidRPr="00D80577" w:rsidRDefault="003D13A2" w:rsidP="003D13A2">
      <w:pPr>
        <w:spacing w:line="360" w:lineRule="auto"/>
        <w:jc w:val="both"/>
        <w:rPr>
          <w:rFonts w:ascii="Arial" w:eastAsia="Calibri" w:hAnsi="Arial" w:cs="Arial"/>
        </w:rPr>
      </w:pPr>
      <w:r w:rsidRPr="00D80577">
        <w:rPr>
          <w:rFonts w:ascii="Arial" w:eastAsia="Calibri" w:hAnsi="Arial" w:cs="Arial"/>
        </w:rPr>
        <w:t>One out of every three (71.4) indicates that government support helps it in countering supply chain risks. It is an external intervention by which firms reduce the effects of operations and financial, which corroborates RQ3 on mitigation strategies. It also has an indirect effect of keeping the production efficiency and the general performance of the business (RQ2).</w:t>
      </w:r>
    </w:p>
    <w:p w14:paraId="03906CE4"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lastRenderedPageBreak/>
        <w:drawing>
          <wp:inline distT="0" distB="0" distL="0" distR="0" wp14:anchorId="3476514C" wp14:editId="3BE43BF1">
            <wp:extent cx="5943600" cy="3345180"/>
            <wp:effectExtent l="0" t="0" r="0" b="7620"/>
            <wp:docPr id="10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 name="Picture 17"/>
                    <pic:cNvPicPr>
                      <a:picLocks noChangeAspect="1" noChangeArrowheads="1"/>
                    </pic:cNvPicPr>
                  </pic:nvPicPr>
                  <pic:blipFill>
                    <a:blip r:embed="rId29" cstate="print"/>
                    <a:srcRect/>
                    <a:stretch>
                      <a:fillRect/>
                    </a:stretch>
                  </pic:blipFill>
                  <pic:spPr>
                    <a:xfrm>
                      <a:off x="0" y="0"/>
                      <a:ext cx="5943600" cy="3345180"/>
                    </a:xfrm>
                    <a:prstGeom prst="rect">
                      <a:avLst/>
                    </a:prstGeom>
                    <a:noFill/>
                    <a:ln w="1">
                      <a:noFill/>
                      <a:miter lim="800000"/>
                      <a:headEnd/>
                      <a:tailEnd type="none" w="med" len="med"/>
                    </a:ln>
                    <a:effectLst/>
                  </pic:spPr>
                </pic:pic>
              </a:graphicData>
            </a:graphic>
          </wp:inline>
        </w:drawing>
      </w:r>
    </w:p>
    <w:p w14:paraId="75BF460C" w14:textId="787BEFAD" w:rsidR="009349E5" w:rsidRPr="00D80577" w:rsidRDefault="009349E5" w:rsidP="009349E5">
      <w:pPr>
        <w:pStyle w:val="Caption"/>
        <w:jc w:val="center"/>
        <w:rPr>
          <w:rFonts w:ascii="Arial" w:eastAsia="Calibri" w:hAnsi="Arial" w:cs="Arial"/>
          <w:i w:val="0"/>
          <w:iCs w:val="0"/>
          <w:sz w:val="22"/>
          <w:szCs w:val="22"/>
        </w:rPr>
      </w:pPr>
      <w:bookmarkStart w:id="85" w:name="_Toc220889974"/>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19</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Collaboration with suppliers</w:t>
      </w:r>
      <w:bookmarkEnd w:id="85"/>
    </w:p>
    <w:p w14:paraId="5C51F851" w14:textId="335BD55E" w:rsidR="00607D14" w:rsidRPr="00D80577" w:rsidRDefault="00607D14" w:rsidP="00607D14">
      <w:pPr>
        <w:pStyle w:val="Caption"/>
        <w:keepNext/>
        <w:rPr>
          <w:rFonts w:ascii="Arial" w:hAnsi="Arial" w:cs="Arial"/>
          <w:i w:val="0"/>
          <w:iCs w:val="0"/>
          <w:sz w:val="22"/>
          <w:szCs w:val="22"/>
        </w:rPr>
      </w:pPr>
      <w:bookmarkStart w:id="86" w:name="_Toc220889997"/>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20</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Response to Questionnaire Statement 15</w:t>
      </w:r>
      <w:bookmarkEnd w:id="86"/>
    </w:p>
    <w:tbl>
      <w:tblPr>
        <w:tblStyle w:val="PlainTable1"/>
        <w:tblW w:w="9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7"/>
        <w:gridCol w:w="1957"/>
        <w:gridCol w:w="1986"/>
        <w:gridCol w:w="1179"/>
        <w:gridCol w:w="1179"/>
        <w:gridCol w:w="1185"/>
      </w:tblGrid>
      <w:tr w:rsidR="00607D14" w:rsidRPr="00D80577" w14:paraId="346BD7FD" w14:textId="77777777" w:rsidTr="00E61BCE">
        <w:trPr>
          <w:cnfStyle w:val="100000000000" w:firstRow="1" w:lastRow="0" w:firstColumn="0" w:lastColumn="0" w:oddVBand="0" w:evenVBand="0" w:oddHBand="0" w:evenHBand="0" w:firstRowFirstColumn="0" w:firstRowLastColumn="0" w:lastRowFirstColumn="0" w:lastRowLastColumn="0"/>
          <w:trHeight w:val="653"/>
        </w:trPr>
        <w:tc>
          <w:tcPr>
            <w:cnfStyle w:val="001000000000" w:firstRow="0" w:lastRow="0" w:firstColumn="1" w:lastColumn="0" w:oddVBand="0" w:evenVBand="0" w:oddHBand="0" w:evenHBand="0" w:firstRowFirstColumn="0" w:firstRowLastColumn="0" w:lastRowFirstColumn="0" w:lastRowLastColumn="0"/>
            <w:tcW w:w="9443" w:type="dxa"/>
            <w:gridSpan w:val="6"/>
            <w:hideMark/>
          </w:tcPr>
          <w:p w14:paraId="3E0DD9DD"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Government support schemes have assisted in managing supply chain risks effectively.</w:t>
            </w:r>
          </w:p>
        </w:tc>
      </w:tr>
      <w:tr w:rsidR="00607D14" w:rsidRPr="00D80577" w14:paraId="1EF5D2E2" w14:textId="77777777" w:rsidTr="00E61BCE">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1957" w:type="dxa"/>
            <w:noWrap/>
            <w:hideMark/>
          </w:tcPr>
          <w:p w14:paraId="2849E38C" w14:textId="77777777" w:rsidR="00607D14" w:rsidRPr="00D80577" w:rsidRDefault="00607D14" w:rsidP="00E61BCE">
            <w:pPr>
              <w:spacing w:after="0" w:line="240" w:lineRule="auto"/>
              <w:jc w:val="center"/>
              <w:rPr>
                <w:rFonts w:ascii="Arial" w:eastAsia="Times New Roman" w:hAnsi="Arial" w:cs="Arial"/>
                <w:color w:val="010205"/>
                <w:kern w:val="0"/>
                <w:sz w:val="22"/>
                <w:szCs w:val="22"/>
                <w14:ligatures w14:val="none"/>
              </w:rPr>
            </w:pPr>
          </w:p>
        </w:tc>
        <w:tc>
          <w:tcPr>
            <w:tcW w:w="1957" w:type="dxa"/>
            <w:noWrap/>
            <w:hideMark/>
          </w:tcPr>
          <w:p w14:paraId="35AB3525"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1986" w:type="dxa"/>
            <w:hideMark/>
          </w:tcPr>
          <w:p w14:paraId="0422AAA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Frequency</w:t>
            </w:r>
          </w:p>
        </w:tc>
        <w:tc>
          <w:tcPr>
            <w:tcW w:w="1179" w:type="dxa"/>
            <w:hideMark/>
          </w:tcPr>
          <w:p w14:paraId="40F8A254"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Percent</w:t>
            </w:r>
          </w:p>
        </w:tc>
        <w:tc>
          <w:tcPr>
            <w:tcW w:w="1179" w:type="dxa"/>
            <w:hideMark/>
          </w:tcPr>
          <w:p w14:paraId="1D784111"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 Percent</w:t>
            </w:r>
          </w:p>
        </w:tc>
        <w:tc>
          <w:tcPr>
            <w:tcW w:w="1180" w:type="dxa"/>
            <w:hideMark/>
          </w:tcPr>
          <w:p w14:paraId="2964E6C5" w14:textId="77777777" w:rsidR="00607D14" w:rsidRPr="00D80577" w:rsidRDefault="00607D14" w:rsidP="00E61BCE">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Cumulative Percent</w:t>
            </w:r>
          </w:p>
        </w:tc>
      </w:tr>
      <w:tr w:rsidR="00607D14" w:rsidRPr="00D80577" w14:paraId="58B2A028" w14:textId="77777777" w:rsidTr="00E61BCE">
        <w:trPr>
          <w:trHeight w:val="307"/>
        </w:trPr>
        <w:tc>
          <w:tcPr>
            <w:cnfStyle w:val="001000000000" w:firstRow="0" w:lastRow="0" w:firstColumn="1" w:lastColumn="0" w:oddVBand="0" w:evenVBand="0" w:oddHBand="0" w:evenHBand="0" w:firstRowFirstColumn="0" w:firstRowLastColumn="0" w:lastRowFirstColumn="0" w:lastRowLastColumn="0"/>
            <w:tcW w:w="1957" w:type="dxa"/>
            <w:vMerge w:val="restart"/>
            <w:hideMark/>
          </w:tcPr>
          <w:p w14:paraId="57A7EE3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Valid</w:t>
            </w:r>
          </w:p>
        </w:tc>
        <w:tc>
          <w:tcPr>
            <w:tcW w:w="1957" w:type="dxa"/>
            <w:hideMark/>
          </w:tcPr>
          <w:p w14:paraId="606B4E3C"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Disagree</w:t>
            </w:r>
          </w:p>
        </w:tc>
        <w:tc>
          <w:tcPr>
            <w:tcW w:w="1986" w:type="dxa"/>
            <w:noWrap/>
            <w:hideMark/>
          </w:tcPr>
          <w:p w14:paraId="0FA536D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w:t>
            </w:r>
          </w:p>
        </w:tc>
        <w:tc>
          <w:tcPr>
            <w:tcW w:w="1179" w:type="dxa"/>
            <w:noWrap/>
            <w:hideMark/>
          </w:tcPr>
          <w:p w14:paraId="503627F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c>
          <w:tcPr>
            <w:tcW w:w="1179" w:type="dxa"/>
            <w:noWrap/>
            <w:hideMark/>
          </w:tcPr>
          <w:p w14:paraId="48A8996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c>
          <w:tcPr>
            <w:tcW w:w="1180" w:type="dxa"/>
            <w:noWrap/>
            <w:hideMark/>
          </w:tcPr>
          <w:p w14:paraId="071200BA"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5.3</w:t>
            </w:r>
          </w:p>
        </w:tc>
      </w:tr>
      <w:tr w:rsidR="00607D14" w:rsidRPr="00D80577" w14:paraId="7DB106CD" w14:textId="77777777" w:rsidTr="00E61BCE">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57" w:type="dxa"/>
            <w:vMerge/>
            <w:hideMark/>
          </w:tcPr>
          <w:p w14:paraId="57B70E6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7" w:type="dxa"/>
            <w:hideMark/>
          </w:tcPr>
          <w:p w14:paraId="24B0402A"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Disagree</w:t>
            </w:r>
          </w:p>
        </w:tc>
        <w:tc>
          <w:tcPr>
            <w:tcW w:w="1986" w:type="dxa"/>
            <w:noWrap/>
            <w:hideMark/>
          </w:tcPr>
          <w:p w14:paraId="189A4E5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1179" w:type="dxa"/>
            <w:noWrap/>
            <w:hideMark/>
          </w:tcPr>
          <w:p w14:paraId="72BB6911"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w:t>
            </w:r>
          </w:p>
        </w:tc>
        <w:tc>
          <w:tcPr>
            <w:tcW w:w="1179" w:type="dxa"/>
            <w:noWrap/>
            <w:hideMark/>
          </w:tcPr>
          <w:p w14:paraId="1ABAA3BE"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w:t>
            </w:r>
          </w:p>
        </w:tc>
        <w:tc>
          <w:tcPr>
            <w:tcW w:w="1180" w:type="dxa"/>
            <w:noWrap/>
            <w:hideMark/>
          </w:tcPr>
          <w:p w14:paraId="05287F87"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w:t>
            </w:r>
          </w:p>
        </w:tc>
      </w:tr>
      <w:tr w:rsidR="00607D14" w:rsidRPr="00D80577" w14:paraId="2649BD1D" w14:textId="77777777" w:rsidTr="00E61BCE">
        <w:trPr>
          <w:trHeight w:val="307"/>
        </w:trPr>
        <w:tc>
          <w:tcPr>
            <w:cnfStyle w:val="001000000000" w:firstRow="0" w:lastRow="0" w:firstColumn="1" w:lastColumn="0" w:oddVBand="0" w:evenVBand="0" w:oddHBand="0" w:evenHBand="0" w:firstRowFirstColumn="0" w:firstRowLastColumn="0" w:lastRowFirstColumn="0" w:lastRowLastColumn="0"/>
            <w:tcW w:w="1957" w:type="dxa"/>
            <w:vMerge/>
            <w:hideMark/>
          </w:tcPr>
          <w:p w14:paraId="0B5EDF7C"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7" w:type="dxa"/>
            <w:hideMark/>
          </w:tcPr>
          <w:p w14:paraId="75EB90E6" w14:textId="77777777" w:rsidR="009349E5"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Neut</w:t>
            </w:r>
          </w:p>
          <w:p w14:paraId="51B05902" w14:textId="214434D5" w:rsidR="00607D14" w:rsidRPr="00D80577" w:rsidRDefault="009349E5"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w:t>
            </w:r>
            <w:r w:rsidR="00607D14" w:rsidRPr="00D80577">
              <w:rPr>
                <w:rFonts w:ascii="Arial" w:eastAsia="Times New Roman" w:hAnsi="Arial" w:cs="Arial"/>
                <w:color w:val="264A60"/>
                <w:kern w:val="0"/>
                <w:sz w:val="18"/>
                <w:szCs w:val="18"/>
                <w14:ligatures w14:val="none"/>
              </w:rPr>
              <w:t>al</w:t>
            </w:r>
          </w:p>
        </w:tc>
        <w:tc>
          <w:tcPr>
            <w:tcW w:w="1986" w:type="dxa"/>
            <w:noWrap/>
            <w:hideMark/>
          </w:tcPr>
          <w:p w14:paraId="75538E12"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34</w:t>
            </w:r>
          </w:p>
        </w:tc>
        <w:tc>
          <w:tcPr>
            <w:tcW w:w="1179" w:type="dxa"/>
            <w:noWrap/>
            <w:hideMark/>
          </w:tcPr>
          <w:p w14:paraId="217E3B6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79" w:type="dxa"/>
            <w:noWrap/>
            <w:hideMark/>
          </w:tcPr>
          <w:p w14:paraId="02B9C9CB"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22.7</w:t>
            </w:r>
          </w:p>
        </w:tc>
        <w:tc>
          <w:tcPr>
            <w:tcW w:w="1180" w:type="dxa"/>
            <w:noWrap/>
            <w:hideMark/>
          </w:tcPr>
          <w:p w14:paraId="2C7F2F63"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28.7</w:t>
            </w:r>
          </w:p>
        </w:tc>
      </w:tr>
      <w:tr w:rsidR="00607D14" w:rsidRPr="00D80577" w14:paraId="7AA223C4" w14:textId="77777777" w:rsidTr="00E61BCE">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57" w:type="dxa"/>
            <w:vMerge/>
            <w:hideMark/>
          </w:tcPr>
          <w:p w14:paraId="75E8CB5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7" w:type="dxa"/>
            <w:hideMark/>
          </w:tcPr>
          <w:p w14:paraId="7ECD9F38"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Agree</w:t>
            </w:r>
          </w:p>
        </w:tc>
        <w:tc>
          <w:tcPr>
            <w:tcW w:w="1986" w:type="dxa"/>
            <w:noWrap/>
            <w:hideMark/>
          </w:tcPr>
          <w:p w14:paraId="316226A6"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67</w:t>
            </w:r>
          </w:p>
        </w:tc>
        <w:tc>
          <w:tcPr>
            <w:tcW w:w="1179" w:type="dxa"/>
            <w:noWrap/>
            <w:hideMark/>
          </w:tcPr>
          <w:p w14:paraId="1D717929"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44.7</w:t>
            </w:r>
          </w:p>
        </w:tc>
        <w:tc>
          <w:tcPr>
            <w:tcW w:w="1179" w:type="dxa"/>
            <w:noWrap/>
            <w:hideMark/>
          </w:tcPr>
          <w:p w14:paraId="2541DEFB"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44.7</w:t>
            </w:r>
          </w:p>
        </w:tc>
        <w:tc>
          <w:tcPr>
            <w:tcW w:w="1180" w:type="dxa"/>
            <w:noWrap/>
            <w:hideMark/>
          </w:tcPr>
          <w:p w14:paraId="6B1408C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73.3</w:t>
            </w:r>
          </w:p>
        </w:tc>
      </w:tr>
      <w:tr w:rsidR="00607D14" w:rsidRPr="00D80577" w14:paraId="25AFFAB1" w14:textId="77777777" w:rsidTr="00E61BCE">
        <w:trPr>
          <w:trHeight w:val="307"/>
        </w:trPr>
        <w:tc>
          <w:tcPr>
            <w:cnfStyle w:val="001000000000" w:firstRow="0" w:lastRow="0" w:firstColumn="1" w:lastColumn="0" w:oddVBand="0" w:evenVBand="0" w:oddHBand="0" w:evenHBand="0" w:firstRowFirstColumn="0" w:firstRowLastColumn="0" w:lastRowFirstColumn="0" w:lastRowLastColumn="0"/>
            <w:tcW w:w="1957" w:type="dxa"/>
            <w:vMerge/>
            <w:hideMark/>
          </w:tcPr>
          <w:p w14:paraId="3943161B"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7" w:type="dxa"/>
            <w:hideMark/>
          </w:tcPr>
          <w:p w14:paraId="5DB3E60B" w14:textId="77777777" w:rsidR="00607D14" w:rsidRPr="00D80577" w:rsidRDefault="00607D14" w:rsidP="00E61BCE">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Strongly Agree</w:t>
            </w:r>
          </w:p>
        </w:tc>
        <w:tc>
          <w:tcPr>
            <w:tcW w:w="1986" w:type="dxa"/>
            <w:noWrap/>
            <w:hideMark/>
          </w:tcPr>
          <w:p w14:paraId="598D24D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40</w:t>
            </w:r>
          </w:p>
        </w:tc>
        <w:tc>
          <w:tcPr>
            <w:tcW w:w="1179" w:type="dxa"/>
            <w:noWrap/>
            <w:hideMark/>
          </w:tcPr>
          <w:p w14:paraId="16CB14B7"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26.7</w:t>
            </w:r>
          </w:p>
        </w:tc>
        <w:tc>
          <w:tcPr>
            <w:tcW w:w="1179" w:type="dxa"/>
            <w:noWrap/>
            <w:hideMark/>
          </w:tcPr>
          <w:p w14:paraId="07E66456"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26.7</w:t>
            </w:r>
          </w:p>
        </w:tc>
        <w:tc>
          <w:tcPr>
            <w:tcW w:w="1180" w:type="dxa"/>
            <w:noWrap/>
            <w:hideMark/>
          </w:tcPr>
          <w:p w14:paraId="2CA3DF08" w14:textId="77777777" w:rsidR="00607D14" w:rsidRPr="00D80577" w:rsidRDefault="00607D14" w:rsidP="00E61BCE">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r>
      <w:tr w:rsidR="00607D14" w:rsidRPr="00D80577" w14:paraId="35156D77" w14:textId="77777777" w:rsidTr="00E61BCE">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57" w:type="dxa"/>
            <w:vMerge/>
            <w:hideMark/>
          </w:tcPr>
          <w:p w14:paraId="6B312866" w14:textId="77777777" w:rsidR="00607D14" w:rsidRPr="00D80577" w:rsidRDefault="00607D14" w:rsidP="00E61BCE">
            <w:pPr>
              <w:spacing w:after="0" w:line="240" w:lineRule="auto"/>
              <w:rPr>
                <w:rFonts w:ascii="Arial" w:eastAsia="Times New Roman" w:hAnsi="Arial" w:cs="Arial"/>
                <w:color w:val="264A60"/>
                <w:kern w:val="0"/>
                <w:sz w:val="18"/>
                <w:szCs w:val="18"/>
                <w14:ligatures w14:val="none"/>
              </w:rPr>
            </w:pPr>
          </w:p>
        </w:tc>
        <w:tc>
          <w:tcPr>
            <w:tcW w:w="1957" w:type="dxa"/>
            <w:hideMark/>
          </w:tcPr>
          <w:p w14:paraId="57E7B190" w14:textId="77777777" w:rsidR="00607D14" w:rsidRPr="00D80577" w:rsidRDefault="00607D14" w:rsidP="00E61BCE">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1986" w:type="dxa"/>
            <w:noWrap/>
            <w:hideMark/>
          </w:tcPr>
          <w:p w14:paraId="6E93B95A"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150</w:t>
            </w:r>
          </w:p>
        </w:tc>
        <w:tc>
          <w:tcPr>
            <w:tcW w:w="1179" w:type="dxa"/>
            <w:noWrap/>
            <w:hideMark/>
          </w:tcPr>
          <w:p w14:paraId="343A9BF2"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79" w:type="dxa"/>
            <w:noWrap/>
            <w:hideMark/>
          </w:tcPr>
          <w:p w14:paraId="477D5C45"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100.0</w:t>
            </w:r>
          </w:p>
        </w:tc>
        <w:tc>
          <w:tcPr>
            <w:tcW w:w="1180" w:type="dxa"/>
            <w:hideMark/>
          </w:tcPr>
          <w:p w14:paraId="2F49963D" w14:textId="77777777" w:rsidR="00607D14" w:rsidRPr="00D80577" w:rsidRDefault="00607D14" w:rsidP="00E61BCE">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r>
    </w:tbl>
    <w:p w14:paraId="121536C4" w14:textId="77777777" w:rsidR="00607D14" w:rsidRPr="00D80577" w:rsidRDefault="00607D14" w:rsidP="00607D14">
      <w:pPr>
        <w:rPr>
          <w:rFonts w:ascii="Arial" w:hAnsi="Arial" w:cs="Arial"/>
        </w:rPr>
      </w:pPr>
    </w:p>
    <w:p w14:paraId="4978592D" w14:textId="77777777" w:rsidR="00607D14" w:rsidRPr="00D80577" w:rsidRDefault="00607D14" w:rsidP="001817A3">
      <w:pPr>
        <w:spacing w:line="360" w:lineRule="auto"/>
        <w:jc w:val="both"/>
        <w:rPr>
          <w:rFonts w:ascii="Arial" w:hAnsi="Arial" w:cs="Arial"/>
          <w:color w:val="000000" w:themeColor="text1"/>
        </w:rPr>
      </w:pPr>
    </w:p>
    <w:p w14:paraId="227093F2" w14:textId="77777777" w:rsidR="009349E5" w:rsidRPr="00D80577" w:rsidRDefault="009349E5" w:rsidP="009349E5">
      <w:pPr>
        <w:keepNext/>
        <w:spacing w:line="360" w:lineRule="auto"/>
        <w:jc w:val="center"/>
        <w:rPr>
          <w:rFonts w:ascii="Arial" w:hAnsi="Arial" w:cs="Arial"/>
          <w:sz w:val="22"/>
          <w:szCs w:val="22"/>
        </w:rPr>
      </w:pPr>
      <w:r w:rsidRPr="00D80577">
        <w:rPr>
          <w:rFonts w:ascii="Arial" w:hAnsi="Arial" w:cs="Arial"/>
          <w:noProof/>
          <w:sz w:val="22"/>
          <w:szCs w:val="22"/>
          <w:lang w:val="en-IN" w:eastAsia="en-IN"/>
          <w14:ligatures w14:val="none"/>
        </w:rPr>
        <w:lastRenderedPageBreak/>
        <w:drawing>
          <wp:inline distT="0" distB="0" distL="0" distR="0" wp14:anchorId="57521A18" wp14:editId="2B81B050">
            <wp:extent cx="5943600" cy="3342005"/>
            <wp:effectExtent l="0" t="0" r="0" b="0"/>
            <wp:docPr id="10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 name="Picture 18"/>
                    <pic:cNvPicPr>
                      <a:picLocks noChangeAspect="1" noChangeArrowheads="1"/>
                    </pic:cNvPicPr>
                  </pic:nvPicPr>
                  <pic:blipFill>
                    <a:blip r:embed="rId30" cstate="print"/>
                    <a:srcRect/>
                    <a:stretch>
                      <a:fillRect/>
                    </a:stretch>
                  </pic:blipFill>
                  <pic:spPr>
                    <a:xfrm>
                      <a:off x="0" y="0"/>
                      <a:ext cx="5943600" cy="3342005"/>
                    </a:xfrm>
                    <a:prstGeom prst="rect">
                      <a:avLst/>
                    </a:prstGeom>
                    <a:noFill/>
                    <a:ln w="1">
                      <a:noFill/>
                      <a:miter lim="800000"/>
                      <a:headEnd/>
                      <a:tailEnd type="none" w="med" len="med"/>
                    </a:ln>
                    <a:effectLst/>
                  </pic:spPr>
                </pic:pic>
              </a:graphicData>
            </a:graphic>
          </wp:inline>
        </w:drawing>
      </w:r>
    </w:p>
    <w:p w14:paraId="42E3793A" w14:textId="392ABA61" w:rsidR="00D235F4" w:rsidRPr="00320047" w:rsidRDefault="009349E5" w:rsidP="00320047">
      <w:pPr>
        <w:pStyle w:val="Caption"/>
        <w:jc w:val="center"/>
        <w:rPr>
          <w:rFonts w:ascii="Arial" w:hAnsi="Arial" w:cs="Arial"/>
          <w:i w:val="0"/>
          <w:iCs w:val="0"/>
          <w:color w:val="000000" w:themeColor="text1"/>
          <w:sz w:val="22"/>
          <w:szCs w:val="22"/>
        </w:rPr>
      </w:pPr>
      <w:bookmarkStart w:id="87" w:name="_Toc220889975"/>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00743850" w:rsidRPr="00D80577">
        <w:rPr>
          <w:rFonts w:ascii="Arial" w:hAnsi="Arial" w:cs="Arial"/>
          <w:i w:val="0"/>
          <w:iCs w:val="0"/>
          <w:noProof/>
          <w:sz w:val="22"/>
          <w:szCs w:val="22"/>
        </w:rPr>
        <w:t>20</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Government support schemes</w:t>
      </w:r>
      <w:bookmarkEnd w:id="87"/>
    </w:p>
    <w:p w14:paraId="5F234E30" w14:textId="37AE6432" w:rsidR="00D235F4" w:rsidRPr="00D80577" w:rsidRDefault="00743850" w:rsidP="00743850">
      <w:pPr>
        <w:pStyle w:val="Heading2"/>
        <w:spacing w:line="360" w:lineRule="auto"/>
        <w:jc w:val="both"/>
        <w:rPr>
          <w:rFonts w:ascii="Arial" w:hAnsi="Arial" w:cs="Arial"/>
          <w:b/>
          <w:bCs/>
          <w:color w:val="000000" w:themeColor="text1"/>
          <w:sz w:val="24"/>
          <w:szCs w:val="24"/>
        </w:rPr>
      </w:pPr>
      <w:bookmarkStart w:id="88" w:name="_Toc220890094"/>
      <w:r w:rsidRPr="00D80577">
        <w:rPr>
          <w:rFonts w:ascii="Arial" w:hAnsi="Arial" w:cs="Arial"/>
          <w:b/>
          <w:bCs/>
          <w:color w:val="000000" w:themeColor="text1"/>
          <w:sz w:val="24"/>
          <w:szCs w:val="24"/>
        </w:rPr>
        <w:t>4.4 Correlation Analysis</w:t>
      </w:r>
      <w:bookmarkEnd w:id="88"/>
    </w:p>
    <w:p w14:paraId="58C613CA" w14:textId="79163ACF" w:rsidR="00743850" w:rsidRPr="00D80577" w:rsidRDefault="00743850" w:rsidP="00743850">
      <w:pPr>
        <w:spacing w:line="360" w:lineRule="auto"/>
        <w:jc w:val="both"/>
        <w:rPr>
          <w:rFonts w:ascii="Arial" w:hAnsi="Arial" w:cs="Arial"/>
        </w:rPr>
      </w:pPr>
      <w:r w:rsidRPr="00D80577">
        <w:rPr>
          <w:rFonts w:ascii="Arial" w:hAnsi="Arial" w:cs="Arial"/>
        </w:rPr>
        <w:t xml:space="preserve">The correlation analysis indicates strong, significant positive relationships between supply chain disruption factors and their operational and strategic effects on UK manufacturing firms. Brexit-related trade delays are positively correlated with international geopolitical conflicts, with a very strong correlation (r = .790, p &lt; 0.01), suggesting that multiple external factors jointly disrupt supply chains (RQ1). Increased logistics and reliance on foreign suppliers also have moderate to strong relationships with production delays, increased costs, and decreased customer responsiveness (r = 0.406-0.632, p &lt; .01), as well as with the operational effects of these disruptions (RQ2). Low level of transparency towards international suppliers is strongly linked with low level of delivery performance (r = .655, p &lt; 0.01), which underscores the importance of transparency in minimising risks. </w:t>
      </w:r>
    </w:p>
    <w:p w14:paraId="503C93F7" w14:textId="2EBB50D1" w:rsidR="00743850" w:rsidRPr="00D80577" w:rsidRDefault="00743850" w:rsidP="00743850">
      <w:pPr>
        <w:spacing w:line="360" w:lineRule="auto"/>
        <w:jc w:val="both"/>
        <w:rPr>
          <w:rFonts w:ascii="Arial" w:hAnsi="Arial" w:cs="Arial"/>
        </w:rPr>
      </w:pPr>
      <w:r w:rsidRPr="00D80577">
        <w:rPr>
          <w:rFonts w:ascii="Arial" w:hAnsi="Arial" w:cs="Arial"/>
        </w:rPr>
        <w:t xml:space="preserve">Positively, the new use case of strategic mitigation measures, including supplier diversification, nearshoring, collaboration with suppliers, and government support, has a positive correlation with better operational results, with r ranging between.498 and 615 (p &lt; 0.01), which justifies the fact that the improvement of operational outcomes is observed </w:t>
      </w:r>
      <w:r w:rsidRPr="00D80577">
        <w:rPr>
          <w:rFonts w:ascii="Arial" w:hAnsi="Arial" w:cs="Arial"/>
        </w:rPr>
        <w:lastRenderedPageBreak/>
        <w:t>among firms using these strategies (RQ3). Digital supply chain monitoring reveals lesser yet significant correlations with disruption preparedness (r =.215 -.368, p &lt; 0.01), though it does not fully negate greater scale strategic initiatives. All in all, the correlations indicate that external disruption factors are interconnected and that proactive approaches are essential to ensure efficiency, cost control, and business performance amid international supply chain pressures.</w:t>
      </w:r>
    </w:p>
    <w:tbl>
      <w:tblPr>
        <w:tblStyle w:val="PlainTable1"/>
        <w:tblW w:w="10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660"/>
        <w:gridCol w:w="677"/>
        <w:gridCol w:w="677"/>
        <w:gridCol w:w="660"/>
        <w:gridCol w:w="660"/>
        <w:gridCol w:w="660"/>
        <w:gridCol w:w="667"/>
        <w:gridCol w:w="667"/>
        <w:gridCol w:w="748"/>
        <w:gridCol w:w="660"/>
        <w:gridCol w:w="660"/>
        <w:gridCol w:w="660"/>
        <w:gridCol w:w="667"/>
        <w:gridCol w:w="687"/>
        <w:gridCol w:w="660"/>
      </w:tblGrid>
      <w:tr w:rsidR="00743850" w:rsidRPr="00D80577" w14:paraId="64CF7FB7" w14:textId="77777777" w:rsidTr="00743850">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10105" w:type="dxa"/>
            <w:gridSpan w:val="16"/>
            <w:hideMark/>
          </w:tcPr>
          <w:p w14:paraId="4C409636"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Correlations</w:t>
            </w:r>
          </w:p>
        </w:tc>
      </w:tr>
      <w:tr w:rsidR="00743850" w:rsidRPr="00D80577" w14:paraId="620F5754" w14:textId="77777777" w:rsidTr="00743850">
        <w:trPr>
          <w:cnfStyle w:val="000000100000" w:firstRow="0" w:lastRow="0" w:firstColumn="0" w:lastColumn="0" w:oddVBand="0" w:evenVBand="0" w:oddHBand="1" w:evenHBand="0" w:firstRowFirstColumn="0" w:firstRowLastColumn="0" w:lastRowFirstColumn="0" w:lastRowLastColumn="0"/>
          <w:trHeight w:val="639"/>
        </w:trPr>
        <w:tc>
          <w:tcPr>
            <w:cnfStyle w:val="001000000000" w:firstRow="0" w:lastRow="0" w:firstColumn="1" w:lastColumn="0" w:oddVBand="0" w:evenVBand="0" w:oddHBand="0" w:evenHBand="0" w:firstRowFirstColumn="0" w:firstRowLastColumn="0" w:lastRowFirstColumn="0" w:lastRowLastColumn="0"/>
            <w:tcW w:w="475" w:type="dxa"/>
            <w:noWrap/>
            <w:hideMark/>
          </w:tcPr>
          <w:p w14:paraId="0763711E"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p>
        </w:tc>
        <w:tc>
          <w:tcPr>
            <w:tcW w:w="575" w:type="dxa"/>
            <w:hideMark/>
          </w:tcPr>
          <w:p w14:paraId="0CF73304"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w:t>
            </w:r>
          </w:p>
        </w:tc>
        <w:tc>
          <w:tcPr>
            <w:tcW w:w="677" w:type="dxa"/>
            <w:hideMark/>
          </w:tcPr>
          <w:p w14:paraId="026CCCE4"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Q2</w:t>
            </w:r>
          </w:p>
        </w:tc>
        <w:tc>
          <w:tcPr>
            <w:tcW w:w="677" w:type="dxa"/>
            <w:hideMark/>
          </w:tcPr>
          <w:p w14:paraId="22FCEF4B"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Q3</w:t>
            </w:r>
          </w:p>
        </w:tc>
        <w:tc>
          <w:tcPr>
            <w:tcW w:w="597" w:type="dxa"/>
            <w:hideMark/>
          </w:tcPr>
          <w:p w14:paraId="5C74C705"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Q4</w:t>
            </w:r>
          </w:p>
        </w:tc>
        <w:tc>
          <w:tcPr>
            <w:tcW w:w="597" w:type="dxa"/>
            <w:hideMark/>
          </w:tcPr>
          <w:p w14:paraId="0703F332"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Q5</w:t>
            </w:r>
          </w:p>
        </w:tc>
        <w:tc>
          <w:tcPr>
            <w:tcW w:w="567" w:type="dxa"/>
            <w:hideMark/>
          </w:tcPr>
          <w:p w14:paraId="3D95799D"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Q6</w:t>
            </w:r>
          </w:p>
        </w:tc>
        <w:tc>
          <w:tcPr>
            <w:tcW w:w="636" w:type="dxa"/>
            <w:hideMark/>
          </w:tcPr>
          <w:p w14:paraId="2A675B92"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Q7</w:t>
            </w:r>
          </w:p>
        </w:tc>
        <w:tc>
          <w:tcPr>
            <w:tcW w:w="667" w:type="dxa"/>
            <w:hideMark/>
          </w:tcPr>
          <w:p w14:paraId="5A30BA38"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Q8</w:t>
            </w:r>
          </w:p>
        </w:tc>
        <w:tc>
          <w:tcPr>
            <w:tcW w:w="748" w:type="dxa"/>
            <w:hideMark/>
          </w:tcPr>
          <w:p w14:paraId="1A64C971"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Q9</w:t>
            </w:r>
          </w:p>
        </w:tc>
        <w:tc>
          <w:tcPr>
            <w:tcW w:w="656" w:type="dxa"/>
            <w:hideMark/>
          </w:tcPr>
          <w:p w14:paraId="2790B863"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Q10</w:t>
            </w:r>
          </w:p>
        </w:tc>
        <w:tc>
          <w:tcPr>
            <w:tcW w:w="656" w:type="dxa"/>
            <w:hideMark/>
          </w:tcPr>
          <w:p w14:paraId="75FE7A9D"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Q11</w:t>
            </w:r>
          </w:p>
        </w:tc>
        <w:tc>
          <w:tcPr>
            <w:tcW w:w="647" w:type="dxa"/>
            <w:hideMark/>
          </w:tcPr>
          <w:p w14:paraId="3EB2D245"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Q12</w:t>
            </w:r>
          </w:p>
        </w:tc>
        <w:tc>
          <w:tcPr>
            <w:tcW w:w="607" w:type="dxa"/>
            <w:hideMark/>
          </w:tcPr>
          <w:p w14:paraId="6D397702"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Q13</w:t>
            </w:r>
          </w:p>
        </w:tc>
        <w:tc>
          <w:tcPr>
            <w:tcW w:w="687" w:type="dxa"/>
            <w:hideMark/>
          </w:tcPr>
          <w:p w14:paraId="50976EAD"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Q14</w:t>
            </w:r>
          </w:p>
        </w:tc>
        <w:tc>
          <w:tcPr>
            <w:tcW w:w="627" w:type="dxa"/>
            <w:hideMark/>
          </w:tcPr>
          <w:p w14:paraId="5C7DD2DD"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Q15</w:t>
            </w:r>
          </w:p>
        </w:tc>
      </w:tr>
      <w:tr w:rsidR="00743850" w:rsidRPr="00D80577" w14:paraId="5D9E3B9B"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019612B4"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w:t>
            </w:r>
          </w:p>
        </w:tc>
        <w:tc>
          <w:tcPr>
            <w:tcW w:w="575" w:type="dxa"/>
            <w:noWrap/>
            <w:hideMark/>
          </w:tcPr>
          <w:p w14:paraId="7558270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77" w:type="dxa"/>
            <w:noWrap/>
            <w:hideMark/>
          </w:tcPr>
          <w:p w14:paraId="51DF2F9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.790</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A324BD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.558</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76952F1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543D062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.567</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442132C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.475</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48A5A96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.424</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1660953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.562</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1249D6D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.592</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35C3F13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.473</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39098F2A"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.449</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3EC6235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5246755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.215</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7410F91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.551</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4A313A81"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.499</w:t>
            </w:r>
            <w:r w:rsidRPr="00D80577">
              <w:rPr>
                <w:rFonts w:ascii="Arial" w:eastAsia="Times New Roman" w:hAnsi="Arial" w:cs="Arial"/>
                <w:color w:val="000000"/>
                <w:kern w:val="0"/>
                <w:sz w:val="18"/>
                <w:szCs w:val="18"/>
                <w:vertAlign w:val="superscript"/>
                <w14:ligatures w14:val="none"/>
              </w:rPr>
              <w:t>**</w:t>
            </w:r>
          </w:p>
        </w:tc>
      </w:tr>
      <w:tr w:rsidR="00743850" w:rsidRPr="00D80577" w14:paraId="23AD1A78"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1A6193DC"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Q2</w:t>
            </w:r>
          </w:p>
        </w:tc>
        <w:tc>
          <w:tcPr>
            <w:tcW w:w="575" w:type="dxa"/>
            <w:noWrap/>
            <w:hideMark/>
          </w:tcPr>
          <w:p w14:paraId="2C721DA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.790</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0E7D15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77" w:type="dxa"/>
            <w:noWrap/>
            <w:hideMark/>
          </w:tcPr>
          <w:p w14:paraId="4856588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3390460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.655</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40DA8F5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.485</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1BB91967"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.503</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27104B6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.379</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37287C3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.539</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27330C4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6C69AFC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.488</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2D89CF98"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.594</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1AEDD3C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30E195A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.207</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59367816"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.630</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19A9D716"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.460</w:t>
            </w:r>
            <w:r w:rsidRPr="00D80577">
              <w:rPr>
                <w:rFonts w:ascii="Arial" w:eastAsia="Times New Roman" w:hAnsi="Arial" w:cs="Arial"/>
                <w:color w:val="000000"/>
                <w:kern w:val="0"/>
                <w:sz w:val="18"/>
                <w:szCs w:val="18"/>
                <w:vertAlign w:val="superscript"/>
                <w14:ligatures w14:val="none"/>
              </w:rPr>
              <w:t>**</w:t>
            </w:r>
          </w:p>
        </w:tc>
      </w:tr>
      <w:tr w:rsidR="00743850" w:rsidRPr="00D80577" w14:paraId="0ACD9C4B"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42DD3F44"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Q3</w:t>
            </w:r>
          </w:p>
        </w:tc>
        <w:tc>
          <w:tcPr>
            <w:tcW w:w="575" w:type="dxa"/>
            <w:noWrap/>
            <w:hideMark/>
          </w:tcPr>
          <w:p w14:paraId="3CD0ED1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.558</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6247FF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14D32A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597" w:type="dxa"/>
            <w:noWrap/>
            <w:hideMark/>
          </w:tcPr>
          <w:p w14:paraId="799D961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.606</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2D941DF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.441</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264E615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.581</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27F889C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.507</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04C9EB2A"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.356</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514F5E4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.587</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6CDFE61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.510</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6489D6B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.439</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16FF21B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.455</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54BC5CC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.224</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593FA06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.504</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78F930A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.440</w:t>
            </w:r>
            <w:r w:rsidRPr="00D80577">
              <w:rPr>
                <w:rFonts w:ascii="Arial" w:eastAsia="Times New Roman" w:hAnsi="Arial" w:cs="Arial"/>
                <w:color w:val="000000"/>
                <w:kern w:val="0"/>
                <w:sz w:val="18"/>
                <w:szCs w:val="18"/>
                <w:vertAlign w:val="superscript"/>
                <w14:ligatures w14:val="none"/>
              </w:rPr>
              <w:t>**</w:t>
            </w:r>
          </w:p>
        </w:tc>
      </w:tr>
      <w:tr w:rsidR="00743850" w:rsidRPr="00D80577" w14:paraId="311E5E99"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0CF1A052"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Q4</w:t>
            </w:r>
          </w:p>
        </w:tc>
        <w:tc>
          <w:tcPr>
            <w:tcW w:w="575" w:type="dxa"/>
            <w:noWrap/>
            <w:hideMark/>
          </w:tcPr>
          <w:p w14:paraId="2CA030A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187809E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.655</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501FDCF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.606</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716C127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597" w:type="dxa"/>
            <w:noWrap/>
            <w:hideMark/>
          </w:tcPr>
          <w:p w14:paraId="5A0C73C8"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.477</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2AC2ADE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.507</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09954BA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3F8356D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.457</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2CA7AA3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.632</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373A8CC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.511</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5C366A2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.492</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2E925FA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.432</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406CB0E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.264</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24CB9E4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.473</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3284F10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.394</w:t>
            </w:r>
            <w:r w:rsidRPr="00D80577">
              <w:rPr>
                <w:rFonts w:ascii="Arial" w:eastAsia="Times New Roman" w:hAnsi="Arial" w:cs="Arial"/>
                <w:color w:val="000000"/>
                <w:kern w:val="0"/>
                <w:sz w:val="18"/>
                <w:szCs w:val="18"/>
                <w:vertAlign w:val="superscript"/>
                <w14:ligatures w14:val="none"/>
              </w:rPr>
              <w:t>**</w:t>
            </w:r>
          </w:p>
        </w:tc>
      </w:tr>
      <w:tr w:rsidR="00743850" w:rsidRPr="00D80577" w14:paraId="1E803865"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751FE600"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Q5</w:t>
            </w:r>
          </w:p>
        </w:tc>
        <w:tc>
          <w:tcPr>
            <w:tcW w:w="575" w:type="dxa"/>
            <w:noWrap/>
            <w:hideMark/>
          </w:tcPr>
          <w:p w14:paraId="63C786B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.567</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887BF91"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.485</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0ACD1A8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.441</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797EB86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.477</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0D74423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567" w:type="dxa"/>
            <w:noWrap/>
            <w:hideMark/>
          </w:tcPr>
          <w:p w14:paraId="401C53C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.446</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19C7BEE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.432</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1EF49A0A"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.483</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28C6227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.655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5425D95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.576</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4B10E1A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.391</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61AEDE0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.630</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0C896CA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.254</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0F19BA3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.478</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6909229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.577</w:t>
            </w:r>
            <w:r w:rsidRPr="00D80577">
              <w:rPr>
                <w:rFonts w:ascii="Arial" w:eastAsia="Times New Roman" w:hAnsi="Arial" w:cs="Arial"/>
                <w:color w:val="000000"/>
                <w:kern w:val="0"/>
                <w:sz w:val="18"/>
                <w:szCs w:val="18"/>
                <w:vertAlign w:val="superscript"/>
                <w14:ligatures w14:val="none"/>
              </w:rPr>
              <w:t>**</w:t>
            </w:r>
          </w:p>
        </w:tc>
      </w:tr>
      <w:tr w:rsidR="00743850" w:rsidRPr="00D80577" w14:paraId="59343E79"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3800501C"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Q6</w:t>
            </w:r>
          </w:p>
        </w:tc>
        <w:tc>
          <w:tcPr>
            <w:tcW w:w="575" w:type="dxa"/>
            <w:noWrap/>
            <w:hideMark/>
          </w:tcPr>
          <w:p w14:paraId="7F0E1EB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.475</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5BBCEC1B"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.503</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9BAA67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.581</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089026B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.507</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1D297F5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.446</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5C07E08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36" w:type="dxa"/>
            <w:noWrap/>
            <w:hideMark/>
          </w:tcPr>
          <w:p w14:paraId="353EBC9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.406</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42D6DE1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.320</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48136A1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.539</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2BD96AEB"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.549</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4EE7713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.450</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1FEE4B0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.492</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13C035E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.277</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4FE10F9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.543</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0820464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.471</w:t>
            </w:r>
            <w:r w:rsidRPr="00D80577">
              <w:rPr>
                <w:rFonts w:ascii="Arial" w:eastAsia="Times New Roman" w:hAnsi="Arial" w:cs="Arial"/>
                <w:color w:val="000000"/>
                <w:kern w:val="0"/>
                <w:sz w:val="18"/>
                <w:szCs w:val="18"/>
                <w:vertAlign w:val="superscript"/>
                <w14:ligatures w14:val="none"/>
              </w:rPr>
              <w:t>**</w:t>
            </w:r>
          </w:p>
        </w:tc>
      </w:tr>
      <w:tr w:rsidR="00743850" w:rsidRPr="00D80577" w14:paraId="051DBA0C"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444D8265"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Q7</w:t>
            </w:r>
          </w:p>
        </w:tc>
        <w:tc>
          <w:tcPr>
            <w:tcW w:w="575" w:type="dxa"/>
            <w:noWrap/>
            <w:hideMark/>
          </w:tcPr>
          <w:p w14:paraId="6C903FB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.424</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4EA612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.379</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5E9EA64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.507</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075DF52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3A924FE1"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.432</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1A0F308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.406</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53C4561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67" w:type="dxa"/>
            <w:noWrap/>
            <w:hideMark/>
          </w:tcPr>
          <w:p w14:paraId="2E27CE61"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.463</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48253C2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.469</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578160A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.548</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1965171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.441</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5633D14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.293</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1CF1722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0.101</w:t>
            </w:r>
          </w:p>
        </w:tc>
        <w:tc>
          <w:tcPr>
            <w:tcW w:w="687" w:type="dxa"/>
            <w:noWrap/>
            <w:hideMark/>
          </w:tcPr>
          <w:p w14:paraId="75B533A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.366</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438CA18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.482</w:t>
            </w:r>
            <w:r w:rsidRPr="00D80577">
              <w:rPr>
                <w:rFonts w:ascii="Arial" w:eastAsia="Times New Roman" w:hAnsi="Arial" w:cs="Arial"/>
                <w:color w:val="000000"/>
                <w:kern w:val="0"/>
                <w:sz w:val="18"/>
                <w:szCs w:val="18"/>
                <w:vertAlign w:val="superscript"/>
                <w14:ligatures w14:val="none"/>
              </w:rPr>
              <w:t>**</w:t>
            </w:r>
          </w:p>
        </w:tc>
      </w:tr>
      <w:tr w:rsidR="00743850" w:rsidRPr="00D80577" w14:paraId="5EF8C447"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60771774"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Q8</w:t>
            </w:r>
          </w:p>
        </w:tc>
        <w:tc>
          <w:tcPr>
            <w:tcW w:w="575" w:type="dxa"/>
            <w:noWrap/>
            <w:hideMark/>
          </w:tcPr>
          <w:p w14:paraId="53CBA6B7"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46C791B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.539</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12D43F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.356</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7096111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.457</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481A3A4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.483</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3139B18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.320</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0D5D0AD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.463</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4575E92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748" w:type="dxa"/>
            <w:noWrap/>
            <w:hideMark/>
          </w:tcPr>
          <w:p w14:paraId="577E00C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.491</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17F02E4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.322</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742B3F4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.456</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3A27E54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.407</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2792D3B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0.095</w:t>
            </w:r>
          </w:p>
        </w:tc>
        <w:tc>
          <w:tcPr>
            <w:tcW w:w="687" w:type="dxa"/>
            <w:noWrap/>
            <w:hideMark/>
          </w:tcPr>
          <w:p w14:paraId="46D0086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.494</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35DF9F8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.470</w:t>
            </w:r>
            <w:r w:rsidRPr="00D80577">
              <w:rPr>
                <w:rFonts w:ascii="Arial" w:eastAsia="Times New Roman" w:hAnsi="Arial" w:cs="Arial"/>
                <w:color w:val="000000"/>
                <w:kern w:val="0"/>
                <w:sz w:val="18"/>
                <w:szCs w:val="18"/>
                <w:vertAlign w:val="superscript"/>
                <w14:ligatures w14:val="none"/>
              </w:rPr>
              <w:t>**</w:t>
            </w:r>
          </w:p>
        </w:tc>
      </w:tr>
      <w:tr w:rsidR="00743850" w:rsidRPr="00D80577" w14:paraId="1F7C3C64"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088ED2C1"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Q9</w:t>
            </w:r>
          </w:p>
        </w:tc>
        <w:tc>
          <w:tcPr>
            <w:tcW w:w="575" w:type="dxa"/>
            <w:noWrap/>
            <w:hideMark/>
          </w:tcPr>
          <w:p w14:paraId="6A37EC5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E7372B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.585</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2E05BD6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.587</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2D3F5B3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729AA45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.655</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31A0991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.539</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791EEE2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.469</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32A47C8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.491</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6B4B3A9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56" w:type="dxa"/>
            <w:noWrap/>
            <w:hideMark/>
          </w:tcPr>
          <w:p w14:paraId="4014698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.564</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6A207D5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.465</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7B762A2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.580</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7F3C246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.295</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414DAEE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.466</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5C3CB1C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.596</w:t>
            </w:r>
            <w:r w:rsidRPr="00D80577">
              <w:rPr>
                <w:rFonts w:ascii="Arial" w:eastAsia="Times New Roman" w:hAnsi="Arial" w:cs="Arial"/>
                <w:color w:val="000000"/>
                <w:kern w:val="0"/>
                <w:sz w:val="18"/>
                <w:szCs w:val="18"/>
                <w:vertAlign w:val="superscript"/>
                <w14:ligatures w14:val="none"/>
              </w:rPr>
              <w:t>**</w:t>
            </w:r>
          </w:p>
        </w:tc>
      </w:tr>
      <w:tr w:rsidR="00743850" w:rsidRPr="00D80577" w14:paraId="323E3A42" w14:textId="77777777" w:rsidTr="00743850">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475" w:type="dxa"/>
            <w:hideMark/>
          </w:tcPr>
          <w:p w14:paraId="7C2584CB"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Q10</w:t>
            </w:r>
          </w:p>
        </w:tc>
        <w:tc>
          <w:tcPr>
            <w:tcW w:w="575" w:type="dxa"/>
            <w:noWrap/>
            <w:hideMark/>
          </w:tcPr>
          <w:p w14:paraId="46644FF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.473</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115D7AA6"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.488</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4A36EEB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.510</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38700BF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.511</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3D86D7E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.576</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791540A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.549</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3F5D7BE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.548</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0066A92E"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.322</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7D750AE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.564</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0E2FF47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56" w:type="dxa"/>
            <w:noWrap/>
            <w:hideMark/>
          </w:tcPr>
          <w:p w14:paraId="60C1880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.463</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7B8BC9AE"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.555</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3CC51C4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.242</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70DBE587"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.555</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3F015C4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.604</w:t>
            </w:r>
            <w:r w:rsidRPr="00D80577">
              <w:rPr>
                <w:rFonts w:ascii="Arial" w:eastAsia="Times New Roman" w:hAnsi="Arial" w:cs="Arial"/>
                <w:color w:val="000000"/>
                <w:kern w:val="0"/>
                <w:sz w:val="18"/>
                <w:szCs w:val="18"/>
                <w:vertAlign w:val="superscript"/>
                <w14:ligatures w14:val="none"/>
              </w:rPr>
              <w:t>**</w:t>
            </w:r>
          </w:p>
        </w:tc>
      </w:tr>
      <w:tr w:rsidR="00743850" w:rsidRPr="00D80577" w14:paraId="39EDEE02"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184DB25F"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Q11</w:t>
            </w:r>
          </w:p>
        </w:tc>
        <w:tc>
          <w:tcPr>
            <w:tcW w:w="575" w:type="dxa"/>
            <w:noWrap/>
            <w:hideMark/>
          </w:tcPr>
          <w:p w14:paraId="77C0A96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.449</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53075F1"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.594</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1F2972F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.439</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142D6F5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2E141F4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.391</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550026F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.450</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01E341C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.441</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065F085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.456</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06CEFEE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4E155E2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.463</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24C9563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47" w:type="dxa"/>
            <w:noWrap/>
            <w:hideMark/>
          </w:tcPr>
          <w:p w14:paraId="5AFC2A7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.498</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16F68F9F"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.180</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0BF07F9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.535</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245A5EA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.378</w:t>
            </w:r>
            <w:r w:rsidRPr="00D80577">
              <w:rPr>
                <w:rFonts w:ascii="Arial" w:eastAsia="Times New Roman" w:hAnsi="Arial" w:cs="Arial"/>
                <w:color w:val="000000"/>
                <w:kern w:val="0"/>
                <w:sz w:val="18"/>
                <w:szCs w:val="18"/>
                <w:vertAlign w:val="superscript"/>
                <w14:ligatures w14:val="none"/>
              </w:rPr>
              <w:t>**</w:t>
            </w:r>
          </w:p>
        </w:tc>
      </w:tr>
      <w:tr w:rsidR="00743850" w:rsidRPr="00D80577" w14:paraId="563D71E2"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77D0852F"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Q12</w:t>
            </w:r>
          </w:p>
        </w:tc>
        <w:tc>
          <w:tcPr>
            <w:tcW w:w="575" w:type="dxa"/>
            <w:noWrap/>
            <w:hideMark/>
          </w:tcPr>
          <w:p w14:paraId="159260B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2B9479F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.582</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A1892E8"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.455</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1BC8D0B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.432</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01FC78EB"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.630</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4DB780D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.492</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13D5F40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.293</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11FE6A36"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.407</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683D54A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.580</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13E5B65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6E9093A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.498</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3B7E218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07" w:type="dxa"/>
            <w:noWrap/>
            <w:hideMark/>
          </w:tcPr>
          <w:p w14:paraId="70D9DFA2"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.368</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716539A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.615</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5361491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.593</w:t>
            </w:r>
            <w:r w:rsidRPr="00D80577">
              <w:rPr>
                <w:rFonts w:ascii="Arial" w:eastAsia="Times New Roman" w:hAnsi="Arial" w:cs="Arial"/>
                <w:color w:val="000000"/>
                <w:kern w:val="0"/>
                <w:sz w:val="18"/>
                <w:szCs w:val="18"/>
                <w:vertAlign w:val="superscript"/>
                <w14:ligatures w14:val="none"/>
              </w:rPr>
              <w:t>**</w:t>
            </w:r>
          </w:p>
        </w:tc>
      </w:tr>
      <w:tr w:rsidR="00743850" w:rsidRPr="00D80577" w14:paraId="38FA3978"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0E46E157"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Q13</w:t>
            </w:r>
          </w:p>
        </w:tc>
        <w:tc>
          <w:tcPr>
            <w:tcW w:w="575" w:type="dxa"/>
            <w:noWrap/>
            <w:hideMark/>
          </w:tcPr>
          <w:p w14:paraId="503F923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.215</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1D8DFA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.207</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6809192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.224</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4016E74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.264</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49B451A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.254</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25AD8E52"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.277</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0E39B60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0.101</w:t>
            </w:r>
          </w:p>
        </w:tc>
        <w:tc>
          <w:tcPr>
            <w:tcW w:w="667" w:type="dxa"/>
            <w:noWrap/>
            <w:hideMark/>
          </w:tcPr>
          <w:p w14:paraId="57092D5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0.095</w:t>
            </w:r>
          </w:p>
        </w:tc>
        <w:tc>
          <w:tcPr>
            <w:tcW w:w="748" w:type="dxa"/>
            <w:noWrap/>
            <w:hideMark/>
          </w:tcPr>
          <w:p w14:paraId="161E4E8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.295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23B79A0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.242</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559C406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.180</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66607F8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.368</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1F09F18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87" w:type="dxa"/>
            <w:noWrap/>
            <w:hideMark/>
          </w:tcPr>
          <w:p w14:paraId="5B84AA4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.284</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0B86446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.243</w:t>
            </w:r>
            <w:r w:rsidRPr="00D80577">
              <w:rPr>
                <w:rFonts w:ascii="Arial" w:eastAsia="Times New Roman" w:hAnsi="Arial" w:cs="Arial"/>
                <w:color w:val="000000"/>
                <w:kern w:val="0"/>
                <w:sz w:val="18"/>
                <w:szCs w:val="18"/>
                <w:vertAlign w:val="superscript"/>
                <w14:ligatures w14:val="none"/>
              </w:rPr>
              <w:t>**</w:t>
            </w:r>
          </w:p>
        </w:tc>
      </w:tr>
      <w:tr w:rsidR="00743850" w:rsidRPr="00D80577" w14:paraId="57F21DC3" w14:textId="77777777" w:rsidTr="00743850">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727B9093"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Q14</w:t>
            </w:r>
          </w:p>
        </w:tc>
        <w:tc>
          <w:tcPr>
            <w:tcW w:w="575" w:type="dxa"/>
            <w:noWrap/>
            <w:hideMark/>
          </w:tcPr>
          <w:p w14:paraId="09664B6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.551</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4671C1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.630</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2AC586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.504</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58C7F89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.473</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0A98102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.478</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06B129A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.543</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55969718"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.366</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0D2F67D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.494</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6EB02B3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.466</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777734C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.555</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33306E9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.535</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640E740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.615</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1986626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.284</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537AAB51"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c>
          <w:tcPr>
            <w:tcW w:w="627" w:type="dxa"/>
            <w:noWrap/>
            <w:hideMark/>
          </w:tcPr>
          <w:p w14:paraId="240B135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.615</w:t>
            </w:r>
            <w:r w:rsidRPr="00D80577">
              <w:rPr>
                <w:rFonts w:ascii="Arial" w:eastAsia="Times New Roman" w:hAnsi="Arial" w:cs="Arial"/>
                <w:color w:val="000000"/>
                <w:kern w:val="0"/>
                <w:sz w:val="18"/>
                <w:szCs w:val="18"/>
                <w:vertAlign w:val="superscript"/>
                <w14:ligatures w14:val="none"/>
              </w:rPr>
              <w:t>**</w:t>
            </w:r>
          </w:p>
        </w:tc>
      </w:tr>
      <w:tr w:rsidR="00743850" w:rsidRPr="00D80577" w14:paraId="41E167A4" w14:textId="77777777" w:rsidTr="00743850">
        <w:trPr>
          <w:trHeight w:val="371"/>
        </w:trPr>
        <w:tc>
          <w:tcPr>
            <w:cnfStyle w:val="001000000000" w:firstRow="0" w:lastRow="0" w:firstColumn="1" w:lastColumn="0" w:oddVBand="0" w:evenVBand="0" w:oddHBand="0" w:evenHBand="0" w:firstRowFirstColumn="0" w:firstRowLastColumn="0" w:lastRowFirstColumn="0" w:lastRowLastColumn="0"/>
            <w:tcW w:w="475" w:type="dxa"/>
            <w:hideMark/>
          </w:tcPr>
          <w:p w14:paraId="7E6CB946"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Q15</w:t>
            </w:r>
          </w:p>
        </w:tc>
        <w:tc>
          <w:tcPr>
            <w:tcW w:w="575" w:type="dxa"/>
            <w:noWrap/>
            <w:hideMark/>
          </w:tcPr>
          <w:p w14:paraId="2C0CA0C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.499</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7B81A16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.460</w:t>
            </w:r>
            <w:r w:rsidRPr="00D80577">
              <w:rPr>
                <w:rFonts w:ascii="Arial" w:eastAsia="Times New Roman" w:hAnsi="Arial" w:cs="Arial"/>
                <w:color w:val="000000"/>
                <w:kern w:val="0"/>
                <w:sz w:val="18"/>
                <w:szCs w:val="18"/>
                <w:vertAlign w:val="superscript"/>
                <w14:ligatures w14:val="none"/>
              </w:rPr>
              <w:t>**</w:t>
            </w:r>
          </w:p>
        </w:tc>
        <w:tc>
          <w:tcPr>
            <w:tcW w:w="677" w:type="dxa"/>
            <w:noWrap/>
            <w:hideMark/>
          </w:tcPr>
          <w:p w14:paraId="3718D5F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.440</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4ED5226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.394</w:t>
            </w:r>
            <w:r w:rsidRPr="00D80577">
              <w:rPr>
                <w:rFonts w:ascii="Arial" w:eastAsia="Times New Roman" w:hAnsi="Arial" w:cs="Arial"/>
                <w:color w:val="000000"/>
                <w:kern w:val="0"/>
                <w:sz w:val="18"/>
                <w:szCs w:val="18"/>
                <w:vertAlign w:val="superscript"/>
                <w14:ligatures w14:val="none"/>
              </w:rPr>
              <w:t>**</w:t>
            </w:r>
          </w:p>
        </w:tc>
        <w:tc>
          <w:tcPr>
            <w:tcW w:w="597" w:type="dxa"/>
            <w:noWrap/>
            <w:hideMark/>
          </w:tcPr>
          <w:p w14:paraId="6195695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.577</w:t>
            </w:r>
            <w:r w:rsidRPr="00D80577">
              <w:rPr>
                <w:rFonts w:ascii="Arial" w:eastAsia="Times New Roman" w:hAnsi="Arial" w:cs="Arial"/>
                <w:color w:val="000000"/>
                <w:kern w:val="0"/>
                <w:sz w:val="18"/>
                <w:szCs w:val="18"/>
                <w:vertAlign w:val="superscript"/>
                <w14:ligatures w14:val="none"/>
              </w:rPr>
              <w:t>**</w:t>
            </w:r>
          </w:p>
        </w:tc>
        <w:tc>
          <w:tcPr>
            <w:tcW w:w="567" w:type="dxa"/>
            <w:noWrap/>
            <w:hideMark/>
          </w:tcPr>
          <w:p w14:paraId="3BF6F09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.471</w:t>
            </w:r>
            <w:r w:rsidRPr="00D80577">
              <w:rPr>
                <w:rFonts w:ascii="Arial" w:eastAsia="Times New Roman" w:hAnsi="Arial" w:cs="Arial"/>
                <w:color w:val="000000"/>
                <w:kern w:val="0"/>
                <w:sz w:val="18"/>
                <w:szCs w:val="18"/>
                <w:vertAlign w:val="superscript"/>
                <w14:ligatures w14:val="none"/>
              </w:rPr>
              <w:t>**</w:t>
            </w:r>
          </w:p>
        </w:tc>
        <w:tc>
          <w:tcPr>
            <w:tcW w:w="636" w:type="dxa"/>
            <w:noWrap/>
            <w:hideMark/>
          </w:tcPr>
          <w:p w14:paraId="0B79B837"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.482</w:t>
            </w:r>
            <w:r w:rsidRPr="00D80577">
              <w:rPr>
                <w:rFonts w:ascii="Arial" w:eastAsia="Times New Roman" w:hAnsi="Arial" w:cs="Arial"/>
                <w:color w:val="000000"/>
                <w:kern w:val="0"/>
                <w:sz w:val="18"/>
                <w:szCs w:val="18"/>
                <w:vertAlign w:val="superscript"/>
                <w14:ligatures w14:val="none"/>
              </w:rPr>
              <w:t>**</w:t>
            </w:r>
          </w:p>
        </w:tc>
        <w:tc>
          <w:tcPr>
            <w:tcW w:w="667" w:type="dxa"/>
            <w:noWrap/>
            <w:hideMark/>
          </w:tcPr>
          <w:p w14:paraId="579CCF2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.470</w:t>
            </w:r>
            <w:r w:rsidRPr="00D80577">
              <w:rPr>
                <w:rFonts w:ascii="Arial" w:eastAsia="Times New Roman" w:hAnsi="Arial" w:cs="Arial"/>
                <w:color w:val="000000"/>
                <w:kern w:val="0"/>
                <w:sz w:val="18"/>
                <w:szCs w:val="18"/>
                <w:vertAlign w:val="superscript"/>
                <w14:ligatures w14:val="none"/>
              </w:rPr>
              <w:t>**</w:t>
            </w:r>
          </w:p>
        </w:tc>
        <w:tc>
          <w:tcPr>
            <w:tcW w:w="748" w:type="dxa"/>
            <w:noWrap/>
            <w:hideMark/>
          </w:tcPr>
          <w:p w14:paraId="35C3D55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.596</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34DC8A6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.604</w:t>
            </w:r>
            <w:r w:rsidRPr="00D80577">
              <w:rPr>
                <w:rFonts w:ascii="Arial" w:eastAsia="Times New Roman" w:hAnsi="Arial" w:cs="Arial"/>
                <w:color w:val="000000"/>
                <w:kern w:val="0"/>
                <w:sz w:val="18"/>
                <w:szCs w:val="18"/>
                <w:vertAlign w:val="superscript"/>
                <w14:ligatures w14:val="none"/>
              </w:rPr>
              <w:t>**</w:t>
            </w:r>
          </w:p>
        </w:tc>
        <w:tc>
          <w:tcPr>
            <w:tcW w:w="656" w:type="dxa"/>
            <w:noWrap/>
            <w:hideMark/>
          </w:tcPr>
          <w:p w14:paraId="0BB7624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.378</w:t>
            </w:r>
            <w:r w:rsidRPr="00D80577">
              <w:rPr>
                <w:rFonts w:ascii="Arial" w:eastAsia="Times New Roman" w:hAnsi="Arial" w:cs="Arial"/>
                <w:color w:val="000000"/>
                <w:kern w:val="0"/>
                <w:sz w:val="18"/>
                <w:szCs w:val="18"/>
                <w:vertAlign w:val="superscript"/>
                <w14:ligatures w14:val="none"/>
              </w:rPr>
              <w:t>**</w:t>
            </w:r>
          </w:p>
        </w:tc>
        <w:tc>
          <w:tcPr>
            <w:tcW w:w="647" w:type="dxa"/>
            <w:noWrap/>
            <w:hideMark/>
          </w:tcPr>
          <w:p w14:paraId="1542CA44"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.593</w:t>
            </w:r>
            <w:r w:rsidRPr="00D80577">
              <w:rPr>
                <w:rFonts w:ascii="Arial" w:eastAsia="Times New Roman" w:hAnsi="Arial" w:cs="Arial"/>
                <w:color w:val="000000"/>
                <w:kern w:val="0"/>
                <w:sz w:val="18"/>
                <w:szCs w:val="18"/>
                <w:vertAlign w:val="superscript"/>
                <w14:ligatures w14:val="none"/>
              </w:rPr>
              <w:t>**</w:t>
            </w:r>
          </w:p>
        </w:tc>
        <w:tc>
          <w:tcPr>
            <w:tcW w:w="607" w:type="dxa"/>
            <w:noWrap/>
            <w:hideMark/>
          </w:tcPr>
          <w:p w14:paraId="3E563F3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.243</w:t>
            </w:r>
            <w:r w:rsidRPr="00D80577">
              <w:rPr>
                <w:rFonts w:ascii="Arial" w:eastAsia="Times New Roman" w:hAnsi="Arial" w:cs="Arial"/>
                <w:color w:val="000000"/>
                <w:kern w:val="0"/>
                <w:sz w:val="18"/>
                <w:szCs w:val="18"/>
                <w:vertAlign w:val="superscript"/>
                <w14:ligatures w14:val="none"/>
              </w:rPr>
              <w:t>**</w:t>
            </w:r>
          </w:p>
        </w:tc>
        <w:tc>
          <w:tcPr>
            <w:tcW w:w="687" w:type="dxa"/>
            <w:noWrap/>
            <w:hideMark/>
          </w:tcPr>
          <w:p w14:paraId="0DC3D06A"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.615</w:t>
            </w:r>
            <w:r w:rsidRPr="00D80577">
              <w:rPr>
                <w:rFonts w:ascii="Arial" w:eastAsia="Times New Roman" w:hAnsi="Arial" w:cs="Arial"/>
                <w:color w:val="000000"/>
                <w:kern w:val="0"/>
                <w:sz w:val="18"/>
                <w:szCs w:val="18"/>
                <w:vertAlign w:val="superscript"/>
                <w14:ligatures w14:val="none"/>
              </w:rPr>
              <w:t>**</w:t>
            </w:r>
          </w:p>
        </w:tc>
        <w:tc>
          <w:tcPr>
            <w:tcW w:w="627" w:type="dxa"/>
            <w:noWrap/>
            <w:hideMark/>
          </w:tcPr>
          <w:p w14:paraId="2C1F252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w:t>
            </w:r>
          </w:p>
        </w:tc>
      </w:tr>
      <w:tr w:rsidR="00743850" w:rsidRPr="00D80577" w14:paraId="02E2674C" w14:textId="77777777" w:rsidTr="00743850">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10105" w:type="dxa"/>
            <w:gridSpan w:val="16"/>
            <w:hideMark/>
          </w:tcPr>
          <w:p w14:paraId="7F51DEEF"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 Correlation is significant at the 0.01 level (2-tailed).</w:t>
            </w:r>
          </w:p>
        </w:tc>
      </w:tr>
      <w:tr w:rsidR="00743850" w:rsidRPr="00D80577" w14:paraId="46FD2F34" w14:textId="77777777" w:rsidTr="00743850">
        <w:trPr>
          <w:trHeight w:val="349"/>
        </w:trPr>
        <w:tc>
          <w:tcPr>
            <w:cnfStyle w:val="001000000000" w:firstRow="0" w:lastRow="0" w:firstColumn="1" w:lastColumn="0" w:oddVBand="0" w:evenVBand="0" w:oddHBand="0" w:evenHBand="0" w:firstRowFirstColumn="0" w:firstRowLastColumn="0" w:lastRowFirstColumn="0" w:lastRowLastColumn="0"/>
            <w:tcW w:w="10105" w:type="dxa"/>
            <w:gridSpan w:val="16"/>
            <w:hideMark/>
          </w:tcPr>
          <w:p w14:paraId="42A17473"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 Correlation is significant at the 0.05 level (2-tailed).</w:t>
            </w:r>
          </w:p>
        </w:tc>
      </w:tr>
    </w:tbl>
    <w:p w14:paraId="7B63E845" w14:textId="77777777" w:rsidR="00743850" w:rsidRPr="00D80577" w:rsidRDefault="00743850" w:rsidP="001817A3">
      <w:pPr>
        <w:spacing w:line="360" w:lineRule="auto"/>
        <w:jc w:val="both"/>
        <w:rPr>
          <w:rFonts w:ascii="Arial" w:hAnsi="Arial" w:cs="Arial"/>
          <w:color w:val="000000" w:themeColor="text1"/>
        </w:rPr>
      </w:pPr>
    </w:p>
    <w:p w14:paraId="7247D738" w14:textId="77777777" w:rsidR="00743850" w:rsidRPr="00D80577" w:rsidRDefault="00743850" w:rsidP="001817A3">
      <w:pPr>
        <w:spacing w:line="360" w:lineRule="auto"/>
        <w:jc w:val="both"/>
        <w:rPr>
          <w:rFonts w:ascii="Arial" w:hAnsi="Arial" w:cs="Arial"/>
          <w:color w:val="000000" w:themeColor="text1"/>
        </w:rPr>
      </w:pPr>
    </w:p>
    <w:p w14:paraId="4C0D0DBE" w14:textId="77777777" w:rsidR="00743850" w:rsidRPr="00D80577" w:rsidRDefault="00743850" w:rsidP="001817A3">
      <w:pPr>
        <w:spacing w:line="360" w:lineRule="auto"/>
        <w:jc w:val="both"/>
        <w:rPr>
          <w:rFonts w:ascii="Arial" w:hAnsi="Arial" w:cs="Arial"/>
          <w:color w:val="000000" w:themeColor="text1"/>
        </w:rPr>
      </w:pPr>
    </w:p>
    <w:p w14:paraId="25B6A029" w14:textId="77777777" w:rsidR="00743850" w:rsidRPr="00D80577" w:rsidRDefault="00743850" w:rsidP="001817A3">
      <w:pPr>
        <w:spacing w:line="360" w:lineRule="auto"/>
        <w:jc w:val="both"/>
        <w:rPr>
          <w:rFonts w:ascii="Arial" w:hAnsi="Arial" w:cs="Arial"/>
          <w:color w:val="000000" w:themeColor="text1"/>
        </w:rPr>
      </w:pPr>
    </w:p>
    <w:p w14:paraId="314FA79C" w14:textId="4780C5A1" w:rsidR="00743850" w:rsidRPr="00D80577" w:rsidRDefault="00743850" w:rsidP="00743850">
      <w:pPr>
        <w:pStyle w:val="Heading2"/>
        <w:spacing w:line="360" w:lineRule="auto"/>
        <w:jc w:val="both"/>
        <w:rPr>
          <w:rFonts w:ascii="Arial" w:hAnsi="Arial" w:cs="Arial"/>
          <w:b/>
          <w:bCs/>
          <w:color w:val="000000" w:themeColor="text1"/>
          <w:sz w:val="24"/>
          <w:szCs w:val="24"/>
        </w:rPr>
      </w:pPr>
      <w:bookmarkStart w:id="89" w:name="_Toc220890095"/>
      <w:r w:rsidRPr="00D80577">
        <w:rPr>
          <w:rFonts w:ascii="Arial" w:hAnsi="Arial" w:cs="Arial"/>
          <w:b/>
          <w:bCs/>
          <w:color w:val="000000" w:themeColor="text1"/>
          <w:sz w:val="24"/>
          <w:szCs w:val="24"/>
        </w:rPr>
        <w:lastRenderedPageBreak/>
        <w:t>4.5 Reliability Analysis</w:t>
      </w:r>
      <w:bookmarkEnd w:id="89"/>
    </w:p>
    <w:p w14:paraId="0F1C73F4" w14:textId="2CFD7933" w:rsidR="00743850" w:rsidRPr="00D80577" w:rsidRDefault="00743850" w:rsidP="00743850">
      <w:pPr>
        <w:pStyle w:val="Heading3"/>
        <w:spacing w:line="360" w:lineRule="auto"/>
        <w:jc w:val="both"/>
        <w:rPr>
          <w:rFonts w:ascii="Arial" w:hAnsi="Arial" w:cs="Arial"/>
          <w:b/>
          <w:bCs/>
          <w:color w:val="000000" w:themeColor="text1"/>
          <w:sz w:val="24"/>
          <w:szCs w:val="24"/>
        </w:rPr>
      </w:pPr>
      <w:bookmarkStart w:id="90" w:name="_Toc220890096"/>
      <w:r w:rsidRPr="00D80577">
        <w:rPr>
          <w:rFonts w:ascii="Arial" w:hAnsi="Arial" w:cs="Arial"/>
          <w:b/>
          <w:bCs/>
          <w:color w:val="000000" w:themeColor="text1"/>
          <w:sz w:val="24"/>
          <w:szCs w:val="24"/>
        </w:rPr>
        <w:t>4.5.1 Reliability (Scale: Supply Chain Disruptions)</w:t>
      </w:r>
      <w:bookmarkEnd w:id="90"/>
    </w:p>
    <w:p w14:paraId="7A532326" w14:textId="119E45DD" w:rsidR="00743850" w:rsidRPr="00D80577" w:rsidRDefault="00743850" w:rsidP="00743850">
      <w:pPr>
        <w:spacing w:line="360" w:lineRule="auto"/>
        <w:jc w:val="both"/>
        <w:rPr>
          <w:rFonts w:ascii="Arial" w:hAnsi="Arial" w:cs="Arial"/>
        </w:rPr>
      </w:pPr>
      <w:r w:rsidRPr="00D80577">
        <w:rPr>
          <w:rFonts w:ascii="Arial" w:hAnsi="Arial" w:cs="Arial"/>
        </w:rPr>
        <w:t>The scale of supply chain disruptions shows high internal consistency (Cronbach's alpha = 0.867, 0.869 with standardised items) using five items. This high score indicates that the items are always reliable measures of the construct of supply chain disruptions, as they capture different dimensions of factors such as geopolitical conflicts, logistical challenges, and supplier dependency. A good internal consistency guarantees that the results of the survey are consistent and reproducible, putting more confidence in the interpretation of the results. Measurement Disruptions are also essential in determining how they are affected and affected by the operational impact of production delays and increased costs, as well as determining the effectiveness of the mitigation strategies. Reliability can also be used to validate further analyses, such as correlations and regression, in answering RQ1 on the causes of disruption and RQ2 on the effect on business performance.</w:t>
      </w:r>
    </w:p>
    <w:p w14:paraId="230C3AB1" w14:textId="48742872" w:rsidR="00743850" w:rsidRPr="00D80577" w:rsidRDefault="00743850" w:rsidP="00743850">
      <w:pPr>
        <w:pStyle w:val="Caption"/>
        <w:keepNext/>
        <w:rPr>
          <w:rFonts w:ascii="Arial" w:hAnsi="Arial" w:cs="Arial"/>
          <w:i w:val="0"/>
          <w:iCs w:val="0"/>
          <w:sz w:val="22"/>
          <w:szCs w:val="22"/>
        </w:rPr>
      </w:pPr>
      <w:bookmarkStart w:id="91" w:name="_Toc220889998"/>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21</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Reliability (Scale: Supply Chain Disruptions</w:t>
      </w:r>
      <w:bookmarkEnd w:id="91"/>
    </w:p>
    <w:tbl>
      <w:tblPr>
        <w:tblStyle w:val="PlainTable1"/>
        <w:tblW w:w="7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1"/>
        <w:gridCol w:w="2491"/>
        <w:gridCol w:w="2528"/>
      </w:tblGrid>
      <w:tr w:rsidR="00743850" w:rsidRPr="00D80577" w14:paraId="13EEF4A2" w14:textId="77777777" w:rsidTr="00743850">
        <w:trPr>
          <w:cnfStyle w:val="100000000000" w:firstRow="1" w:lastRow="0" w:firstColumn="0" w:lastColumn="0" w:oddVBand="0" w:evenVBand="0" w:oddHBand="0"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7510" w:type="dxa"/>
            <w:gridSpan w:val="3"/>
            <w:hideMark/>
          </w:tcPr>
          <w:p w14:paraId="0CAE408C"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Reliability Statistics</w:t>
            </w:r>
          </w:p>
        </w:tc>
      </w:tr>
      <w:tr w:rsidR="00743850" w:rsidRPr="00D80577" w14:paraId="3AD027E8" w14:textId="77777777" w:rsidTr="00743850">
        <w:trPr>
          <w:cnfStyle w:val="000000100000" w:firstRow="0" w:lastRow="0" w:firstColumn="0" w:lastColumn="0" w:oddVBand="0" w:evenVBand="0" w:oddHBand="1" w:evenHBand="0" w:firstRowFirstColumn="0" w:firstRowLastColumn="0" w:lastRowFirstColumn="0" w:lastRowLastColumn="0"/>
          <w:trHeight w:val="1419"/>
        </w:trPr>
        <w:tc>
          <w:tcPr>
            <w:cnfStyle w:val="001000000000" w:firstRow="0" w:lastRow="0" w:firstColumn="1" w:lastColumn="0" w:oddVBand="0" w:evenVBand="0" w:oddHBand="0" w:evenHBand="0" w:firstRowFirstColumn="0" w:firstRowLastColumn="0" w:lastRowFirstColumn="0" w:lastRowLastColumn="0"/>
            <w:tcW w:w="2491" w:type="dxa"/>
            <w:hideMark/>
          </w:tcPr>
          <w:p w14:paraId="512BA00D" w14:textId="77777777" w:rsidR="00743850" w:rsidRPr="00D80577" w:rsidRDefault="00743850" w:rsidP="00743850">
            <w:pPr>
              <w:spacing w:after="0" w:line="240" w:lineRule="auto"/>
              <w:jc w:val="center"/>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w:t>
            </w:r>
          </w:p>
        </w:tc>
        <w:tc>
          <w:tcPr>
            <w:tcW w:w="2491" w:type="dxa"/>
            <w:hideMark/>
          </w:tcPr>
          <w:p w14:paraId="11A7EB37" w14:textId="7359AC14"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 Based on Standardised Items</w:t>
            </w:r>
          </w:p>
        </w:tc>
        <w:tc>
          <w:tcPr>
            <w:tcW w:w="2528" w:type="dxa"/>
            <w:hideMark/>
          </w:tcPr>
          <w:p w14:paraId="71F7644F"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 of Items</w:t>
            </w:r>
          </w:p>
        </w:tc>
      </w:tr>
      <w:tr w:rsidR="00743850" w:rsidRPr="00D80577" w14:paraId="5814EFCE" w14:textId="77777777" w:rsidTr="00743850">
        <w:trPr>
          <w:trHeight w:val="339"/>
        </w:trPr>
        <w:tc>
          <w:tcPr>
            <w:cnfStyle w:val="001000000000" w:firstRow="0" w:lastRow="0" w:firstColumn="1" w:lastColumn="0" w:oddVBand="0" w:evenVBand="0" w:oddHBand="0" w:evenHBand="0" w:firstRowFirstColumn="0" w:firstRowLastColumn="0" w:lastRowFirstColumn="0" w:lastRowLastColumn="0"/>
            <w:tcW w:w="2491" w:type="dxa"/>
            <w:noWrap/>
            <w:hideMark/>
          </w:tcPr>
          <w:p w14:paraId="5E97B6D6" w14:textId="77777777" w:rsidR="00743850" w:rsidRPr="00D80577" w:rsidRDefault="00743850" w:rsidP="00743850">
            <w:pPr>
              <w:spacing w:after="0" w:line="240" w:lineRule="auto"/>
              <w:jc w:val="right"/>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0.867</w:t>
            </w:r>
          </w:p>
        </w:tc>
        <w:tc>
          <w:tcPr>
            <w:tcW w:w="2491" w:type="dxa"/>
            <w:noWrap/>
            <w:hideMark/>
          </w:tcPr>
          <w:p w14:paraId="7D4E1B7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0.869</w:t>
            </w:r>
          </w:p>
        </w:tc>
        <w:tc>
          <w:tcPr>
            <w:tcW w:w="2528" w:type="dxa"/>
            <w:noWrap/>
            <w:hideMark/>
          </w:tcPr>
          <w:p w14:paraId="38816BE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w:t>
            </w:r>
          </w:p>
        </w:tc>
      </w:tr>
    </w:tbl>
    <w:p w14:paraId="5B515411" w14:textId="77777777" w:rsidR="00743850" w:rsidRPr="00D80577" w:rsidRDefault="00743850" w:rsidP="001817A3">
      <w:pPr>
        <w:spacing w:line="360" w:lineRule="auto"/>
        <w:jc w:val="both"/>
        <w:rPr>
          <w:rFonts w:ascii="Arial" w:hAnsi="Arial" w:cs="Arial"/>
          <w:color w:val="000000" w:themeColor="text1"/>
        </w:rPr>
      </w:pPr>
    </w:p>
    <w:p w14:paraId="0734B31C" w14:textId="0D78062B" w:rsidR="00743850" w:rsidRPr="00D80577" w:rsidRDefault="00743850" w:rsidP="00743850">
      <w:pPr>
        <w:pStyle w:val="Heading3"/>
        <w:spacing w:line="360" w:lineRule="auto"/>
        <w:jc w:val="both"/>
        <w:rPr>
          <w:rFonts w:ascii="Arial" w:hAnsi="Arial" w:cs="Arial"/>
          <w:b/>
          <w:bCs/>
          <w:color w:val="000000" w:themeColor="text1"/>
          <w:sz w:val="24"/>
          <w:szCs w:val="24"/>
        </w:rPr>
      </w:pPr>
      <w:bookmarkStart w:id="92" w:name="_Toc220890097"/>
      <w:r w:rsidRPr="00D80577">
        <w:rPr>
          <w:rFonts w:ascii="Arial" w:hAnsi="Arial" w:cs="Arial"/>
          <w:b/>
          <w:bCs/>
          <w:color w:val="000000" w:themeColor="text1"/>
          <w:sz w:val="24"/>
          <w:szCs w:val="24"/>
        </w:rPr>
        <w:t>4.5.2 Reliability (Scale: Business Performance Impact)</w:t>
      </w:r>
      <w:bookmarkEnd w:id="92"/>
    </w:p>
    <w:p w14:paraId="412A7A6C" w14:textId="0DCFA791" w:rsidR="00743850" w:rsidRPr="00D80577" w:rsidRDefault="00743850" w:rsidP="00743850">
      <w:pPr>
        <w:spacing w:line="360" w:lineRule="auto"/>
        <w:jc w:val="both"/>
        <w:rPr>
          <w:rFonts w:ascii="Arial" w:hAnsi="Arial" w:cs="Arial"/>
        </w:rPr>
      </w:pPr>
      <w:r w:rsidRPr="00D80577">
        <w:rPr>
          <w:rFonts w:ascii="Arial" w:hAnsi="Arial" w:cs="Arial"/>
        </w:rPr>
        <w:t xml:space="preserve">The score of Cronbach's alpha of the business performance impact scale is 0.814, which is a good internal consistency of the five items to assess operational and financial impacts of supply chain disruption. The high reliability confirms that the items (production efficiency, cost management, and overall business performance) are coherent in their indicators of the construct. Regular measurement will be necessary to assess the reliability of the analysis of supply chain disruption and mitigation measures in terms of performance outcomes, which will directly support RQ2 and RQ3. The reliability of the </w:t>
      </w:r>
      <w:r w:rsidRPr="00D80577">
        <w:rPr>
          <w:rFonts w:ascii="Arial" w:hAnsi="Arial" w:cs="Arial"/>
        </w:rPr>
        <w:lastRenderedPageBreak/>
        <w:t>scale enhances confidence in the interpretation of statistical relationships, such as correlations and regression, and demonstrates that respondents' perceptions of the performance effects are consistent across the measured dimensions.</w:t>
      </w:r>
    </w:p>
    <w:p w14:paraId="26209708" w14:textId="693AF785" w:rsidR="00743850" w:rsidRPr="00D80577" w:rsidRDefault="00743850" w:rsidP="00743850">
      <w:pPr>
        <w:pStyle w:val="Caption"/>
        <w:keepNext/>
        <w:rPr>
          <w:rFonts w:ascii="Arial" w:hAnsi="Arial" w:cs="Arial"/>
          <w:i w:val="0"/>
          <w:iCs w:val="0"/>
          <w:sz w:val="22"/>
          <w:szCs w:val="22"/>
        </w:rPr>
      </w:pPr>
      <w:bookmarkStart w:id="93" w:name="_Toc220889999"/>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22</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Reliability (Scale: Business Performance Impact)</w:t>
      </w:r>
      <w:bookmarkEnd w:id="93"/>
    </w:p>
    <w:tbl>
      <w:tblPr>
        <w:tblStyle w:val="PlainTable1"/>
        <w:tblW w:w="7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1"/>
        <w:gridCol w:w="2491"/>
        <w:gridCol w:w="2528"/>
      </w:tblGrid>
      <w:tr w:rsidR="00743850" w:rsidRPr="00D80577" w14:paraId="6C65DD9D" w14:textId="77777777" w:rsidTr="00743850">
        <w:trPr>
          <w:cnfStyle w:val="100000000000" w:firstRow="1" w:lastRow="0" w:firstColumn="0" w:lastColumn="0" w:oddVBand="0" w:evenVBand="0" w:oddHBand="0"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7510" w:type="dxa"/>
            <w:gridSpan w:val="3"/>
            <w:hideMark/>
          </w:tcPr>
          <w:p w14:paraId="45EB3BE7"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Reliability Statistics</w:t>
            </w:r>
          </w:p>
        </w:tc>
      </w:tr>
      <w:tr w:rsidR="00743850" w:rsidRPr="00D80577" w14:paraId="5FF71E10" w14:textId="77777777" w:rsidTr="00743850">
        <w:trPr>
          <w:cnfStyle w:val="000000100000" w:firstRow="0" w:lastRow="0" w:firstColumn="0" w:lastColumn="0" w:oddVBand="0" w:evenVBand="0" w:oddHBand="1" w:evenHBand="0" w:firstRowFirstColumn="0" w:firstRowLastColumn="0" w:lastRowFirstColumn="0" w:lastRowLastColumn="0"/>
          <w:trHeight w:val="1419"/>
        </w:trPr>
        <w:tc>
          <w:tcPr>
            <w:cnfStyle w:val="001000000000" w:firstRow="0" w:lastRow="0" w:firstColumn="1" w:lastColumn="0" w:oddVBand="0" w:evenVBand="0" w:oddHBand="0" w:evenHBand="0" w:firstRowFirstColumn="0" w:firstRowLastColumn="0" w:lastRowFirstColumn="0" w:lastRowLastColumn="0"/>
            <w:tcW w:w="2491" w:type="dxa"/>
            <w:hideMark/>
          </w:tcPr>
          <w:p w14:paraId="1AF3C1EE" w14:textId="77777777" w:rsidR="00743850" w:rsidRPr="00D80577" w:rsidRDefault="00743850" w:rsidP="00743850">
            <w:pPr>
              <w:spacing w:after="0" w:line="240" w:lineRule="auto"/>
              <w:jc w:val="center"/>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w:t>
            </w:r>
          </w:p>
        </w:tc>
        <w:tc>
          <w:tcPr>
            <w:tcW w:w="2491" w:type="dxa"/>
            <w:hideMark/>
          </w:tcPr>
          <w:p w14:paraId="14637E89" w14:textId="7CB16CCF"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 Based on Standardised Items</w:t>
            </w:r>
          </w:p>
        </w:tc>
        <w:tc>
          <w:tcPr>
            <w:tcW w:w="2528" w:type="dxa"/>
            <w:hideMark/>
          </w:tcPr>
          <w:p w14:paraId="47FA14A7"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 of Items</w:t>
            </w:r>
          </w:p>
        </w:tc>
      </w:tr>
      <w:tr w:rsidR="00743850" w:rsidRPr="00D80577" w14:paraId="30011119" w14:textId="77777777" w:rsidTr="00743850">
        <w:trPr>
          <w:trHeight w:val="339"/>
        </w:trPr>
        <w:tc>
          <w:tcPr>
            <w:cnfStyle w:val="001000000000" w:firstRow="0" w:lastRow="0" w:firstColumn="1" w:lastColumn="0" w:oddVBand="0" w:evenVBand="0" w:oddHBand="0" w:evenHBand="0" w:firstRowFirstColumn="0" w:firstRowLastColumn="0" w:lastRowFirstColumn="0" w:lastRowLastColumn="0"/>
            <w:tcW w:w="2491" w:type="dxa"/>
            <w:noWrap/>
            <w:hideMark/>
          </w:tcPr>
          <w:p w14:paraId="26492C06" w14:textId="77777777" w:rsidR="00743850" w:rsidRPr="00D80577" w:rsidRDefault="00743850" w:rsidP="00743850">
            <w:pPr>
              <w:spacing w:after="0" w:line="240" w:lineRule="auto"/>
              <w:jc w:val="right"/>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0.814</w:t>
            </w:r>
          </w:p>
        </w:tc>
        <w:tc>
          <w:tcPr>
            <w:tcW w:w="2491" w:type="dxa"/>
            <w:noWrap/>
            <w:hideMark/>
          </w:tcPr>
          <w:p w14:paraId="602A9E58"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0.814</w:t>
            </w:r>
          </w:p>
        </w:tc>
        <w:tc>
          <w:tcPr>
            <w:tcW w:w="2528" w:type="dxa"/>
            <w:noWrap/>
            <w:hideMark/>
          </w:tcPr>
          <w:p w14:paraId="5E0990B3"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w:t>
            </w:r>
          </w:p>
        </w:tc>
      </w:tr>
    </w:tbl>
    <w:p w14:paraId="06443EAE" w14:textId="77777777" w:rsidR="00743850" w:rsidRPr="00D80577" w:rsidRDefault="00743850" w:rsidP="001817A3">
      <w:pPr>
        <w:spacing w:line="360" w:lineRule="auto"/>
        <w:jc w:val="both"/>
        <w:rPr>
          <w:rFonts w:ascii="Arial" w:hAnsi="Arial" w:cs="Arial"/>
          <w:color w:val="000000" w:themeColor="text1"/>
        </w:rPr>
      </w:pPr>
    </w:p>
    <w:p w14:paraId="61004005" w14:textId="5878E4C2" w:rsidR="00743850" w:rsidRPr="00D80577" w:rsidRDefault="00743850" w:rsidP="00743850">
      <w:pPr>
        <w:pStyle w:val="Heading3"/>
        <w:spacing w:line="360" w:lineRule="auto"/>
        <w:jc w:val="both"/>
        <w:rPr>
          <w:rFonts w:ascii="Arial" w:hAnsi="Arial" w:cs="Arial"/>
          <w:b/>
          <w:bCs/>
          <w:color w:val="000000" w:themeColor="text1"/>
          <w:sz w:val="24"/>
          <w:szCs w:val="24"/>
        </w:rPr>
      </w:pPr>
      <w:bookmarkStart w:id="94" w:name="_Toc220890098"/>
      <w:r w:rsidRPr="00D80577">
        <w:rPr>
          <w:rFonts w:ascii="Arial" w:hAnsi="Arial" w:cs="Arial"/>
          <w:b/>
          <w:bCs/>
          <w:color w:val="000000" w:themeColor="text1"/>
          <w:sz w:val="24"/>
          <w:szCs w:val="24"/>
        </w:rPr>
        <w:t>4.5.3 Reliability (Scale: Business Performance Impact)</w:t>
      </w:r>
      <w:bookmarkEnd w:id="94"/>
    </w:p>
    <w:p w14:paraId="53F0E8DC" w14:textId="7DDC88AD" w:rsidR="00743850" w:rsidRPr="00D80577" w:rsidRDefault="00743850" w:rsidP="00743850">
      <w:pPr>
        <w:spacing w:line="360" w:lineRule="auto"/>
        <w:jc w:val="both"/>
        <w:rPr>
          <w:rFonts w:ascii="Arial" w:hAnsi="Arial" w:cs="Arial"/>
        </w:rPr>
      </w:pPr>
      <w:r w:rsidRPr="00D80577">
        <w:rPr>
          <w:rFonts w:ascii="Arial" w:hAnsi="Arial" w:cs="Arial"/>
        </w:rPr>
        <w:t xml:space="preserve">The impact of business performance measurement, measured second, has a Cronbach's alpha of 0.790 (0.791 standardised), an acceptable reliability for a five-item scale. This implies that the items are consistent enough to measure operational and financial performance outcomes caused by disruptions of supply chains. The consistency of measurements </w:t>
      </w:r>
      <w:r w:rsidR="00136126" w:rsidRPr="00D80577">
        <w:rPr>
          <w:rFonts w:ascii="Arial" w:hAnsi="Arial" w:cs="Arial"/>
        </w:rPr>
        <w:t>guarantees that the scale can be used later in further analyses, such as regression modelling, and that results linking</w:t>
      </w:r>
      <w:r w:rsidRPr="00D80577">
        <w:rPr>
          <w:rFonts w:ascii="Arial" w:hAnsi="Arial" w:cs="Arial"/>
        </w:rPr>
        <w:t xml:space="preserve"> disruptions and mitigation measures to business performance are sound. It gives the confidence that relationships observed are in reality relationships, as opposed to measurement error. This consistency also contributes to the overall validity of the study, as the responses are adequate to reflect the effects of supply chain concerns on UK manufacturing companies.</w:t>
      </w:r>
    </w:p>
    <w:p w14:paraId="7EE19D36" w14:textId="3BEAC1AB" w:rsidR="00743850" w:rsidRPr="00D80577" w:rsidRDefault="00743850" w:rsidP="00743850">
      <w:pPr>
        <w:pStyle w:val="Caption"/>
        <w:keepNext/>
        <w:rPr>
          <w:rFonts w:ascii="Arial" w:hAnsi="Arial" w:cs="Arial"/>
          <w:i w:val="0"/>
          <w:iCs w:val="0"/>
          <w:sz w:val="22"/>
          <w:szCs w:val="22"/>
        </w:rPr>
      </w:pPr>
      <w:bookmarkStart w:id="95" w:name="_Toc220890000"/>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23</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Reliability (Scale: Business Performance Impact)</w:t>
      </w:r>
      <w:bookmarkEnd w:id="95"/>
    </w:p>
    <w:tbl>
      <w:tblPr>
        <w:tblStyle w:val="PlainTable1"/>
        <w:tblW w:w="7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1"/>
        <w:gridCol w:w="2491"/>
        <w:gridCol w:w="2528"/>
      </w:tblGrid>
      <w:tr w:rsidR="00743850" w:rsidRPr="00D80577" w14:paraId="511140E2" w14:textId="77777777" w:rsidTr="00823C5E">
        <w:trPr>
          <w:cnfStyle w:val="100000000000" w:firstRow="1" w:lastRow="0" w:firstColumn="0" w:lastColumn="0" w:oddVBand="0" w:evenVBand="0" w:oddHBand="0" w:evenHBand="0" w:firstRowFirstColumn="0" w:firstRowLastColumn="0" w:lastRowFirstColumn="0" w:lastRowLastColumn="0"/>
          <w:trHeight w:val="612"/>
        </w:trPr>
        <w:tc>
          <w:tcPr>
            <w:cnfStyle w:val="001000000000" w:firstRow="0" w:lastRow="0" w:firstColumn="1" w:lastColumn="0" w:oddVBand="0" w:evenVBand="0" w:oddHBand="0" w:evenHBand="0" w:firstRowFirstColumn="0" w:firstRowLastColumn="0" w:lastRowFirstColumn="0" w:lastRowLastColumn="0"/>
            <w:tcW w:w="7510" w:type="dxa"/>
            <w:gridSpan w:val="3"/>
            <w:hideMark/>
          </w:tcPr>
          <w:p w14:paraId="2A6A74D8"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10205"/>
                <w:kern w:val="0"/>
                <w:sz w:val="22"/>
                <w:szCs w:val="22"/>
                <w14:ligatures w14:val="none"/>
              </w:rPr>
              <w:t>Reliability Statistics</w:t>
            </w:r>
          </w:p>
        </w:tc>
      </w:tr>
      <w:tr w:rsidR="00743850" w:rsidRPr="00D80577" w14:paraId="6B108B24" w14:textId="77777777" w:rsidTr="00743850">
        <w:trPr>
          <w:cnfStyle w:val="000000100000" w:firstRow="0" w:lastRow="0" w:firstColumn="0" w:lastColumn="0" w:oddVBand="0" w:evenVBand="0" w:oddHBand="1" w:evenHBand="0" w:firstRowFirstColumn="0" w:firstRowLastColumn="0" w:lastRowFirstColumn="0" w:lastRowLastColumn="0"/>
          <w:trHeight w:val="1419"/>
        </w:trPr>
        <w:tc>
          <w:tcPr>
            <w:cnfStyle w:val="001000000000" w:firstRow="0" w:lastRow="0" w:firstColumn="1" w:lastColumn="0" w:oddVBand="0" w:evenVBand="0" w:oddHBand="0" w:evenHBand="0" w:firstRowFirstColumn="0" w:firstRowLastColumn="0" w:lastRowFirstColumn="0" w:lastRowLastColumn="0"/>
            <w:tcW w:w="2491" w:type="dxa"/>
            <w:hideMark/>
          </w:tcPr>
          <w:p w14:paraId="1DF303B5" w14:textId="77777777" w:rsidR="00743850" w:rsidRPr="00D80577" w:rsidRDefault="00743850" w:rsidP="00743850">
            <w:pPr>
              <w:spacing w:after="0" w:line="240" w:lineRule="auto"/>
              <w:jc w:val="center"/>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w:t>
            </w:r>
          </w:p>
        </w:tc>
        <w:tc>
          <w:tcPr>
            <w:tcW w:w="2491" w:type="dxa"/>
            <w:hideMark/>
          </w:tcPr>
          <w:p w14:paraId="0EE1F5EC" w14:textId="7DB39AC6"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Cronbach's Alpha Based on Standardised Items</w:t>
            </w:r>
          </w:p>
        </w:tc>
        <w:tc>
          <w:tcPr>
            <w:tcW w:w="2528" w:type="dxa"/>
            <w:hideMark/>
          </w:tcPr>
          <w:p w14:paraId="0DA416EF"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N of Items</w:t>
            </w:r>
          </w:p>
        </w:tc>
      </w:tr>
      <w:tr w:rsidR="00743850" w:rsidRPr="00D80577" w14:paraId="6381CFF9" w14:textId="77777777" w:rsidTr="00743850">
        <w:trPr>
          <w:trHeight w:val="339"/>
        </w:trPr>
        <w:tc>
          <w:tcPr>
            <w:cnfStyle w:val="001000000000" w:firstRow="0" w:lastRow="0" w:firstColumn="1" w:lastColumn="0" w:oddVBand="0" w:evenVBand="0" w:oddHBand="0" w:evenHBand="0" w:firstRowFirstColumn="0" w:firstRowLastColumn="0" w:lastRowFirstColumn="0" w:lastRowLastColumn="0"/>
            <w:tcW w:w="2491" w:type="dxa"/>
            <w:noWrap/>
            <w:hideMark/>
          </w:tcPr>
          <w:p w14:paraId="74B6C662" w14:textId="77777777" w:rsidR="00743850" w:rsidRPr="00D80577" w:rsidRDefault="00743850" w:rsidP="00743850">
            <w:pPr>
              <w:spacing w:after="0" w:line="240" w:lineRule="auto"/>
              <w:jc w:val="right"/>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0.790</w:t>
            </w:r>
          </w:p>
        </w:tc>
        <w:tc>
          <w:tcPr>
            <w:tcW w:w="2491" w:type="dxa"/>
            <w:noWrap/>
            <w:hideMark/>
          </w:tcPr>
          <w:p w14:paraId="22E5836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0.791</w:t>
            </w:r>
          </w:p>
        </w:tc>
        <w:tc>
          <w:tcPr>
            <w:tcW w:w="2528" w:type="dxa"/>
            <w:noWrap/>
            <w:hideMark/>
          </w:tcPr>
          <w:p w14:paraId="59EFE71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5</w:t>
            </w:r>
          </w:p>
        </w:tc>
      </w:tr>
    </w:tbl>
    <w:p w14:paraId="4A8B6721" w14:textId="77777777" w:rsidR="00743850" w:rsidRPr="00D80577" w:rsidRDefault="00743850" w:rsidP="001817A3">
      <w:pPr>
        <w:spacing w:line="360" w:lineRule="auto"/>
        <w:jc w:val="both"/>
        <w:rPr>
          <w:rFonts w:ascii="Arial" w:hAnsi="Arial" w:cs="Arial"/>
          <w:color w:val="000000" w:themeColor="text1"/>
        </w:rPr>
      </w:pPr>
    </w:p>
    <w:p w14:paraId="46CB6256" w14:textId="77777777" w:rsidR="00743850" w:rsidRPr="00D80577" w:rsidRDefault="00743850" w:rsidP="001817A3">
      <w:pPr>
        <w:spacing w:line="360" w:lineRule="auto"/>
        <w:jc w:val="both"/>
        <w:rPr>
          <w:rFonts w:ascii="Arial" w:hAnsi="Arial" w:cs="Arial"/>
          <w:color w:val="000000" w:themeColor="text1"/>
        </w:rPr>
      </w:pPr>
    </w:p>
    <w:p w14:paraId="6246BBD5" w14:textId="5511D970" w:rsidR="00D235F4" w:rsidRPr="00D80577" w:rsidRDefault="00743850" w:rsidP="00743850">
      <w:pPr>
        <w:pStyle w:val="Heading2"/>
        <w:spacing w:line="360" w:lineRule="auto"/>
        <w:jc w:val="both"/>
        <w:rPr>
          <w:rFonts w:ascii="Arial" w:hAnsi="Arial" w:cs="Arial"/>
          <w:b/>
          <w:bCs/>
          <w:color w:val="000000" w:themeColor="text1"/>
          <w:sz w:val="24"/>
          <w:szCs w:val="24"/>
        </w:rPr>
      </w:pPr>
      <w:bookmarkStart w:id="96" w:name="_Toc220890099"/>
      <w:r w:rsidRPr="00D80577">
        <w:rPr>
          <w:rFonts w:ascii="Arial" w:hAnsi="Arial" w:cs="Arial"/>
          <w:b/>
          <w:bCs/>
          <w:color w:val="000000" w:themeColor="text1"/>
          <w:sz w:val="24"/>
          <w:szCs w:val="24"/>
        </w:rPr>
        <w:t>4.6 Regression Analysis</w:t>
      </w:r>
      <w:bookmarkEnd w:id="96"/>
    </w:p>
    <w:p w14:paraId="293D342B" w14:textId="4849CE53" w:rsidR="00743850" w:rsidRPr="00D80577" w:rsidRDefault="00743850" w:rsidP="00743850">
      <w:pPr>
        <w:spacing w:line="360" w:lineRule="auto"/>
        <w:jc w:val="both"/>
        <w:rPr>
          <w:rFonts w:ascii="Arial" w:hAnsi="Arial" w:cs="Arial"/>
          <w:color w:val="000000" w:themeColor="text1"/>
        </w:rPr>
      </w:pPr>
      <w:r w:rsidRPr="00D80577">
        <w:rPr>
          <w:rFonts w:ascii="Arial" w:hAnsi="Arial" w:cs="Arial"/>
          <w:color w:val="000000" w:themeColor="text1"/>
        </w:rPr>
        <w:t xml:space="preserve">The regression analysis ascertains the influence of supply chain disruption and mitigation approaches on the business performance of UK manufacturing companies. The model summary </w:t>
      </w:r>
      <w:r w:rsidR="00136126" w:rsidRPr="00D80577">
        <w:rPr>
          <w:rFonts w:ascii="Arial" w:hAnsi="Arial" w:cs="Arial"/>
          <w:color w:val="000000" w:themeColor="text1"/>
        </w:rPr>
        <w:t>shows high positivity, with a positive relationship between the disruption and mitigation strategies</w:t>
      </w:r>
      <w:r w:rsidRPr="00D80577">
        <w:rPr>
          <w:rFonts w:ascii="Arial" w:hAnsi="Arial" w:cs="Arial"/>
          <w:color w:val="000000" w:themeColor="text1"/>
        </w:rPr>
        <w:t xml:space="preserve">. The R = 0.860 and R 2 = 0.739 values indicate that about 73.9 per cent of the influence on business performance is explained by the combination of disruption and mitigation strategies. The adjusted R 2 </w:t>
      </w:r>
      <w:r w:rsidR="00136126" w:rsidRPr="00D80577">
        <w:rPr>
          <w:rFonts w:ascii="Arial" w:hAnsi="Arial" w:cs="Arial"/>
          <w:color w:val="000000" w:themeColor="text1"/>
        </w:rPr>
        <w:t>of 0.735 indicates the model's robustness, and the standard error of 0.38106 indicates</w:t>
      </w:r>
      <w:r w:rsidRPr="00D80577">
        <w:rPr>
          <w:rFonts w:ascii="Arial" w:hAnsi="Arial" w:cs="Arial"/>
          <w:color w:val="000000" w:themeColor="text1"/>
        </w:rPr>
        <w:t xml:space="preserve"> low prediction error.</w:t>
      </w:r>
    </w:p>
    <w:p w14:paraId="5A38A5B1" w14:textId="503934BC" w:rsidR="00743850" w:rsidRPr="00D80577" w:rsidRDefault="00743850" w:rsidP="00743850">
      <w:pPr>
        <w:pStyle w:val="Caption"/>
        <w:keepNext/>
        <w:rPr>
          <w:rFonts w:ascii="Arial" w:hAnsi="Arial" w:cs="Arial"/>
          <w:i w:val="0"/>
          <w:iCs w:val="0"/>
          <w:sz w:val="22"/>
          <w:szCs w:val="22"/>
        </w:rPr>
      </w:pPr>
      <w:bookmarkStart w:id="97" w:name="_Toc220890001"/>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24</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Model Summary</w:t>
      </w:r>
      <w:bookmarkEnd w:id="97"/>
    </w:p>
    <w:tbl>
      <w:tblPr>
        <w:tblStyle w:val="PlainTable1"/>
        <w:tblW w:w="10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31"/>
        <w:gridCol w:w="1431"/>
        <w:gridCol w:w="1453"/>
        <w:gridCol w:w="917"/>
        <w:gridCol w:w="917"/>
        <w:gridCol w:w="863"/>
        <w:gridCol w:w="867"/>
        <w:gridCol w:w="863"/>
        <w:gridCol w:w="863"/>
        <w:gridCol w:w="863"/>
      </w:tblGrid>
      <w:tr w:rsidR="00743850" w:rsidRPr="00D80577" w14:paraId="17987DB4" w14:textId="77777777" w:rsidTr="00743850">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10362" w:type="dxa"/>
            <w:gridSpan w:val="10"/>
            <w:hideMark/>
          </w:tcPr>
          <w:p w14:paraId="150262E4"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00000"/>
                <w:kern w:val="0"/>
                <w:sz w:val="22"/>
                <w:szCs w:val="22"/>
                <w14:ligatures w14:val="none"/>
              </w:rPr>
              <w:t>Model Summary</w:t>
            </w:r>
            <w:r w:rsidRPr="00D80577">
              <w:rPr>
                <w:rFonts w:ascii="Arial" w:eastAsia="Times New Roman" w:hAnsi="Arial" w:cs="Arial"/>
                <w:color w:val="000000"/>
                <w:kern w:val="0"/>
                <w:sz w:val="22"/>
                <w:szCs w:val="22"/>
                <w:vertAlign w:val="superscript"/>
                <w14:ligatures w14:val="none"/>
              </w:rPr>
              <w:t>b</w:t>
            </w:r>
          </w:p>
        </w:tc>
      </w:tr>
      <w:tr w:rsidR="00743850" w:rsidRPr="00D80577" w14:paraId="17FAC045" w14:textId="77777777" w:rsidTr="00743850">
        <w:trPr>
          <w:cnfStyle w:val="000000100000" w:firstRow="0" w:lastRow="0" w:firstColumn="0" w:lastColumn="0" w:oddVBand="0" w:evenVBand="0" w:oddHBand="1"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1431" w:type="dxa"/>
            <w:vMerge w:val="restart"/>
            <w:hideMark/>
          </w:tcPr>
          <w:p w14:paraId="501B10B2"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Model</w:t>
            </w:r>
          </w:p>
        </w:tc>
        <w:tc>
          <w:tcPr>
            <w:tcW w:w="1431" w:type="dxa"/>
            <w:vMerge w:val="restart"/>
            <w:hideMark/>
          </w:tcPr>
          <w:p w14:paraId="395C603F"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w:t>
            </w:r>
          </w:p>
        </w:tc>
        <w:tc>
          <w:tcPr>
            <w:tcW w:w="1453" w:type="dxa"/>
            <w:vMerge w:val="restart"/>
            <w:hideMark/>
          </w:tcPr>
          <w:p w14:paraId="27E513B9"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 Square</w:t>
            </w:r>
          </w:p>
        </w:tc>
        <w:tc>
          <w:tcPr>
            <w:tcW w:w="863" w:type="dxa"/>
            <w:vMerge w:val="restart"/>
            <w:hideMark/>
          </w:tcPr>
          <w:p w14:paraId="1A327AF3" w14:textId="362C7ADA"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Adjusted R-Square</w:t>
            </w:r>
          </w:p>
        </w:tc>
        <w:tc>
          <w:tcPr>
            <w:tcW w:w="863" w:type="dxa"/>
            <w:vMerge w:val="restart"/>
            <w:hideMark/>
          </w:tcPr>
          <w:p w14:paraId="1DA36E7B"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Std. Error of the Estimate</w:t>
            </w:r>
          </w:p>
        </w:tc>
        <w:tc>
          <w:tcPr>
            <w:tcW w:w="4318" w:type="dxa"/>
            <w:gridSpan w:val="5"/>
            <w:hideMark/>
          </w:tcPr>
          <w:p w14:paraId="21D232FC"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Change Statistics</w:t>
            </w:r>
          </w:p>
        </w:tc>
      </w:tr>
      <w:tr w:rsidR="00743850" w:rsidRPr="00D80577" w14:paraId="05ACE086" w14:textId="77777777" w:rsidTr="00743850">
        <w:trPr>
          <w:trHeight w:val="505"/>
        </w:trPr>
        <w:tc>
          <w:tcPr>
            <w:cnfStyle w:val="001000000000" w:firstRow="0" w:lastRow="0" w:firstColumn="1" w:lastColumn="0" w:oddVBand="0" w:evenVBand="0" w:oddHBand="0" w:evenHBand="0" w:firstRowFirstColumn="0" w:firstRowLastColumn="0" w:lastRowFirstColumn="0" w:lastRowLastColumn="0"/>
            <w:tcW w:w="1431" w:type="dxa"/>
            <w:vMerge/>
            <w:hideMark/>
          </w:tcPr>
          <w:p w14:paraId="09AEDEED"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1431" w:type="dxa"/>
            <w:vMerge/>
            <w:hideMark/>
          </w:tcPr>
          <w:p w14:paraId="14AAE4FF"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c>
          <w:tcPr>
            <w:tcW w:w="1453" w:type="dxa"/>
            <w:vMerge/>
            <w:hideMark/>
          </w:tcPr>
          <w:p w14:paraId="7B1FB545"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c>
          <w:tcPr>
            <w:tcW w:w="863" w:type="dxa"/>
            <w:vMerge/>
            <w:hideMark/>
          </w:tcPr>
          <w:p w14:paraId="0A79FF79"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c>
          <w:tcPr>
            <w:tcW w:w="863" w:type="dxa"/>
            <w:vMerge/>
            <w:hideMark/>
          </w:tcPr>
          <w:p w14:paraId="054A6B8D"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c>
          <w:tcPr>
            <w:tcW w:w="863" w:type="dxa"/>
            <w:hideMark/>
          </w:tcPr>
          <w:p w14:paraId="130CA23E"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 Square Change</w:t>
            </w:r>
          </w:p>
        </w:tc>
        <w:tc>
          <w:tcPr>
            <w:tcW w:w="863" w:type="dxa"/>
            <w:hideMark/>
          </w:tcPr>
          <w:p w14:paraId="66B8E9D4"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 Change</w:t>
            </w:r>
          </w:p>
        </w:tc>
        <w:tc>
          <w:tcPr>
            <w:tcW w:w="863" w:type="dxa"/>
            <w:hideMark/>
          </w:tcPr>
          <w:p w14:paraId="5EEF6AE4"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df1</w:t>
            </w:r>
          </w:p>
        </w:tc>
        <w:tc>
          <w:tcPr>
            <w:tcW w:w="863" w:type="dxa"/>
            <w:hideMark/>
          </w:tcPr>
          <w:p w14:paraId="21E496DB"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df2</w:t>
            </w:r>
          </w:p>
        </w:tc>
        <w:tc>
          <w:tcPr>
            <w:tcW w:w="863" w:type="dxa"/>
            <w:hideMark/>
          </w:tcPr>
          <w:p w14:paraId="597C03DB"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Sig. F Change</w:t>
            </w:r>
          </w:p>
        </w:tc>
      </w:tr>
      <w:tr w:rsidR="00743850" w:rsidRPr="00D80577" w14:paraId="7A944FA2" w14:textId="77777777" w:rsidTr="00743850">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1431" w:type="dxa"/>
            <w:noWrap/>
            <w:hideMark/>
          </w:tcPr>
          <w:p w14:paraId="542E20BD"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1</w:t>
            </w:r>
          </w:p>
        </w:tc>
        <w:tc>
          <w:tcPr>
            <w:tcW w:w="1431" w:type="dxa"/>
            <w:noWrap/>
            <w:hideMark/>
          </w:tcPr>
          <w:p w14:paraId="08AAC50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.860</w:t>
            </w:r>
            <w:r w:rsidRPr="00D80577">
              <w:rPr>
                <w:rFonts w:ascii="Arial" w:eastAsia="Times New Roman" w:hAnsi="Arial" w:cs="Arial"/>
                <w:color w:val="000000"/>
                <w:kern w:val="0"/>
                <w:sz w:val="18"/>
                <w:szCs w:val="18"/>
                <w:vertAlign w:val="superscript"/>
                <w14:ligatures w14:val="none"/>
              </w:rPr>
              <w:t>a</w:t>
            </w:r>
          </w:p>
        </w:tc>
        <w:tc>
          <w:tcPr>
            <w:tcW w:w="1453" w:type="dxa"/>
            <w:noWrap/>
            <w:hideMark/>
          </w:tcPr>
          <w:p w14:paraId="1A54A91B"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0.739</w:t>
            </w:r>
          </w:p>
        </w:tc>
        <w:tc>
          <w:tcPr>
            <w:tcW w:w="863" w:type="dxa"/>
            <w:noWrap/>
            <w:hideMark/>
          </w:tcPr>
          <w:p w14:paraId="3CE8404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0.735</w:t>
            </w:r>
          </w:p>
        </w:tc>
        <w:tc>
          <w:tcPr>
            <w:tcW w:w="863" w:type="dxa"/>
            <w:noWrap/>
            <w:hideMark/>
          </w:tcPr>
          <w:p w14:paraId="34F7E5D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0.38106</w:t>
            </w:r>
          </w:p>
        </w:tc>
        <w:tc>
          <w:tcPr>
            <w:tcW w:w="863" w:type="dxa"/>
            <w:noWrap/>
            <w:hideMark/>
          </w:tcPr>
          <w:p w14:paraId="2538A24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0.739</w:t>
            </w:r>
          </w:p>
        </w:tc>
        <w:tc>
          <w:tcPr>
            <w:tcW w:w="863" w:type="dxa"/>
            <w:noWrap/>
            <w:hideMark/>
          </w:tcPr>
          <w:p w14:paraId="08B724DD"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207.998</w:t>
            </w:r>
          </w:p>
        </w:tc>
        <w:tc>
          <w:tcPr>
            <w:tcW w:w="863" w:type="dxa"/>
            <w:noWrap/>
            <w:hideMark/>
          </w:tcPr>
          <w:p w14:paraId="750DF14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w:t>
            </w:r>
          </w:p>
        </w:tc>
        <w:tc>
          <w:tcPr>
            <w:tcW w:w="863" w:type="dxa"/>
            <w:noWrap/>
            <w:hideMark/>
          </w:tcPr>
          <w:p w14:paraId="32EEE79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147</w:t>
            </w:r>
          </w:p>
        </w:tc>
        <w:tc>
          <w:tcPr>
            <w:tcW w:w="863" w:type="dxa"/>
            <w:noWrap/>
            <w:hideMark/>
          </w:tcPr>
          <w:p w14:paraId="12379D25"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0.000</w:t>
            </w:r>
          </w:p>
        </w:tc>
      </w:tr>
      <w:tr w:rsidR="00743850" w:rsidRPr="00D80577" w14:paraId="2B031E33" w14:textId="77777777" w:rsidTr="00743850">
        <w:trPr>
          <w:trHeight w:val="295"/>
        </w:trPr>
        <w:tc>
          <w:tcPr>
            <w:cnfStyle w:val="001000000000" w:firstRow="0" w:lastRow="0" w:firstColumn="1" w:lastColumn="0" w:oddVBand="0" w:evenVBand="0" w:oddHBand="0" w:evenHBand="0" w:firstRowFirstColumn="0" w:firstRowLastColumn="0" w:lastRowFirstColumn="0" w:lastRowLastColumn="0"/>
            <w:tcW w:w="10362" w:type="dxa"/>
            <w:gridSpan w:val="10"/>
            <w:hideMark/>
          </w:tcPr>
          <w:p w14:paraId="26BFE6B9"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a. Predictors: (Constant), Mitigation_Strategies, Supply_Chain_Disruptions</w:t>
            </w:r>
          </w:p>
        </w:tc>
      </w:tr>
      <w:tr w:rsidR="00743850" w:rsidRPr="00D80577" w14:paraId="702FA373" w14:textId="77777777" w:rsidTr="00743850">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10362" w:type="dxa"/>
            <w:gridSpan w:val="10"/>
            <w:hideMark/>
          </w:tcPr>
          <w:p w14:paraId="31AA5FF2"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b. Dependent Variable: Business_Performance_Impact</w:t>
            </w:r>
          </w:p>
        </w:tc>
      </w:tr>
    </w:tbl>
    <w:p w14:paraId="5BE87BB0" w14:textId="77777777" w:rsidR="00743850" w:rsidRPr="00D80577" w:rsidRDefault="00743850" w:rsidP="001817A3">
      <w:pPr>
        <w:spacing w:line="360" w:lineRule="auto"/>
        <w:jc w:val="both"/>
        <w:rPr>
          <w:rFonts w:ascii="Arial" w:hAnsi="Arial" w:cs="Arial"/>
          <w:color w:val="000000" w:themeColor="text1"/>
        </w:rPr>
      </w:pPr>
    </w:p>
    <w:p w14:paraId="07456D7A" w14:textId="27297D1D" w:rsidR="00D235F4" w:rsidRPr="00D80577" w:rsidRDefault="00743850" w:rsidP="001817A3">
      <w:pPr>
        <w:spacing w:line="360" w:lineRule="auto"/>
        <w:jc w:val="both"/>
        <w:rPr>
          <w:rFonts w:ascii="Arial" w:hAnsi="Arial" w:cs="Arial"/>
          <w:color w:val="000000" w:themeColor="text1"/>
        </w:rPr>
      </w:pPr>
      <w:r w:rsidRPr="00D80577">
        <w:rPr>
          <w:rFonts w:ascii="Arial" w:hAnsi="Arial" w:cs="Arial"/>
          <w:color w:val="000000" w:themeColor="text1"/>
        </w:rPr>
        <w:t>The ANOVA findings indicate that the model is statistically significant (F = 207.998, p &lt; 0.001), demonstrating that supply chain disruptions and mitigation strategies are reliable predictors of business performance.</w:t>
      </w:r>
    </w:p>
    <w:p w14:paraId="5DE4459D" w14:textId="536C4862" w:rsidR="00743850" w:rsidRPr="00D80577" w:rsidRDefault="00743850" w:rsidP="00743850">
      <w:pPr>
        <w:pStyle w:val="Caption"/>
        <w:keepNext/>
        <w:rPr>
          <w:rFonts w:ascii="Arial" w:hAnsi="Arial" w:cs="Arial"/>
          <w:i w:val="0"/>
          <w:iCs w:val="0"/>
          <w:sz w:val="22"/>
          <w:szCs w:val="22"/>
        </w:rPr>
      </w:pPr>
      <w:bookmarkStart w:id="98" w:name="_Toc220890002"/>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25</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ANOVA</w:t>
      </w:r>
      <w:bookmarkEnd w:id="98"/>
    </w:p>
    <w:tbl>
      <w:tblPr>
        <w:tblStyle w:val="PlainTable1"/>
        <w:tblW w:w="101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7"/>
        <w:gridCol w:w="2922"/>
        <w:gridCol w:w="2042"/>
        <w:gridCol w:w="1204"/>
        <w:gridCol w:w="1235"/>
        <w:gridCol w:w="1243"/>
        <w:gridCol w:w="1218"/>
      </w:tblGrid>
      <w:tr w:rsidR="00743850" w:rsidRPr="00D80577" w14:paraId="6D147271" w14:textId="77777777" w:rsidTr="00743850">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10181" w:type="dxa"/>
            <w:gridSpan w:val="7"/>
            <w:hideMark/>
          </w:tcPr>
          <w:p w14:paraId="3AA528A1"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00000"/>
                <w:kern w:val="0"/>
                <w:sz w:val="22"/>
                <w:szCs w:val="22"/>
                <w14:ligatures w14:val="none"/>
              </w:rPr>
              <w:t>ANOVA</w:t>
            </w:r>
            <w:r w:rsidRPr="00D80577">
              <w:rPr>
                <w:rFonts w:ascii="Arial" w:eastAsia="Times New Roman" w:hAnsi="Arial" w:cs="Arial"/>
                <w:color w:val="000000"/>
                <w:kern w:val="0"/>
                <w:sz w:val="22"/>
                <w:szCs w:val="22"/>
                <w:vertAlign w:val="superscript"/>
                <w14:ligatures w14:val="none"/>
              </w:rPr>
              <w:t>a</w:t>
            </w:r>
          </w:p>
        </w:tc>
      </w:tr>
      <w:tr w:rsidR="00743850" w:rsidRPr="00D80577" w14:paraId="26A81C6A" w14:textId="77777777" w:rsidTr="00743850">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3239" w:type="dxa"/>
            <w:gridSpan w:val="2"/>
            <w:hideMark/>
          </w:tcPr>
          <w:p w14:paraId="44773D9B"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Model</w:t>
            </w:r>
          </w:p>
        </w:tc>
        <w:tc>
          <w:tcPr>
            <w:tcW w:w="2042" w:type="dxa"/>
            <w:hideMark/>
          </w:tcPr>
          <w:p w14:paraId="2D833428"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Sum of Squares</w:t>
            </w:r>
          </w:p>
        </w:tc>
        <w:tc>
          <w:tcPr>
            <w:tcW w:w="1204" w:type="dxa"/>
            <w:hideMark/>
          </w:tcPr>
          <w:p w14:paraId="1D74BC00"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df</w:t>
            </w:r>
          </w:p>
        </w:tc>
        <w:tc>
          <w:tcPr>
            <w:tcW w:w="1235" w:type="dxa"/>
            <w:hideMark/>
          </w:tcPr>
          <w:p w14:paraId="225CFAD5"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Mean Square</w:t>
            </w:r>
          </w:p>
        </w:tc>
        <w:tc>
          <w:tcPr>
            <w:tcW w:w="1243" w:type="dxa"/>
            <w:hideMark/>
          </w:tcPr>
          <w:p w14:paraId="640F8502"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F</w:t>
            </w:r>
          </w:p>
        </w:tc>
        <w:tc>
          <w:tcPr>
            <w:tcW w:w="1216" w:type="dxa"/>
            <w:hideMark/>
          </w:tcPr>
          <w:p w14:paraId="426E9071"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Sig.</w:t>
            </w:r>
          </w:p>
        </w:tc>
      </w:tr>
      <w:tr w:rsidR="00743850" w:rsidRPr="00D80577" w14:paraId="3D5B6634" w14:textId="77777777" w:rsidTr="00743850">
        <w:trPr>
          <w:trHeight w:val="322"/>
        </w:trPr>
        <w:tc>
          <w:tcPr>
            <w:cnfStyle w:val="001000000000" w:firstRow="0" w:lastRow="0" w:firstColumn="1" w:lastColumn="0" w:oddVBand="0" w:evenVBand="0" w:oddHBand="0" w:evenHBand="0" w:firstRowFirstColumn="0" w:firstRowLastColumn="0" w:lastRowFirstColumn="0" w:lastRowLastColumn="0"/>
            <w:tcW w:w="238" w:type="dxa"/>
            <w:vMerge w:val="restart"/>
            <w:noWrap/>
            <w:hideMark/>
          </w:tcPr>
          <w:p w14:paraId="1A56CE6D"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1</w:t>
            </w:r>
          </w:p>
        </w:tc>
        <w:tc>
          <w:tcPr>
            <w:tcW w:w="3000" w:type="dxa"/>
            <w:hideMark/>
          </w:tcPr>
          <w:p w14:paraId="0F39DCC1"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Regression</w:t>
            </w:r>
          </w:p>
        </w:tc>
        <w:tc>
          <w:tcPr>
            <w:tcW w:w="2042" w:type="dxa"/>
            <w:noWrap/>
            <w:hideMark/>
          </w:tcPr>
          <w:p w14:paraId="39D69196"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60.405</w:t>
            </w:r>
          </w:p>
        </w:tc>
        <w:tc>
          <w:tcPr>
            <w:tcW w:w="1204" w:type="dxa"/>
            <w:noWrap/>
            <w:hideMark/>
          </w:tcPr>
          <w:p w14:paraId="779BE72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w:t>
            </w:r>
          </w:p>
        </w:tc>
        <w:tc>
          <w:tcPr>
            <w:tcW w:w="1235" w:type="dxa"/>
            <w:noWrap/>
            <w:hideMark/>
          </w:tcPr>
          <w:p w14:paraId="3300B8B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30.203</w:t>
            </w:r>
          </w:p>
        </w:tc>
        <w:tc>
          <w:tcPr>
            <w:tcW w:w="1243" w:type="dxa"/>
            <w:noWrap/>
            <w:hideMark/>
          </w:tcPr>
          <w:p w14:paraId="3DB9FDD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207.998</w:t>
            </w:r>
          </w:p>
        </w:tc>
        <w:tc>
          <w:tcPr>
            <w:tcW w:w="1216" w:type="dxa"/>
            <w:noWrap/>
            <w:hideMark/>
          </w:tcPr>
          <w:p w14:paraId="234C335E"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00000"/>
                <w:kern w:val="0"/>
                <w:sz w:val="18"/>
                <w:szCs w:val="18"/>
                <w14:ligatures w14:val="none"/>
              </w:rPr>
              <w:t>.000</w:t>
            </w:r>
            <w:r w:rsidRPr="00D80577">
              <w:rPr>
                <w:rFonts w:ascii="Arial" w:eastAsia="Times New Roman" w:hAnsi="Arial" w:cs="Arial"/>
                <w:color w:val="000000"/>
                <w:kern w:val="0"/>
                <w:sz w:val="18"/>
                <w:szCs w:val="18"/>
                <w:vertAlign w:val="superscript"/>
                <w14:ligatures w14:val="none"/>
              </w:rPr>
              <w:t>b</w:t>
            </w:r>
          </w:p>
        </w:tc>
      </w:tr>
      <w:tr w:rsidR="00743850" w:rsidRPr="00D80577" w14:paraId="290841BB" w14:textId="77777777" w:rsidTr="00743850">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238" w:type="dxa"/>
            <w:vMerge/>
            <w:hideMark/>
          </w:tcPr>
          <w:p w14:paraId="766CB68C"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3000" w:type="dxa"/>
            <w:hideMark/>
          </w:tcPr>
          <w:p w14:paraId="43A41B03" w14:textId="77777777" w:rsidR="00743850" w:rsidRPr="00D80577" w:rsidRDefault="00743850" w:rsidP="00743850">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Residual</w:t>
            </w:r>
          </w:p>
        </w:tc>
        <w:tc>
          <w:tcPr>
            <w:tcW w:w="2042" w:type="dxa"/>
            <w:noWrap/>
            <w:hideMark/>
          </w:tcPr>
          <w:p w14:paraId="09AD0933"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21.345</w:t>
            </w:r>
          </w:p>
        </w:tc>
        <w:tc>
          <w:tcPr>
            <w:tcW w:w="1204" w:type="dxa"/>
            <w:noWrap/>
            <w:hideMark/>
          </w:tcPr>
          <w:p w14:paraId="4E46AB77"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147</w:t>
            </w:r>
          </w:p>
        </w:tc>
        <w:tc>
          <w:tcPr>
            <w:tcW w:w="1235" w:type="dxa"/>
            <w:noWrap/>
            <w:hideMark/>
          </w:tcPr>
          <w:p w14:paraId="082CC81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0.145</w:t>
            </w:r>
          </w:p>
        </w:tc>
        <w:tc>
          <w:tcPr>
            <w:tcW w:w="1243" w:type="dxa"/>
            <w:hideMark/>
          </w:tcPr>
          <w:p w14:paraId="3904648F"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c>
          <w:tcPr>
            <w:tcW w:w="1216" w:type="dxa"/>
            <w:hideMark/>
          </w:tcPr>
          <w:p w14:paraId="78928BC0" w14:textId="77777777" w:rsidR="00743850" w:rsidRPr="00D80577" w:rsidRDefault="00743850" w:rsidP="00743850">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743850" w:rsidRPr="00D80577" w14:paraId="23A568A6" w14:textId="77777777" w:rsidTr="00743850">
        <w:trPr>
          <w:trHeight w:val="303"/>
        </w:trPr>
        <w:tc>
          <w:tcPr>
            <w:cnfStyle w:val="001000000000" w:firstRow="0" w:lastRow="0" w:firstColumn="1" w:lastColumn="0" w:oddVBand="0" w:evenVBand="0" w:oddHBand="0" w:evenHBand="0" w:firstRowFirstColumn="0" w:firstRowLastColumn="0" w:lastRowFirstColumn="0" w:lastRowLastColumn="0"/>
            <w:tcW w:w="238" w:type="dxa"/>
            <w:vMerge/>
            <w:hideMark/>
          </w:tcPr>
          <w:p w14:paraId="3CCE7BE0"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3000" w:type="dxa"/>
            <w:hideMark/>
          </w:tcPr>
          <w:p w14:paraId="58730B27"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Total</w:t>
            </w:r>
          </w:p>
        </w:tc>
        <w:tc>
          <w:tcPr>
            <w:tcW w:w="2042" w:type="dxa"/>
            <w:noWrap/>
            <w:hideMark/>
          </w:tcPr>
          <w:p w14:paraId="507FBBA5"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81.750</w:t>
            </w:r>
          </w:p>
        </w:tc>
        <w:tc>
          <w:tcPr>
            <w:tcW w:w="1204" w:type="dxa"/>
            <w:noWrap/>
            <w:hideMark/>
          </w:tcPr>
          <w:p w14:paraId="4F4E990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149</w:t>
            </w:r>
          </w:p>
        </w:tc>
        <w:tc>
          <w:tcPr>
            <w:tcW w:w="1235" w:type="dxa"/>
            <w:hideMark/>
          </w:tcPr>
          <w:p w14:paraId="1551BDEC"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p>
        </w:tc>
        <w:tc>
          <w:tcPr>
            <w:tcW w:w="1243" w:type="dxa"/>
            <w:hideMark/>
          </w:tcPr>
          <w:p w14:paraId="7BEFBD6E"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1216" w:type="dxa"/>
            <w:hideMark/>
          </w:tcPr>
          <w:p w14:paraId="374315BB"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743850" w:rsidRPr="00D80577" w14:paraId="4001A58B" w14:textId="77777777" w:rsidTr="00743850">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0181" w:type="dxa"/>
            <w:gridSpan w:val="7"/>
            <w:hideMark/>
          </w:tcPr>
          <w:p w14:paraId="1BAC673F"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a. Dependent Variable: Business_Performance_Impact</w:t>
            </w:r>
          </w:p>
        </w:tc>
      </w:tr>
      <w:tr w:rsidR="00743850" w:rsidRPr="00D80577" w14:paraId="06B33589" w14:textId="77777777" w:rsidTr="00743850">
        <w:trPr>
          <w:trHeight w:val="303"/>
        </w:trPr>
        <w:tc>
          <w:tcPr>
            <w:cnfStyle w:val="001000000000" w:firstRow="0" w:lastRow="0" w:firstColumn="1" w:lastColumn="0" w:oddVBand="0" w:evenVBand="0" w:oddHBand="0" w:evenHBand="0" w:firstRowFirstColumn="0" w:firstRowLastColumn="0" w:lastRowFirstColumn="0" w:lastRowLastColumn="0"/>
            <w:tcW w:w="10181" w:type="dxa"/>
            <w:gridSpan w:val="7"/>
            <w:hideMark/>
          </w:tcPr>
          <w:p w14:paraId="1A388E2E"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b. Predictors: (Constant), Mitigation_Strategies, Supply_Chain_Disruptions</w:t>
            </w:r>
          </w:p>
        </w:tc>
      </w:tr>
    </w:tbl>
    <w:p w14:paraId="63722D56" w14:textId="77777777" w:rsidR="002E7566" w:rsidRPr="00D80577" w:rsidRDefault="002E7566">
      <w:pPr>
        <w:rPr>
          <w:rFonts w:ascii="Arial" w:hAnsi="Arial" w:cs="Arial"/>
        </w:rPr>
      </w:pPr>
    </w:p>
    <w:p w14:paraId="5B3472E5" w14:textId="118C7BD0" w:rsidR="00743850" w:rsidRPr="00D80577" w:rsidRDefault="00743850" w:rsidP="00743850">
      <w:pPr>
        <w:spacing w:line="360" w:lineRule="auto"/>
        <w:jc w:val="both"/>
        <w:rPr>
          <w:rFonts w:ascii="Arial" w:hAnsi="Arial" w:cs="Arial"/>
        </w:rPr>
      </w:pPr>
      <w:r w:rsidRPr="00D80577">
        <w:rPr>
          <w:rFonts w:ascii="Arial" w:hAnsi="Arial" w:cs="Arial"/>
        </w:rPr>
        <w:lastRenderedPageBreak/>
        <w:t xml:space="preserve">The coefficient analysis </w:t>
      </w:r>
      <w:r w:rsidR="00136126" w:rsidRPr="00D80577">
        <w:rPr>
          <w:rFonts w:ascii="Arial" w:hAnsi="Arial" w:cs="Arial"/>
        </w:rPr>
        <w:t xml:space="preserve">indicates a large positive influence (B = 0.549, β = 0.603, p &lt; 0.001) when supply chain disruptions increase, supporting RQ2: as disruptions increase, the negative impacts on </w:t>
      </w:r>
      <w:r w:rsidRPr="00D80577">
        <w:rPr>
          <w:rFonts w:ascii="Arial" w:hAnsi="Arial" w:cs="Arial"/>
        </w:rPr>
        <w:t xml:space="preserve">business performance increase. The impact of mitigation strategies is also </w:t>
      </w:r>
      <w:r w:rsidR="00136126" w:rsidRPr="00D80577">
        <w:rPr>
          <w:rFonts w:ascii="Arial" w:hAnsi="Arial" w:cs="Arial"/>
        </w:rPr>
        <w:t>positive (B = 0.330, 2 = 0.309, p &lt; 0.001), indicating that the negative impact of the disruption can be mitigated through</w:t>
      </w:r>
      <w:r w:rsidRPr="00D80577">
        <w:rPr>
          <w:rFonts w:ascii="Arial" w:hAnsi="Arial" w:cs="Arial"/>
        </w:rPr>
        <w:t xml:space="preserve"> strategies such as supplier diversification, nearshoring, digital monitoring, and collaboration.</w:t>
      </w:r>
    </w:p>
    <w:p w14:paraId="3755C203" w14:textId="4B826435" w:rsidR="00743850" w:rsidRPr="00D80577" w:rsidRDefault="00743850" w:rsidP="00743850">
      <w:pPr>
        <w:pStyle w:val="Caption"/>
        <w:keepNext/>
        <w:rPr>
          <w:rFonts w:ascii="Arial" w:hAnsi="Arial" w:cs="Arial"/>
          <w:i w:val="0"/>
          <w:iCs w:val="0"/>
          <w:sz w:val="22"/>
          <w:szCs w:val="22"/>
        </w:rPr>
      </w:pPr>
      <w:bookmarkStart w:id="99" w:name="_Toc220890003"/>
      <w:r w:rsidRPr="00D80577">
        <w:rPr>
          <w:rFonts w:ascii="Arial" w:hAnsi="Arial" w:cs="Arial"/>
          <w:i w:val="0"/>
          <w:iCs w:val="0"/>
          <w:sz w:val="22"/>
          <w:szCs w:val="22"/>
        </w:rPr>
        <w:t xml:space="preserve">Table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Table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26</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Coefficient Analysis</w:t>
      </w:r>
      <w:bookmarkEnd w:id="99"/>
    </w:p>
    <w:tbl>
      <w:tblPr>
        <w:tblStyle w:val="PlainTable1"/>
        <w:tblW w:w="10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7"/>
        <w:gridCol w:w="2962"/>
        <w:gridCol w:w="1979"/>
        <w:gridCol w:w="1195"/>
        <w:gridCol w:w="1277"/>
        <w:gridCol w:w="1183"/>
        <w:gridCol w:w="1185"/>
      </w:tblGrid>
      <w:tr w:rsidR="00743850" w:rsidRPr="00D80577" w14:paraId="0B89DFC5" w14:textId="77777777" w:rsidTr="00743850">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10098" w:type="dxa"/>
            <w:gridSpan w:val="7"/>
            <w:hideMark/>
          </w:tcPr>
          <w:p w14:paraId="76508EF9" w14:textId="77777777" w:rsidR="00743850" w:rsidRPr="00D80577" w:rsidRDefault="00743850" w:rsidP="00743850">
            <w:pPr>
              <w:spacing w:after="0" w:line="240" w:lineRule="auto"/>
              <w:jc w:val="center"/>
              <w:rPr>
                <w:rFonts w:ascii="Arial" w:eastAsia="Times New Roman" w:hAnsi="Arial" w:cs="Arial"/>
                <w:color w:val="010205"/>
                <w:kern w:val="0"/>
                <w:sz w:val="22"/>
                <w:szCs w:val="22"/>
                <w14:ligatures w14:val="none"/>
              </w:rPr>
            </w:pPr>
            <w:r w:rsidRPr="00D80577">
              <w:rPr>
                <w:rFonts w:ascii="Arial" w:eastAsia="Times New Roman" w:hAnsi="Arial" w:cs="Arial"/>
                <w:color w:val="000000"/>
                <w:kern w:val="0"/>
                <w:sz w:val="22"/>
                <w:szCs w:val="22"/>
                <w14:ligatures w14:val="none"/>
              </w:rPr>
              <w:t>Coefficients</w:t>
            </w:r>
            <w:r w:rsidRPr="00D80577">
              <w:rPr>
                <w:rFonts w:ascii="Arial" w:eastAsia="Times New Roman" w:hAnsi="Arial" w:cs="Arial"/>
                <w:color w:val="000000"/>
                <w:kern w:val="0"/>
                <w:sz w:val="22"/>
                <w:szCs w:val="22"/>
                <w:vertAlign w:val="superscript"/>
                <w14:ligatures w14:val="none"/>
              </w:rPr>
              <w:t>a</w:t>
            </w:r>
          </w:p>
        </w:tc>
      </w:tr>
      <w:tr w:rsidR="00743850" w:rsidRPr="00D80577" w14:paraId="54B87D56" w14:textId="77777777" w:rsidTr="00743850">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3293" w:type="dxa"/>
            <w:gridSpan w:val="2"/>
            <w:vMerge w:val="restart"/>
            <w:hideMark/>
          </w:tcPr>
          <w:p w14:paraId="435A3F0A"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Model</w:t>
            </w:r>
          </w:p>
        </w:tc>
        <w:tc>
          <w:tcPr>
            <w:tcW w:w="3174" w:type="dxa"/>
            <w:gridSpan w:val="2"/>
            <w:hideMark/>
          </w:tcPr>
          <w:p w14:paraId="78313E7E"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Unstandardized Coefficients</w:t>
            </w:r>
          </w:p>
        </w:tc>
        <w:tc>
          <w:tcPr>
            <w:tcW w:w="1263" w:type="dxa"/>
            <w:hideMark/>
          </w:tcPr>
          <w:p w14:paraId="14375C24"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Standardized Coefficients</w:t>
            </w:r>
          </w:p>
        </w:tc>
        <w:tc>
          <w:tcPr>
            <w:tcW w:w="1183" w:type="dxa"/>
            <w:vMerge w:val="restart"/>
            <w:hideMark/>
          </w:tcPr>
          <w:p w14:paraId="2AD68801" w14:textId="6F015D11" w:rsidR="00743850" w:rsidRPr="00D80577" w:rsidRDefault="00320047"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T</w:t>
            </w:r>
          </w:p>
        </w:tc>
        <w:tc>
          <w:tcPr>
            <w:tcW w:w="1183" w:type="dxa"/>
            <w:vMerge w:val="restart"/>
            <w:hideMark/>
          </w:tcPr>
          <w:p w14:paraId="032C4750" w14:textId="77777777" w:rsidR="00743850" w:rsidRPr="00D80577" w:rsidRDefault="00743850" w:rsidP="00743850">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Sig.</w:t>
            </w:r>
          </w:p>
        </w:tc>
      </w:tr>
      <w:tr w:rsidR="00743850" w:rsidRPr="00D80577" w14:paraId="764C5828" w14:textId="77777777" w:rsidTr="00743850">
        <w:trPr>
          <w:trHeight w:val="296"/>
        </w:trPr>
        <w:tc>
          <w:tcPr>
            <w:cnfStyle w:val="001000000000" w:firstRow="0" w:lastRow="0" w:firstColumn="1" w:lastColumn="0" w:oddVBand="0" w:evenVBand="0" w:oddHBand="0" w:evenHBand="0" w:firstRowFirstColumn="0" w:firstRowLastColumn="0" w:lastRowFirstColumn="0" w:lastRowLastColumn="0"/>
            <w:tcW w:w="3293" w:type="dxa"/>
            <w:gridSpan w:val="2"/>
            <w:vMerge/>
            <w:hideMark/>
          </w:tcPr>
          <w:p w14:paraId="44AD2BB4"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1979" w:type="dxa"/>
            <w:hideMark/>
          </w:tcPr>
          <w:p w14:paraId="4272729B"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B</w:t>
            </w:r>
          </w:p>
        </w:tc>
        <w:tc>
          <w:tcPr>
            <w:tcW w:w="1195" w:type="dxa"/>
            <w:hideMark/>
          </w:tcPr>
          <w:p w14:paraId="3BA37276"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Std. Error</w:t>
            </w:r>
          </w:p>
        </w:tc>
        <w:tc>
          <w:tcPr>
            <w:tcW w:w="1263" w:type="dxa"/>
            <w:hideMark/>
          </w:tcPr>
          <w:p w14:paraId="086ADDA8" w14:textId="77777777" w:rsidR="00743850" w:rsidRPr="00D80577" w:rsidRDefault="00743850" w:rsidP="00743850">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Beta</w:t>
            </w:r>
          </w:p>
        </w:tc>
        <w:tc>
          <w:tcPr>
            <w:tcW w:w="1183" w:type="dxa"/>
            <w:vMerge/>
            <w:hideMark/>
          </w:tcPr>
          <w:p w14:paraId="06C61FC5"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c>
          <w:tcPr>
            <w:tcW w:w="1183" w:type="dxa"/>
            <w:vMerge/>
            <w:hideMark/>
          </w:tcPr>
          <w:p w14:paraId="79BD82B5"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p>
        </w:tc>
      </w:tr>
      <w:tr w:rsidR="00743850" w:rsidRPr="00D80577" w14:paraId="2E91F196" w14:textId="77777777" w:rsidTr="00743850">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236" w:type="dxa"/>
            <w:vMerge w:val="restart"/>
            <w:noWrap/>
            <w:hideMark/>
          </w:tcPr>
          <w:p w14:paraId="69DEE0DA"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1</w:t>
            </w:r>
          </w:p>
        </w:tc>
        <w:tc>
          <w:tcPr>
            <w:tcW w:w="3057" w:type="dxa"/>
            <w:hideMark/>
          </w:tcPr>
          <w:p w14:paraId="266501CF" w14:textId="77777777" w:rsidR="00743850" w:rsidRPr="00D80577" w:rsidRDefault="00743850" w:rsidP="00743850">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(Constant)</w:t>
            </w:r>
          </w:p>
        </w:tc>
        <w:tc>
          <w:tcPr>
            <w:tcW w:w="1979" w:type="dxa"/>
            <w:noWrap/>
            <w:hideMark/>
          </w:tcPr>
          <w:p w14:paraId="0C032A4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0.363</w:t>
            </w:r>
          </w:p>
        </w:tc>
        <w:tc>
          <w:tcPr>
            <w:tcW w:w="1195" w:type="dxa"/>
            <w:noWrap/>
            <w:hideMark/>
          </w:tcPr>
          <w:p w14:paraId="7079DBF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0.179</w:t>
            </w:r>
          </w:p>
        </w:tc>
        <w:tc>
          <w:tcPr>
            <w:tcW w:w="1263" w:type="dxa"/>
            <w:hideMark/>
          </w:tcPr>
          <w:p w14:paraId="0DF80AA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p>
        </w:tc>
        <w:tc>
          <w:tcPr>
            <w:tcW w:w="1183" w:type="dxa"/>
            <w:noWrap/>
            <w:hideMark/>
          </w:tcPr>
          <w:p w14:paraId="7FBCF7B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2.032</w:t>
            </w:r>
          </w:p>
        </w:tc>
        <w:tc>
          <w:tcPr>
            <w:tcW w:w="1183" w:type="dxa"/>
            <w:noWrap/>
            <w:hideMark/>
          </w:tcPr>
          <w:p w14:paraId="0F78F66A"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0.044</w:t>
            </w:r>
          </w:p>
        </w:tc>
      </w:tr>
      <w:tr w:rsidR="00743850" w:rsidRPr="00D80577" w14:paraId="28B3FC53" w14:textId="77777777" w:rsidTr="00743850">
        <w:trPr>
          <w:trHeight w:val="554"/>
        </w:trPr>
        <w:tc>
          <w:tcPr>
            <w:cnfStyle w:val="001000000000" w:firstRow="0" w:lastRow="0" w:firstColumn="1" w:lastColumn="0" w:oddVBand="0" w:evenVBand="0" w:oddHBand="0" w:evenHBand="0" w:firstRowFirstColumn="0" w:firstRowLastColumn="0" w:lastRowFirstColumn="0" w:lastRowLastColumn="0"/>
            <w:tcW w:w="236" w:type="dxa"/>
            <w:vMerge/>
            <w:hideMark/>
          </w:tcPr>
          <w:p w14:paraId="2FEDE05C"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3057" w:type="dxa"/>
            <w:hideMark/>
          </w:tcPr>
          <w:p w14:paraId="53C4ED3B" w14:textId="77777777" w:rsidR="00743850" w:rsidRPr="00D80577" w:rsidRDefault="00743850" w:rsidP="00743850">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Supply_Chain_Disruptions</w:t>
            </w:r>
          </w:p>
        </w:tc>
        <w:tc>
          <w:tcPr>
            <w:tcW w:w="1979" w:type="dxa"/>
            <w:noWrap/>
            <w:hideMark/>
          </w:tcPr>
          <w:p w14:paraId="44CDD90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0.549</w:t>
            </w:r>
          </w:p>
        </w:tc>
        <w:tc>
          <w:tcPr>
            <w:tcW w:w="1195" w:type="dxa"/>
            <w:noWrap/>
            <w:hideMark/>
          </w:tcPr>
          <w:p w14:paraId="280BF7A0"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0.058</w:t>
            </w:r>
          </w:p>
        </w:tc>
        <w:tc>
          <w:tcPr>
            <w:tcW w:w="1263" w:type="dxa"/>
            <w:noWrap/>
            <w:hideMark/>
          </w:tcPr>
          <w:p w14:paraId="6E27884B"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0.603</w:t>
            </w:r>
          </w:p>
        </w:tc>
        <w:tc>
          <w:tcPr>
            <w:tcW w:w="1183" w:type="dxa"/>
            <w:noWrap/>
            <w:hideMark/>
          </w:tcPr>
          <w:p w14:paraId="7DA496E9"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9.429</w:t>
            </w:r>
          </w:p>
        </w:tc>
        <w:tc>
          <w:tcPr>
            <w:tcW w:w="1183" w:type="dxa"/>
            <w:noWrap/>
            <w:hideMark/>
          </w:tcPr>
          <w:p w14:paraId="2E3E579D" w14:textId="77777777" w:rsidR="00743850" w:rsidRPr="00D80577" w:rsidRDefault="00743850" w:rsidP="0074385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0.000</w:t>
            </w:r>
          </w:p>
        </w:tc>
      </w:tr>
      <w:tr w:rsidR="00743850" w:rsidRPr="00D80577" w14:paraId="2A1ADF4A" w14:textId="77777777" w:rsidTr="00743850">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236" w:type="dxa"/>
            <w:vMerge/>
            <w:hideMark/>
          </w:tcPr>
          <w:p w14:paraId="1BE3D146" w14:textId="77777777" w:rsidR="00743850" w:rsidRPr="00D80577" w:rsidRDefault="00743850" w:rsidP="00743850">
            <w:pPr>
              <w:spacing w:after="0" w:line="240" w:lineRule="auto"/>
              <w:rPr>
                <w:rFonts w:ascii="Arial" w:eastAsia="Times New Roman" w:hAnsi="Arial" w:cs="Arial"/>
                <w:color w:val="264A60"/>
                <w:kern w:val="0"/>
                <w:sz w:val="18"/>
                <w:szCs w:val="18"/>
                <w14:ligatures w14:val="none"/>
              </w:rPr>
            </w:pPr>
          </w:p>
        </w:tc>
        <w:tc>
          <w:tcPr>
            <w:tcW w:w="3057" w:type="dxa"/>
            <w:hideMark/>
          </w:tcPr>
          <w:p w14:paraId="0DE02B19" w14:textId="77777777" w:rsidR="00743850" w:rsidRPr="00D80577" w:rsidRDefault="00743850" w:rsidP="00743850">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64A60"/>
                <w:kern w:val="0"/>
                <w:sz w:val="18"/>
                <w:szCs w:val="18"/>
                <w14:ligatures w14:val="none"/>
              </w:rPr>
            </w:pPr>
            <w:r w:rsidRPr="00D80577">
              <w:rPr>
                <w:rFonts w:ascii="Arial" w:eastAsia="Times New Roman" w:hAnsi="Arial" w:cs="Arial"/>
                <w:color w:val="264A60"/>
                <w:kern w:val="0"/>
                <w:sz w:val="18"/>
                <w:szCs w:val="18"/>
                <w14:ligatures w14:val="none"/>
              </w:rPr>
              <w:t>Mitigation_Strategies</w:t>
            </w:r>
          </w:p>
        </w:tc>
        <w:tc>
          <w:tcPr>
            <w:tcW w:w="1979" w:type="dxa"/>
            <w:noWrap/>
            <w:hideMark/>
          </w:tcPr>
          <w:p w14:paraId="6BE20830"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0.330</w:t>
            </w:r>
          </w:p>
        </w:tc>
        <w:tc>
          <w:tcPr>
            <w:tcW w:w="1195" w:type="dxa"/>
            <w:noWrap/>
            <w:hideMark/>
          </w:tcPr>
          <w:p w14:paraId="59611CC9"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0.068</w:t>
            </w:r>
          </w:p>
        </w:tc>
        <w:tc>
          <w:tcPr>
            <w:tcW w:w="1263" w:type="dxa"/>
            <w:noWrap/>
            <w:hideMark/>
          </w:tcPr>
          <w:p w14:paraId="7D9A34E4"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0.309</w:t>
            </w:r>
          </w:p>
        </w:tc>
        <w:tc>
          <w:tcPr>
            <w:tcW w:w="1183" w:type="dxa"/>
            <w:noWrap/>
            <w:hideMark/>
          </w:tcPr>
          <w:p w14:paraId="1FEC01EC"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4.835</w:t>
            </w:r>
          </w:p>
        </w:tc>
        <w:tc>
          <w:tcPr>
            <w:tcW w:w="1183" w:type="dxa"/>
            <w:noWrap/>
            <w:hideMark/>
          </w:tcPr>
          <w:p w14:paraId="3C126E36" w14:textId="77777777" w:rsidR="00743850" w:rsidRPr="00D80577" w:rsidRDefault="00743850" w:rsidP="0074385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0.000</w:t>
            </w:r>
          </w:p>
        </w:tc>
      </w:tr>
      <w:tr w:rsidR="00743850" w:rsidRPr="00D80577" w14:paraId="472592A8" w14:textId="77777777" w:rsidTr="00743850">
        <w:trPr>
          <w:trHeight w:val="313"/>
        </w:trPr>
        <w:tc>
          <w:tcPr>
            <w:cnfStyle w:val="001000000000" w:firstRow="0" w:lastRow="0" w:firstColumn="1" w:lastColumn="0" w:oddVBand="0" w:evenVBand="0" w:oddHBand="0" w:evenHBand="0" w:firstRowFirstColumn="0" w:firstRowLastColumn="0" w:lastRowFirstColumn="0" w:lastRowLastColumn="0"/>
            <w:tcW w:w="10098" w:type="dxa"/>
            <w:gridSpan w:val="7"/>
            <w:hideMark/>
          </w:tcPr>
          <w:p w14:paraId="63F4F345" w14:textId="77777777" w:rsidR="00743850" w:rsidRPr="00D80577" w:rsidRDefault="00743850" w:rsidP="00743850">
            <w:pPr>
              <w:spacing w:after="0" w:line="240" w:lineRule="auto"/>
              <w:rPr>
                <w:rFonts w:ascii="Arial" w:eastAsia="Times New Roman" w:hAnsi="Arial" w:cs="Arial"/>
                <w:color w:val="010205"/>
                <w:kern w:val="0"/>
                <w:sz w:val="18"/>
                <w:szCs w:val="18"/>
                <w14:ligatures w14:val="none"/>
              </w:rPr>
            </w:pPr>
            <w:r w:rsidRPr="00D80577">
              <w:rPr>
                <w:rFonts w:ascii="Arial" w:eastAsia="Times New Roman" w:hAnsi="Arial" w:cs="Arial"/>
                <w:color w:val="010205"/>
                <w:kern w:val="0"/>
                <w:sz w:val="18"/>
                <w:szCs w:val="18"/>
                <w14:ligatures w14:val="none"/>
              </w:rPr>
              <w:t>a. Dependent Variable: Business_Performance_Impact</w:t>
            </w:r>
          </w:p>
        </w:tc>
      </w:tr>
    </w:tbl>
    <w:p w14:paraId="61E3B7CC" w14:textId="77777777" w:rsidR="00743850" w:rsidRPr="00D80577" w:rsidRDefault="00743850">
      <w:pPr>
        <w:rPr>
          <w:rFonts w:ascii="Arial" w:hAnsi="Arial" w:cs="Arial"/>
        </w:rPr>
      </w:pPr>
    </w:p>
    <w:p w14:paraId="678F4005" w14:textId="77777777" w:rsidR="00743850" w:rsidRPr="00D80577" w:rsidRDefault="00743850">
      <w:pPr>
        <w:rPr>
          <w:rFonts w:ascii="Arial" w:hAnsi="Arial" w:cs="Arial"/>
        </w:rPr>
      </w:pPr>
    </w:p>
    <w:p w14:paraId="2CFFCA98" w14:textId="77777777" w:rsidR="00743850" w:rsidRPr="00D80577" w:rsidRDefault="00743850" w:rsidP="00743850">
      <w:pPr>
        <w:keepNext/>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040FCF03" wp14:editId="4A7F2E57">
            <wp:extent cx="5943600" cy="3347720"/>
            <wp:effectExtent l="0" t="0" r="0" b="5080"/>
            <wp:docPr id="10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 name="Picture 19"/>
                    <pic:cNvPicPr>
                      <a:picLocks noChangeAspect="1" noChangeArrowheads="1"/>
                    </pic:cNvPicPr>
                  </pic:nvPicPr>
                  <pic:blipFill>
                    <a:blip r:embed="rId31" cstate="print"/>
                    <a:srcRect/>
                    <a:stretch>
                      <a:fillRect/>
                    </a:stretch>
                  </pic:blipFill>
                  <pic:spPr>
                    <a:xfrm>
                      <a:off x="0" y="0"/>
                      <a:ext cx="5943600" cy="3347720"/>
                    </a:xfrm>
                    <a:prstGeom prst="rect">
                      <a:avLst/>
                    </a:prstGeom>
                    <a:noFill/>
                    <a:ln w="1">
                      <a:noFill/>
                      <a:miter lim="800000"/>
                      <a:headEnd/>
                      <a:tailEnd type="none" w="med" len="med"/>
                    </a:ln>
                    <a:effectLst/>
                  </pic:spPr>
                </pic:pic>
              </a:graphicData>
            </a:graphic>
          </wp:inline>
        </w:drawing>
      </w:r>
    </w:p>
    <w:p w14:paraId="4B0EF3F2" w14:textId="73F85E26" w:rsidR="00743850" w:rsidRPr="00D80577" w:rsidRDefault="00743850" w:rsidP="00743850">
      <w:pPr>
        <w:pStyle w:val="Caption"/>
        <w:jc w:val="center"/>
        <w:rPr>
          <w:rFonts w:ascii="Arial" w:hAnsi="Arial" w:cs="Arial"/>
          <w:i w:val="0"/>
          <w:iCs w:val="0"/>
          <w:sz w:val="22"/>
          <w:szCs w:val="22"/>
        </w:rPr>
      </w:pPr>
      <w:bookmarkStart w:id="100" w:name="_Toc220889976"/>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21</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Histogram of the dependent variable</w:t>
      </w:r>
      <w:bookmarkEnd w:id="100"/>
    </w:p>
    <w:p w14:paraId="7E0BB2F9" w14:textId="77777777" w:rsidR="00743850" w:rsidRPr="00D80577" w:rsidRDefault="00743850">
      <w:pPr>
        <w:rPr>
          <w:rFonts w:ascii="Arial" w:hAnsi="Arial" w:cs="Arial"/>
        </w:rPr>
      </w:pPr>
    </w:p>
    <w:p w14:paraId="5390D30E" w14:textId="77777777" w:rsidR="00743850" w:rsidRPr="00D80577" w:rsidRDefault="00743850" w:rsidP="00743850">
      <w:pPr>
        <w:keepNext/>
        <w:jc w:val="center"/>
        <w:rPr>
          <w:rFonts w:ascii="Arial" w:hAnsi="Arial" w:cs="Arial"/>
          <w:sz w:val="22"/>
          <w:szCs w:val="22"/>
        </w:rPr>
      </w:pPr>
      <w:r w:rsidRPr="00D80577">
        <w:rPr>
          <w:rFonts w:ascii="Arial" w:hAnsi="Arial" w:cs="Arial"/>
          <w:noProof/>
          <w:sz w:val="22"/>
          <w:szCs w:val="22"/>
          <w:lang w:val="en-IN" w:eastAsia="en-IN"/>
          <w14:ligatures w14:val="none"/>
        </w:rPr>
        <w:drawing>
          <wp:inline distT="0" distB="0" distL="0" distR="0" wp14:anchorId="4028DE29" wp14:editId="16EEF45A">
            <wp:extent cx="5943600" cy="3347720"/>
            <wp:effectExtent l="0" t="0" r="0" b="5080"/>
            <wp:docPr id="10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 name="Picture 20"/>
                    <pic:cNvPicPr>
                      <a:picLocks noChangeAspect="1" noChangeArrowheads="1"/>
                    </pic:cNvPicPr>
                  </pic:nvPicPr>
                  <pic:blipFill>
                    <a:blip r:embed="rId32" cstate="print"/>
                    <a:srcRect/>
                    <a:stretch>
                      <a:fillRect/>
                    </a:stretch>
                  </pic:blipFill>
                  <pic:spPr>
                    <a:xfrm>
                      <a:off x="0" y="0"/>
                      <a:ext cx="5943600" cy="3347720"/>
                    </a:xfrm>
                    <a:prstGeom prst="rect">
                      <a:avLst/>
                    </a:prstGeom>
                    <a:noFill/>
                    <a:ln w="1">
                      <a:noFill/>
                      <a:miter lim="800000"/>
                      <a:headEnd/>
                      <a:tailEnd type="none" w="med" len="med"/>
                    </a:ln>
                    <a:effectLst/>
                  </pic:spPr>
                </pic:pic>
              </a:graphicData>
            </a:graphic>
          </wp:inline>
        </w:drawing>
      </w:r>
    </w:p>
    <w:p w14:paraId="5BE8D6F0" w14:textId="272FB8C9" w:rsidR="00743850" w:rsidRPr="00D80577" w:rsidRDefault="00743850" w:rsidP="00743850">
      <w:pPr>
        <w:pStyle w:val="Caption"/>
        <w:jc w:val="center"/>
        <w:rPr>
          <w:rFonts w:ascii="Arial" w:hAnsi="Arial" w:cs="Arial"/>
          <w:i w:val="0"/>
          <w:iCs w:val="0"/>
          <w:sz w:val="22"/>
          <w:szCs w:val="22"/>
        </w:rPr>
      </w:pPr>
      <w:bookmarkStart w:id="101" w:name="_Toc220889977"/>
      <w:r w:rsidRPr="00D80577">
        <w:rPr>
          <w:rFonts w:ascii="Arial" w:hAnsi="Arial" w:cs="Arial"/>
          <w:i w:val="0"/>
          <w:iCs w:val="0"/>
          <w:sz w:val="22"/>
          <w:szCs w:val="22"/>
        </w:rPr>
        <w:t xml:space="preserve">Figure </w:t>
      </w:r>
      <w:r w:rsidRPr="00D80577">
        <w:rPr>
          <w:rFonts w:ascii="Arial" w:hAnsi="Arial" w:cs="Arial"/>
          <w:i w:val="0"/>
          <w:iCs w:val="0"/>
          <w:sz w:val="22"/>
          <w:szCs w:val="22"/>
        </w:rPr>
        <w:fldChar w:fldCharType="begin"/>
      </w:r>
      <w:r w:rsidRPr="00D80577">
        <w:rPr>
          <w:rFonts w:ascii="Arial" w:hAnsi="Arial" w:cs="Arial"/>
          <w:i w:val="0"/>
          <w:iCs w:val="0"/>
          <w:sz w:val="22"/>
          <w:szCs w:val="22"/>
        </w:rPr>
        <w:instrText xml:space="preserve"> SEQ Figure \* ARABIC </w:instrText>
      </w:r>
      <w:r w:rsidRPr="00D80577">
        <w:rPr>
          <w:rFonts w:ascii="Arial" w:hAnsi="Arial" w:cs="Arial"/>
          <w:i w:val="0"/>
          <w:iCs w:val="0"/>
          <w:sz w:val="22"/>
          <w:szCs w:val="22"/>
        </w:rPr>
        <w:fldChar w:fldCharType="separate"/>
      </w:r>
      <w:r w:rsidRPr="00D80577">
        <w:rPr>
          <w:rFonts w:ascii="Arial" w:hAnsi="Arial" w:cs="Arial"/>
          <w:i w:val="0"/>
          <w:iCs w:val="0"/>
          <w:noProof/>
          <w:sz w:val="22"/>
          <w:szCs w:val="22"/>
        </w:rPr>
        <w:t>22</w:t>
      </w:r>
      <w:r w:rsidRPr="00D80577">
        <w:rPr>
          <w:rFonts w:ascii="Arial" w:hAnsi="Arial" w:cs="Arial"/>
          <w:i w:val="0"/>
          <w:iCs w:val="0"/>
          <w:sz w:val="22"/>
          <w:szCs w:val="22"/>
        </w:rPr>
        <w:fldChar w:fldCharType="end"/>
      </w:r>
      <w:r w:rsidRPr="00D80577">
        <w:rPr>
          <w:rFonts w:ascii="Arial" w:hAnsi="Arial" w:cs="Arial"/>
          <w:i w:val="0"/>
          <w:iCs w:val="0"/>
          <w:sz w:val="22"/>
          <w:szCs w:val="22"/>
        </w:rPr>
        <w:t xml:space="preserve"> Normal P-Plot of Regression Standardised Residual</w:t>
      </w:r>
      <w:bookmarkEnd w:id="101"/>
    </w:p>
    <w:p w14:paraId="4D5A1085" w14:textId="77777777" w:rsidR="00743850" w:rsidRPr="00D80577" w:rsidRDefault="00743850" w:rsidP="00743850">
      <w:pPr>
        <w:rPr>
          <w:rFonts w:ascii="Arial" w:hAnsi="Arial" w:cs="Arial"/>
        </w:rPr>
      </w:pPr>
    </w:p>
    <w:p w14:paraId="51F9C7A4" w14:textId="1883BA08" w:rsidR="00320047" w:rsidRPr="00D80577" w:rsidRDefault="00743850" w:rsidP="00743850">
      <w:pPr>
        <w:spacing w:line="360" w:lineRule="auto"/>
        <w:jc w:val="both"/>
        <w:rPr>
          <w:rFonts w:ascii="Arial" w:hAnsi="Arial" w:cs="Arial"/>
        </w:rPr>
      </w:pPr>
      <w:r w:rsidRPr="00D80577">
        <w:rPr>
          <w:rFonts w:ascii="Arial" w:hAnsi="Arial" w:cs="Arial"/>
        </w:rPr>
        <w:t xml:space="preserve">The overall outcome of the regression analysis indicates that although </w:t>
      </w:r>
      <w:r w:rsidR="00136126" w:rsidRPr="00D80577">
        <w:rPr>
          <w:rFonts w:ascii="Arial" w:hAnsi="Arial" w:cs="Arial"/>
        </w:rPr>
        <w:t>international supply chain disruptions have a major impact on production, costs, and overall performance, reactive mitigation measures can considerably soften these impacts, leading to operational stability and resilience for</w:t>
      </w:r>
      <w:r w:rsidRPr="00D80577">
        <w:rPr>
          <w:rFonts w:ascii="Arial" w:hAnsi="Arial" w:cs="Arial"/>
        </w:rPr>
        <w:t xml:space="preserve"> UK manufacturing companies</w:t>
      </w:r>
      <w:r w:rsidR="00320047">
        <w:rPr>
          <w:rFonts w:ascii="Arial" w:hAnsi="Arial" w:cs="Arial"/>
        </w:rPr>
        <w:t>.</w:t>
      </w:r>
      <w:r w:rsidR="00D973FE" w:rsidRPr="00D80577">
        <w:rPr>
          <w:rFonts w:ascii="Arial" w:hAnsi="Arial" w:cs="Arial"/>
        </w:rPr>
        <w:t xml:space="preserve"> </w:t>
      </w:r>
    </w:p>
    <w:p w14:paraId="159711E4" w14:textId="219003BD" w:rsidR="00136126" w:rsidRPr="00D80577" w:rsidRDefault="00136126" w:rsidP="00136126">
      <w:pPr>
        <w:pStyle w:val="Heading2"/>
        <w:spacing w:line="360" w:lineRule="auto"/>
        <w:jc w:val="both"/>
        <w:rPr>
          <w:rFonts w:ascii="Arial" w:hAnsi="Arial" w:cs="Arial"/>
          <w:b/>
          <w:bCs/>
          <w:color w:val="000000" w:themeColor="text1"/>
          <w:sz w:val="24"/>
          <w:szCs w:val="24"/>
        </w:rPr>
      </w:pPr>
      <w:bookmarkStart w:id="102" w:name="_Toc220890100"/>
      <w:r w:rsidRPr="00D80577">
        <w:rPr>
          <w:rFonts w:ascii="Arial" w:hAnsi="Arial" w:cs="Arial"/>
          <w:b/>
          <w:bCs/>
          <w:color w:val="000000" w:themeColor="text1"/>
          <w:sz w:val="24"/>
          <w:szCs w:val="24"/>
        </w:rPr>
        <w:t>4.7 Chapter Summary</w:t>
      </w:r>
      <w:bookmarkEnd w:id="102"/>
    </w:p>
    <w:p w14:paraId="4D09A6EB" w14:textId="3E151248" w:rsidR="00136126" w:rsidRPr="00D80577" w:rsidRDefault="00136126" w:rsidP="00743850">
      <w:pPr>
        <w:spacing w:line="360" w:lineRule="auto"/>
        <w:jc w:val="both"/>
        <w:rPr>
          <w:rFonts w:ascii="Arial" w:hAnsi="Arial" w:cs="Arial"/>
        </w:rPr>
      </w:pPr>
      <w:r w:rsidRPr="00D80577">
        <w:rPr>
          <w:rFonts w:ascii="Arial" w:hAnsi="Arial" w:cs="Arial"/>
        </w:rPr>
        <w:t xml:space="preserve">Chapter 4 presents systematic analysis of 150 valid answers of UK manufacturing companies, which indicates high reliability and consistency of data. Descriptive statistics and frequency reports indicate that the most significant causes of supply chain disruption are geopolitical conflicts and the regulations related to Brexit, increasing logistics costs, and reliance on foreign suppliers, which negatively influences the productivity of production, its cost management, and the overall performance of the business. The results of correlation analysis reveal that there are strong positive correlations between disruption factors and operational effects, which demonstrates that the risks are interrelated. The reliability tests ensure high internal consistency of the measured </w:t>
      </w:r>
      <w:r w:rsidRPr="00D80577">
        <w:rPr>
          <w:rFonts w:ascii="Arial" w:hAnsi="Arial" w:cs="Arial"/>
        </w:rPr>
        <w:lastRenderedPageBreak/>
        <w:t>constructs. Regression analysis reveals that there is a significant influence of supply chain disruptions on business performance ( = 0.603, p &lt; 0.001) and mitigation strategies such as supplier diversification, nearshoring, digital monitoring, and collaboration moderately influence the effect ( = 0.309, p &lt; 0.001). In general, the results highlight the importance of proactive mitigation measures in the context of building resilience, reducing operational and financial losses, and maintaining performance under international supply chain pressures.</w:t>
      </w:r>
    </w:p>
    <w:p w14:paraId="570C1F1B" w14:textId="77777777" w:rsidR="00C66902" w:rsidRPr="00D80577" w:rsidRDefault="00C66902" w:rsidP="00743850">
      <w:pPr>
        <w:spacing w:line="360" w:lineRule="auto"/>
        <w:jc w:val="both"/>
        <w:rPr>
          <w:rFonts w:ascii="Arial" w:hAnsi="Arial" w:cs="Arial"/>
        </w:rPr>
      </w:pPr>
    </w:p>
    <w:p w14:paraId="5FE4AC02" w14:textId="77777777" w:rsidR="00C66902" w:rsidRPr="00D80577" w:rsidRDefault="00C66902" w:rsidP="00743850">
      <w:pPr>
        <w:spacing w:line="360" w:lineRule="auto"/>
        <w:jc w:val="both"/>
        <w:rPr>
          <w:rFonts w:ascii="Arial" w:hAnsi="Arial" w:cs="Arial"/>
        </w:rPr>
      </w:pPr>
    </w:p>
    <w:p w14:paraId="564D8CBD" w14:textId="77777777" w:rsidR="00C66902" w:rsidRPr="00D80577" w:rsidRDefault="00C66902" w:rsidP="00743850">
      <w:pPr>
        <w:spacing w:line="360" w:lineRule="auto"/>
        <w:jc w:val="both"/>
        <w:rPr>
          <w:rFonts w:ascii="Arial" w:hAnsi="Arial" w:cs="Arial"/>
        </w:rPr>
      </w:pPr>
    </w:p>
    <w:p w14:paraId="10FDB895" w14:textId="77777777" w:rsidR="00C66902" w:rsidRPr="00D80577" w:rsidRDefault="00C66902" w:rsidP="00743850">
      <w:pPr>
        <w:spacing w:line="360" w:lineRule="auto"/>
        <w:jc w:val="both"/>
        <w:rPr>
          <w:rFonts w:ascii="Arial" w:hAnsi="Arial" w:cs="Arial"/>
        </w:rPr>
      </w:pPr>
    </w:p>
    <w:p w14:paraId="1C9B7076" w14:textId="77777777" w:rsidR="00C66902" w:rsidRPr="00D80577" w:rsidRDefault="00C66902" w:rsidP="00743850">
      <w:pPr>
        <w:spacing w:line="360" w:lineRule="auto"/>
        <w:jc w:val="both"/>
        <w:rPr>
          <w:rFonts w:ascii="Arial" w:hAnsi="Arial" w:cs="Arial"/>
        </w:rPr>
      </w:pPr>
    </w:p>
    <w:p w14:paraId="43196139" w14:textId="77777777" w:rsidR="00C66902" w:rsidRPr="00D80577" w:rsidRDefault="00C66902" w:rsidP="00743850">
      <w:pPr>
        <w:spacing w:line="360" w:lineRule="auto"/>
        <w:jc w:val="both"/>
        <w:rPr>
          <w:rFonts w:ascii="Arial" w:hAnsi="Arial" w:cs="Arial"/>
        </w:rPr>
      </w:pPr>
    </w:p>
    <w:p w14:paraId="67DF19D3" w14:textId="77777777" w:rsidR="00C66902" w:rsidRPr="00D80577" w:rsidRDefault="00C66902" w:rsidP="00743850">
      <w:pPr>
        <w:spacing w:line="360" w:lineRule="auto"/>
        <w:jc w:val="both"/>
        <w:rPr>
          <w:rFonts w:ascii="Arial" w:hAnsi="Arial" w:cs="Arial"/>
        </w:rPr>
      </w:pPr>
    </w:p>
    <w:p w14:paraId="01B949CA" w14:textId="77777777" w:rsidR="00C66902" w:rsidRPr="00D80577" w:rsidRDefault="00C66902" w:rsidP="00743850">
      <w:pPr>
        <w:spacing w:line="360" w:lineRule="auto"/>
        <w:jc w:val="both"/>
        <w:rPr>
          <w:rFonts w:ascii="Arial" w:hAnsi="Arial" w:cs="Arial"/>
        </w:rPr>
      </w:pPr>
    </w:p>
    <w:p w14:paraId="78242525" w14:textId="77777777" w:rsidR="00C66902" w:rsidRPr="00D80577" w:rsidRDefault="00C66902" w:rsidP="00743850">
      <w:pPr>
        <w:spacing w:line="360" w:lineRule="auto"/>
        <w:jc w:val="both"/>
        <w:rPr>
          <w:rFonts w:ascii="Arial" w:hAnsi="Arial" w:cs="Arial"/>
        </w:rPr>
      </w:pPr>
    </w:p>
    <w:p w14:paraId="4CDA9E48" w14:textId="77777777" w:rsidR="00C66902" w:rsidRPr="00D80577" w:rsidRDefault="00C66902" w:rsidP="00743850">
      <w:pPr>
        <w:spacing w:line="360" w:lineRule="auto"/>
        <w:jc w:val="both"/>
        <w:rPr>
          <w:rFonts w:ascii="Arial" w:hAnsi="Arial" w:cs="Arial"/>
        </w:rPr>
      </w:pPr>
    </w:p>
    <w:p w14:paraId="15E56633" w14:textId="77777777" w:rsidR="00C66902" w:rsidRPr="00D80577" w:rsidRDefault="00C66902" w:rsidP="00743850">
      <w:pPr>
        <w:spacing w:line="360" w:lineRule="auto"/>
        <w:jc w:val="both"/>
        <w:rPr>
          <w:rFonts w:ascii="Arial" w:hAnsi="Arial" w:cs="Arial"/>
        </w:rPr>
      </w:pPr>
    </w:p>
    <w:p w14:paraId="72648D8E" w14:textId="77777777" w:rsidR="00C66902" w:rsidRPr="00D80577" w:rsidRDefault="00C66902" w:rsidP="00743850">
      <w:pPr>
        <w:spacing w:line="360" w:lineRule="auto"/>
        <w:jc w:val="both"/>
        <w:rPr>
          <w:rFonts w:ascii="Arial" w:hAnsi="Arial" w:cs="Arial"/>
        </w:rPr>
      </w:pPr>
    </w:p>
    <w:p w14:paraId="49D07E30" w14:textId="77777777" w:rsidR="00C66902" w:rsidRPr="00D80577" w:rsidRDefault="00C66902" w:rsidP="00743850">
      <w:pPr>
        <w:spacing w:line="360" w:lineRule="auto"/>
        <w:jc w:val="both"/>
        <w:rPr>
          <w:rFonts w:ascii="Arial" w:hAnsi="Arial" w:cs="Arial"/>
        </w:rPr>
      </w:pPr>
    </w:p>
    <w:p w14:paraId="4C7E5C33" w14:textId="77777777" w:rsidR="00C66902" w:rsidRPr="00D80577" w:rsidRDefault="00C66902" w:rsidP="00743850">
      <w:pPr>
        <w:spacing w:line="360" w:lineRule="auto"/>
        <w:jc w:val="both"/>
        <w:rPr>
          <w:rFonts w:ascii="Arial" w:hAnsi="Arial" w:cs="Arial"/>
        </w:rPr>
      </w:pPr>
    </w:p>
    <w:p w14:paraId="7B7C71A2" w14:textId="77777777" w:rsidR="00C66902" w:rsidRPr="00D80577" w:rsidRDefault="00C66902" w:rsidP="00743850">
      <w:pPr>
        <w:spacing w:line="360" w:lineRule="auto"/>
        <w:jc w:val="both"/>
        <w:rPr>
          <w:rFonts w:ascii="Arial" w:hAnsi="Arial" w:cs="Arial"/>
        </w:rPr>
      </w:pPr>
    </w:p>
    <w:p w14:paraId="2F7509F1" w14:textId="77777777" w:rsidR="00C66902" w:rsidRPr="00D80577" w:rsidRDefault="00C66902" w:rsidP="00743850">
      <w:pPr>
        <w:spacing w:line="360" w:lineRule="auto"/>
        <w:jc w:val="both"/>
        <w:rPr>
          <w:rFonts w:ascii="Arial" w:hAnsi="Arial" w:cs="Arial"/>
        </w:rPr>
      </w:pPr>
    </w:p>
    <w:p w14:paraId="41680E81" w14:textId="77777777" w:rsidR="00C66902" w:rsidRPr="00D80577" w:rsidRDefault="00C66902" w:rsidP="00C66902">
      <w:pPr>
        <w:pStyle w:val="Heading1"/>
        <w:spacing w:line="360" w:lineRule="auto"/>
        <w:jc w:val="center"/>
        <w:rPr>
          <w:rFonts w:ascii="Arial" w:hAnsi="Arial" w:cs="Arial"/>
          <w:b/>
          <w:bCs/>
          <w:color w:val="000000" w:themeColor="text1"/>
          <w:sz w:val="28"/>
          <w:szCs w:val="28"/>
        </w:rPr>
      </w:pPr>
      <w:bookmarkStart w:id="103" w:name="_Toc220890101"/>
      <w:r w:rsidRPr="00D80577">
        <w:rPr>
          <w:rFonts w:ascii="Arial" w:hAnsi="Arial" w:cs="Arial"/>
          <w:b/>
          <w:bCs/>
          <w:color w:val="000000" w:themeColor="text1"/>
          <w:sz w:val="28"/>
          <w:szCs w:val="28"/>
        </w:rPr>
        <w:lastRenderedPageBreak/>
        <w:t>Chapter 5: Discussion</w:t>
      </w:r>
      <w:bookmarkEnd w:id="103"/>
    </w:p>
    <w:p w14:paraId="5001314C" w14:textId="30BC09CC" w:rsidR="00C66902" w:rsidRPr="00D80577" w:rsidRDefault="00F55246" w:rsidP="00C66902">
      <w:pPr>
        <w:pStyle w:val="Heading2"/>
        <w:spacing w:line="360" w:lineRule="auto"/>
        <w:jc w:val="both"/>
        <w:rPr>
          <w:rFonts w:ascii="Arial" w:hAnsi="Arial" w:cs="Arial"/>
          <w:b/>
          <w:bCs/>
          <w:color w:val="000000" w:themeColor="text1"/>
          <w:sz w:val="24"/>
          <w:szCs w:val="24"/>
        </w:rPr>
      </w:pPr>
      <w:bookmarkStart w:id="104" w:name="_Toc220890102"/>
      <w:r w:rsidRPr="00D80577">
        <w:rPr>
          <w:rFonts w:ascii="Arial" w:hAnsi="Arial" w:cs="Arial"/>
          <w:b/>
          <w:bCs/>
          <w:color w:val="000000" w:themeColor="text1"/>
          <w:sz w:val="24"/>
          <w:szCs w:val="24"/>
        </w:rPr>
        <w:t xml:space="preserve">5.1 </w:t>
      </w:r>
      <w:r w:rsidR="00C66902" w:rsidRPr="00D80577">
        <w:rPr>
          <w:rFonts w:ascii="Arial" w:hAnsi="Arial" w:cs="Arial"/>
          <w:b/>
          <w:bCs/>
          <w:color w:val="000000" w:themeColor="text1"/>
          <w:sz w:val="24"/>
          <w:szCs w:val="24"/>
        </w:rPr>
        <w:t>Chapter Introduction</w:t>
      </w:r>
      <w:bookmarkEnd w:id="104"/>
    </w:p>
    <w:p w14:paraId="58CD008F" w14:textId="77777777" w:rsidR="00C66902" w:rsidRPr="00D80577" w:rsidRDefault="00C66902" w:rsidP="00C66902">
      <w:pPr>
        <w:spacing w:line="360" w:lineRule="auto"/>
        <w:jc w:val="both"/>
        <w:rPr>
          <w:rFonts w:ascii="Arial" w:hAnsi="Arial" w:cs="Arial"/>
        </w:rPr>
      </w:pPr>
      <w:r w:rsidRPr="00D80577">
        <w:rPr>
          <w:rFonts w:ascii="Arial" w:hAnsi="Arial" w:cs="Arial"/>
        </w:rPr>
        <w:t xml:space="preserve">The chapter is a synthesis of the empirical data provided in Chapter 4 and puts it in the broader context of the research. It relates data analysis to the general discussion through a summary of the main results in the context of the research questions and compares them with the literature reviewed in Chapter 2. </w:t>
      </w:r>
      <w:r w:rsidRPr="00D80577">
        <w:rPr>
          <w:rFonts w:ascii="Arial" w:hAnsi="Arial" w:cs="Arial"/>
          <w:caps/>
        </w:rPr>
        <w:t>The</w:t>
      </w:r>
      <w:r w:rsidRPr="00D80577">
        <w:rPr>
          <w:rFonts w:ascii="Arial" w:hAnsi="Arial" w:cs="Arial"/>
        </w:rPr>
        <w:t xml:space="preserve"> practical, academic, and policy value of the study is also mentioned in the chapter and demonstrates how the study contributes to new knowledge specific to UK SME manufacturers. It is aimed at bringing together the evidence, showing the impacts of international supply chain disruptions on operations, costs and business performance and also seeking how SMEs cope with the challenges. The chapter has practical implications that can inform managers and policymakers on how to improve supply chain resiliency.</w:t>
      </w:r>
    </w:p>
    <w:p w14:paraId="4B9B4085" w14:textId="5B031A30" w:rsidR="00C66902" w:rsidRPr="00D80577" w:rsidRDefault="00F55246" w:rsidP="00C66902">
      <w:pPr>
        <w:pStyle w:val="Heading2"/>
        <w:spacing w:line="360" w:lineRule="auto"/>
        <w:jc w:val="both"/>
        <w:rPr>
          <w:rFonts w:ascii="Arial" w:hAnsi="Arial" w:cs="Arial"/>
          <w:b/>
          <w:bCs/>
          <w:color w:val="000000" w:themeColor="text1"/>
          <w:sz w:val="24"/>
          <w:szCs w:val="24"/>
        </w:rPr>
      </w:pPr>
      <w:bookmarkStart w:id="105" w:name="_Toc220890103"/>
      <w:r w:rsidRPr="00D80577">
        <w:rPr>
          <w:rFonts w:ascii="Arial" w:hAnsi="Arial" w:cs="Arial"/>
          <w:b/>
          <w:bCs/>
          <w:color w:val="000000" w:themeColor="text1"/>
          <w:sz w:val="24"/>
          <w:szCs w:val="24"/>
        </w:rPr>
        <w:t xml:space="preserve">5.2 </w:t>
      </w:r>
      <w:r w:rsidR="00C66902" w:rsidRPr="00D80577">
        <w:rPr>
          <w:rFonts w:ascii="Arial" w:hAnsi="Arial" w:cs="Arial"/>
          <w:b/>
          <w:bCs/>
          <w:color w:val="000000" w:themeColor="text1"/>
          <w:sz w:val="24"/>
          <w:szCs w:val="24"/>
        </w:rPr>
        <w:t>Overall Findings of the study</w:t>
      </w:r>
      <w:bookmarkEnd w:id="105"/>
    </w:p>
    <w:p w14:paraId="1E070E9A"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 xml:space="preserve">This research investigated the nature of, the impacts of, and remedies for supply chain disruption in UK manufacturing companies through the lens of 150 legitimate responses. According to Descriptive statistics (Table 2), the respondents have high levels of agreement that geopolitical conflicts, trade regulations associated with Brexit, increasing logistics costs, and dependence on foreign suppliers are the leading disruption factors, with mean scores of 3.7-4.0 and a median of 4. These values are high, which implies that there is a definite agreement between firms on the main causes of instability of the supply chain. Figure 6-9 also demonstrates that in more than 75 per cent of companies, these factors cause delays or cost increases, and that is apparent throughout the industry. Frequency analyses (Tables 35 and Figures 35) indicate that half of the firms are microenterprises, and fewer than 37% are less than 10 years old. This implies that smaller, younger organisations are especially susceptible to setbacks due to a lack of resources, experience, and operational strength. The sub-sector analysis shows that the sample is dominated by textile and apparel (36) and food and beverage manufacturing (28.7). </w:t>
      </w:r>
    </w:p>
    <w:p w14:paraId="0FC7ED16"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lastRenderedPageBreak/>
        <w:t>Figures 4 and 5 indicate that these industries face difficulties in their supply chain management, such as changing prices of raw materials and logistical delays, which correspond to the research questions on the causes (RQ1) and operational impacts (RQ2) of disruption. The correlation analysis (Table 1) shows strong positive correlations between disruption factors and operational impacts. For example, Brexit-related delays and geopolitical conflicts are strongly correlated (r = 0.790, p &lt; 0.01), indicating that several external events together increase supply chain threats. Poor visibility of international suppliers, as indicated in Figure 10, and poor performance in delivery have a strong correlation, which underlines the significance of transparency in minimising operational risks. The mitigation measures, as illustrated in Figures 15 and 19 and Tables 16 and 20, are effective in reducing disruption.</w:t>
      </w:r>
    </w:p>
    <w:p w14:paraId="03DF0EE2"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Diversification of suppliers (67.3% agreement, Figure 15), nearshoring (79.4%, Figure 16), digital monitoring (75.4%, Figure 17), working with suppliers (70%, Figure 18), and government support (71.4, Figure 19) have a significant positive impact on the operational resilience. Regression analysis (Tables 24-26) indicates that disruptions negatively affect business performance ( = 0.603, p = 0.001), whereas mitigation strategies positively moderate this effect ( = 0.309, p = 0.001). In general, the analysis indicates that the effects of international supply chain disruptions are interdependent and powerful, influencing production efficiency, costs, and delivery reliability. Companies that use a mix of strategic and technological mitigation strategies have stronger resilience and performance. On balance, the figures and tables show that proactive risk management, transparency, and collaborative styles are critical to the continuity of operation and financial performance in UK manufacturing.</w:t>
      </w:r>
    </w:p>
    <w:p w14:paraId="1F4A95D2" w14:textId="1B8D1F93" w:rsidR="00C66902" w:rsidRPr="00D80577" w:rsidRDefault="00F55246" w:rsidP="00C66902">
      <w:pPr>
        <w:pStyle w:val="Heading2"/>
        <w:spacing w:line="360" w:lineRule="auto"/>
        <w:jc w:val="both"/>
        <w:rPr>
          <w:rFonts w:ascii="Arial" w:hAnsi="Arial" w:cs="Arial"/>
          <w:b/>
          <w:bCs/>
          <w:color w:val="000000" w:themeColor="text1"/>
          <w:sz w:val="24"/>
          <w:szCs w:val="24"/>
        </w:rPr>
      </w:pPr>
      <w:bookmarkStart w:id="106" w:name="_Toc220890104"/>
      <w:r w:rsidRPr="00D80577">
        <w:rPr>
          <w:rFonts w:ascii="Arial" w:hAnsi="Arial" w:cs="Arial"/>
          <w:b/>
          <w:bCs/>
          <w:color w:val="000000" w:themeColor="text1"/>
          <w:sz w:val="24"/>
          <w:szCs w:val="24"/>
        </w:rPr>
        <w:t xml:space="preserve">5.3 </w:t>
      </w:r>
      <w:r w:rsidR="00C66902" w:rsidRPr="00D80577">
        <w:rPr>
          <w:rFonts w:ascii="Arial" w:hAnsi="Arial" w:cs="Arial"/>
          <w:b/>
          <w:bCs/>
          <w:color w:val="000000" w:themeColor="text1"/>
          <w:sz w:val="24"/>
          <w:szCs w:val="24"/>
        </w:rPr>
        <w:t>Findings Comparison with Literature Review</w:t>
      </w:r>
      <w:bookmarkEnd w:id="106"/>
    </w:p>
    <w:p w14:paraId="0B626917"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 xml:space="preserve">Findings of the study are consistent with and build on the existing literature, and give insights unique to the situation of the UK manufacturing. In line with global research, SMEs are at a disadvantage when it comes to supply chain disruptions. The principal disruptors were identified as geopolitical tensions, rising logistics costs, and reliance on foreign suppliers, consistent with the findings of Gurbuz et al. (2022) in Turkey and Asgary et al. (2020) worldwide. Nonetheless, this study points to trade regulations arising from </w:t>
      </w:r>
      <w:r w:rsidRPr="00D80577">
        <w:rPr>
          <w:rFonts w:ascii="Arial" w:hAnsi="Arial" w:cs="Arial"/>
          <w:color w:val="000000" w:themeColor="text1"/>
        </w:rPr>
        <w:lastRenderedPageBreak/>
        <w:t xml:space="preserve">Brexit as one of the factors that are singularly important in the UK, demonstrating that, even when localised, institutional change can be as disruptive as international shocks. This adds complexity to the literature by showing the compounded difficulties that UK SMEs face. </w:t>
      </w:r>
    </w:p>
    <w:p w14:paraId="59665BFD"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 xml:space="preserve">The operational and financial implications of disruptions are also gained through the findings. Although earlier research, including Syamsyul et al. (2023), focuses on conceptual categorisation of risks, the current research provides quantitative data on the actual effects of these risks on production efficiency, costs, and overall business performance in the UK. Speaking of mitigation strategies, nearshoring and supplier diversification proved the most useful, aligning with global models such as those of Onyeanuforo et al. (2024) and indicating that they are more strategically relevant in the UK due to Brexit. Conversely, digital monitoring tools were found to be less influential than anticipated, which concurs with warnings about the digital divide and resource scarcity in SMEs (Faiz et al., 2024), suggesting that basic network reorganisation must precede high-tech investment. </w:t>
      </w:r>
    </w:p>
    <w:p w14:paraId="46E3E16F"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The theoretical perspectives are also reinforced and broadened by findings. The views of the Resource-Based View (RBV) (Barney, 2012) are affirmed, with internal resources being efficiently used in strategic adjustment. More to the point, the study provides strong evidence for the Dynamic Capabilities Theory (DCT) (Teece and Pisano, 1994), showing that SMEs perceive the risks of regulations and geopolitical factors, utilise nearshoring and diversification opportunities, and reorganise supply chains to sustain performance. Also, such a high dependence on partnership and collaboration has empirical support from the Relational View and Network Theory (Dyer and Singh, 1998), indicating that resilience is not constructed individually but is co-created through inter-firm networks, trust, and shared resources. On the whole, the research demonstrates that both internal factors and strategic external relationships condition resilience among SMEs. It fills gaps in the literature, offering UK-specific evidence, demonstrating the compounding effects of Brexit and global shocks, and highlighting the strategic prioritisation of physical and relational mitigation solutions over digital tools for resource-constrained SMEs.</w:t>
      </w:r>
    </w:p>
    <w:p w14:paraId="2F4C4813" w14:textId="6ED73364" w:rsidR="00C66902" w:rsidRPr="00D80577" w:rsidRDefault="00F55246" w:rsidP="00C66902">
      <w:pPr>
        <w:pStyle w:val="Heading2"/>
        <w:spacing w:line="360" w:lineRule="auto"/>
        <w:jc w:val="both"/>
        <w:rPr>
          <w:rFonts w:ascii="Arial" w:hAnsi="Arial" w:cs="Arial"/>
          <w:b/>
          <w:bCs/>
          <w:color w:val="000000" w:themeColor="text1"/>
          <w:sz w:val="24"/>
          <w:szCs w:val="24"/>
        </w:rPr>
      </w:pPr>
      <w:bookmarkStart w:id="107" w:name="_Toc220890105"/>
      <w:r w:rsidRPr="00D80577">
        <w:rPr>
          <w:rFonts w:ascii="Arial" w:hAnsi="Arial" w:cs="Arial"/>
          <w:b/>
          <w:bCs/>
          <w:color w:val="000000" w:themeColor="text1"/>
          <w:sz w:val="24"/>
          <w:szCs w:val="24"/>
        </w:rPr>
        <w:lastRenderedPageBreak/>
        <w:t xml:space="preserve">5.4 </w:t>
      </w:r>
      <w:r w:rsidR="00C66902" w:rsidRPr="00D80577">
        <w:rPr>
          <w:rFonts w:ascii="Arial" w:hAnsi="Arial" w:cs="Arial"/>
          <w:b/>
          <w:bCs/>
          <w:color w:val="000000" w:themeColor="text1"/>
          <w:sz w:val="24"/>
          <w:szCs w:val="24"/>
        </w:rPr>
        <w:t>Study</w:t>
      </w:r>
      <w:r w:rsidR="0074184E" w:rsidRPr="00D80577">
        <w:rPr>
          <w:rFonts w:ascii="Arial" w:hAnsi="Arial" w:cs="Arial"/>
          <w:b/>
          <w:bCs/>
          <w:color w:val="000000" w:themeColor="text1"/>
          <w:sz w:val="24"/>
          <w:szCs w:val="24"/>
        </w:rPr>
        <w:t xml:space="preserve"> contribution</w:t>
      </w:r>
      <w:bookmarkEnd w:id="107"/>
    </w:p>
    <w:p w14:paraId="1C75D832" w14:textId="77777777" w:rsidR="00C66902" w:rsidRPr="00D80577" w:rsidRDefault="00C66902" w:rsidP="00C66902">
      <w:pPr>
        <w:spacing w:line="360" w:lineRule="auto"/>
        <w:jc w:val="both"/>
        <w:rPr>
          <w:rFonts w:ascii="Arial" w:hAnsi="Arial" w:cs="Arial"/>
        </w:rPr>
      </w:pPr>
      <w:r w:rsidRPr="00D80577">
        <w:rPr>
          <w:rFonts w:ascii="Arial" w:hAnsi="Arial" w:cs="Arial"/>
        </w:rPr>
        <w:t>This study presents significant scholarly, applied, and policy implications because it is a narrow, empirical study of supply chain disruptions in the UK manufacturing industry.</w:t>
      </w:r>
    </w:p>
    <w:p w14:paraId="6FF3C117"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b/>
          <w:bCs/>
          <w:color w:val="000000" w:themeColor="text1"/>
        </w:rPr>
        <w:t>Academic Value:</w:t>
      </w:r>
      <w:r w:rsidRPr="00D80577">
        <w:rPr>
          <w:rFonts w:ascii="Arial" w:hAnsi="Arial" w:cs="Arial"/>
          <w:color w:val="000000" w:themeColor="text1"/>
        </w:rPr>
        <w:t xml:space="preserve"> The article addresses a literature gap by providing a UK- and sector-specific, data-driven examination of the reasons, consequences, and solutions to supply chain disruptions. In contrast to most of the current research, which has put a lot of emphasis on COVID-19, this research paper takes into account a multi-crisis scenario, such as geopolitical tensions, Brexit, and increasing costs. It further evaluates theoretical constructs such as the Resource-Based View (RBV) (Barney, 2012) and the Dynamic Capabilities Theory (DCT) (Teece and Pisano, 1994) in a real-world, high-stress setting. These results indicate that although internal resource development is also noteworthy, network-based approaches, such as supplier diversification and networking, are even more critical when SMEs are responding to disruptions.</w:t>
      </w:r>
    </w:p>
    <w:p w14:paraId="754381C5" w14:textId="7DEB407B" w:rsidR="00C66902" w:rsidRPr="00D80577" w:rsidRDefault="00C66902" w:rsidP="00C66902">
      <w:pPr>
        <w:spacing w:line="360" w:lineRule="auto"/>
        <w:jc w:val="both"/>
        <w:rPr>
          <w:rFonts w:ascii="Arial" w:hAnsi="Arial" w:cs="Arial"/>
          <w:color w:val="000000" w:themeColor="text1"/>
        </w:rPr>
      </w:pPr>
      <w:r w:rsidRPr="00D80577">
        <w:rPr>
          <w:rFonts w:ascii="Arial" w:hAnsi="Arial" w:cs="Arial"/>
          <w:b/>
          <w:bCs/>
          <w:color w:val="000000" w:themeColor="text1"/>
        </w:rPr>
        <w:t xml:space="preserve">Practical </w:t>
      </w:r>
      <w:r w:rsidR="0074184E" w:rsidRPr="00D80577">
        <w:rPr>
          <w:rFonts w:ascii="Arial" w:hAnsi="Arial" w:cs="Arial"/>
          <w:b/>
          <w:bCs/>
          <w:color w:val="000000" w:themeColor="text1"/>
        </w:rPr>
        <w:t>contribution</w:t>
      </w:r>
      <w:r w:rsidRPr="00D80577">
        <w:rPr>
          <w:rFonts w:ascii="Arial" w:hAnsi="Arial" w:cs="Arial"/>
          <w:b/>
          <w:bCs/>
          <w:color w:val="000000" w:themeColor="text1"/>
        </w:rPr>
        <w:t>:</w:t>
      </w:r>
      <w:r w:rsidRPr="00D80577">
        <w:rPr>
          <w:rFonts w:ascii="Arial" w:hAnsi="Arial" w:cs="Arial"/>
          <w:color w:val="000000" w:themeColor="text1"/>
        </w:rPr>
        <w:t xml:space="preserve"> The results can serve as practical advice for managers. By identifying the most critical disruptors and the most effective mitigation strategies, managers can prioritise interventions that enhance resilience and safeguard performance, including nearshoring, supplier diversification, and collaboration. The fact that the strategies have a quantifiable impact on mitigating the negative consequences of disruptions provides managers with a solid reason to implement costly strategic adjustments (Karanam et al., 2024). This assists the SMEs in making sound investment choices in resilience and operational continuity.</w:t>
      </w:r>
    </w:p>
    <w:p w14:paraId="39D64A7E"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b/>
          <w:bCs/>
          <w:color w:val="000000" w:themeColor="text1"/>
        </w:rPr>
        <w:t>Policy Value:</w:t>
      </w:r>
      <w:r w:rsidRPr="00D80577">
        <w:rPr>
          <w:rFonts w:ascii="Arial" w:hAnsi="Arial" w:cs="Arial"/>
          <w:color w:val="000000" w:themeColor="text1"/>
        </w:rPr>
        <w:t xml:space="preserve"> The study is also informative for policymakers, as it identifies key areas of pressure. The trade regulations associated with Brexit are the primary source of disruption, highlighting opportunities for trade facilitation. The fact that government support schemes are viewed positively indicates that these interventions are appreciated and working, and thus they should be continued and encouraged (Audretsch et al., 2025). Further, the role of the digital tools is limited, which implies that policies can prioritise incentives for technology implementation alongside the promotion of underlying resilience policies, including audits and grants to diversify suppliers.</w:t>
      </w:r>
    </w:p>
    <w:p w14:paraId="6CF49B36"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lastRenderedPageBreak/>
        <w:t>Generally, the research provides vivid, evidence-based information that reinforces academic knowledge, informs managerial behaviour, and shapes policy formulations within the UK manufacturing industry.</w:t>
      </w:r>
    </w:p>
    <w:p w14:paraId="7EF365D8" w14:textId="282216C5" w:rsidR="00C66902" w:rsidRPr="00D80577" w:rsidRDefault="00F55246" w:rsidP="00C66902">
      <w:pPr>
        <w:pStyle w:val="Heading2"/>
        <w:spacing w:line="360" w:lineRule="auto"/>
        <w:jc w:val="both"/>
        <w:rPr>
          <w:rFonts w:ascii="Arial" w:hAnsi="Arial" w:cs="Arial"/>
          <w:b/>
          <w:bCs/>
          <w:color w:val="000000" w:themeColor="text1"/>
          <w:sz w:val="24"/>
          <w:szCs w:val="24"/>
        </w:rPr>
      </w:pPr>
      <w:bookmarkStart w:id="108" w:name="_Toc220890106"/>
      <w:r w:rsidRPr="00D80577">
        <w:rPr>
          <w:rFonts w:ascii="Arial" w:hAnsi="Arial" w:cs="Arial"/>
          <w:b/>
          <w:bCs/>
          <w:color w:val="000000" w:themeColor="text1"/>
          <w:sz w:val="24"/>
          <w:szCs w:val="24"/>
        </w:rPr>
        <w:t xml:space="preserve">5.5 </w:t>
      </w:r>
      <w:r w:rsidR="00C66902" w:rsidRPr="00D80577">
        <w:rPr>
          <w:rFonts w:ascii="Arial" w:hAnsi="Arial" w:cs="Arial"/>
          <w:b/>
          <w:bCs/>
          <w:color w:val="000000" w:themeColor="text1"/>
          <w:sz w:val="24"/>
          <w:szCs w:val="24"/>
        </w:rPr>
        <w:t>Chapter Summary</w:t>
      </w:r>
      <w:bookmarkEnd w:id="108"/>
    </w:p>
    <w:p w14:paraId="5A96F9CA" w14:textId="77777777" w:rsidR="00C66902" w:rsidRPr="00D80577" w:rsidRDefault="00C66902" w:rsidP="00C66902">
      <w:pPr>
        <w:spacing w:line="360" w:lineRule="auto"/>
        <w:jc w:val="both"/>
        <w:rPr>
          <w:rFonts w:ascii="Arial" w:hAnsi="Arial" w:cs="Arial"/>
          <w:color w:val="000000" w:themeColor="text1"/>
        </w:rPr>
      </w:pPr>
      <w:r w:rsidRPr="00D80577">
        <w:rPr>
          <w:rFonts w:ascii="Arial" w:hAnsi="Arial" w:cs="Arial"/>
          <w:color w:val="000000" w:themeColor="text1"/>
        </w:rPr>
        <w:t>This chapter introduces and discusses the main findings of empirical research on disruption in the international supply chains of manufacturing SMEs in the UK. According to the study, three primary disruptive factors have been identified: geopolitical strains, regulatory shifts, particularly Brexit-related regulations, and economic challenges, including rising logistics and material prices. All these act to reduce production efficiency, increase costs, and hurt the overall performance of the business. Notably, the research indicates feasible avenues to resiliency. Mitigation strategies, such as supplier diversification, near-shoring, and supplier collaboration, are highly effective at reducing the negative impact of disruptions. Although the results can be compared with the international body of knowledge on SME vulnerability, they provide valuable evidence for the UK, highlighting the importance of restructuring supply networks rather than relying solely on digital tools. The chapter highlights the practicality of the study to provide practical information to SME managers to reinforce operations and policymakers to reinforce the UK manufacturing industry in the unstable global market.</w:t>
      </w:r>
    </w:p>
    <w:p w14:paraId="3E96FCAB" w14:textId="77777777" w:rsidR="00C66902" w:rsidRPr="00D80577" w:rsidRDefault="00C66902" w:rsidP="00743850">
      <w:pPr>
        <w:spacing w:line="360" w:lineRule="auto"/>
        <w:jc w:val="both"/>
        <w:rPr>
          <w:rFonts w:ascii="Arial" w:hAnsi="Arial" w:cs="Arial"/>
        </w:rPr>
      </w:pPr>
    </w:p>
    <w:p w14:paraId="69E7F8ED" w14:textId="77777777" w:rsidR="00C66902" w:rsidRPr="00D80577" w:rsidRDefault="00C66902" w:rsidP="00743850">
      <w:pPr>
        <w:spacing w:line="360" w:lineRule="auto"/>
        <w:jc w:val="both"/>
        <w:rPr>
          <w:rFonts w:ascii="Arial" w:hAnsi="Arial" w:cs="Arial"/>
        </w:rPr>
      </w:pPr>
    </w:p>
    <w:p w14:paraId="1B7C81D8" w14:textId="77777777" w:rsidR="00C66902" w:rsidRPr="00D80577" w:rsidRDefault="00C66902" w:rsidP="00743850">
      <w:pPr>
        <w:spacing w:line="360" w:lineRule="auto"/>
        <w:jc w:val="both"/>
        <w:rPr>
          <w:rFonts w:ascii="Arial" w:hAnsi="Arial" w:cs="Arial"/>
        </w:rPr>
      </w:pPr>
    </w:p>
    <w:p w14:paraId="4118A8EC" w14:textId="77777777" w:rsidR="00D80577" w:rsidRPr="00D80577" w:rsidRDefault="00D80577" w:rsidP="00743850">
      <w:pPr>
        <w:spacing w:line="360" w:lineRule="auto"/>
        <w:jc w:val="both"/>
        <w:rPr>
          <w:rFonts w:ascii="Arial" w:hAnsi="Arial" w:cs="Arial"/>
        </w:rPr>
      </w:pPr>
    </w:p>
    <w:p w14:paraId="4A7A0FFD" w14:textId="77777777" w:rsidR="00D80577" w:rsidRPr="00D80577" w:rsidRDefault="00D80577" w:rsidP="00743850">
      <w:pPr>
        <w:spacing w:line="360" w:lineRule="auto"/>
        <w:jc w:val="both"/>
        <w:rPr>
          <w:rFonts w:ascii="Arial" w:hAnsi="Arial" w:cs="Arial"/>
        </w:rPr>
      </w:pPr>
    </w:p>
    <w:p w14:paraId="5083123F" w14:textId="77777777" w:rsidR="00D80577" w:rsidRPr="00D80577" w:rsidRDefault="00D80577" w:rsidP="00743850">
      <w:pPr>
        <w:spacing w:line="360" w:lineRule="auto"/>
        <w:jc w:val="both"/>
        <w:rPr>
          <w:rFonts w:ascii="Arial" w:hAnsi="Arial" w:cs="Arial"/>
        </w:rPr>
      </w:pPr>
    </w:p>
    <w:p w14:paraId="291D8481" w14:textId="77777777" w:rsidR="00D80577" w:rsidRPr="00D80577" w:rsidRDefault="00D80577" w:rsidP="00743850">
      <w:pPr>
        <w:spacing w:line="360" w:lineRule="auto"/>
        <w:jc w:val="both"/>
        <w:rPr>
          <w:rFonts w:ascii="Arial" w:hAnsi="Arial" w:cs="Arial"/>
        </w:rPr>
      </w:pPr>
    </w:p>
    <w:p w14:paraId="495EBB4E" w14:textId="77777777" w:rsidR="00D80577" w:rsidRPr="00D80577" w:rsidRDefault="00D80577" w:rsidP="00743850">
      <w:pPr>
        <w:spacing w:line="360" w:lineRule="auto"/>
        <w:jc w:val="both"/>
        <w:rPr>
          <w:rFonts w:ascii="Arial" w:hAnsi="Arial" w:cs="Arial"/>
        </w:rPr>
      </w:pPr>
    </w:p>
    <w:p w14:paraId="03D0F226" w14:textId="77777777" w:rsidR="00D80577" w:rsidRPr="00D80577" w:rsidRDefault="00D80577" w:rsidP="00743850">
      <w:pPr>
        <w:spacing w:line="360" w:lineRule="auto"/>
        <w:jc w:val="both"/>
        <w:rPr>
          <w:rFonts w:ascii="Arial" w:hAnsi="Arial" w:cs="Arial"/>
        </w:rPr>
      </w:pPr>
    </w:p>
    <w:p w14:paraId="0ACC92B7" w14:textId="77777777" w:rsidR="00D80577" w:rsidRPr="00D80577" w:rsidRDefault="00D80577" w:rsidP="00D80577">
      <w:pPr>
        <w:pStyle w:val="Heading1"/>
        <w:spacing w:line="360" w:lineRule="auto"/>
        <w:jc w:val="center"/>
        <w:rPr>
          <w:rFonts w:ascii="Arial" w:hAnsi="Arial" w:cs="Arial"/>
          <w:b/>
          <w:bCs/>
          <w:color w:val="000000" w:themeColor="text1"/>
          <w:sz w:val="28"/>
          <w:szCs w:val="28"/>
        </w:rPr>
      </w:pPr>
      <w:bookmarkStart w:id="109" w:name="_Toc220890107"/>
      <w:r w:rsidRPr="00D80577">
        <w:rPr>
          <w:rFonts w:ascii="Arial" w:hAnsi="Arial" w:cs="Arial"/>
          <w:b/>
          <w:bCs/>
          <w:color w:val="000000" w:themeColor="text1"/>
          <w:sz w:val="28"/>
          <w:szCs w:val="28"/>
        </w:rPr>
        <w:lastRenderedPageBreak/>
        <w:t>Chapter 6: Conclusion</w:t>
      </w:r>
      <w:bookmarkEnd w:id="109"/>
    </w:p>
    <w:p w14:paraId="652535A5" w14:textId="77777777"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0" w:name="_Toc220890108"/>
      <w:r w:rsidRPr="00D80577">
        <w:rPr>
          <w:rFonts w:ascii="Arial" w:hAnsi="Arial" w:cs="Arial"/>
          <w:b/>
          <w:bCs/>
          <w:color w:val="000000" w:themeColor="text1"/>
          <w:sz w:val="24"/>
          <w:szCs w:val="24"/>
        </w:rPr>
        <w:t>6.1 Chapter introduction</w:t>
      </w:r>
      <w:bookmarkEnd w:id="110"/>
    </w:p>
    <w:p w14:paraId="5F87D980" w14:textId="1826FDB3"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The study analysed a critical issue to the UK economy, the impact of international supply chain shocks on manufacturing Small and Medium-sized Enterprises (SMEs). In the context of various crises, including the COVID-19 pandemic, Brexit, and geopolitical disputes, as well as increasing inflation rates, the purpose of the given study was to go beyond general vulnerability debates and to present an evidence-based analysis of the reasons, impacts, and mitigation mechanisms of SMEs.</w:t>
      </w:r>
      <w:r>
        <w:rPr>
          <w:rFonts w:ascii="Arial" w:hAnsi="Arial" w:cs="Arial"/>
          <w:color w:val="000000" w:themeColor="text1"/>
        </w:rPr>
        <w:t xml:space="preserve"> </w:t>
      </w:r>
      <w:r w:rsidRPr="00D80577">
        <w:rPr>
          <w:rFonts w:ascii="Arial" w:hAnsi="Arial" w:cs="Arial"/>
          <w:color w:val="000000" w:themeColor="text1"/>
        </w:rPr>
        <w:t>The present chapter is a conclusion of the key findings, based on the aims of the research, the practical and theoretical contributions to the study, limitations of the research, and recommendations for further research.</w:t>
      </w:r>
    </w:p>
    <w:p w14:paraId="79AFE62D" w14:textId="77777777"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1" w:name="_Toc220890109"/>
      <w:r w:rsidRPr="00D80577">
        <w:rPr>
          <w:rFonts w:ascii="Arial" w:hAnsi="Arial" w:cs="Arial"/>
          <w:b/>
          <w:bCs/>
          <w:color w:val="000000" w:themeColor="text1"/>
          <w:sz w:val="24"/>
          <w:szCs w:val="24"/>
        </w:rPr>
        <w:t>6.2 Findings for Each Objective</w:t>
      </w:r>
      <w:bookmarkEnd w:id="111"/>
    </w:p>
    <w:p w14:paraId="6C1E5504" w14:textId="77777777" w:rsidR="00D80577" w:rsidRPr="00D80577" w:rsidRDefault="00D80577" w:rsidP="00D80577">
      <w:pPr>
        <w:spacing w:line="360" w:lineRule="auto"/>
        <w:jc w:val="both"/>
        <w:rPr>
          <w:rFonts w:ascii="Arial" w:hAnsi="Arial" w:cs="Arial"/>
          <w:b/>
          <w:bCs/>
          <w:color w:val="000000" w:themeColor="text1"/>
        </w:rPr>
      </w:pPr>
      <w:r w:rsidRPr="00D80577">
        <w:rPr>
          <w:rFonts w:ascii="Arial" w:hAnsi="Arial" w:cs="Arial"/>
          <w:b/>
          <w:bCs/>
          <w:color w:val="000000" w:themeColor="text1"/>
        </w:rPr>
        <w:t>Objective 1: Identify the key causes of international supply chain disruptions affecting UK manufacturing firms</w:t>
      </w:r>
    </w:p>
    <w:p w14:paraId="62B06047"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The study specifies a multifaceted combination of threats that UK manufacturing SMEs have to combat, showing that the disruption of the supply chain is hardly ever occasioned by a single element. The analysis of the survey revealed that the agreement on the number of causes was very high, as they were interrelated. More than 80% of respondents cited geopolitical issues, including the war in Ukraine and the Red Sea crisis, as the biggest disruptors, which shows that the high impact of global political instability on supply chain reliability is significant. In particular, trade regulations related to Brexit played a crucial role in the UK context, and 75.3% of companies emphasised long delays and the complexity of international sourcing. This observation shows that institutional or regulatory reforms can be disruptive, like macroeconomic shocks. Increased costs in global transportation and logistics were cited by 82 per cent of the respondents as one of the key causes of decreased reliability and profitability erosion, and it is still a structural issue facing SMEs.</w:t>
      </w:r>
    </w:p>
    <w:p w14:paraId="236A7E4E"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 xml:space="preserve">The other major cause is associated with the business models of most SMEs, where they tend to be over-dependent on foreign suppliers. Three-quarters and eighty-six per cent of </w:t>
      </w:r>
      <w:r w:rsidRPr="00D80577">
        <w:rPr>
          <w:rFonts w:ascii="Arial" w:hAnsi="Arial" w:cs="Arial"/>
          <w:color w:val="000000" w:themeColor="text1"/>
        </w:rPr>
        <w:lastRenderedPageBreak/>
        <w:t>the respondents recognised that this reliance is a core risk, and this is further augmented by low visibility of supplier networks, which 70.7 per cent of the firms mentioned. Such a performance of non-transparency does not enable proactive management of risks and, in most cases, transforms any possible disruption into such an unforeseen crisis. All these reasons are not independent of each other but are in a synergistic manner. Geopolitical unrest and Brexit policies enhance volatility that escalates logistics expenses and reveal the dangers of relying on opaque supply chains. The results verify that UK SMEs are surrounded by a compounded disruption environment where global, regional, and structural vulnerability interplay with each other and increase their impact.</w:t>
      </w:r>
    </w:p>
    <w:p w14:paraId="477C2923" w14:textId="77777777" w:rsidR="00D80577" w:rsidRPr="00D80577" w:rsidRDefault="00D80577" w:rsidP="00D80577">
      <w:pPr>
        <w:spacing w:line="360" w:lineRule="auto"/>
        <w:jc w:val="both"/>
        <w:rPr>
          <w:rFonts w:ascii="Arial" w:hAnsi="Arial" w:cs="Arial"/>
          <w:b/>
          <w:bCs/>
          <w:color w:val="000000" w:themeColor="text1"/>
        </w:rPr>
      </w:pPr>
      <w:r w:rsidRPr="00D80577">
        <w:rPr>
          <w:rFonts w:ascii="Arial" w:hAnsi="Arial" w:cs="Arial"/>
          <w:b/>
          <w:bCs/>
          <w:color w:val="000000" w:themeColor="text1"/>
        </w:rPr>
        <w:t>Objective 2: Assess the impact of these disruptions on production efficiency, cost management, and overall business performance</w:t>
      </w:r>
    </w:p>
    <w:p w14:paraId="01430367"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 xml:space="preserve">The above disruptions have obvious operational and financial implications for SMEs. Its most immediate operational effect is on the production schedules. Seventy-four point seven per cent of firms have indicated that they often experience production delays due to supply chain disruptions. This spills over into customer service, with 67.3% of respondents reporting lower on-time delivery performance. These observations are supported by correlation analysis, which indicates that there are strong correlations between the factors of disruption and the inefficiencies in operations. Economically, the impacts are also immense. Sixty-four point six per cent of the companies said that the international disruptions have raised the overall cost of production, and 62.6 per cent said that fluctuating prices of raw materials had an adverse effect on profit margins. </w:t>
      </w:r>
    </w:p>
    <w:p w14:paraId="02E6382D"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 xml:space="preserve">The effects were also quantified by means of the regression analysis, which indicated that an increase in the cost of logistics and the other effects of disruption is significantly linked to the increase in the costs of production. The operational delays, combined with the cost pressures, add to the degradation of the business performance. Sixty-seven per cent of the firms said that they have been adversely impacted by supply chain instability on their overall business performance. The outcomes of the regression analysis established a strong, positive relation between the perceived disruption severity and the negative performance outcomes. Essentially, this cause-and-effect chain can be traced: global </w:t>
      </w:r>
      <w:r w:rsidRPr="00D80577">
        <w:rPr>
          <w:rFonts w:ascii="Arial" w:hAnsi="Arial" w:cs="Arial"/>
          <w:color w:val="000000" w:themeColor="text1"/>
        </w:rPr>
        <w:lastRenderedPageBreak/>
        <w:t>shocks and structural vulnerability lead to operational failures, cost pressures, and loss of competitiveness, endangering the survival and expansion of UK manufacturing SMEs.</w:t>
      </w:r>
    </w:p>
    <w:p w14:paraId="5505BAD7" w14:textId="77777777" w:rsidR="00D80577" w:rsidRPr="00D80577" w:rsidRDefault="00D80577" w:rsidP="00D80577">
      <w:pPr>
        <w:spacing w:line="360" w:lineRule="auto"/>
        <w:jc w:val="both"/>
        <w:rPr>
          <w:rFonts w:ascii="Arial" w:hAnsi="Arial" w:cs="Arial"/>
          <w:b/>
          <w:bCs/>
          <w:color w:val="000000" w:themeColor="text1"/>
        </w:rPr>
      </w:pPr>
      <w:r w:rsidRPr="00D80577">
        <w:rPr>
          <w:rFonts w:ascii="Arial" w:hAnsi="Arial" w:cs="Arial"/>
          <w:b/>
          <w:bCs/>
          <w:color w:val="000000" w:themeColor="text1"/>
        </w:rPr>
        <w:t>Objective 3: Explore strategies and best practices adopted by UK manufacturing firms to mitigate supply chain risks</w:t>
      </w:r>
    </w:p>
    <w:p w14:paraId="57DD9AB0"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The study also determines feasible solutions that are implemented by SMEs to deal with supply chain risk. The results indicate a portfolio of strategies, some of which are perceived to be more effective. The most approved strategies include reorganisation of the supply network itself. According to 79.4% of the firms, nearshoring or local sourcing has been reported to enhance supply reliability as a strategic change in order to lessen the geographic and international risk. Diversifying suppliers was also seen as important by 67.3 per cent of respondents as one way of diversifying risk among several suppliers, and developing a good working relationship with suppliers was an important aspect of resilience, as stated by 70 per cent. These results show that non-technological buffers to disruption include trust, communication, and information sharing.</w:t>
      </w:r>
    </w:p>
    <w:p w14:paraId="6B843597"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One-third (75.4) of respondents recognised digital supply chain monitoring tools as being useful to enhance disruption preparedness. Nevertheless, they did not have a significant effect on the general business performance, which indicates that in the case of a resource-constrained SME, the digital tools may be regarded as an addition and not as an independent solution. Their performance is not effective without prior restructuring of supply networks and relationship-building. The 71.4% of firms also appreciated the use of external support, including government aid, to aid in coping with risk. The regression analysis was used to prove that a combination of these mitigation strategies has a strong positive moderating influence. This implies that companies that apply both network reorganisation, supplier diversification, collaborative, digital and external-support strategies are more equipped to minimise the adverse effects of disruptions on performance. The findings are empirical support of the significance of active risk management and strategic adjustment in ensuring SME competitiveness.</w:t>
      </w:r>
    </w:p>
    <w:p w14:paraId="4A08D206" w14:textId="77777777"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2" w:name="_Toc220890110"/>
      <w:r w:rsidRPr="00D80577">
        <w:rPr>
          <w:rFonts w:ascii="Arial" w:hAnsi="Arial" w:cs="Arial"/>
          <w:b/>
          <w:bCs/>
          <w:color w:val="000000" w:themeColor="text1"/>
          <w:sz w:val="24"/>
          <w:szCs w:val="24"/>
        </w:rPr>
        <w:lastRenderedPageBreak/>
        <w:t>6.3 Theoretical Contribution</w:t>
      </w:r>
      <w:bookmarkEnd w:id="112"/>
    </w:p>
    <w:p w14:paraId="4F6E06DF" w14:textId="1C8B30DC"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This research contributes significantly to the theory in the areas of SME resilience and supply chain management. It gives substantial empirical evidence on a compound framework involving the Resource-Based View, Dynamic Capabilities Theory, and Network Theory. Results indicate that resilience is not a result of a single perspective but a combination of these perspectives. Although the role of internal resources and technology is essential, dynamic capabilities, in particular, the possibility to foresee geopolitical and regulatory threats and redesign the supply chains with the help of nearshoring and diversification, are essential in turbulent systems. The Relational View and the Network Theory are also confirmed, as the study also supports the significance of collaboration and close relations with suppliers.</w:t>
      </w:r>
    </w:p>
    <w:p w14:paraId="4B0A78EB" w14:textId="77777777"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3" w:name="_Toc220890111"/>
      <w:r w:rsidRPr="00D80577">
        <w:rPr>
          <w:rFonts w:ascii="Arial" w:hAnsi="Arial" w:cs="Arial"/>
          <w:b/>
          <w:bCs/>
          <w:color w:val="000000" w:themeColor="text1"/>
          <w:sz w:val="24"/>
          <w:szCs w:val="24"/>
        </w:rPr>
        <w:t>6.4 Practical Contribution</w:t>
      </w:r>
      <w:bookmarkEnd w:id="113"/>
    </w:p>
    <w:p w14:paraId="63EF2A6E" w14:textId="4328B162"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The research has direct implications for SME managers, industry organisations and policymakers. To managers, it is an evidence-based prioritisation guide that is clear to follow. The results emphasise that supplier diversification and nearshoring investments can be more efficient than sophisticated digital solutions for many SMEs and assist managers in making data-driven decisions to decrease the adverse effects of disruptions. To industry agencies and consultants, the study provides industry standards of typical problems and an appropriate reaction, instructing training, resilience audit, and best-practice manuals in line with UK manufacturing. The study defines regulations related to Brexit as one of the disruptors to policymakers, indicating the points of trade facilitation. The government schemes are appreciated, but interventions can be optimised to assist SMEs in making expensive strategic changes, including supplier diversification and inventory buffer, instead of generic prescriptions or grants to go digital. Lastly, the findings on trade-related disruptions can be used to underpin policy advocacy, which will support trade agreements and domestic support policy that is informed by the realities of trade operations by the UK manufacturing SMEs.</w:t>
      </w:r>
    </w:p>
    <w:p w14:paraId="693BAD4D" w14:textId="68646604"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4" w:name="_Toc220890112"/>
      <w:r w:rsidRPr="00D80577">
        <w:rPr>
          <w:rFonts w:ascii="Arial" w:hAnsi="Arial" w:cs="Arial"/>
          <w:b/>
          <w:bCs/>
          <w:color w:val="000000" w:themeColor="text1"/>
          <w:sz w:val="24"/>
          <w:szCs w:val="24"/>
        </w:rPr>
        <w:t>6.</w:t>
      </w:r>
      <w:r w:rsidR="00C87D9E">
        <w:rPr>
          <w:rFonts w:ascii="Arial" w:hAnsi="Arial" w:cs="Arial"/>
          <w:b/>
          <w:bCs/>
          <w:color w:val="000000" w:themeColor="text1"/>
          <w:sz w:val="24"/>
          <w:szCs w:val="24"/>
        </w:rPr>
        <w:t>5</w:t>
      </w:r>
      <w:r w:rsidRPr="00D80577">
        <w:rPr>
          <w:rFonts w:ascii="Arial" w:hAnsi="Arial" w:cs="Arial"/>
          <w:b/>
          <w:bCs/>
          <w:color w:val="000000" w:themeColor="text1"/>
          <w:sz w:val="24"/>
          <w:szCs w:val="24"/>
        </w:rPr>
        <w:t xml:space="preserve"> Limitations</w:t>
      </w:r>
      <w:bookmarkEnd w:id="114"/>
    </w:p>
    <w:p w14:paraId="31746007"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 xml:space="preserve">This study is tightly designed; however, there are numerous limitations that inform its findings. The primary weakness has been the application of only one quantitative method, </w:t>
      </w:r>
      <w:r w:rsidRPr="00D80577">
        <w:rPr>
          <w:rFonts w:ascii="Arial" w:hAnsi="Arial" w:cs="Arial"/>
          <w:color w:val="000000" w:themeColor="text1"/>
        </w:rPr>
        <w:lastRenderedPageBreak/>
        <w:t>utilising structured questionnaires. Although useful in finding patterns and testing relationships, this methodology is incapable of getting a detailed qualitative experience of individual firms, managerial decision-making or the richness of supplier relations. A sample size of 150 (even though adequate to conduct statistical analysis) cannot provide a comprehensive insight into the sub-sectors and might not be representative of the heterogeneity of manufacturing SMEs in the UK. The research concentrates on the UK alone, and the results, particularly those that relate to Brexit, are in the context of the UK and may not be applicable in other nations directly. Moreover, the cross-sectional design offers a time-point view, which will not allow one to study the dynamics of resilience and strategies in the case of long-term disruptions. These restrictions do not weaken the study, but they point out the limitation in the scope of their applicability.</w:t>
      </w:r>
    </w:p>
    <w:p w14:paraId="5894CC73" w14:textId="77777777" w:rsidR="00D80577" w:rsidRPr="00D80577" w:rsidRDefault="00D80577" w:rsidP="00D80577">
      <w:pPr>
        <w:pStyle w:val="Heading2"/>
        <w:spacing w:line="360" w:lineRule="auto"/>
        <w:jc w:val="both"/>
        <w:rPr>
          <w:rFonts w:ascii="Arial" w:hAnsi="Arial" w:cs="Arial"/>
          <w:b/>
          <w:bCs/>
          <w:color w:val="000000" w:themeColor="text1"/>
          <w:sz w:val="24"/>
          <w:szCs w:val="24"/>
        </w:rPr>
      </w:pPr>
      <w:bookmarkStart w:id="115" w:name="_Toc220890113"/>
      <w:r w:rsidRPr="00D80577">
        <w:rPr>
          <w:rFonts w:ascii="Arial" w:hAnsi="Arial" w:cs="Arial"/>
          <w:b/>
          <w:bCs/>
          <w:color w:val="000000" w:themeColor="text1"/>
          <w:sz w:val="24"/>
          <w:szCs w:val="24"/>
        </w:rPr>
        <w:t>6.7 Future Research Avenues</w:t>
      </w:r>
      <w:bookmarkEnd w:id="115"/>
    </w:p>
    <w:p w14:paraId="5F7444CC" w14:textId="77777777" w:rsidR="00D80577" w:rsidRP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Findings and limitations of the study indicate that there are a number of directions that future research can take. The next step that could be helpful would be a mixed-methods approach, i.e. a combination of quantitative surveys and extensive qualitative case studies or interviews. This may explain the causes of statistical trends, including the complexity of supplier diversification or the dynamics of effective cooperation. Long-term longitudinal studies of SMEs would be useful to determine the sustainability and the long-term effectiveness of resilience strategies. Comparative study of manufacturing sub-sectors, e.g. electronics and food and beverage, may assist in developing custom-made resilience models. It would help expand the study to the SMEs in the EU or North America to identify which supply chain issues are universal and the ones unique to the UK situation. These would develop a more detailed and practical concept of SME resilience in a fluctuating global economy.</w:t>
      </w:r>
    </w:p>
    <w:p w14:paraId="0A802AF7" w14:textId="6EAAA2DC" w:rsidR="00D80577" w:rsidRDefault="00D80577" w:rsidP="00D80577">
      <w:pPr>
        <w:spacing w:line="360" w:lineRule="auto"/>
        <w:jc w:val="both"/>
        <w:rPr>
          <w:rFonts w:ascii="Arial" w:hAnsi="Arial" w:cs="Arial"/>
          <w:color w:val="000000" w:themeColor="text1"/>
        </w:rPr>
      </w:pPr>
      <w:r w:rsidRPr="00D80577">
        <w:rPr>
          <w:rFonts w:ascii="Arial" w:hAnsi="Arial" w:cs="Arial"/>
          <w:color w:val="000000" w:themeColor="text1"/>
        </w:rPr>
        <w:t xml:space="preserve">Overall, this research shows that UK manufacturing SMEs are highly interconnected in a risk environment where geopolitical tensions, regulatory changes, and structural reliance interact to disrupt supply chains. Such disruptions can be quantified in terms of negative impacts on the efficiency of production, costs and the general performance of the business. Nevertheless, companies that adopt a proactive blend of mitigation measures, </w:t>
      </w:r>
      <w:r w:rsidRPr="00D80577">
        <w:rPr>
          <w:rFonts w:ascii="Arial" w:hAnsi="Arial" w:cs="Arial"/>
          <w:color w:val="000000" w:themeColor="text1"/>
        </w:rPr>
        <w:lastRenderedPageBreak/>
        <w:t xml:space="preserve">such as nearshoring, supplier diversification, collaborative relationships, digital tracking, and external support, can curb them to a large extent. </w:t>
      </w:r>
    </w:p>
    <w:p w14:paraId="0456BEEE" w14:textId="77777777" w:rsidR="00C87D9E" w:rsidRDefault="00C87D9E" w:rsidP="00D80577">
      <w:pPr>
        <w:spacing w:line="360" w:lineRule="auto"/>
        <w:jc w:val="both"/>
        <w:rPr>
          <w:rFonts w:ascii="Arial" w:hAnsi="Arial" w:cs="Arial"/>
          <w:color w:val="000000" w:themeColor="text1"/>
        </w:rPr>
      </w:pPr>
    </w:p>
    <w:p w14:paraId="6072C305" w14:textId="77777777" w:rsidR="00C87D9E" w:rsidRDefault="00C87D9E" w:rsidP="00D80577">
      <w:pPr>
        <w:spacing w:line="360" w:lineRule="auto"/>
        <w:jc w:val="both"/>
        <w:rPr>
          <w:rFonts w:ascii="Arial" w:hAnsi="Arial" w:cs="Arial"/>
          <w:color w:val="000000" w:themeColor="text1"/>
        </w:rPr>
      </w:pPr>
    </w:p>
    <w:p w14:paraId="650F8C81" w14:textId="77777777" w:rsidR="00C87D9E" w:rsidRDefault="00C87D9E" w:rsidP="00D80577">
      <w:pPr>
        <w:spacing w:line="360" w:lineRule="auto"/>
        <w:jc w:val="both"/>
        <w:rPr>
          <w:rFonts w:ascii="Arial" w:hAnsi="Arial" w:cs="Arial"/>
          <w:color w:val="000000" w:themeColor="text1"/>
        </w:rPr>
      </w:pPr>
    </w:p>
    <w:p w14:paraId="052C0255" w14:textId="77777777" w:rsidR="00C87D9E" w:rsidRDefault="00C87D9E" w:rsidP="00D80577">
      <w:pPr>
        <w:spacing w:line="360" w:lineRule="auto"/>
        <w:jc w:val="both"/>
        <w:rPr>
          <w:rFonts w:ascii="Arial" w:hAnsi="Arial" w:cs="Arial"/>
          <w:color w:val="000000" w:themeColor="text1"/>
        </w:rPr>
      </w:pPr>
    </w:p>
    <w:p w14:paraId="456A11F2" w14:textId="77777777" w:rsidR="00C87D9E" w:rsidRDefault="00C87D9E" w:rsidP="00D80577">
      <w:pPr>
        <w:spacing w:line="360" w:lineRule="auto"/>
        <w:jc w:val="both"/>
        <w:rPr>
          <w:rFonts w:ascii="Arial" w:hAnsi="Arial" w:cs="Arial"/>
          <w:color w:val="000000" w:themeColor="text1"/>
        </w:rPr>
      </w:pPr>
    </w:p>
    <w:p w14:paraId="3681BFA7" w14:textId="77777777" w:rsidR="00C87D9E" w:rsidRDefault="00C87D9E" w:rsidP="00D80577">
      <w:pPr>
        <w:spacing w:line="360" w:lineRule="auto"/>
        <w:jc w:val="both"/>
        <w:rPr>
          <w:rFonts w:ascii="Arial" w:hAnsi="Arial" w:cs="Arial"/>
          <w:color w:val="000000" w:themeColor="text1"/>
        </w:rPr>
      </w:pPr>
    </w:p>
    <w:p w14:paraId="2DBCC722" w14:textId="77777777" w:rsidR="00C87D9E" w:rsidRDefault="00C87D9E" w:rsidP="00D80577">
      <w:pPr>
        <w:spacing w:line="360" w:lineRule="auto"/>
        <w:jc w:val="both"/>
        <w:rPr>
          <w:rFonts w:ascii="Arial" w:hAnsi="Arial" w:cs="Arial"/>
          <w:color w:val="000000" w:themeColor="text1"/>
        </w:rPr>
      </w:pPr>
    </w:p>
    <w:p w14:paraId="59C84812" w14:textId="77777777" w:rsidR="00C87D9E" w:rsidRDefault="00C87D9E" w:rsidP="00D80577">
      <w:pPr>
        <w:spacing w:line="360" w:lineRule="auto"/>
        <w:jc w:val="both"/>
        <w:rPr>
          <w:rFonts w:ascii="Arial" w:hAnsi="Arial" w:cs="Arial"/>
          <w:color w:val="000000" w:themeColor="text1"/>
        </w:rPr>
      </w:pPr>
    </w:p>
    <w:p w14:paraId="518763B2" w14:textId="77777777" w:rsidR="00C87D9E" w:rsidRDefault="00C87D9E" w:rsidP="00D80577">
      <w:pPr>
        <w:spacing w:line="360" w:lineRule="auto"/>
        <w:jc w:val="both"/>
        <w:rPr>
          <w:rFonts w:ascii="Arial" w:hAnsi="Arial" w:cs="Arial"/>
          <w:color w:val="000000" w:themeColor="text1"/>
        </w:rPr>
      </w:pPr>
    </w:p>
    <w:p w14:paraId="2A8FD1DD" w14:textId="77777777" w:rsidR="00C87D9E" w:rsidRPr="00D80577" w:rsidRDefault="00C87D9E" w:rsidP="00D80577">
      <w:pPr>
        <w:spacing w:line="360" w:lineRule="auto"/>
        <w:jc w:val="both"/>
        <w:rPr>
          <w:rFonts w:ascii="Arial" w:hAnsi="Arial" w:cs="Arial"/>
          <w:color w:val="000000" w:themeColor="text1"/>
        </w:rPr>
      </w:pPr>
    </w:p>
    <w:p w14:paraId="71FD0BF0" w14:textId="77777777" w:rsidR="00D80577" w:rsidRPr="00724B1F" w:rsidRDefault="00D80577" w:rsidP="00D80577">
      <w:pPr>
        <w:spacing w:line="360" w:lineRule="auto"/>
        <w:jc w:val="both"/>
        <w:rPr>
          <w:rFonts w:ascii="Arial" w:hAnsi="Arial" w:cs="Arial"/>
          <w:color w:val="000000" w:themeColor="text1"/>
        </w:rPr>
      </w:pPr>
    </w:p>
    <w:p w14:paraId="7931E935" w14:textId="77777777" w:rsidR="00D80577" w:rsidRPr="00017A41" w:rsidRDefault="00D80577" w:rsidP="00743850">
      <w:pPr>
        <w:spacing w:line="360" w:lineRule="auto"/>
        <w:jc w:val="both"/>
        <w:rPr>
          <w:rFonts w:ascii="Arial" w:hAnsi="Arial" w:cs="Arial"/>
        </w:rPr>
      </w:pPr>
    </w:p>
    <w:p w14:paraId="393BF253" w14:textId="77777777" w:rsidR="0074184E" w:rsidRDefault="0074184E" w:rsidP="00743850">
      <w:pPr>
        <w:spacing w:line="360" w:lineRule="auto"/>
        <w:jc w:val="both"/>
        <w:rPr>
          <w:rFonts w:ascii="Arial" w:hAnsi="Arial" w:cs="Arial"/>
        </w:rPr>
      </w:pPr>
    </w:p>
    <w:p w14:paraId="07A653DA" w14:textId="77777777" w:rsidR="00D80577" w:rsidRDefault="00D80577" w:rsidP="00743850">
      <w:pPr>
        <w:spacing w:line="360" w:lineRule="auto"/>
        <w:jc w:val="both"/>
        <w:rPr>
          <w:rFonts w:ascii="Arial" w:hAnsi="Arial" w:cs="Arial"/>
        </w:rPr>
      </w:pPr>
    </w:p>
    <w:p w14:paraId="717F3D20" w14:textId="77777777" w:rsidR="00D80577" w:rsidRPr="00017A41" w:rsidRDefault="00D80577" w:rsidP="00743850">
      <w:pPr>
        <w:spacing w:line="360" w:lineRule="auto"/>
        <w:jc w:val="both"/>
        <w:rPr>
          <w:rFonts w:ascii="Arial" w:hAnsi="Arial" w:cs="Arial"/>
        </w:rPr>
      </w:pPr>
    </w:p>
    <w:p w14:paraId="16B6119C" w14:textId="77777777" w:rsidR="00C66902" w:rsidRPr="00017A41" w:rsidRDefault="00C66902" w:rsidP="00743850">
      <w:pPr>
        <w:spacing w:line="360" w:lineRule="auto"/>
        <w:jc w:val="both"/>
        <w:rPr>
          <w:rFonts w:ascii="Arial" w:hAnsi="Arial" w:cs="Arial"/>
        </w:rPr>
      </w:pPr>
    </w:p>
    <w:p w14:paraId="437D5FC2" w14:textId="77777777" w:rsidR="00C66902" w:rsidRPr="00017A41" w:rsidRDefault="00C66902" w:rsidP="00743850">
      <w:pPr>
        <w:spacing w:line="360" w:lineRule="auto"/>
        <w:jc w:val="both"/>
        <w:rPr>
          <w:rFonts w:ascii="Arial" w:hAnsi="Arial" w:cs="Arial"/>
        </w:rPr>
      </w:pPr>
    </w:p>
    <w:p w14:paraId="1ED774A5" w14:textId="77777777" w:rsidR="00C66902" w:rsidRPr="00017A41" w:rsidRDefault="00C66902" w:rsidP="00743850">
      <w:pPr>
        <w:spacing w:line="360" w:lineRule="auto"/>
        <w:jc w:val="both"/>
        <w:rPr>
          <w:rFonts w:ascii="Arial" w:hAnsi="Arial" w:cs="Arial"/>
        </w:rPr>
      </w:pPr>
    </w:p>
    <w:p w14:paraId="5C0A4C83" w14:textId="77777777" w:rsidR="00C66902" w:rsidRPr="00017A41" w:rsidRDefault="00C66902" w:rsidP="00743850">
      <w:pPr>
        <w:spacing w:line="360" w:lineRule="auto"/>
        <w:jc w:val="both"/>
        <w:rPr>
          <w:rFonts w:ascii="Arial" w:hAnsi="Arial" w:cs="Arial"/>
        </w:rPr>
      </w:pPr>
    </w:p>
    <w:p w14:paraId="5D742511" w14:textId="77777777" w:rsidR="00C66902" w:rsidRPr="00017A41" w:rsidRDefault="00C66902" w:rsidP="00743850">
      <w:pPr>
        <w:spacing w:line="360" w:lineRule="auto"/>
        <w:jc w:val="both"/>
        <w:rPr>
          <w:rFonts w:ascii="Arial" w:hAnsi="Arial" w:cs="Arial"/>
        </w:rPr>
      </w:pPr>
    </w:p>
    <w:p w14:paraId="75DDC882" w14:textId="77777777" w:rsidR="00C66902" w:rsidRPr="00017A41" w:rsidRDefault="00C66902" w:rsidP="00743850">
      <w:pPr>
        <w:spacing w:line="360" w:lineRule="auto"/>
        <w:jc w:val="both"/>
        <w:rPr>
          <w:rFonts w:ascii="Arial" w:hAnsi="Arial" w:cs="Arial"/>
        </w:rPr>
      </w:pPr>
    </w:p>
    <w:p w14:paraId="44409AC6" w14:textId="082C2753" w:rsidR="00C66902" w:rsidRPr="00017A41" w:rsidRDefault="00D80577" w:rsidP="00C66902">
      <w:pPr>
        <w:spacing w:line="360" w:lineRule="auto"/>
        <w:jc w:val="both"/>
        <w:rPr>
          <w:rFonts w:ascii="Arial" w:hAnsi="Arial" w:cs="Arial"/>
          <w:b/>
          <w:bCs/>
          <w:color w:val="000000" w:themeColor="text1"/>
        </w:rPr>
      </w:pPr>
      <w:r>
        <w:rPr>
          <w:rFonts w:ascii="Arial" w:hAnsi="Arial" w:cs="Arial"/>
          <w:b/>
          <w:bCs/>
          <w:color w:val="000000" w:themeColor="text1"/>
        </w:rPr>
        <w:lastRenderedPageBreak/>
        <w:t xml:space="preserve">7.0 </w:t>
      </w:r>
      <w:r w:rsidR="00C66902" w:rsidRPr="00017A41">
        <w:rPr>
          <w:rFonts w:ascii="Arial" w:hAnsi="Arial" w:cs="Arial"/>
          <w:b/>
          <w:bCs/>
          <w:color w:val="000000" w:themeColor="text1"/>
        </w:rPr>
        <w:t>References</w:t>
      </w:r>
    </w:p>
    <w:p w14:paraId="7D7E672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Ali, A., Abdallah, Alomair, A. and Naim, A. (2024). The Role of Digital Supply Chain on Inventory Management Effectiveness within Engineering Companies in Jordan. </w:t>
      </w:r>
      <w:r w:rsidRPr="00017A41">
        <w:rPr>
          <w:rFonts w:ascii="Arial" w:hAnsi="Arial" w:cs="Arial"/>
          <w:i/>
          <w:color w:val="000000" w:themeColor="text1"/>
        </w:rPr>
        <w:t>Sustainability</w:t>
      </w:r>
      <w:r w:rsidRPr="00017A41">
        <w:rPr>
          <w:rFonts w:ascii="Arial" w:hAnsi="Arial" w:cs="Arial"/>
          <w:color w:val="000000" w:themeColor="text1"/>
        </w:rPr>
        <w:t>, [online] 16(18), pp.8031–8031. doi:</w:t>
      </w:r>
      <w:hyperlink r:id="rId33" w:history="1">
        <w:r w:rsidRPr="00017A41">
          <w:rPr>
            <w:rStyle w:val="Hyperlink"/>
            <w:rFonts w:ascii="Arial" w:hAnsi="Arial" w:cs="Arial"/>
          </w:rPr>
          <w:t>https://doi.org/10.3390/su16188031</w:t>
        </w:r>
      </w:hyperlink>
      <w:r w:rsidRPr="00017A41">
        <w:rPr>
          <w:rFonts w:ascii="Arial" w:hAnsi="Arial" w:cs="Arial"/>
          <w:color w:val="000000" w:themeColor="text1"/>
        </w:rPr>
        <w:t>.</w:t>
      </w:r>
    </w:p>
    <w:p w14:paraId="75476EF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Alquraish, M. (2025). Digital Transformation, Supply Chain Resilience, and Sustainability: A Comprehensive Review with Implications for Saudi Arabian Manufacturing. </w:t>
      </w:r>
      <w:r w:rsidRPr="00017A41">
        <w:rPr>
          <w:rFonts w:ascii="Arial" w:hAnsi="Arial" w:cs="Arial"/>
          <w:i/>
          <w:color w:val="000000" w:themeColor="text1"/>
        </w:rPr>
        <w:t>Sustainability</w:t>
      </w:r>
      <w:r w:rsidRPr="00017A41">
        <w:rPr>
          <w:rFonts w:ascii="Arial" w:hAnsi="Arial" w:cs="Arial"/>
          <w:color w:val="000000" w:themeColor="text1"/>
        </w:rPr>
        <w:t>, [online] 17(10), p.4495. doi:</w:t>
      </w:r>
      <w:hyperlink r:id="rId34" w:history="1">
        <w:r w:rsidRPr="00017A41">
          <w:rPr>
            <w:rStyle w:val="Hyperlink"/>
            <w:rFonts w:ascii="Arial" w:hAnsi="Arial" w:cs="Arial"/>
          </w:rPr>
          <w:t>https://doi.org/10.3390/su17104495</w:t>
        </w:r>
      </w:hyperlink>
      <w:r w:rsidRPr="00017A41">
        <w:rPr>
          <w:rFonts w:ascii="Arial" w:hAnsi="Arial" w:cs="Arial"/>
          <w:color w:val="000000" w:themeColor="text1"/>
        </w:rPr>
        <w:t>.</w:t>
      </w:r>
    </w:p>
    <w:p w14:paraId="507833D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Alshahrani, M.A. and Salam, M.A. (2022). The Role of Supply Chain Resilience on SMEs’ Performance: The Case of an Emerging Economy. </w:t>
      </w:r>
      <w:r w:rsidRPr="00017A41">
        <w:rPr>
          <w:rFonts w:ascii="Arial" w:hAnsi="Arial" w:cs="Arial"/>
          <w:i/>
          <w:color w:val="000000" w:themeColor="text1"/>
        </w:rPr>
        <w:t>Logistics</w:t>
      </w:r>
      <w:r w:rsidRPr="00017A41">
        <w:rPr>
          <w:rFonts w:ascii="Arial" w:hAnsi="Arial" w:cs="Arial"/>
          <w:color w:val="000000" w:themeColor="text1"/>
        </w:rPr>
        <w:t>, [online] 6(3), p.47. doi:</w:t>
      </w:r>
      <w:hyperlink r:id="rId35" w:history="1">
        <w:r w:rsidRPr="00017A41">
          <w:rPr>
            <w:rStyle w:val="Hyperlink"/>
            <w:rFonts w:ascii="Arial" w:hAnsi="Arial" w:cs="Arial"/>
          </w:rPr>
          <w:t>https://doi.org/10.3390/logistics6030047</w:t>
        </w:r>
      </w:hyperlink>
      <w:r w:rsidRPr="00017A41">
        <w:rPr>
          <w:rFonts w:ascii="Arial" w:hAnsi="Arial" w:cs="Arial"/>
          <w:color w:val="000000" w:themeColor="text1"/>
        </w:rPr>
        <w:t>.</w:t>
      </w:r>
    </w:p>
    <w:p w14:paraId="2E68ED83"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Asgary, A., Ozdemir, A.I. and Özyürek, H. (2020). Small and Medium Enterprises and Global Risks: Evidence from Manufacturing SMEs in Turkey. </w:t>
      </w:r>
      <w:r w:rsidRPr="00017A41">
        <w:rPr>
          <w:rFonts w:ascii="Arial" w:hAnsi="Arial" w:cs="Arial"/>
          <w:i/>
          <w:color w:val="000000" w:themeColor="text1"/>
        </w:rPr>
        <w:t>International Journal of Disaster Risk Science</w:t>
      </w:r>
      <w:r w:rsidRPr="00017A41">
        <w:rPr>
          <w:rFonts w:ascii="Arial" w:hAnsi="Arial" w:cs="Arial"/>
          <w:color w:val="000000" w:themeColor="text1"/>
        </w:rPr>
        <w:t>, [online] 11(1), pp.59–73. doi:</w:t>
      </w:r>
      <w:hyperlink r:id="rId36" w:history="1">
        <w:r w:rsidRPr="00017A41">
          <w:rPr>
            <w:rStyle w:val="Hyperlink"/>
            <w:rFonts w:ascii="Arial" w:hAnsi="Arial" w:cs="Arial"/>
          </w:rPr>
          <w:t>https://doi.org/10.1007/s13753-020-00247-0</w:t>
        </w:r>
      </w:hyperlink>
      <w:r w:rsidRPr="00017A41">
        <w:rPr>
          <w:rFonts w:ascii="Arial" w:hAnsi="Arial" w:cs="Arial"/>
          <w:color w:val="000000" w:themeColor="text1"/>
        </w:rPr>
        <w:t>.</w:t>
      </w:r>
    </w:p>
    <w:p w14:paraId="7502C40F" w14:textId="09E03412" w:rsidR="00017A41" w:rsidRPr="00017A41" w:rsidRDefault="00017A41" w:rsidP="00017A41">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Audretsch, D.B., Aronica, M., Belitski, M., Caddemi, D. and Piacentino, D. (2025). The impact of government financial aid and digital tools on firm survival during the COVID-19 pandemic. </w:t>
      </w:r>
      <w:r w:rsidRPr="00017A41">
        <w:rPr>
          <w:rFonts w:ascii="Arial" w:hAnsi="Arial" w:cs="Arial"/>
          <w:i/>
          <w:iCs/>
          <w:color w:val="000000" w:themeColor="text1"/>
        </w:rPr>
        <w:t>Small Business Economics</w:t>
      </w:r>
      <w:r w:rsidRPr="00017A41">
        <w:rPr>
          <w:rFonts w:ascii="Arial" w:hAnsi="Arial" w:cs="Arial"/>
          <w:color w:val="000000" w:themeColor="text1"/>
        </w:rPr>
        <w:t xml:space="preserve">. doi: </w:t>
      </w:r>
      <w:hyperlink r:id="rId37" w:history="1">
        <w:r w:rsidRPr="00017A41">
          <w:rPr>
            <w:rStyle w:val="Hyperlink"/>
            <w:rFonts w:ascii="Arial" w:hAnsi="Arial" w:cs="Arial"/>
          </w:rPr>
          <w:t>https://doi.org/10.1007/s11187-025-01014-5</w:t>
        </w:r>
      </w:hyperlink>
      <w:r w:rsidRPr="00017A41">
        <w:rPr>
          <w:rFonts w:ascii="Arial" w:hAnsi="Arial" w:cs="Arial"/>
          <w:color w:val="000000" w:themeColor="text1"/>
        </w:rPr>
        <w:t xml:space="preserve">. </w:t>
      </w:r>
    </w:p>
    <w:p w14:paraId="0A6C757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Bailey, D., De Propris, L., De Ruyter, A., Hearne, D. and Ortega-Argilés, R. (2023). Brexit, Trade and UK Advanced Manufacturing sectors: a Midlands’ Perspective. </w:t>
      </w:r>
      <w:r w:rsidRPr="00017A41">
        <w:rPr>
          <w:rFonts w:ascii="Arial" w:hAnsi="Arial" w:cs="Arial"/>
          <w:i/>
          <w:color w:val="000000" w:themeColor="text1"/>
        </w:rPr>
        <w:t>Contemporary Social Science</w:t>
      </w:r>
      <w:r w:rsidRPr="00017A41">
        <w:rPr>
          <w:rFonts w:ascii="Arial" w:hAnsi="Arial" w:cs="Arial"/>
          <w:color w:val="000000" w:themeColor="text1"/>
        </w:rPr>
        <w:t>, 18(2), pp.1–16.</w:t>
      </w:r>
    </w:p>
    <w:p w14:paraId="7DE3E70A"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Barroga, E. and Matanguihan, G.J. (2022). A Practical Guide to Writing Quantitative and Qualitative Research Questions and Hypotheses in Scholarly Articles. </w:t>
      </w:r>
      <w:r w:rsidRPr="00017A41">
        <w:rPr>
          <w:rFonts w:ascii="Arial" w:hAnsi="Arial" w:cs="Arial"/>
          <w:i/>
          <w:color w:val="000000" w:themeColor="text1"/>
        </w:rPr>
        <w:t>Journal of Korean Medical Science</w:t>
      </w:r>
      <w:r w:rsidRPr="00017A41">
        <w:rPr>
          <w:rFonts w:ascii="Arial" w:hAnsi="Arial" w:cs="Arial"/>
          <w:color w:val="000000" w:themeColor="text1"/>
        </w:rPr>
        <w:t>, 37(16). doi:</w:t>
      </w:r>
      <w:hyperlink r:id="rId38" w:history="1">
        <w:r w:rsidRPr="00017A41">
          <w:rPr>
            <w:rStyle w:val="Hyperlink"/>
            <w:rFonts w:ascii="Arial" w:hAnsi="Arial" w:cs="Arial"/>
          </w:rPr>
          <w:t>https://doi.org/10.3346/jkms.2022.37.e121</w:t>
        </w:r>
      </w:hyperlink>
      <w:r w:rsidRPr="00017A41">
        <w:rPr>
          <w:rFonts w:ascii="Arial" w:hAnsi="Arial" w:cs="Arial"/>
          <w:color w:val="000000" w:themeColor="text1"/>
        </w:rPr>
        <w:t>.</w:t>
      </w:r>
    </w:p>
    <w:p w14:paraId="2B237866"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Bateh, D. (2024). Supply chain disruptions and their effect on suppliers and consumers in the marketplace. </w:t>
      </w:r>
      <w:r w:rsidRPr="00017A41">
        <w:rPr>
          <w:rFonts w:ascii="Arial" w:hAnsi="Arial" w:cs="Arial"/>
          <w:i/>
          <w:color w:val="000000" w:themeColor="text1"/>
        </w:rPr>
        <w:t>Forum for Economic and Financial Studies</w:t>
      </w:r>
      <w:r w:rsidRPr="00017A41">
        <w:rPr>
          <w:rFonts w:ascii="Arial" w:hAnsi="Arial" w:cs="Arial"/>
          <w:color w:val="000000" w:themeColor="text1"/>
        </w:rPr>
        <w:t>, [online] 2(1), pp.343–343. doi:</w:t>
      </w:r>
      <w:hyperlink r:id="rId39" w:history="1">
        <w:r w:rsidRPr="00017A41">
          <w:rPr>
            <w:rStyle w:val="Hyperlink"/>
            <w:rFonts w:ascii="Arial" w:hAnsi="Arial" w:cs="Arial"/>
          </w:rPr>
          <w:t>https://doi.org/10.59400/fefs.v2i1.343</w:t>
        </w:r>
      </w:hyperlink>
      <w:r w:rsidRPr="00017A41">
        <w:rPr>
          <w:rFonts w:ascii="Arial" w:hAnsi="Arial" w:cs="Arial"/>
          <w:color w:val="000000" w:themeColor="text1"/>
        </w:rPr>
        <w:t>.</w:t>
      </w:r>
    </w:p>
    <w:p w14:paraId="0ACEAE0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lastRenderedPageBreak/>
        <w:t xml:space="preserve">Behfar, K. and Okhuysen, G.A. (2018). Perspective—Discovery Within Validation Logic: Deliberately Surfacing, Complementing, and Substituting Abductive Reasoning in Hypothetico-Deductive Inquiry. </w:t>
      </w:r>
      <w:r w:rsidRPr="00017A41">
        <w:rPr>
          <w:rFonts w:ascii="Arial" w:hAnsi="Arial" w:cs="Arial"/>
          <w:i/>
          <w:color w:val="000000" w:themeColor="text1"/>
        </w:rPr>
        <w:t>Organization Science</w:t>
      </w:r>
      <w:r w:rsidRPr="00017A41">
        <w:rPr>
          <w:rFonts w:ascii="Arial" w:hAnsi="Arial" w:cs="Arial"/>
          <w:color w:val="000000" w:themeColor="text1"/>
        </w:rPr>
        <w:t>, 29(2), pp.323–340. doi:</w:t>
      </w:r>
      <w:hyperlink r:id="rId40" w:history="1">
        <w:r w:rsidRPr="00017A41">
          <w:rPr>
            <w:rStyle w:val="Hyperlink"/>
            <w:rFonts w:ascii="Arial" w:hAnsi="Arial" w:cs="Arial"/>
          </w:rPr>
          <w:t>https://doi.org/10.1287/orsc.2017.1193</w:t>
        </w:r>
      </w:hyperlink>
      <w:r w:rsidRPr="00017A41">
        <w:rPr>
          <w:rFonts w:ascii="Arial" w:hAnsi="Arial" w:cs="Arial"/>
          <w:color w:val="000000" w:themeColor="text1"/>
        </w:rPr>
        <w:t>.</w:t>
      </w:r>
    </w:p>
    <w:p w14:paraId="35F64B1C"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Bhat, M.A., Hurrah, F.A. and Sangmi, M. (2025). Supply chain cost management: An integrated systematic review and bibliometric analysis . </w:t>
      </w:r>
      <w:r w:rsidRPr="00017A41">
        <w:rPr>
          <w:rFonts w:ascii="Arial" w:hAnsi="Arial" w:cs="Arial"/>
          <w:i/>
          <w:color w:val="000000" w:themeColor="text1"/>
        </w:rPr>
        <w:t>International Journal of Foreign Trade and International Business</w:t>
      </w:r>
      <w:r w:rsidRPr="00017A41">
        <w:rPr>
          <w:rFonts w:ascii="Arial" w:hAnsi="Arial" w:cs="Arial"/>
          <w:color w:val="000000" w:themeColor="text1"/>
        </w:rPr>
        <w:t xml:space="preserve">, [online] 7(1). Available at: </w:t>
      </w:r>
      <w:hyperlink r:id="rId41" w:history="1">
        <w:r w:rsidRPr="00017A41">
          <w:rPr>
            <w:rStyle w:val="Hyperlink"/>
            <w:rFonts w:ascii="Arial" w:hAnsi="Arial" w:cs="Arial"/>
          </w:rPr>
          <w:t>https://www.foreigntradejournal.com/article/view/152/7-1-21</w:t>
        </w:r>
      </w:hyperlink>
      <w:r w:rsidRPr="00017A41">
        <w:rPr>
          <w:rFonts w:ascii="Arial" w:hAnsi="Arial" w:cs="Arial"/>
          <w:color w:val="000000" w:themeColor="text1"/>
        </w:rPr>
        <w:t>.</w:t>
      </w:r>
    </w:p>
    <w:p w14:paraId="44AC367B"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Bryman, A. and Bell, E. (2015). </w:t>
      </w:r>
      <w:r w:rsidRPr="00017A41">
        <w:rPr>
          <w:rFonts w:ascii="Arial" w:hAnsi="Arial" w:cs="Arial"/>
          <w:i/>
          <w:color w:val="000000" w:themeColor="text1"/>
        </w:rPr>
        <w:t>Business Research Methods</w:t>
      </w:r>
      <w:r w:rsidRPr="00017A41">
        <w:rPr>
          <w:rFonts w:ascii="Arial" w:hAnsi="Arial" w:cs="Arial"/>
          <w:color w:val="000000" w:themeColor="text1"/>
        </w:rPr>
        <w:t>. 5th ed. Oxford: Oxford University Press.</w:t>
      </w:r>
    </w:p>
    <w:p w14:paraId="1DB2E733"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Creswell, J.W. and Creswell, J.D. (2018). </w:t>
      </w:r>
      <w:r w:rsidRPr="00017A41">
        <w:rPr>
          <w:rFonts w:ascii="Arial" w:hAnsi="Arial" w:cs="Arial"/>
          <w:i/>
          <w:color w:val="000000" w:themeColor="text1"/>
        </w:rPr>
        <w:t>Research design: qualitative, quantitative, and Mixed Methods Approaches</w:t>
      </w:r>
      <w:r w:rsidRPr="00017A41">
        <w:rPr>
          <w:rFonts w:ascii="Arial" w:hAnsi="Arial" w:cs="Arial"/>
          <w:color w:val="000000" w:themeColor="text1"/>
        </w:rPr>
        <w:t>. 5th ed. Thousand Oaks, California: SAGE Publications.</w:t>
      </w:r>
    </w:p>
    <w:p w14:paraId="735C532F"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Do, H., Nguyen, B. and Dao, M. (2025). Social capital and SME innovations: the importance of knowledge combination and customer demands. </w:t>
      </w:r>
      <w:r w:rsidRPr="00017A41">
        <w:rPr>
          <w:rFonts w:ascii="Arial" w:hAnsi="Arial" w:cs="Arial"/>
          <w:i/>
          <w:color w:val="000000" w:themeColor="text1"/>
        </w:rPr>
        <w:t>Small Business Economics</w:t>
      </w:r>
      <w:r w:rsidRPr="00017A41">
        <w:rPr>
          <w:rFonts w:ascii="Arial" w:hAnsi="Arial" w:cs="Arial"/>
          <w:color w:val="000000" w:themeColor="text1"/>
        </w:rPr>
        <w:t>, [online] pp.1–38. doi:</w:t>
      </w:r>
      <w:hyperlink r:id="rId42" w:history="1">
        <w:r w:rsidRPr="00017A41">
          <w:rPr>
            <w:rStyle w:val="Hyperlink"/>
            <w:rFonts w:ascii="Arial" w:hAnsi="Arial" w:cs="Arial"/>
          </w:rPr>
          <w:t>https://doi.org/10.1007/s11187-025-01105-3</w:t>
        </w:r>
      </w:hyperlink>
      <w:r w:rsidRPr="00017A41">
        <w:rPr>
          <w:rFonts w:ascii="Arial" w:hAnsi="Arial" w:cs="Arial"/>
          <w:color w:val="000000" w:themeColor="text1"/>
        </w:rPr>
        <w:t>.</w:t>
      </w:r>
    </w:p>
    <w:p w14:paraId="37F0331A" w14:textId="77777777" w:rsidR="00C66902" w:rsidRPr="00017A41" w:rsidRDefault="00C66902" w:rsidP="00C66902">
      <w:pPr>
        <w:spacing w:line="360" w:lineRule="auto"/>
        <w:ind w:left="720" w:hanging="720"/>
        <w:jc w:val="both"/>
        <w:rPr>
          <w:rFonts w:ascii="Arial" w:hAnsi="Arial" w:cs="Arial"/>
          <w:color w:val="000000" w:themeColor="text1"/>
        </w:rPr>
      </w:pPr>
      <w:r w:rsidRPr="00823C5E">
        <w:rPr>
          <w:rFonts w:ascii="Arial" w:hAnsi="Arial" w:cs="Arial"/>
          <w:color w:val="000000" w:themeColor="text1"/>
          <w:lang w:val="fr-FR"/>
        </w:rPr>
        <w:t xml:space="preserve">Du, L., Razzaq, A. and Waqas, M. (2022). </w:t>
      </w:r>
      <w:r w:rsidRPr="00017A41">
        <w:rPr>
          <w:rFonts w:ascii="Arial" w:hAnsi="Arial" w:cs="Arial"/>
          <w:color w:val="000000" w:themeColor="text1"/>
        </w:rPr>
        <w:t xml:space="preserve">The impact of COVID-19 on small- and medium-sized enterprises (SMEs): empirical evidence for green economic implications. </w:t>
      </w:r>
      <w:r w:rsidRPr="00017A41">
        <w:rPr>
          <w:rFonts w:ascii="Arial" w:hAnsi="Arial" w:cs="Arial"/>
          <w:i/>
          <w:color w:val="000000" w:themeColor="text1"/>
        </w:rPr>
        <w:t>Environmental Science and Pollution Research</w:t>
      </w:r>
      <w:r w:rsidRPr="00017A41">
        <w:rPr>
          <w:rFonts w:ascii="Arial" w:hAnsi="Arial" w:cs="Arial"/>
          <w:color w:val="000000" w:themeColor="text1"/>
        </w:rPr>
        <w:t>, 30(1). doi:</w:t>
      </w:r>
      <w:hyperlink r:id="rId43" w:history="1">
        <w:r w:rsidRPr="00017A41">
          <w:rPr>
            <w:rStyle w:val="Hyperlink"/>
            <w:rFonts w:ascii="Arial" w:hAnsi="Arial" w:cs="Arial"/>
          </w:rPr>
          <w:t>https://doi.org/10.1007/s11356-022-22221-7</w:t>
        </w:r>
      </w:hyperlink>
      <w:r w:rsidRPr="00017A41">
        <w:rPr>
          <w:rFonts w:ascii="Arial" w:hAnsi="Arial" w:cs="Arial"/>
          <w:color w:val="000000" w:themeColor="text1"/>
        </w:rPr>
        <w:t>.</w:t>
      </w:r>
    </w:p>
    <w:p w14:paraId="14E53E3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Dyer, J.H. and Singh, H. (1998). The Relational View: Cooperative Strategy and Sources of Interorganizational Competitive Advantage. </w:t>
      </w:r>
      <w:r w:rsidRPr="00017A41">
        <w:rPr>
          <w:rFonts w:ascii="Arial" w:hAnsi="Arial" w:cs="Arial"/>
          <w:i/>
          <w:color w:val="000000" w:themeColor="text1"/>
        </w:rPr>
        <w:t>The Academy of Management Review</w:t>
      </w:r>
      <w:r w:rsidRPr="00017A41">
        <w:rPr>
          <w:rFonts w:ascii="Arial" w:hAnsi="Arial" w:cs="Arial"/>
          <w:color w:val="000000" w:themeColor="text1"/>
        </w:rPr>
        <w:t>, [online] 23(4), pp.660–679. doi:</w:t>
      </w:r>
      <w:hyperlink r:id="rId44" w:history="1">
        <w:r w:rsidRPr="00017A41">
          <w:rPr>
            <w:rStyle w:val="Hyperlink"/>
            <w:rFonts w:ascii="Arial" w:hAnsi="Arial" w:cs="Arial"/>
          </w:rPr>
          <w:t>https://doi.org/10.2307/259056</w:t>
        </w:r>
      </w:hyperlink>
      <w:r w:rsidRPr="00017A41">
        <w:rPr>
          <w:rFonts w:ascii="Arial" w:hAnsi="Arial" w:cs="Arial"/>
          <w:color w:val="000000" w:themeColor="text1"/>
        </w:rPr>
        <w:t>.</w:t>
      </w:r>
    </w:p>
    <w:p w14:paraId="398FBE29"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Ellis, N., Elsayed, H., Chivite-Matthews, N., Telford, P., Wright, N., Wong, T., Patev, B. and Gladstone, E. (2022). </w:t>
      </w:r>
      <w:r w:rsidRPr="00017A41">
        <w:rPr>
          <w:rFonts w:ascii="Arial" w:hAnsi="Arial" w:cs="Arial"/>
          <w:i/>
          <w:color w:val="000000" w:themeColor="text1"/>
        </w:rPr>
        <w:t>Barriers of exporting businesses and the role of export promotion in addressing them</w:t>
      </w:r>
      <w:r w:rsidRPr="00017A41">
        <w:rPr>
          <w:rFonts w:ascii="Arial" w:hAnsi="Arial" w:cs="Arial"/>
          <w:color w:val="000000" w:themeColor="text1"/>
        </w:rPr>
        <w:t xml:space="preserve">. [online] Available at: </w:t>
      </w:r>
      <w:hyperlink r:id="rId45" w:history="1">
        <w:r w:rsidRPr="00017A41">
          <w:rPr>
            <w:rStyle w:val="Hyperlink"/>
            <w:rFonts w:ascii="Arial" w:hAnsi="Arial" w:cs="Arial"/>
          </w:rPr>
          <w:t>https://assets.publishing.service.gov.uk/media/6304e2ec8fa8f5536aea070b/barri</w:t>
        </w:r>
        <w:r w:rsidRPr="00017A41">
          <w:rPr>
            <w:rStyle w:val="Hyperlink"/>
            <w:rFonts w:ascii="Arial" w:hAnsi="Arial" w:cs="Arial"/>
          </w:rPr>
          <w:lastRenderedPageBreak/>
          <w:t>ers-of-exporting-businesses-and-the-role-of-export-promotion-in-addressing-them.pdf</w:t>
        </w:r>
      </w:hyperlink>
      <w:r w:rsidRPr="00017A41">
        <w:rPr>
          <w:rFonts w:ascii="Arial" w:hAnsi="Arial" w:cs="Arial"/>
          <w:color w:val="000000" w:themeColor="text1"/>
        </w:rPr>
        <w:t>.</w:t>
      </w:r>
    </w:p>
    <w:p w14:paraId="5A7EF4FF"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Etemad, H. (2020). Managing uncertain consequences of a global crisis: SMEs encountering adversities, losses, and new opportunities. </w:t>
      </w:r>
      <w:r w:rsidRPr="00017A41">
        <w:rPr>
          <w:rFonts w:ascii="Arial" w:hAnsi="Arial" w:cs="Arial"/>
          <w:i/>
          <w:color w:val="000000" w:themeColor="text1"/>
        </w:rPr>
        <w:t>Journal of International Entrepreneurship</w:t>
      </w:r>
      <w:r w:rsidRPr="00017A41">
        <w:rPr>
          <w:rFonts w:ascii="Arial" w:hAnsi="Arial" w:cs="Arial"/>
          <w:color w:val="000000" w:themeColor="text1"/>
        </w:rPr>
        <w:t>, 18(2), pp.125–144.</w:t>
      </w:r>
    </w:p>
    <w:p w14:paraId="5389CD20"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Etikan, I., Musa, S.A. and Alkassim, R.S. (2016). Comparison of convenience sampling and purposive sampling. </w:t>
      </w:r>
      <w:r w:rsidRPr="00017A41">
        <w:rPr>
          <w:rFonts w:ascii="Arial" w:hAnsi="Arial" w:cs="Arial"/>
          <w:i/>
          <w:color w:val="000000" w:themeColor="text1"/>
        </w:rPr>
        <w:t>American Journal of Theoretical and Applied Statistics</w:t>
      </w:r>
      <w:r w:rsidRPr="00017A41">
        <w:rPr>
          <w:rFonts w:ascii="Arial" w:hAnsi="Arial" w:cs="Arial"/>
          <w:color w:val="000000" w:themeColor="text1"/>
        </w:rPr>
        <w:t>, 5(1), pp.1–4. doi:</w:t>
      </w:r>
      <w:hyperlink r:id="rId46" w:history="1">
        <w:r w:rsidRPr="00017A41">
          <w:rPr>
            <w:rStyle w:val="Hyperlink"/>
            <w:rFonts w:ascii="Arial" w:hAnsi="Arial" w:cs="Arial"/>
          </w:rPr>
          <w:t>https://doi.org/10.11648/j.ajtas.20160501.11</w:t>
        </w:r>
      </w:hyperlink>
      <w:r w:rsidRPr="00017A41">
        <w:rPr>
          <w:rFonts w:ascii="Arial" w:hAnsi="Arial" w:cs="Arial"/>
          <w:color w:val="000000" w:themeColor="text1"/>
        </w:rPr>
        <w:t>.</w:t>
      </w:r>
    </w:p>
    <w:p w14:paraId="688F3371"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Faiz, F., Le, V. and Masli, E.K. (2024). Determinants of digital technology adoption in innovative SMEs. </w:t>
      </w:r>
      <w:r w:rsidRPr="00017A41">
        <w:rPr>
          <w:rFonts w:ascii="Arial" w:hAnsi="Arial" w:cs="Arial"/>
          <w:i/>
          <w:color w:val="000000" w:themeColor="text1"/>
        </w:rPr>
        <w:t>Journal of Innovation &amp; Knowledge</w:t>
      </w:r>
      <w:r w:rsidRPr="00017A41">
        <w:rPr>
          <w:rFonts w:ascii="Arial" w:hAnsi="Arial" w:cs="Arial"/>
          <w:color w:val="000000" w:themeColor="text1"/>
        </w:rPr>
        <w:t>, [online] 9(4), p.100610. doi:</w:t>
      </w:r>
      <w:hyperlink r:id="rId47" w:history="1">
        <w:r w:rsidRPr="00017A41">
          <w:rPr>
            <w:rStyle w:val="Hyperlink"/>
            <w:rFonts w:ascii="Arial" w:hAnsi="Arial" w:cs="Arial"/>
          </w:rPr>
          <w:t>https://doi.org/10.1016/j.jik.2024.100610</w:t>
        </w:r>
      </w:hyperlink>
      <w:r w:rsidRPr="00017A41">
        <w:rPr>
          <w:rFonts w:ascii="Arial" w:hAnsi="Arial" w:cs="Arial"/>
          <w:color w:val="000000" w:themeColor="text1"/>
        </w:rPr>
        <w:t>.</w:t>
      </w:r>
    </w:p>
    <w:p w14:paraId="58B568B1"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Foli, S., Durst, S. and Temel, S. (2022). The link between supply chain risk management and innovation performance in SMEs in turbulent times. </w:t>
      </w:r>
      <w:r w:rsidRPr="00017A41">
        <w:rPr>
          <w:rFonts w:ascii="Arial" w:hAnsi="Arial" w:cs="Arial"/>
          <w:i/>
          <w:color w:val="000000" w:themeColor="text1"/>
        </w:rPr>
        <w:t>Journal of Entrepreneurship in Emerging Economies</w:t>
      </w:r>
      <w:r w:rsidRPr="00017A41">
        <w:rPr>
          <w:rFonts w:ascii="Arial" w:hAnsi="Arial" w:cs="Arial"/>
          <w:color w:val="000000" w:themeColor="text1"/>
        </w:rPr>
        <w:t>. doi:</w:t>
      </w:r>
      <w:hyperlink r:id="rId48" w:history="1">
        <w:r w:rsidRPr="00017A41">
          <w:rPr>
            <w:rStyle w:val="Hyperlink"/>
            <w:rFonts w:ascii="Arial" w:hAnsi="Arial" w:cs="Arial"/>
          </w:rPr>
          <w:t>https://doi.org/10.1108/jeee-03-2022-0084</w:t>
        </w:r>
      </w:hyperlink>
      <w:r w:rsidRPr="00017A41">
        <w:rPr>
          <w:rFonts w:ascii="Arial" w:hAnsi="Arial" w:cs="Arial"/>
          <w:color w:val="000000" w:themeColor="text1"/>
        </w:rPr>
        <w:t>.</w:t>
      </w:r>
    </w:p>
    <w:p w14:paraId="427E24B1"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Foroughi, A. (2025). Challenges and Opportunities for SMEs in Supply Chain Digital Transformation. </w:t>
      </w:r>
      <w:r w:rsidRPr="00017A41">
        <w:rPr>
          <w:rFonts w:ascii="Arial" w:hAnsi="Arial" w:cs="Arial"/>
          <w:i/>
          <w:color w:val="000000" w:themeColor="text1"/>
        </w:rPr>
        <w:t>Archives of Business Research</w:t>
      </w:r>
      <w:r w:rsidRPr="00017A41">
        <w:rPr>
          <w:rFonts w:ascii="Arial" w:hAnsi="Arial" w:cs="Arial"/>
          <w:color w:val="000000" w:themeColor="text1"/>
        </w:rPr>
        <w:t>, 13(05), pp.01-23. doi:</w:t>
      </w:r>
      <w:hyperlink r:id="rId49" w:history="1">
        <w:r w:rsidRPr="00017A41">
          <w:rPr>
            <w:rStyle w:val="Hyperlink"/>
            <w:rFonts w:ascii="Arial" w:hAnsi="Arial" w:cs="Arial"/>
          </w:rPr>
          <w:t>https://doi.org/10.14738/abr.1305.18667</w:t>
        </w:r>
      </w:hyperlink>
      <w:r w:rsidRPr="00017A41">
        <w:rPr>
          <w:rFonts w:ascii="Arial" w:hAnsi="Arial" w:cs="Arial"/>
          <w:color w:val="000000" w:themeColor="text1"/>
        </w:rPr>
        <w:t>.</w:t>
      </w:r>
    </w:p>
    <w:p w14:paraId="7C5284B2"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Fouejieu, A.P., Ndoye, A. and Sydorenko, T. (2020). Unlocking Access to Finance for SMEs: A Cross-Country Analysis. </w:t>
      </w:r>
      <w:r w:rsidRPr="00017A41">
        <w:rPr>
          <w:rFonts w:ascii="Arial" w:hAnsi="Arial" w:cs="Arial"/>
          <w:i/>
          <w:color w:val="000000" w:themeColor="text1"/>
        </w:rPr>
        <w:t>IMF Working Papers</w:t>
      </w:r>
      <w:r w:rsidRPr="00017A41">
        <w:rPr>
          <w:rFonts w:ascii="Arial" w:hAnsi="Arial" w:cs="Arial"/>
          <w:color w:val="000000" w:themeColor="text1"/>
        </w:rPr>
        <w:t>, [online] 2020(055). doi:</w:t>
      </w:r>
      <w:hyperlink r:id="rId50" w:history="1">
        <w:r w:rsidRPr="00017A41">
          <w:rPr>
            <w:rStyle w:val="Hyperlink"/>
            <w:rFonts w:ascii="Arial" w:hAnsi="Arial" w:cs="Arial"/>
          </w:rPr>
          <w:t>https://doi.org/10.5089/9781513536156.001.A001</w:t>
        </w:r>
      </w:hyperlink>
      <w:r w:rsidRPr="00017A41">
        <w:rPr>
          <w:rFonts w:ascii="Arial" w:hAnsi="Arial" w:cs="Arial"/>
          <w:color w:val="000000" w:themeColor="text1"/>
        </w:rPr>
        <w:t>.</w:t>
      </w:r>
    </w:p>
    <w:p w14:paraId="04B99E2C"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Gamage, S.K.N., Ekanayake, E., Abeyrathne, G., Prasanna, R., Jayasundara, J. and Rajapakshe, P. (2020). A Review of Global Challenges and Survival Strategies of Small and Medium Enterprises (SMEs). </w:t>
      </w:r>
      <w:r w:rsidRPr="00017A41">
        <w:rPr>
          <w:rFonts w:ascii="Arial" w:hAnsi="Arial" w:cs="Arial"/>
          <w:i/>
          <w:color w:val="000000" w:themeColor="text1"/>
        </w:rPr>
        <w:t>Economies</w:t>
      </w:r>
      <w:r w:rsidRPr="00017A41">
        <w:rPr>
          <w:rFonts w:ascii="Arial" w:hAnsi="Arial" w:cs="Arial"/>
          <w:color w:val="000000" w:themeColor="text1"/>
        </w:rPr>
        <w:t>, 8(4), p.79.</w:t>
      </w:r>
    </w:p>
    <w:p w14:paraId="5FF5BB0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Gherghina, S.C., Botezatu, M.A., Hosszu, A. and Simionescu, L.N. (2020). Small and Medium-Sized Enterprises (SMEs): The Engine of Economic Growth through Investments and Innovation. </w:t>
      </w:r>
      <w:r w:rsidRPr="00017A41">
        <w:rPr>
          <w:rFonts w:ascii="Arial" w:hAnsi="Arial" w:cs="Arial"/>
          <w:i/>
          <w:color w:val="000000" w:themeColor="text1"/>
        </w:rPr>
        <w:t>Sustainability</w:t>
      </w:r>
      <w:r w:rsidRPr="00017A41">
        <w:rPr>
          <w:rFonts w:ascii="Arial" w:hAnsi="Arial" w:cs="Arial"/>
          <w:color w:val="000000" w:themeColor="text1"/>
        </w:rPr>
        <w:t>, 12(1), p.347.</w:t>
      </w:r>
    </w:p>
    <w:p w14:paraId="7115BCFC"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lastRenderedPageBreak/>
        <w:t xml:space="preserve">GOV.UK (2024). </w:t>
      </w:r>
      <w:r w:rsidRPr="00017A41">
        <w:rPr>
          <w:rFonts w:ascii="Arial" w:hAnsi="Arial" w:cs="Arial"/>
          <w:i/>
          <w:color w:val="000000" w:themeColor="text1"/>
        </w:rPr>
        <w:t>Business population estimates for the UK and regions 2024: statistical release</w:t>
      </w:r>
      <w:r w:rsidRPr="00017A41">
        <w:rPr>
          <w:rFonts w:ascii="Arial" w:hAnsi="Arial" w:cs="Arial"/>
          <w:color w:val="000000" w:themeColor="text1"/>
        </w:rPr>
        <w:t xml:space="preserve">. [online] GOV.UK. Available at: </w:t>
      </w:r>
      <w:hyperlink r:id="rId51" w:history="1">
        <w:r w:rsidRPr="00017A41">
          <w:rPr>
            <w:rStyle w:val="Hyperlink"/>
            <w:rFonts w:ascii="Arial" w:hAnsi="Arial" w:cs="Arial"/>
          </w:rPr>
          <w:t>https://www.gov.uk/government/statistics/business-population-estimates-2024/business-population-estimates-for-the-uk-and-regions-2024-statistical-release</w:t>
        </w:r>
      </w:hyperlink>
      <w:r w:rsidRPr="00017A41">
        <w:rPr>
          <w:rFonts w:ascii="Arial" w:hAnsi="Arial" w:cs="Arial"/>
          <w:color w:val="000000" w:themeColor="text1"/>
        </w:rPr>
        <w:t>.</w:t>
      </w:r>
    </w:p>
    <w:p w14:paraId="69FFF286"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Gov.UK (2023). </w:t>
      </w:r>
      <w:r w:rsidRPr="00017A41">
        <w:rPr>
          <w:rFonts w:ascii="Arial" w:hAnsi="Arial" w:cs="Arial"/>
          <w:i/>
          <w:color w:val="000000" w:themeColor="text1"/>
        </w:rPr>
        <w:t>BEIS Small and Medium Enterprises (SMEs) Action plan: 2022 to 2025 (accessible webpage)</w:t>
      </w:r>
      <w:r w:rsidRPr="00017A41">
        <w:rPr>
          <w:rFonts w:ascii="Arial" w:hAnsi="Arial" w:cs="Arial"/>
          <w:color w:val="000000" w:themeColor="text1"/>
        </w:rPr>
        <w:t xml:space="preserve">. [online] GOV.UK. Available at: </w:t>
      </w:r>
      <w:hyperlink r:id="rId52" w:history="1">
        <w:r w:rsidRPr="00017A41">
          <w:rPr>
            <w:rStyle w:val="Hyperlink"/>
            <w:rFonts w:ascii="Arial" w:hAnsi="Arial" w:cs="Arial"/>
          </w:rPr>
          <w:t>https://www.gov.uk/government/publications/beis-small-and-medium-enterprises-sme-action-plan-2022-to-2025/beis-small-and-medium-enterprises-smes-action-plan-2022-to-2025-accessible-webpage</w:t>
        </w:r>
      </w:hyperlink>
      <w:r w:rsidRPr="00017A41">
        <w:rPr>
          <w:rFonts w:ascii="Arial" w:hAnsi="Arial" w:cs="Arial"/>
          <w:color w:val="000000" w:themeColor="text1"/>
        </w:rPr>
        <w:t>.</w:t>
      </w:r>
    </w:p>
    <w:p w14:paraId="1B07FCF0"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Guo, Y., Liu, F., Song, J.-S. and Wang, S. (2024). Supply Chain Resilience: a Review from the Inventory Management Perspective. </w:t>
      </w:r>
      <w:r w:rsidRPr="00017A41">
        <w:rPr>
          <w:rFonts w:ascii="Arial" w:hAnsi="Arial" w:cs="Arial"/>
          <w:i/>
          <w:color w:val="000000" w:themeColor="text1"/>
        </w:rPr>
        <w:t>Fundamental Research</w:t>
      </w:r>
      <w:r w:rsidRPr="00017A41">
        <w:rPr>
          <w:rFonts w:ascii="Arial" w:hAnsi="Arial" w:cs="Arial"/>
          <w:color w:val="000000" w:themeColor="text1"/>
        </w:rPr>
        <w:t>, [online] 5(2), pp.1–14. doi:</w:t>
      </w:r>
      <w:hyperlink r:id="rId53" w:history="1">
        <w:r w:rsidRPr="00017A41">
          <w:rPr>
            <w:rStyle w:val="Hyperlink"/>
            <w:rFonts w:ascii="Arial" w:hAnsi="Arial" w:cs="Arial"/>
          </w:rPr>
          <w:t>https://doi.org/10.1016/j.fmre.2024.08.002</w:t>
        </w:r>
      </w:hyperlink>
      <w:r w:rsidRPr="00017A41">
        <w:rPr>
          <w:rFonts w:ascii="Arial" w:hAnsi="Arial" w:cs="Arial"/>
          <w:color w:val="000000" w:themeColor="text1"/>
        </w:rPr>
        <w:t>.</w:t>
      </w:r>
    </w:p>
    <w:p w14:paraId="1C7F3923"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Gurbuz, M.C., Yurt, O., Ozdemir, S., Sena, V. and Yu, W. (2022). Global supply chains risks and COVID-19: Supply chain structure as a mitigating strategy for small and medium-sized enterprises. </w:t>
      </w:r>
      <w:r w:rsidRPr="00017A41">
        <w:rPr>
          <w:rFonts w:ascii="Arial" w:hAnsi="Arial" w:cs="Arial"/>
          <w:i/>
          <w:color w:val="000000" w:themeColor="text1"/>
        </w:rPr>
        <w:t>Journal of Business Research</w:t>
      </w:r>
      <w:r w:rsidRPr="00017A41">
        <w:rPr>
          <w:rFonts w:ascii="Arial" w:hAnsi="Arial" w:cs="Arial"/>
          <w:color w:val="000000" w:themeColor="text1"/>
        </w:rPr>
        <w:t>, 155, p.113407. doi:</w:t>
      </w:r>
      <w:hyperlink r:id="rId54" w:history="1">
        <w:r w:rsidRPr="00017A41">
          <w:rPr>
            <w:rStyle w:val="Hyperlink"/>
            <w:rFonts w:ascii="Arial" w:hAnsi="Arial" w:cs="Arial"/>
          </w:rPr>
          <w:t>https://doi.org/10.1016/j.jbusres.2022.113407</w:t>
        </w:r>
      </w:hyperlink>
      <w:r w:rsidRPr="00017A41">
        <w:rPr>
          <w:rFonts w:ascii="Arial" w:hAnsi="Arial" w:cs="Arial"/>
          <w:color w:val="000000" w:themeColor="text1"/>
        </w:rPr>
        <w:t>.</w:t>
      </w:r>
    </w:p>
    <w:p w14:paraId="57BFC529"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Gurtu, A. and Johny, J. (2021). Supply chain risk management: Literature review. </w:t>
      </w:r>
      <w:r w:rsidRPr="00017A41">
        <w:rPr>
          <w:rFonts w:ascii="Arial" w:hAnsi="Arial" w:cs="Arial"/>
          <w:i/>
          <w:color w:val="000000" w:themeColor="text1"/>
        </w:rPr>
        <w:t>Risks</w:t>
      </w:r>
      <w:r w:rsidRPr="00017A41">
        <w:rPr>
          <w:rFonts w:ascii="Arial" w:hAnsi="Arial" w:cs="Arial"/>
          <w:color w:val="000000" w:themeColor="text1"/>
        </w:rPr>
        <w:t>, [online] 9(1), pp.1–16. doi:</w:t>
      </w:r>
      <w:hyperlink r:id="rId55" w:history="1">
        <w:r w:rsidRPr="00017A41">
          <w:rPr>
            <w:rStyle w:val="Hyperlink"/>
            <w:rFonts w:ascii="Arial" w:hAnsi="Arial" w:cs="Arial"/>
          </w:rPr>
          <w:t>https://doi.org/10.3390/risks9010016</w:t>
        </w:r>
      </w:hyperlink>
      <w:r w:rsidRPr="00017A41">
        <w:rPr>
          <w:rFonts w:ascii="Arial" w:hAnsi="Arial" w:cs="Arial"/>
          <w:color w:val="000000" w:themeColor="text1"/>
        </w:rPr>
        <w:t>.</w:t>
      </w:r>
    </w:p>
    <w:p w14:paraId="72FBA0B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Hafeez, S., Shahzad, K., Helo, P. and Mubarak, M.F. (2025). Knowledge Management and SMEs’ Digital transformation: a Systematic Literature Review and Future Research Agenda. </w:t>
      </w:r>
      <w:r w:rsidRPr="00017A41">
        <w:rPr>
          <w:rFonts w:ascii="Arial" w:hAnsi="Arial" w:cs="Arial"/>
          <w:i/>
          <w:color w:val="000000" w:themeColor="text1"/>
        </w:rPr>
        <w:t>Journal of Innovation &amp; Knowledge</w:t>
      </w:r>
      <w:r w:rsidRPr="00017A41">
        <w:rPr>
          <w:rFonts w:ascii="Arial" w:hAnsi="Arial" w:cs="Arial"/>
          <w:color w:val="000000" w:themeColor="text1"/>
        </w:rPr>
        <w:t>, [online] 10(3), p.100728. doi:</w:t>
      </w:r>
      <w:hyperlink r:id="rId56" w:history="1">
        <w:r w:rsidRPr="00017A41">
          <w:rPr>
            <w:rStyle w:val="Hyperlink"/>
            <w:rFonts w:ascii="Arial" w:hAnsi="Arial" w:cs="Arial"/>
          </w:rPr>
          <w:t>https://doi.org/10.1016/j.jik.2025.100728</w:t>
        </w:r>
      </w:hyperlink>
      <w:r w:rsidRPr="00017A41">
        <w:rPr>
          <w:rFonts w:ascii="Arial" w:hAnsi="Arial" w:cs="Arial"/>
          <w:color w:val="000000" w:themeColor="text1"/>
        </w:rPr>
        <w:t>.</w:t>
      </w:r>
    </w:p>
    <w:p w14:paraId="3A52739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Hafeez, S., Shahzad, K. and Silva, M.D. (2025). Enhancing Digital Transformation in SMEs: The Dynamic Capabilities of Innovation Intermediaries within Ecosystems. </w:t>
      </w:r>
      <w:r w:rsidRPr="00017A41">
        <w:rPr>
          <w:rFonts w:ascii="Arial" w:hAnsi="Arial" w:cs="Arial"/>
          <w:i/>
          <w:color w:val="000000" w:themeColor="text1"/>
        </w:rPr>
        <w:t>Long Range Planning</w:t>
      </w:r>
      <w:r w:rsidRPr="00017A41">
        <w:rPr>
          <w:rFonts w:ascii="Arial" w:hAnsi="Arial" w:cs="Arial"/>
          <w:color w:val="000000" w:themeColor="text1"/>
        </w:rPr>
        <w:t>, pp.102525–102525. doi:</w:t>
      </w:r>
      <w:hyperlink r:id="rId57" w:history="1">
        <w:r w:rsidRPr="00017A41">
          <w:rPr>
            <w:rStyle w:val="Hyperlink"/>
            <w:rFonts w:ascii="Arial" w:hAnsi="Arial" w:cs="Arial"/>
          </w:rPr>
          <w:t>https://doi.org/10.1016/j.lrp.2025.102525</w:t>
        </w:r>
      </w:hyperlink>
      <w:r w:rsidRPr="00017A41">
        <w:rPr>
          <w:rFonts w:ascii="Arial" w:hAnsi="Arial" w:cs="Arial"/>
          <w:color w:val="000000" w:themeColor="text1"/>
        </w:rPr>
        <w:t>.</w:t>
      </w:r>
    </w:p>
    <w:p w14:paraId="082A18BE"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lastRenderedPageBreak/>
        <w:t xml:space="preserve">Hair, J., Anderson, R., Black, B. and Babin, B. (2022). </w:t>
      </w:r>
      <w:r w:rsidRPr="00017A41">
        <w:rPr>
          <w:rFonts w:ascii="Arial" w:hAnsi="Arial" w:cs="Arial"/>
          <w:i/>
          <w:color w:val="000000" w:themeColor="text1"/>
        </w:rPr>
        <w:t>Multivariate Data Analysis</w:t>
      </w:r>
      <w:r w:rsidRPr="00017A41">
        <w:rPr>
          <w:rFonts w:ascii="Arial" w:hAnsi="Arial" w:cs="Arial"/>
          <w:color w:val="000000" w:themeColor="text1"/>
        </w:rPr>
        <w:t>. 8th ed. Pearson Higher Ed.</w:t>
      </w:r>
    </w:p>
    <w:p w14:paraId="5203E82B"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Hsu, C.-H., Yu, R.-Y., Chang, A.-Y., Chung, W.-H. and Liu, W.-L. (2021). Resilience-Enhancing Solution to Mitigate Risk for Sustainable Supply Chain—An Empirical Study of Elevator Manufacturing. </w:t>
      </w:r>
      <w:r w:rsidRPr="00017A41">
        <w:rPr>
          <w:rFonts w:ascii="Arial" w:hAnsi="Arial" w:cs="Arial"/>
          <w:i/>
          <w:color w:val="000000" w:themeColor="text1"/>
        </w:rPr>
        <w:t>Processes</w:t>
      </w:r>
      <w:r w:rsidRPr="00017A41">
        <w:rPr>
          <w:rFonts w:ascii="Arial" w:hAnsi="Arial" w:cs="Arial"/>
          <w:color w:val="000000" w:themeColor="text1"/>
        </w:rPr>
        <w:t>, [online] 9(4), p.596. doi:</w:t>
      </w:r>
      <w:hyperlink r:id="rId58" w:history="1">
        <w:r w:rsidRPr="00017A41">
          <w:rPr>
            <w:rStyle w:val="Hyperlink"/>
            <w:rFonts w:ascii="Arial" w:hAnsi="Arial" w:cs="Arial"/>
          </w:rPr>
          <w:t>https://doi.org/10.3390/pr9040596</w:t>
        </w:r>
      </w:hyperlink>
      <w:r w:rsidRPr="00017A41">
        <w:rPr>
          <w:rFonts w:ascii="Arial" w:hAnsi="Arial" w:cs="Arial"/>
          <w:color w:val="000000" w:themeColor="text1"/>
        </w:rPr>
        <w:t>.</w:t>
      </w:r>
    </w:p>
    <w:p w14:paraId="7AEEADD5"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Ivalua (2024). </w:t>
      </w:r>
      <w:r w:rsidRPr="00017A41">
        <w:rPr>
          <w:rFonts w:ascii="Arial" w:hAnsi="Arial" w:cs="Arial"/>
          <w:i/>
          <w:color w:val="000000" w:themeColor="text1"/>
        </w:rPr>
        <w:t>UK Businesses in the Middle of a Chain Reaction, with Nearly Half Experiencing a Surge in Supply Chain Disruption | Ivalua</w:t>
      </w:r>
      <w:r w:rsidRPr="00017A41">
        <w:rPr>
          <w:rFonts w:ascii="Arial" w:hAnsi="Arial" w:cs="Arial"/>
          <w:color w:val="000000" w:themeColor="text1"/>
        </w:rPr>
        <w:t xml:space="preserve">. [online] Ivalua. Available at: </w:t>
      </w:r>
      <w:hyperlink r:id="rId59" w:history="1">
        <w:r w:rsidRPr="00017A41">
          <w:rPr>
            <w:rStyle w:val="Hyperlink"/>
            <w:rFonts w:ascii="Arial" w:hAnsi="Arial" w:cs="Arial"/>
          </w:rPr>
          <w:t>https://www.ivalua.com/press-releases/uk-businesses-in-the-middle-of-a-chain-reaction-with-nearly-half-experiencing-a-surge-in-supply-chain-disruption/</w:t>
        </w:r>
      </w:hyperlink>
      <w:r w:rsidRPr="00017A41">
        <w:rPr>
          <w:rFonts w:ascii="Arial" w:hAnsi="Arial" w:cs="Arial"/>
          <w:color w:val="000000" w:themeColor="text1"/>
        </w:rPr>
        <w:t>.</w:t>
      </w:r>
    </w:p>
    <w:p w14:paraId="318FBA04"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Kanyepe, J., Musasa, T. and Wilbert, M. (2025). Supply Chain Risk Factors, Technological Capabilities, and Firm Performance of Small to Medium Enterprises (SMEs). </w:t>
      </w:r>
      <w:r w:rsidRPr="00017A41">
        <w:rPr>
          <w:rFonts w:ascii="Arial" w:hAnsi="Arial" w:cs="Arial"/>
          <w:i/>
          <w:color w:val="000000" w:themeColor="text1"/>
        </w:rPr>
        <w:t>Journal of Small Business Strategy</w:t>
      </w:r>
      <w:r w:rsidRPr="00017A41">
        <w:rPr>
          <w:rFonts w:ascii="Arial" w:hAnsi="Arial" w:cs="Arial"/>
          <w:color w:val="000000" w:themeColor="text1"/>
        </w:rPr>
        <w:t>, 35(1). doi:</w:t>
      </w:r>
      <w:hyperlink r:id="rId60" w:history="1">
        <w:r w:rsidRPr="00017A41">
          <w:rPr>
            <w:rStyle w:val="Hyperlink"/>
            <w:rFonts w:ascii="Arial" w:hAnsi="Arial" w:cs="Arial"/>
          </w:rPr>
          <w:t>https://doi.org/10.53703/001c.125910</w:t>
        </w:r>
      </w:hyperlink>
      <w:r w:rsidRPr="00017A41">
        <w:rPr>
          <w:rFonts w:ascii="Arial" w:hAnsi="Arial" w:cs="Arial"/>
          <w:color w:val="000000" w:themeColor="text1"/>
        </w:rPr>
        <w:t>.</w:t>
      </w:r>
    </w:p>
    <w:p w14:paraId="4F3A0D2E" w14:textId="30EF9A8E" w:rsidR="00017A41" w:rsidRPr="00017A41" w:rsidRDefault="00017A41" w:rsidP="00017A41">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Karanam, R.K., Sachani, D.K., Natakam, V.M., Yarlagadda, V.K. and Varma, R. (2024). Resilient Supply Chains: Strategies for Managing Disruptions in a Globalized Economy. </w:t>
      </w:r>
      <w:r w:rsidRPr="00017A41">
        <w:rPr>
          <w:rFonts w:ascii="Arial" w:hAnsi="Arial" w:cs="Arial"/>
          <w:i/>
          <w:iCs/>
          <w:color w:val="000000" w:themeColor="text1"/>
        </w:rPr>
        <w:t>American Journal of Trade and Policy</w:t>
      </w:r>
      <w:r w:rsidRPr="00017A41">
        <w:rPr>
          <w:rFonts w:ascii="Arial" w:hAnsi="Arial" w:cs="Arial"/>
          <w:color w:val="000000" w:themeColor="text1"/>
        </w:rPr>
        <w:t xml:space="preserve">, 11(1), pp.7–16. doi: </w:t>
      </w:r>
      <w:hyperlink r:id="rId61" w:history="1">
        <w:r w:rsidRPr="00017A41">
          <w:rPr>
            <w:rStyle w:val="Hyperlink"/>
            <w:rFonts w:ascii="Arial" w:hAnsi="Arial" w:cs="Arial"/>
          </w:rPr>
          <w:t>https://doi.org/10.18034/ajtp.v11i1.719</w:t>
        </w:r>
      </w:hyperlink>
      <w:r w:rsidRPr="00017A41">
        <w:rPr>
          <w:rFonts w:ascii="Arial" w:hAnsi="Arial" w:cs="Arial"/>
          <w:color w:val="000000" w:themeColor="text1"/>
        </w:rPr>
        <w:t xml:space="preserve">. </w:t>
      </w:r>
    </w:p>
    <w:p w14:paraId="71E00C2F"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Kero, C.A. and Bogale, A.T. (2023). A systematic review of resource-based view and dynamic capabilities of firms and future research avenues. </w:t>
      </w:r>
      <w:r w:rsidRPr="00017A41">
        <w:rPr>
          <w:rFonts w:ascii="Arial" w:hAnsi="Arial" w:cs="Arial"/>
          <w:i/>
          <w:color w:val="000000" w:themeColor="text1"/>
        </w:rPr>
        <w:t>International Journal of Sustainable Development and Planning</w:t>
      </w:r>
      <w:r w:rsidRPr="00017A41">
        <w:rPr>
          <w:rFonts w:ascii="Arial" w:hAnsi="Arial" w:cs="Arial"/>
          <w:color w:val="000000" w:themeColor="text1"/>
        </w:rPr>
        <w:t>, 18(10), pp.3137–3154. doi:</w:t>
      </w:r>
      <w:hyperlink r:id="rId62" w:history="1">
        <w:r w:rsidRPr="00017A41">
          <w:rPr>
            <w:rStyle w:val="Hyperlink"/>
            <w:rFonts w:ascii="Arial" w:hAnsi="Arial" w:cs="Arial"/>
          </w:rPr>
          <w:t>https://doi.org/10.18280/ijsdp.181016</w:t>
        </w:r>
      </w:hyperlink>
      <w:r w:rsidRPr="00017A41">
        <w:rPr>
          <w:rFonts w:ascii="Arial" w:hAnsi="Arial" w:cs="Arial"/>
          <w:color w:val="000000" w:themeColor="text1"/>
        </w:rPr>
        <w:t>.</w:t>
      </w:r>
    </w:p>
    <w:p w14:paraId="3B405405"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Kiessling, T., Dabić, M., Sandep, Y., Huck, N. and Maley, J.F. (2024). Supply Chain Disruptions and Need for Resilience: SMEs Direct/Indirect Exporting and Rapid Internationalization. </w:t>
      </w:r>
      <w:r w:rsidRPr="00017A41">
        <w:rPr>
          <w:rFonts w:ascii="Arial" w:hAnsi="Arial" w:cs="Arial"/>
          <w:i/>
          <w:color w:val="000000" w:themeColor="text1"/>
        </w:rPr>
        <w:t>IEEE Transactions on Engineering Management</w:t>
      </w:r>
      <w:r w:rsidRPr="00017A41">
        <w:rPr>
          <w:rFonts w:ascii="Arial" w:hAnsi="Arial" w:cs="Arial"/>
          <w:color w:val="000000" w:themeColor="text1"/>
        </w:rPr>
        <w:t>, pp.1–43. doi:</w:t>
      </w:r>
      <w:hyperlink r:id="rId63" w:history="1">
        <w:r w:rsidRPr="00017A41">
          <w:rPr>
            <w:rStyle w:val="Hyperlink"/>
            <w:rFonts w:ascii="Arial" w:hAnsi="Arial" w:cs="Arial"/>
          </w:rPr>
          <w:t>https://doi.org/10.1109/tem.2024.3514701</w:t>
        </w:r>
      </w:hyperlink>
      <w:r w:rsidRPr="00017A41">
        <w:rPr>
          <w:rFonts w:ascii="Arial" w:hAnsi="Arial" w:cs="Arial"/>
          <w:color w:val="000000" w:themeColor="text1"/>
        </w:rPr>
        <w:t>.</w:t>
      </w:r>
    </w:p>
    <w:p w14:paraId="2DE421DA"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lastRenderedPageBreak/>
        <w:t xml:space="preserve">Kot, S., Haque, A. and Baloch, A. (2020). Supply Chain Management in Smes: Global Perspective. </w:t>
      </w:r>
      <w:r w:rsidRPr="00017A41">
        <w:rPr>
          <w:rFonts w:ascii="Arial" w:hAnsi="Arial" w:cs="Arial"/>
          <w:i/>
          <w:color w:val="000000" w:themeColor="text1"/>
        </w:rPr>
        <w:t>Montenegrin Journal of Economics</w:t>
      </w:r>
      <w:r w:rsidRPr="00017A41">
        <w:rPr>
          <w:rFonts w:ascii="Arial" w:hAnsi="Arial" w:cs="Arial"/>
          <w:color w:val="000000" w:themeColor="text1"/>
        </w:rPr>
        <w:t>, 16(1), pp.87–104. doi:</w:t>
      </w:r>
      <w:hyperlink r:id="rId64" w:history="1">
        <w:r w:rsidRPr="00017A41">
          <w:rPr>
            <w:rStyle w:val="Hyperlink"/>
            <w:rFonts w:ascii="Arial" w:hAnsi="Arial" w:cs="Arial"/>
          </w:rPr>
          <w:t>https://doi.org/10.14254/1800-5845/2020.16-1.6</w:t>
        </w:r>
      </w:hyperlink>
      <w:r w:rsidRPr="00017A41">
        <w:rPr>
          <w:rFonts w:ascii="Arial" w:hAnsi="Arial" w:cs="Arial"/>
          <w:color w:val="000000" w:themeColor="text1"/>
        </w:rPr>
        <w:t>.</w:t>
      </w:r>
    </w:p>
    <w:p w14:paraId="23F38076"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Krejcie, R.V. and Morgan, D.W. (1970). Determining Sample Size for Research Activities. </w:t>
      </w:r>
      <w:r w:rsidRPr="00017A41">
        <w:rPr>
          <w:rFonts w:ascii="Arial" w:hAnsi="Arial" w:cs="Arial"/>
          <w:i/>
          <w:color w:val="000000" w:themeColor="text1"/>
        </w:rPr>
        <w:t>Educational and Psychological Measurement</w:t>
      </w:r>
      <w:r w:rsidRPr="00017A41">
        <w:rPr>
          <w:rFonts w:ascii="Arial" w:hAnsi="Arial" w:cs="Arial"/>
          <w:color w:val="000000" w:themeColor="text1"/>
        </w:rPr>
        <w:t>, 30(3), pp.607–610. doi:</w:t>
      </w:r>
      <w:hyperlink r:id="rId65" w:history="1">
        <w:r w:rsidRPr="00017A41">
          <w:rPr>
            <w:rStyle w:val="Hyperlink"/>
            <w:rFonts w:ascii="Arial" w:hAnsi="Arial" w:cs="Arial"/>
          </w:rPr>
          <w:t>https://doi.org/10.1177/001316447003000308</w:t>
        </w:r>
      </w:hyperlink>
      <w:r w:rsidRPr="00017A41">
        <w:rPr>
          <w:rFonts w:ascii="Arial" w:hAnsi="Arial" w:cs="Arial"/>
          <w:color w:val="000000" w:themeColor="text1"/>
        </w:rPr>
        <w:t>.</w:t>
      </w:r>
    </w:p>
    <w:p w14:paraId="4F9407A8"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Lin, D.-Y., Rayavarapu, S.N., Tadjeddine, K. and Yeoh, R. (2022). </w:t>
      </w:r>
      <w:r w:rsidRPr="00017A41">
        <w:rPr>
          <w:rFonts w:ascii="Arial" w:hAnsi="Arial" w:cs="Arial"/>
          <w:i/>
          <w:color w:val="000000" w:themeColor="text1"/>
        </w:rPr>
        <w:t>Helping small and medium-size enterprises thrive | McKinsey</w:t>
      </w:r>
      <w:r w:rsidRPr="00017A41">
        <w:rPr>
          <w:rFonts w:ascii="Arial" w:hAnsi="Arial" w:cs="Arial"/>
          <w:color w:val="000000" w:themeColor="text1"/>
        </w:rPr>
        <w:t xml:space="preserve">. [online] www.mckinsey.com. Available at: </w:t>
      </w:r>
      <w:hyperlink r:id="rId66" w:history="1">
        <w:r w:rsidRPr="00017A41">
          <w:rPr>
            <w:rStyle w:val="Hyperlink"/>
            <w:rFonts w:ascii="Arial" w:hAnsi="Arial" w:cs="Arial"/>
          </w:rPr>
          <w:t>https://www.mckinsey.com/industries/public-sector/our-insights/beyond-financials-helping-small-and-medium-size-enterprises-thrive</w:t>
        </w:r>
      </w:hyperlink>
      <w:r w:rsidRPr="00017A41">
        <w:rPr>
          <w:rFonts w:ascii="Arial" w:hAnsi="Arial" w:cs="Arial"/>
          <w:color w:val="000000" w:themeColor="text1"/>
        </w:rPr>
        <w:t>.</w:t>
      </w:r>
    </w:p>
    <w:p w14:paraId="7CF69B3C"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Lubis, N.W. (2022). Resource Based View (RBV) in Improving Company Strategic Capacity. </w:t>
      </w:r>
      <w:r w:rsidRPr="00017A41">
        <w:rPr>
          <w:rFonts w:ascii="Arial" w:hAnsi="Arial" w:cs="Arial"/>
          <w:i/>
          <w:color w:val="000000" w:themeColor="text1"/>
        </w:rPr>
        <w:t>Research Horizon</w:t>
      </w:r>
      <w:r w:rsidRPr="00017A41">
        <w:rPr>
          <w:rFonts w:ascii="Arial" w:hAnsi="Arial" w:cs="Arial"/>
          <w:color w:val="000000" w:themeColor="text1"/>
        </w:rPr>
        <w:t>, 2(6), pp.587–596. doi:</w:t>
      </w:r>
      <w:hyperlink r:id="rId67" w:history="1">
        <w:r w:rsidRPr="00017A41">
          <w:rPr>
            <w:rStyle w:val="Hyperlink"/>
            <w:rFonts w:ascii="Arial" w:hAnsi="Arial" w:cs="Arial"/>
          </w:rPr>
          <w:t>https://doi.org/10.54518/rh.2.6.2022.587-596</w:t>
        </w:r>
      </w:hyperlink>
      <w:r w:rsidRPr="00017A41">
        <w:rPr>
          <w:rFonts w:ascii="Arial" w:hAnsi="Arial" w:cs="Arial"/>
          <w:color w:val="000000" w:themeColor="text1"/>
        </w:rPr>
        <w:t>.</w:t>
      </w:r>
    </w:p>
    <w:p w14:paraId="1BAE3985"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Madhani, P.M. (2010). </w:t>
      </w:r>
      <w:r w:rsidRPr="00017A41">
        <w:rPr>
          <w:rFonts w:ascii="Arial" w:hAnsi="Arial" w:cs="Arial"/>
          <w:i/>
          <w:color w:val="000000" w:themeColor="text1"/>
        </w:rPr>
        <w:t>The Resource-Based View (RBV): Issues and Perspectives</w:t>
      </w:r>
      <w:r w:rsidRPr="00017A41">
        <w:rPr>
          <w:rFonts w:ascii="Arial" w:hAnsi="Arial" w:cs="Arial"/>
          <w:color w:val="000000" w:themeColor="text1"/>
        </w:rPr>
        <w:t xml:space="preserve">. [online] ResearchGate. Available at: </w:t>
      </w:r>
      <w:hyperlink r:id="rId68" w:history="1">
        <w:r w:rsidRPr="00017A41">
          <w:rPr>
            <w:rStyle w:val="Hyperlink"/>
            <w:rFonts w:ascii="Arial" w:hAnsi="Arial" w:cs="Arial"/>
          </w:rPr>
          <w:t>https://www.researchgate.net/publication/45072517_The_Resource-Based_View_RBV_Issues_and_Perspectives</w:t>
        </w:r>
      </w:hyperlink>
      <w:r w:rsidRPr="00017A41">
        <w:rPr>
          <w:rFonts w:ascii="Arial" w:hAnsi="Arial" w:cs="Arial"/>
          <w:color w:val="000000" w:themeColor="text1"/>
        </w:rPr>
        <w:t>.</w:t>
      </w:r>
    </w:p>
    <w:p w14:paraId="05E16C60"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Mishra, A., Gupta, N. and Jha, G.K. (2024). Supply Chain Resilience: Adapting to Global Disruptions and Uncertainty. </w:t>
      </w:r>
      <w:r w:rsidRPr="00017A41">
        <w:rPr>
          <w:rFonts w:ascii="Arial" w:hAnsi="Arial" w:cs="Arial"/>
          <w:i/>
          <w:color w:val="000000" w:themeColor="text1"/>
        </w:rPr>
        <w:t>International Journal of Innovative Research in Engineering</w:t>
      </w:r>
      <w:r w:rsidRPr="00017A41">
        <w:rPr>
          <w:rFonts w:ascii="Arial" w:hAnsi="Arial" w:cs="Arial"/>
          <w:color w:val="000000" w:themeColor="text1"/>
        </w:rPr>
        <w:t>, 5(2), pp.189–196. doi:</w:t>
      </w:r>
      <w:hyperlink r:id="rId69" w:history="1">
        <w:r w:rsidRPr="00017A41">
          <w:rPr>
            <w:rStyle w:val="Hyperlink"/>
            <w:rFonts w:ascii="Arial" w:hAnsi="Arial" w:cs="Arial"/>
          </w:rPr>
          <w:t>https://doi.org/10.59256/ijire.20240502025</w:t>
        </w:r>
      </w:hyperlink>
      <w:r w:rsidRPr="00017A41">
        <w:rPr>
          <w:rFonts w:ascii="Arial" w:hAnsi="Arial" w:cs="Arial"/>
          <w:color w:val="000000" w:themeColor="text1"/>
        </w:rPr>
        <w:t>.</w:t>
      </w:r>
    </w:p>
    <w:p w14:paraId="3407562C"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Negi, P., Jaiswal, A. and Rekunenko, I. (2025). Supply Chain Resilience, Organizational Effectiveness, and Firm Performance: A Systematic Review and Future Research Agenda. </w:t>
      </w:r>
      <w:r w:rsidRPr="00017A41">
        <w:rPr>
          <w:rFonts w:ascii="Arial" w:hAnsi="Arial" w:cs="Arial"/>
          <w:i/>
          <w:color w:val="000000" w:themeColor="text1"/>
        </w:rPr>
        <w:t>Sage Open</w:t>
      </w:r>
      <w:r w:rsidRPr="00017A41">
        <w:rPr>
          <w:rFonts w:ascii="Arial" w:hAnsi="Arial" w:cs="Arial"/>
          <w:color w:val="000000" w:themeColor="text1"/>
        </w:rPr>
        <w:t>, 15(4). doi:</w:t>
      </w:r>
      <w:hyperlink r:id="rId70" w:history="1">
        <w:r w:rsidRPr="00017A41">
          <w:rPr>
            <w:rStyle w:val="Hyperlink"/>
            <w:rFonts w:ascii="Arial" w:hAnsi="Arial" w:cs="Arial"/>
          </w:rPr>
          <w:t>https://doi.org/10.1177/21582440251393994</w:t>
        </w:r>
      </w:hyperlink>
      <w:r w:rsidRPr="00017A41">
        <w:rPr>
          <w:rFonts w:ascii="Arial" w:hAnsi="Arial" w:cs="Arial"/>
          <w:color w:val="000000" w:themeColor="text1"/>
        </w:rPr>
        <w:t>.</w:t>
      </w:r>
    </w:p>
    <w:p w14:paraId="1881B1C6"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Onyeanuforo, U.L., Suotonye, B. and Alfa, C. (2024). The Impact of Global Supply Chain Disruptions on UK SMEs’ International Business Strategies: A Post-Pandemic Analysis. </w:t>
      </w:r>
      <w:r w:rsidRPr="00017A41">
        <w:rPr>
          <w:rFonts w:ascii="Arial" w:hAnsi="Arial" w:cs="Arial"/>
          <w:i/>
          <w:color w:val="000000" w:themeColor="text1"/>
        </w:rPr>
        <w:t>INTERNATIONAL JOURNAL OF SOCIAL SCIENCES AND MANAGEMENT RESEARCH</w:t>
      </w:r>
      <w:r w:rsidRPr="00017A41">
        <w:rPr>
          <w:rFonts w:ascii="Arial" w:hAnsi="Arial" w:cs="Arial"/>
          <w:color w:val="000000" w:themeColor="text1"/>
        </w:rPr>
        <w:t>, [online] Vol 10.(No. 11). doi:</w:t>
      </w:r>
      <w:hyperlink r:id="rId71" w:history="1">
        <w:r w:rsidRPr="00017A41">
          <w:rPr>
            <w:rStyle w:val="Hyperlink"/>
            <w:rFonts w:ascii="Arial" w:hAnsi="Arial" w:cs="Arial"/>
          </w:rPr>
          <w:t>https://doi.org/10.56201/ijssmr.v10.no11.2024.pg.403.413</w:t>
        </w:r>
      </w:hyperlink>
      <w:r w:rsidRPr="00017A41">
        <w:rPr>
          <w:rFonts w:ascii="Arial" w:hAnsi="Arial" w:cs="Arial"/>
          <w:color w:val="000000" w:themeColor="text1"/>
        </w:rPr>
        <w:t>.</w:t>
      </w:r>
    </w:p>
    <w:p w14:paraId="428DBFF6" w14:textId="77777777" w:rsidR="00C66902" w:rsidRPr="00017A41" w:rsidRDefault="00C66902" w:rsidP="00C66902">
      <w:pPr>
        <w:spacing w:line="360" w:lineRule="auto"/>
        <w:ind w:left="720" w:hanging="720"/>
        <w:jc w:val="both"/>
        <w:rPr>
          <w:rFonts w:ascii="Arial" w:hAnsi="Arial" w:cs="Arial"/>
          <w:color w:val="000000" w:themeColor="text1"/>
        </w:rPr>
      </w:pPr>
      <w:r w:rsidRPr="00823C5E">
        <w:rPr>
          <w:rFonts w:ascii="Arial" w:hAnsi="Arial" w:cs="Arial"/>
          <w:color w:val="000000" w:themeColor="text1"/>
          <w:lang w:val="it-IT"/>
        </w:rPr>
        <w:lastRenderedPageBreak/>
        <w:t xml:space="preserve">Orlando, B., Tortora, D., Pezzi, A. and Bitbol-Saba, N. (2021). </w:t>
      </w:r>
      <w:r w:rsidRPr="00017A41">
        <w:rPr>
          <w:rFonts w:ascii="Arial" w:hAnsi="Arial" w:cs="Arial"/>
          <w:color w:val="000000" w:themeColor="text1"/>
        </w:rPr>
        <w:t xml:space="preserve">The disruption of the international supply chain: Firm resilience and knowledge preparedness to tackle the COVID-19 outbreak. </w:t>
      </w:r>
      <w:r w:rsidRPr="00017A41">
        <w:rPr>
          <w:rFonts w:ascii="Arial" w:hAnsi="Arial" w:cs="Arial"/>
          <w:i/>
          <w:color w:val="000000" w:themeColor="text1"/>
        </w:rPr>
        <w:t>Journal of International Management</w:t>
      </w:r>
      <w:r w:rsidRPr="00017A41">
        <w:rPr>
          <w:rFonts w:ascii="Arial" w:hAnsi="Arial" w:cs="Arial"/>
          <w:color w:val="000000" w:themeColor="text1"/>
        </w:rPr>
        <w:t>, 28(1), p.100876. doi:</w:t>
      </w:r>
      <w:hyperlink r:id="rId72" w:history="1">
        <w:r w:rsidRPr="00017A41">
          <w:rPr>
            <w:rStyle w:val="Hyperlink"/>
            <w:rFonts w:ascii="Arial" w:hAnsi="Arial" w:cs="Arial"/>
          </w:rPr>
          <w:t>https://doi.org/10.1016/j.intman.2021.100876</w:t>
        </w:r>
      </w:hyperlink>
      <w:r w:rsidRPr="00017A41">
        <w:rPr>
          <w:rFonts w:ascii="Arial" w:hAnsi="Arial" w:cs="Arial"/>
          <w:color w:val="000000" w:themeColor="text1"/>
        </w:rPr>
        <w:t>.</w:t>
      </w:r>
    </w:p>
    <w:p w14:paraId="530A21B3"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Pertheban, T.R., Thurasamy, R., Marimuthu, A., Venkatachalam, K.R., Annamalah, S., Paraman, P. and Hoo, W.C. (2023). The Impact of Proactive Resilience Strategies on Organizational Performance: Role of Ambidextrous and Dynamic Capabilities of SMEs in Manufacturing Sector. </w:t>
      </w:r>
      <w:r w:rsidRPr="00017A41">
        <w:rPr>
          <w:rFonts w:ascii="Arial" w:hAnsi="Arial" w:cs="Arial"/>
          <w:i/>
          <w:color w:val="000000" w:themeColor="text1"/>
        </w:rPr>
        <w:t>Sustainability</w:t>
      </w:r>
      <w:r w:rsidRPr="00017A41">
        <w:rPr>
          <w:rFonts w:ascii="Arial" w:hAnsi="Arial" w:cs="Arial"/>
          <w:color w:val="000000" w:themeColor="text1"/>
        </w:rPr>
        <w:t>, 15(16), p.12665. doi:</w:t>
      </w:r>
      <w:hyperlink r:id="rId73" w:history="1">
        <w:r w:rsidRPr="00017A41">
          <w:rPr>
            <w:rStyle w:val="Hyperlink"/>
            <w:rFonts w:ascii="Arial" w:hAnsi="Arial" w:cs="Arial"/>
          </w:rPr>
          <w:t>https://doi.org/10.3390/su151612665</w:t>
        </w:r>
      </w:hyperlink>
      <w:r w:rsidRPr="00017A41">
        <w:rPr>
          <w:rFonts w:ascii="Arial" w:hAnsi="Arial" w:cs="Arial"/>
          <w:color w:val="000000" w:themeColor="text1"/>
        </w:rPr>
        <w:t>.</w:t>
      </w:r>
    </w:p>
    <w:p w14:paraId="46BBA7FE"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Quaquebeke, N.V., Salem, M., van Dijke, M. and Wenzel, R. (2022). Conducting organizational survey and experimental research online: From convenient to ambitious in study designs, recruiting, and data quality. </w:t>
      </w:r>
      <w:r w:rsidRPr="00017A41">
        <w:rPr>
          <w:rFonts w:ascii="Arial" w:hAnsi="Arial" w:cs="Arial"/>
          <w:i/>
          <w:color w:val="000000" w:themeColor="text1"/>
        </w:rPr>
        <w:t>Organizational Psychology Review</w:t>
      </w:r>
      <w:r w:rsidRPr="00017A41">
        <w:rPr>
          <w:rFonts w:ascii="Arial" w:hAnsi="Arial" w:cs="Arial"/>
          <w:color w:val="000000" w:themeColor="text1"/>
        </w:rPr>
        <w:t>, 12(3), p.204138662210975.</w:t>
      </w:r>
    </w:p>
    <w:p w14:paraId="28289E8E"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Rosenman, R., Tennekoon, V. and Hill, L.G. (2011). Measuring Bias in self-reported Data. </w:t>
      </w:r>
      <w:r w:rsidRPr="00017A41">
        <w:rPr>
          <w:rFonts w:ascii="Arial" w:hAnsi="Arial" w:cs="Arial"/>
          <w:i/>
          <w:color w:val="000000" w:themeColor="text1"/>
        </w:rPr>
        <w:t>International Journal of Behavioural and Healthcare Research</w:t>
      </w:r>
      <w:r w:rsidRPr="00017A41">
        <w:rPr>
          <w:rFonts w:ascii="Arial" w:hAnsi="Arial" w:cs="Arial"/>
          <w:color w:val="000000" w:themeColor="text1"/>
        </w:rPr>
        <w:t>, 2(4), pp.320–332. doi:</w:t>
      </w:r>
      <w:hyperlink r:id="rId74" w:history="1">
        <w:r w:rsidRPr="00017A41">
          <w:rPr>
            <w:rStyle w:val="Hyperlink"/>
            <w:rFonts w:ascii="Arial" w:hAnsi="Arial" w:cs="Arial"/>
          </w:rPr>
          <w:t>https://doi.org/10.1504/ijbhr.2011.043414</w:t>
        </w:r>
      </w:hyperlink>
      <w:r w:rsidRPr="00017A41">
        <w:rPr>
          <w:rFonts w:ascii="Arial" w:hAnsi="Arial" w:cs="Arial"/>
          <w:color w:val="000000" w:themeColor="text1"/>
        </w:rPr>
        <w:t>.</w:t>
      </w:r>
    </w:p>
    <w:p w14:paraId="39577AEA"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Roxas, B. and Lindsay, V. (2012). Social Desirability Bias in Survey Research on Sustainable Development in Small Firms: an Exploratory Analysis of Survey Mode Effect. </w:t>
      </w:r>
      <w:r w:rsidRPr="00017A41">
        <w:rPr>
          <w:rFonts w:ascii="Arial" w:hAnsi="Arial" w:cs="Arial"/>
          <w:i/>
          <w:color w:val="000000" w:themeColor="text1"/>
        </w:rPr>
        <w:t>Business Strategy and the Environment</w:t>
      </w:r>
      <w:r w:rsidRPr="00017A41">
        <w:rPr>
          <w:rFonts w:ascii="Arial" w:hAnsi="Arial" w:cs="Arial"/>
          <w:color w:val="000000" w:themeColor="text1"/>
        </w:rPr>
        <w:t>, 21(4), pp.223–235. doi:</w:t>
      </w:r>
      <w:hyperlink r:id="rId75" w:history="1">
        <w:r w:rsidRPr="00017A41">
          <w:rPr>
            <w:rStyle w:val="Hyperlink"/>
            <w:rFonts w:ascii="Arial" w:hAnsi="Arial" w:cs="Arial"/>
          </w:rPr>
          <w:t>https://doi.org/10.1002/bse.730</w:t>
        </w:r>
      </w:hyperlink>
      <w:r w:rsidRPr="00017A41">
        <w:rPr>
          <w:rFonts w:ascii="Arial" w:hAnsi="Arial" w:cs="Arial"/>
          <w:color w:val="000000" w:themeColor="text1"/>
        </w:rPr>
        <w:t>.</w:t>
      </w:r>
    </w:p>
    <w:p w14:paraId="6C1327D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Saeedikiya, M., Salunke, S. and Kowalkiewicz, M. (2024). Toward a dynamic capability perspective of digital transformation in SMEs: A study of the mobility sector. </w:t>
      </w:r>
      <w:r w:rsidRPr="00017A41">
        <w:rPr>
          <w:rFonts w:ascii="Arial" w:hAnsi="Arial" w:cs="Arial"/>
          <w:i/>
          <w:color w:val="000000" w:themeColor="text1"/>
        </w:rPr>
        <w:t>Journal of Cleaner Production</w:t>
      </w:r>
      <w:r w:rsidRPr="00017A41">
        <w:rPr>
          <w:rFonts w:ascii="Arial" w:hAnsi="Arial" w:cs="Arial"/>
          <w:color w:val="000000" w:themeColor="text1"/>
        </w:rPr>
        <w:t>, [online] 439, p.140718. doi:</w:t>
      </w:r>
      <w:hyperlink r:id="rId76" w:history="1">
        <w:r w:rsidRPr="00017A41">
          <w:rPr>
            <w:rStyle w:val="Hyperlink"/>
            <w:rFonts w:ascii="Arial" w:hAnsi="Arial" w:cs="Arial"/>
          </w:rPr>
          <w:t>https://doi.org/10.1016/j.jclepro.2024.140718</w:t>
        </w:r>
      </w:hyperlink>
      <w:r w:rsidRPr="00017A41">
        <w:rPr>
          <w:rFonts w:ascii="Arial" w:hAnsi="Arial" w:cs="Arial"/>
          <w:color w:val="000000" w:themeColor="text1"/>
        </w:rPr>
        <w:t>.</w:t>
      </w:r>
    </w:p>
    <w:p w14:paraId="35ED46B7"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Saunders, M., Lewis, P. and Thornhill, A. (2019). </w:t>
      </w:r>
      <w:r w:rsidRPr="00017A41">
        <w:rPr>
          <w:rFonts w:ascii="Arial" w:hAnsi="Arial" w:cs="Arial"/>
          <w:i/>
          <w:color w:val="000000" w:themeColor="text1"/>
        </w:rPr>
        <w:t>Research Methods for Business students.</w:t>
      </w:r>
      <w:r w:rsidRPr="00017A41">
        <w:rPr>
          <w:rFonts w:ascii="Arial" w:hAnsi="Arial" w:cs="Arial"/>
          <w:color w:val="000000" w:themeColor="text1"/>
        </w:rPr>
        <w:t xml:space="preserve"> 8th ed. Pearson.</w:t>
      </w:r>
    </w:p>
    <w:p w14:paraId="6ABEB704"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Setyadi, A., Pawirosumarto, S. and Damaris, A. (2025). Toward a Resilient and Sustainable Supply Chain: Operational Responses to Global Disruptions in the </w:t>
      </w:r>
      <w:r w:rsidRPr="00017A41">
        <w:rPr>
          <w:rFonts w:ascii="Arial" w:hAnsi="Arial" w:cs="Arial"/>
          <w:color w:val="000000" w:themeColor="text1"/>
        </w:rPr>
        <w:lastRenderedPageBreak/>
        <w:t xml:space="preserve">Post-COVID-19 Era. </w:t>
      </w:r>
      <w:r w:rsidRPr="00017A41">
        <w:rPr>
          <w:rFonts w:ascii="Arial" w:hAnsi="Arial" w:cs="Arial"/>
          <w:i/>
          <w:color w:val="000000" w:themeColor="text1"/>
        </w:rPr>
        <w:t>Sustainability</w:t>
      </w:r>
      <w:r w:rsidRPr="00017A41">
        <w:rPr>
          <w:rFonts w:ascii="Arial" w:hAnsi="Arial" w:cs="Arial"/>
          <w:color w:val="000000" w:themeColor="text1"/>
        </w:rPr>
        <w:t>, 17(13), pp.6167–6167. doi:</w:t>
      </w:r>
      <w:hyperlink r:id="rId77" w:history="1">
        <w:r w:rsidRPr="00017A41">
          <w:rPr>
            <w:rStyle w:val="Hyperlink"/>
            <w:rFonts w:ascii="Arial" w:hAnsi="Arial" w:cs="Arial"/>
          </w:rPr>
          <w:t>https://doi.org/10.3390/su17136167</w:t>
        </w:r>
      </w:hyperlink>
      <w:r w:rsidRPr="00017A41">
        <w:rPr>
          <w:rFonts w:ascii="Arial" w:hAnsi="Arial" w:cs="Arial"/>
          <w:color w:val="000000" w:themeColor="text1"/>
        </w:rPr>
        <w:t>.</w:t>
      </w:r>
    </w:p>
    <w:p w14:paraId="317FFACE"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Siameh, C. (2023). </w:t>
      </w:r>
      <w:r w:rsidRPr="00017A41">
        <w:rPr>
          <w:rFonts w:ascii="Arial" w:hAnsi="Arial" w:cs="Arial"/>
          <w:i/>
          <w:color w:val="000000" w:themeColor="text1"/>
        </w:rPr>
        <w:t xml:space="preserve">Brexit, Trade in Intermediates, and Global Value Chains: Beyond the UK and the EU </w:t>
      </w:r>
      <w:r w:rsidRPr="00017A41">
        <w:rPr>
          <w:rFonts w:ascii="Arial" w:hAnsi="Arial" w:cs="Arial"/>
          <w:color w:val="000000" w:themeColor="text1"/>
        </w:rPr>
        <w:t xml:space="preserve">. [online] Available at: </w:t>
      </w:r>
      <w:hyperlink r:id="rId78" w:history="1">
        <w:r w:rsidRPr="00017A41">
          <w:rPr>
            <w:rStyle w:val="Hyperlink"/>
            <w:rFonts w:ascii="Arial" w:hAnsi="Arial" w:cs="Arial"/>
          </w:rPr>
          <w:t>https://thedocs.worldbank.org/en/doc/3e5537ac17a795823a3e3c46b12c0351-0050022023/related/30-Brexit-Trade-in-Intermediates-and-Global-Value-Chains-Beyond-the-UK-and-the-EU.pdf</w:t>
        </w:r>
      </w:hyperlink>
      <w:r w:rsidRPr="00017A41">
        <w:rPr>
          <w:rFonts w:ascii="Arial" w:hAnsi="Arial" w:cs="Arial"/>
          <w:color w:val="000000" w:themeColor="text1"/>
        </w:rPr>
        <w:t>.</w:t>
      </w:r>
    </w:p>
    <w:p w14:paraId="15C58F53" w14:textId="77777777" w:rsidR="00C66902" w:rsidRPr="00823C5E" w:rsidRDefault="00C66902" w:rsidP="00C66902">
      <w:pPr>
        <w:spacing w:line="360" w:lineRule="auto"/>
        <w:ind w:left="720" w:hanging="720"/>
        <w:jc w:val="both"/>
        <w:rPr>
          <w:rFonts w:ascii="Arial" w:hAnsi="Arial" w:cs="Arial"/>
          <w:color w:val="000000" w:themeColor="text1"/>
          <w:lang w:val="it-IT"/>
        </w:rPr>
      </w:pPr>
      <w:r w:rsidRPr="00017A41">
        <w:rPr>
          <w:rFonts w:ascii="Arial" w:hAnsi="Arial" w:cs="Arial"/>
          <w:color w:val="000000" w:themeColor="text1"/>
        </w:rPr>
        <w:t xml:space="preserve">Singh, R.K., Neuert, C.E. and Raykov, T. (2023). Assessing conceptual comparability of single-item survey instruments with a mixed-methods approach. </w:t>
      </w:r>
      <w:r w:rsidRPr="00823C5E">
        <w:rPr>
          <w:rFonts w:ascii="Arial" w:hAnsi="Arial" w:cs="Arial"/>
          <w:i/>
          <w:color w:val="000000" w:themeColor="text1"/>
          <w:lang w:val="it-IT"/>
        </w:rPr>
        <w:t>Quality &amp; Quantity</w:t>
      </w:r>
      <w:r w:rsidRPr="00823C5E">
        <w:rPr>
          <w:rFonts w:ascii="Arial" w:hAnsi="Arial" w:cs="Arial"/>
          <w:color w:val="000000" w:themeColor="text1"/>
          <w:lang w:val="it-IT"/>
        </w:rPr>
        <w:t>. doi:</w:t>
      </w:r>
      <w:hyperlink r:id="rId79" w:history="1">
        <w:r w:rsidRPr="00823C5E">
          <w:rPr>
            <w:rStyle w:val="Hyperlink"/>
            <w:rFonts w:ascii="Arial" w:hAnsi="Arial" w:cs="Arial"/>
            <w:lang w:val="it-IT"/>
          </w:rPr>
          <w:t>https://doi.org/10.1007/s11135-023-01801-w</w:t>
        </w:r>
      </w:hyperlink>
      <w:r w:rsidRPr="00823C5E">
        <w:rPr>
          <w:rFonts w:ascii="Arial" w:hAnsi="Arial" w:cs="Arial"/>
          <w:color w:val="000000" w:themeColor="text1"/>
          <w:lang w:val="it-IT"/>
        </w:rPr>
        <w:t>.</w:t>
      </w:r>
    </w:p>
    <w:p w14:paraId="57181880" w14:textId="77777777" w:rsidR="00C66902" w:rsidRPr="00017A41" w:rsidRDefault="00C66902" w:rsidP="00C66902">
      <w:pPr>
        <w:spacing w:line="360" w:lineRule="auto"/>
        <w:ind w:left="720" w:hanging="720"/>
        <w:jc w:val="both"/>
        <w:rPr>
          <w:rFonts w:ascii="Arial" w:hAnsi="Arial" w:cs="Arial"/>
          <w:color w:val="000000" w:themeColor="text1"/>
        </w:rPr>
      </w:pPr>
      <w:r w:rsidRPr="00823C5E">
        <w:rPr>
          <w:rFonts w:ascii="Arial" w:hAnsi="Arial" w:cs="Arial"/>
          <w:color w:val="000000" w:themeColor="text1"/>
          <w:lang w:val="it-IT"/>
        </w:rPr>
        <w:t xml:space="preserve">Sterrantino, A.F. (2024). </w:t>
      </w:r>
      <w:r w:rsidRPr="00017A41">
        <w:rPr>
          <w:rFonts w:ascii="Arial" w:hAnsi="Arial" w:cs="Arial"/>
          <w:color w:val="000000" w:themeColor="text1"/>
        </w:rPr>
        <w:t xml:space="preserve">Observational studies: Practical tips for avoiding common statistical pitfalls. </w:t>
      </w:r>
      <w:r w:rsidRPr="00017A41">
        <w:rPr>
          <w:rFonts w:ascii="Arial" w:hAnsi="Arial" w:cs="Arial"/>
          <w:i/>
          <w:color w:val="000000" w:themeColor="text1"/>
        </w:rPr>
        <w:t>The Lancet Regional Health - Southeast Asia</w:t>
      </w:r>
      <w:r w:rsidRPr="00017A41">
        <w:rPr>
          <w:rFonts w:ascii="Arial" w:hAnsi="Arial" w:cs="Arial"/>
          <w:color w:val="000000" w:themeColor="text1"/>
        </w:rPr>
        <w:t>, [online] 25(100415), p.100415. doi:</w:t>
      </w:r>
      <w:hyperlink r:id="rId80" w:history="1">
        <w:r w:rsidRPr="00017A41">
          <w:rPr>
            <w:rStyle w:val="Hyperlink"/>
            <w:rFonts w:ascii="Arial" w:hAnsi="Arial" w:cs="Arial"/>
          </w:rPr>
          <w:t>https://doi.org/10.1016/j.lansea.2024.100415</w:t>
        </w:r>
      </w:hyperlink>
      <w:r w:rsidRPr="00017A41">
        <w:rPr>
          <w:rFonts w:ascii="Arial" w:hAnsi="Arial" w:cs="Arial"/>
          <w:color w:val="000000" w:themeColor="text1"/>
        </w:rPr>
        <w:t>.</w:t>
      </w:r>
    </w:p>
    <w:p w14:paraId="5270CCED" w14:textId="77777777" w:rsidR="00C66902" w:rsidRPr="00017A41" w:rsidRDefault="00C66902" w:rsidP="00C66902">
      <w:pPr>
        <w:spacing w:line="360" w:lineRule="auto"/>
        <w:ind w:left="720" w:hanging="720"/>
        <w:jc w:val="both"/>
        <w:rPr>
          <w:rFonts w:ascii="Arial" w:hAnsi="Arial" w:cs="Arial"/>
          <w:color w:val="000000" w:themeColor="text1"/>
        </w:rPr>
      </w:pPr>
      <w:r w:rsidRPr="00823C5E">
        <w:rPr>
          <w:rFonts w:ascii="Arial" w:hAnsi="Arial" w:cs="Arial"/>
          <w:color w:val="000000" w:themeColor="text1"/>
          <w:lang w:val="fi-FI"/>
        </w:rPr>
        <w:t xml:space="preserve">Syamsyul, U., Joo Yun, W., Rasi, Z. and Suhana Ithnin, H. (2023). </w:t>
      </w:r>
      <w:r w:rsidRPr="00017A41">
        <w:rPr>
          <w:rFonts w:ascii="Arial" w:hAnsi="Arial" w:cs="Arial"/>
          <w:color w:val="000000" w:themeColor="text1"/>
        </w:rPr>
        <w:t xml:space="preserve">Supply Chain Disruptions: Challenges and Mitigation Strategies in Manufacturing Companies. </w:t>
      </w:r>
      <w:r w:rsidRPr="00017A41">
        <w:rPr>
          <w:rFonts w:ascii="Arial" w:hAnsi="Arial" w:cs="Arial"/>
          <w:i/>
          <w:color w:val="000000" w:themeColor="text1"/>
        </w:rPr>
        <w:t>International Journal of Business and Social Science</w:t>
      </w:r>
      <w:r w:rsidRPr="00017A41">
        <w:rPr>
          <w:rFonts w:ascii="Arial" w:hAnsi="Arial" w:cs="Arial"/>
          <w:color w:val="000000" w:themeColor="text1"/>
        </w:rPr>
        <w:t>, [online] 14(4). doi:</w:t>
      </w:r>
      <w:hyperlink r:id="rId81" w:history="1">
        <w:r w:rsidRPr="00017A41">
          <w:rPr>
            <w:rStyle w:val="Hyperlink"/>
            <w:rFonts w:ascii="Arial" w:hAnsi="Arial" w:cs="Arial"/>
          </w:rPr>
          <w:t>https://doi.org/10.30845/ijbss.v14n4p4</w:t>
        </w:r>
      </w:hyperlink>
      <w:r w:rsidRPr="00017A41">
        <w:rPr>
          <w:rFonts w:ascii="Arial" w:hAnsi="Arial" w:cs="Arial"/>
          <w:color w:val="000000" w:themeColor="text1"/>
        </w:rPr>
        <w:t>.</w:t>
      </w:r>
    </w:p>
    <w:p w14:paraId="4C72858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Tao, J., Aamir, M., Shoaib, M., Yasir, N. and Babar, M. (2025). Bridging the Gap Between Supply Chain Risk and Organizational Performance Conditioning to Demand Uncertainty. </w:t>
      </w:r>
      <w:r w:rsidRPr="00017A41">
        <w:rPr>
          <w:rFonts w:ascii="Arial" w:hAnsi="Arial" w:cs="Arial"/>
          <w:i/>
          <w:color w:val="000000" w:themeColor="text1"/>
        </w:rPr>
        <w:t>Sustainability</w:t>
      </w:r>
      <w:r w:rsidRPr="00017A41">
        <w:rPr>
          <w:rFonts w:ascii="Arial" w:hAnsi="Arial" w:cs="Arial"/>
          <w:color w:val="000000" w:themeColor="text1"/>
        </w:rPr>
        <w:t>, 17(6), p.2462. doi:</w:t>
      </w:r>
      <w:hyperlink r:id="rId82" w:history="1">
        <w:r w:rsidRPr="00017A41">
          <w:rPr>
            <w:rStyle w:val="Hyperlink"/>
            <w:rFonts w:ascii="Arial" w:hAnsi="Arial" w:cs="Arial"/>
          </w:rPr>
          <w:t>https://doi.org/10.3390/su17062462</w:t>
        </w:r>
      </w:hyperlink>
      <w:r w:rsidRPr="00017A41">
        <w:rPr>
          <w:rFonts w:ascii="Arial" w:hAnsi="Arial" w:cs="Arial"/>
          <w:color w:val="000000" w:themeColor="text1"/>
        </w:rPr>
        <w:t>.</w:t>
      </w:r>
    </w:p>
    <w:p w14:paraId="607A49D0"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Teece, D., Peteraf, M. and Leih, S. (2016). Dynamic capabilities and organizational agility: Risk, uncertainty, and strategy in the innovation economy. </w:t>
      </w:r>
      <w:r w:rsidRPr="00017A41">
        <w:rPr>
          <w:rFonts w:ascii="Arial" w:hAnsi="Arial" w:cs="Arial"/>
          <w:i/>
          <w:color w:val="000000" w:themeColor="text1"/>
        </w:rPr>
        <w:t>California Management Review</w:t>
      </w:r>
      <w:r w:rsidRPr="00017A41">
        <w:rPr>
          <w:rFonts w:ascii="Arial" w:hAnsi="Arial" w:cs="Arial"/>
          <w:color w:val="000000" w:themeColor="text1"/>
        </w:rPr>
        <w:t>, 58(4), pp.13–35. doi:</w:t>
      </w:r>
      <w:hyperlink r:id="rId83" w:history="1">
        <w:r w:rsidRPr="00017A41">
          <w:rPr>
            <w:rStyle w:val="Hyperlink"/>
            <w:rFonts w:ascii="Arial" w:hAnsi="Arial" w:cs="Arial"/>
          </w:rPr>
          <w:t>https://doi.org/10.1525/cmr.2016.58.4.13</w:t>
        </w:r>
      </w:hyperlink>
      <w:r w:rsidRPr="00017A41">
        <w:rPr>
          <w:rFonts w:ascii="Arial" w:hAnsi="Arial" w:cs="Arial"/>
          <w:color w:val="000000" w:themeColor="text1"/>
        </w:rPr>
        <w:t>.</w:t>
      </w:r>
    </w:p>
    <w:p w14:paraId="4E6E975D"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Teece, D.J. and Pisano, G.P. (1994). </w:t>
      </w:r>
      <w:r w:rsidRPr="00017A41">
        <w:rPr>
          <w:rFonts w:ascii="Arial" w:hAnsi="Arial" w:cs="Arial"/>
          <w:i/>
          <w:color w:val="000000" w:themeColor="text1"/>
        </w:rPr>
        <w:t>The Dynamic Capabilities of Firms: An Introduction</w:t>
      </w:r>
      <w:r w:rsidRPr="00017A41">
        <w:rPr>
          <w:rFonts w:ascii="Arial" w:hAnsi="Arial" w:cs="Arial"/>
          <w:color w:val="000000" w:themeColor="text1"/>
        </w:rPr>
        <w:t xml:space="preserve">. [online] ResearchGate. Available at: </w:t>
      </w:r>
      <w:hyperlink r:id="rId84" w:history="1">
        <w:r w:rsidRPr="00017A41">
          <w:rPr>
            <w:rStyle w:val="Hyperlink"/>
            <w:rFonts w:ascii="Arial" w:hAnsi="Arial" w:cs="Arial"/>
          </w:rPr>
          <w:t>https://www.researchgate.net/publication/235362985_The_Dynamic_Capabilities_of_Firms_An_Introduction</w:t>
        </w:r>
      </w:hyperlink>
      <w:r w:rsidRPr="00017A41">
        <w:rPr>
          <w:rFonts w:ascii="Arial" w:hAnsi="Arial" w:cs="Arial"/>
          <w:color w:val="000000" w:themeColor="text1"/>
        </w:rPr>
        <w:t>.</w:t>
      </w:r>
    </w:p>
    <w:p w14:paraId="03B1ACB8"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lastRenderedPageBreak/>
        <w:t xml:space="preserve">The Manufacturing Growth Program (2020). </w:t>
      </w:r>
      <w:r w:rsidRPr="00017A41">
        <w:rPr>
          <w:rFonts w:ascii="Arial" w:hAnsi="Arial" w:cs="Arial"/>
          <w:i/>
          <w:color w:val="000000" w:themeColor="text1"/>
        </w:rPr>
        <w:t>Weaker supply chains are hitting SMEs looking to recover from Covid-19 | Manufacturing Growth Programme</w:t>
      </w:r>
      <w:r w:rsidRPr="00017A41">
        <w:rPr>
          <w:rFonts w:ascii="Arial" w:hAnsi="Arial" w:cs="Arial"/>
          <w:color w:val="000000" w:themeColor="text1"/>
        </w:rPr>
        <w:t xml:space="preserve">. [online] Manufacturinggrowthprogramme.co.uk. Available at: </w:t>
      </w:r>
      <w:hyperlink r:id="rId85" w:history="1">
        <w:r w:rsidRPr="00017A41">
          <w:rPr>
            <w:rStyle w:val="Hyperlink"/>
            <w:rFonts w:ascii="Arial" w:hAnsi="Arial" w:cs="Arial"/>
          </w:rPr>
          <w:t>https://www.manufacturinggrowthprogramme.co.uk/weaker-supply-chains-are-hitting-smes-looking-to-recover-from-covid-19/</w:t>
        </w:r>
      </w:hyperlink>
      <w:r w:rsidRPr="00017A41">
        <w:rPr>
          <w:rFonts w:ascii="Arial" w:hAnsi="Arial" w:cs="Arial"/>
          <w:color w:val="000000" w:themeColor="text1"/>
        </w:rPr>
        <w:t>.</w:t>
      </w:r>
    </w:p>
    <w:p w14:paraId="523BD1D4" w14:textId="77777777" w:rsidR="00C66902" w:rsidRPr="00017A41" w:rsidRDefault="00C66902" w:rsidP="00C66902">
      <w:pPr>
        <w:spacing w:line="360" w:lineRule="auto"/>
        <w:ind w:left="720" w:hanging="720"/>
        <w:jc w:val="both"/>
        <w:rPr>
          <w:rFonts w:ascii="Arial" w:hAnsi="Arial" w:cs="Arial"/>
          <w:color w:val="000000" w:themeColor="text1"/>
        </w:rPr>
      </w:pPr>
      <w:r w:rsidRPr="00017A41">
        <w:rPr>
          <w:rFonts w:ascii="Arial" w:hAnsi="Arial" w:cs="Arial"/>
          <w:color w:val="000000" w:themeColor="text1"/>
        </w:rPr>
        <w:t xml:space="preserve">Tyrrell, M. (2025). </w:t>
      </w:r>
      <w:r w:rsidRPr="00017A41">
        <w:rPr>
          <w:rFonts w:ascii="Arial" w:hAnsi="Arial" w:cs="Arial"/>
          <w:i/>
          <w:color w:val="000000" w:themeColor="text1"/>
        </w:rPr>
        <w:t>Make UK urges government to adopt Estonia-style business support</w:t>
      </w:r>
      <w:r w:rsidRPr="00017A41">
        <w:rPr>
          <w:rFonts w:ascii="Arial" w:hAnsi="Arial" w:cs="Arial"/>
          <w:color w:val="000000" w:themeColor="text1"/>
        </w:rPr>
        <w:t xml:space="preserve">. [online] @UKMFGNews. Available at: </w:t>
      </w:r>
      <w:hyperlink r:id="rId86" w:history="1">
        <w:r w:rsidRPr="00017A41">
          <w:rPr>
            <w:rStyle w:val="Hyperlink"/>
            <w:rFonts w:ascii="Arial" w:hAnsi="Arial" w:cs="Arial"/>
          </w:rPr>
          <w:t>https://www.pesmedia.com/make-uk-urges-government-to-adopt-estonia-style-business-support</w:t>
        </w:r>
      </w:hyperlink>
      <w:r w:rsidRPr="00017A41">
        <w:rPr>
          <w:rFonts w:ascii="Arial" w:hAnsi="Arial" w:cs="Arial"/>
          <w:color w:val="000000" w:themeColor="text1"/>
        </w:rPr>
        <w:t xml:space="preserve"> [Accessed 3 Dec. 2025].</w:t>
      </w:r>
    </w:p>
    <w:p w14:paraId="5BED9AB0" w14:textId="77777777" w:rsidR="00C66902" w:rsidRPr="00017A41" w:rsidRDefault="00C66902" w:rsidP="00C66902">
      <w:pPr>
        <w:spacing w:line="360" w:lineRule="auto"/>
        <w:ind w:left="720" w:hanging="720"/>
        <w:jc w:val="both"/>
        <w:rPr>
          <w:rFonts w:ascii="Arial" w:hAnsi="Arial" w:cs="Arial"/>
          <w:color w:val="000000" w:themeColor="text1"/>
        </w:rPr>
      </w:pPr>
      <w:r w:rsidRPr="00823C5E">
        <w:rPr>
          <w:rFonts w:ascii="Arial" w:hAnsi="Arial" w:cs="Arial"/>
          <w:color w:val="000000" w:themeColor="text1"/>
          <w:lang w:val="de-DE"/>
        </w:rPr>
        <w:t xml:space="preserve">Xu, Z., Elomri, A., Kerbache, L. and El Omri, A. (2020). </w:t>
      </w:r>
      <w:r w:rsidRPr="00017A41">
        <w:rPr>
          <w:rFonts w:ascii="Arial" w:hAnsi="Arial" w:cs="Arial"/>
          <w:color w:val="000000" w:themeColor="text1"/>
        </w:rPr>
        <w:t xml:space="preserve">Impacts of COVID-19 on Global Supply Chains: Facts and Perspectives. </w:t>
      </w:r>
      <w:r w:rsidRPr="00017A41">
        <w:rPr>
          <w:rFonts w:ascii="Arial" w:hAnsi="Arial" w:cs="Arial"/>
          <w:i/>
          <w:color w:val="000000" w:themeColor="text1"/>
        </w:rPr>
        <w:t>IEEE Engineering Management Review</w:t>
      </w:r>
      <w:r w:rsidRPr="00017A41">
        <w:rPr>
          <w:rFonts w:ascii="Arial" w:hAnsi="Arial" w:cs="Arial"/>
          <w:color w:val="000000" w:themeColor="text1"/>
        </w:rPr>
        <w:t>, [online] 48(3), pp.153–166. doi:</w:t>
      </w:r>
      <w:hyperlink r:id="rId87" w:history="1">
        <w:r w:rsidRPr="00017A41">
          <w:rPr>
            <w:rStyle w:val="Hyperlink"/>
            <w:rFonts w:ascii="Arial" w:hAnsi="Arial" w:cs="Arial"/>
          </w:rPr>
          <w:t>https://doi.org/10.1109/EMR.2020.3018420</w:t>
        </w:r>
      </w:hyperlink>
      <w:r w:rsidRPr="00017A41">
        <w:rPr>
          <w:rFonts w:ascii="Arial" w:hAnsi="Arial" w:cs="Arial"/>
          <w:color w:val="000000" w:themeColor="text1"/>
        </w:rPr>
        <w:t>.</w:t>
      </w:r>
    </w:p>
    <w:p w14:paraId="455448A0" w14:textId="77777777" w:rsidR="00C66902" w:rsidRPr="00017A41" w:rsidRDefault="00C66902" w:rsidP="00C66902">
      <w:pPr>
        <w:spacing w:line="360" w:lineRule="auto"/>
        <w:jc w:val="both"/>
        <w:rPr>
          <w:rFonts w:ascii="Arial" w:hAnsi="Arial" w:cs="Arial"/>
          <w:color w:val="000000" w:themeColor="text1"/>
        </w:rPr>
      </w:pPr>
    </w:p>
    <w:p w14:paraId="4D72F12D" w14:textId="77777777" w:rsidR="00C66902" w:rsidRPr="00017A41" w:rsidRDefault="00C66902" w:rsidP="00C66902">
      <w:pPr>
        <w:rPr>
          <w:rFonts w:ascii="Arial" w:hAnsi="Arial" w:cs="Arial"/>
        </w:rPr>
      </w:pPr>
    </w:p>
    <w:p w14:paraId="4D9B1706" w14:textId="77777777" w:rsidR="00C66902" w:rsidRPr="00017A41" w:rsidRDefault="00C66902" w:rsidP="00C66902">
      <w:pPr>
        <w:rPr>
          <w:rFonts w:ascii="Arial" w:hAnsi="Arial" w:cs="Arial"/>
        </w:rPr>
      </w:pPr>
    </w:p>
    <w:p w14:paraId="51CF2C8D" w14:textId="77777777" w:rsidR="00C66902" w:rsidRPr="00017A41" w:rsidRDefault="00C66902" w:rsidP="00C66902">
      <w:pPr>
        <w:rPr>
          <w:rFonts w:ascii="Arial" w:hAnsi="Arial" w:cs="Arial"/>
        </w:rPr>
      </w:pPr>
    </w:p>
    <w:p w14:paraId="6BAEA110" w14:textId="77777777" w:rsidR="00C66902" w:rsidRPr="00017A41" w:rsidRDefault="00C66902" w:rsidP="00743850">
      <w:pPr>
        <w:spacing w:line="360" w:lineRule="auto"/>
        <w:jc w:val="both"/>
        <w:rPr>
          <w:rFonts w:ascii="Arial" w:hAnsi="Arial" w:cs="Arial"/>
        </w:rPr>
      </w:pPr>
    </w:p>
    <w:sectPr w:rsidR="00C66902" w:rsidRPr="00017A41">
      <w:footerReference w:type="default" r:id="rId88"/>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6" w:author="Laila Maazouz" w:date="2025-11-27T14:31:00Z" w:initials="LM">
    <w:p w14:paraId="74638F44" w14:textId="77777777" w:rsidR="005711CF" w:rsidRDefault="005711CF" w:rsidP="005711CF">
      <w:pPr>
        <w:pStyle w:val="CommentText"/>
      </w:pPr>
      <w:r>
        <w:rPr>
          <w:rStyle w:val="CommentReference"/>
        </w:rPr>
        <w:annotationRef/>
      </w:r>
      <w:r>
        <w:t>For objective number 2, “To assess the impact of these disruptions on production efficiency, cost management, and overall business performance.” I cannot see that this has been critically analysed in the literature review. Please highlight it if you’ve done already or add section critically analysing these objective.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4638F4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D5C337F" w16cex:dateUtc="2025-11-27T14: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4638F44" w16cid:durableId="0D5C337F"/>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DA454F" w14:textId="77777777" w:rsidR="000D0FF1" w:rsidRDefault="000D0FF1">
      <w:pPr>
        <w:spacing w:line="240" w:lineRule="auto"/>
      </w:pPr>
      <w:r>
        <w:separator/>
      </w:r>
    </w:p>
  </w:endnote>
  <w:endnote w:type="continuationSeparator" w:id="0">
    <w:p w14:paraId="4BEFBACF" w14:textId="77777777" w:rsidR="000D0FF1" w:rsidRDefault="000D0F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5081210"/>
      <w:docPartObj>
        <w:docPartGallery w:val="AutoText"/>
      </w:docPartObj>
    </w:sdtPr>
    <w:sdtEndPr/>
    <w:sdtContent>
      <w:p w14:paraId="7C9AB90F" w14:textId="4A637629" w:rsidR="002E7566" w:rsidRDefault="005711CF">
        <w:pPr>
          <w:pStyle w:val="Footer"/>
          <w:jc w:val="right"/>
        </w:pPr>
        <w:r>
          <w:fldChar w:fldCharType="begin"/>
        </w:r>
        <w:r>
          <w:instrText xml:space="preserve"> PAGE   \* MERGEFORMAT </w:instrText>
        </w:r>
        <w:r>
          <w:fldChar w:fldCharType="separate"/>
        </w:r>
        <w:r w:rsidR="0086011E">
          <w:rPr>
            <w:noProof/>
          </w:rPr>
          <w:t>4</w:t>
        </w:r>
        <w:r>
          <w:fldChar w:fldCharType="end"/>
        </w:r>
      </w:p>
    </w:sdtContent>
  </w:sdt>
  <w:p w14:paraId="56BA5E2C" w14:textId="77777777" w:rsidR="002E7566" w:rsidRDefault="002E75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E7C1E8" w14:textId="77777777" w:rsidR="000D0FF1" w:rsidRDefault="000D0FF1">
      <w:pPr>
        <w:spacing w:after="0"/>
      </w:pPr>
      <w:r>
        <w:separator/>
      </w:r>
    </w:p>
  </w:footnote>
  <w:footnote w:type="continuationSeparator" w:id="0">
    <w:p w14:paraId="500EF3E6" w14:textId="77777777" w:rsidR="000D0FF1" w:rsidRDefault="000D0FF1">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D07D4"/>
    <w:multiLevelType w:val="multilevel"/>
    <w:tmpl w:val="49162200"/>
    <w:lvl w:ilvl="0">
      <w:start w:val="1"/>
      <w:numFmt w:val="bullet"/>
      <w:lvlText w:val=""/>
      <w:lvlJc w:val="left"/>
      <w:pPr>
        <w:tabs>
          <w:tab w:val="left" w:pos="720"/>
        </w:tabs>
        <w:ind w:left="720" w:hanging="360"/>
      </w:pPr>
      <w:rPr>
        <w:rFonts w:ascii="Symbol" w:hAnsi="Symbol"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1" w15:restartNumberingAfterBreak="0">
    <w:nsid w:val="1A461AFD"/>
    <w:multiLevelType w:val="hybridMultilevel"/>
    <w:tmpl w:val="D9C8504C"/>
    <w:lvl w:ilvl="0" w:tplc="06D4702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F46C7"/>
    <w:multiLevelType w:val="multilevel"/>
    <w:tmpl w:val="2D5F46C7"/>
    <w:lvl w:ilvl="0">
      <w:start w:val="1"/>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3" w15:restartNumberingAfterBreak="0">
    <w:nsid w:val="2DD1622A"/>
    <w:multiLevelType w:val="multilevel"/>
    <w:tmpl w:val="4108367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83A3DE4"/>
    <w:multiLevelType w:val="multilevel"/>
    <w:tmpl w:val="49162200"/>
    <w:lvl w:ilvl="0">
      <w:start w:val="1"/>
      <w:numFmt w:val="bullet"/>
      <w:lvlText w:val=""/>
      <w:lvlJc w:val="left"/>
      <w:pPr>
        <w:tabs>
          <w:tab w:val="left" w:pos="720"/>
        </w:tabs>
        <w:ind w:left="720" w:hanging="360"/>
      </w:pPr>
      <w:rPr>
        <w:rFonts w:ascii="Symbol" w:hAnsi="Symbol"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3"/>
  </w:num>
  <w:num w:numId="4">
    <w:abstractNumId w:val="4"/>
  </w:num>
  <w:num w:numId="5">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aila Maazouz">
    <w15:presenceInfo w15:providerId="AD" w15:userId="S::l.maazouz@uwtsd.ac.uk::78f83201-ce9e-46c5-9371-8a0736bf557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oNotDisplayPageBoundaries/>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261"/>
    <w:rsid w:val="00017A41"/>
    <w:rsid w:val="0002096B"/>
    <w:rsid w:val="00043A4E"/>
    <w:rsid w:val="00065057"/>
    <w:rsid w:val="000B40B7"/>
    <w:rsid w:val="000B638C"/>
    <w:rsid w:val="000D0FF1"/>
    <w:rsid w:val="00136126"/>
    <w:rsid w:val="001817A3"/>
    <w:rsid w:val="00182399"/>
    <w:rsid w:val="001A52BF"/>
    <w:rsid w:val="001A6581"/>
    <w:rsid w:val="001B58A8"/>
    <w:rsid w:val="001E4128"/>
    <w:rsid w:val="00296C42"/>
    <w:rsid w:val="002C0E65"/>
    <w:rsid w:val="002E7566"/>
    <w:rsid w:val="00320047"/>
    <w:rsid w:val="00327CED"/>
    <w:rsid w:val="003D13A2"/>
    <w:rsid w:val="003D1BD9"/>
    <w:rsid w:val="00411C08"/>
    <w:rsid w:val="00470C64"/>
    <w:rsid w:val="005514C9"/>
    <w:rsid w:val="005711CF"/>
    <w:rsid w:val="005A16DE"/>
    <w:rsid w:val="005D666B"/>
    <w:rsid w:val="005E74EF"/>
    <w:rsid w:val="00604B11"/>
    <w:rsid w:val="00607D14"/>
    <w:rsid w:val="006F390C"/>
    <w:rsid w:val="0074184E"/>
    <w:rsid w:val="00743850"/>
    <w:rsid w:val="0077424C"/>
    <w:rsid w:val="007B42D6"/>
    <w:rsid w:val="007F29DA"/>
    <w:rsid w:val="00823C5E"/>
    <w:rsid w:val="0086011E"/>
    <w:rsid w:val="008D7394"/>
    <w:rsid w:val="008F45A3"/>
    <w:rsid w:val="00932B8F"/>
    <w:rsid w:val="009349E5"/>
    <w:rsid w:val="00945289"/>
    <w:rsid w:val="009D7913"/>
    <w:rsid w:val="009F5E5F"/>
    <w:rsid w:val="00A6108B"/>
    <w:rsid w:val="00A722F6"/>
    <w:rsid w:val="00AD6386"/>
    <w:rsid w:val="00B07382"/>
    <w:rsid w:val="00B10185"/>
    <w:rsid w:val="00BB5034"/>
    <w:rsid w:val="00BC13B7"/>
    <w:rsid w:val="00C32BB7"/>
    <w:rsid w:val="00C66902"/>
    <w:rsid w:val="00C75064"/>
    <w:rsid w:val="00C87D9E"/>
    <w:rsid w:val="00D07ECC"/>
    <w:rsid w:val="00D235F4"/>
    <w:rsid w:val="00D72358"/>
    <w:rsid w:val="00D80577"/>
    <w:rsid w:val="00D9718F"/>
    <w:rsid w:val="00D973FE"/>
    <w:rsid w:val="00E01CDF"/>
    <w:rsid w:val="00E06DFA"/>
    <w:rsid w:val="00E53148"/>
    <w:rsid w:val="00E541D5"/>
    <w:rsid w:val="00F05C45"/>
    <w:rsid w:val="00F55246"/>
    <w:rsid w:val="00F809F4"/>
    <w:rsid w:val="00F92095"/>
    <w:rsid w:val="00FE6C60"/>
    <w:rsid w:val="00FF5261"/>
    <w:rsid w:val="251676F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CA98B"/>
  <w15:docId w15:val="{C687747A-BC1B-4F0B-804D-1A77BAEFB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78" w:lineRule="auto"/>
    </w:pPr>
    <w:rPr>
      <w:rFonts w:asciiTheme="minorHAnsi" w:eastAsiaTheme="minorHAnsi" w:hAnsiTheme="minorHAnsi" w:cstheme="minorBidi"/>
      <w:kern w:val="2"/>
      <w:sz w:val="24"/>
      <w:szCs w:val="24"/>
      <w:lang w:val="en-US"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Revision">
    <w:name w:val="Revision"/>
    <w:hidden/>
    <w:uiPriority w:val="99"/>
    <w:unhideWhenUsed/>
    <w:rsid w:val="00E53148"/>
    <w:rPr>
      <w:rFonts w:asciiTheme="minorHAnsi" w:eastAsiaTheme="minorHAnsi" w:hAnsiTheme="minorHAnsi" w:cstheme="minorBidi"/>
      <w:kern w:val="2"/>
      <w:sz w:val="24"/>
      <w:szCs w:val="24"/>
      <w:lang w:val="en-US" w:eastAsia="en-US"/>
      <w14:ligatures w14:val="standardContextual"/>
    </w:rPr>
  </w:style>
  <w:style w:type="character" w:styleId="CommentReference">
    <w:name w:val="annotation reference"/>
    <w:basedOn w:val="DefaultParagraphFont"/>
    <w:uiPriority w:val="99"/>
    <w:semiHidden/>
    <w:unhideWhenUsed/>
    <w:rsid w:val="005711CF"/>
    <w:rPr>
      <w:sz w:val="16"/>
      <w:szCs w:val="16"/>
    </w:rPr>
  </w:style>
  <w:style w:type="paragraph" w:styleId="CommentText">
    <w:name w:val="annotation text"/>
    <w:basedOn w:val="Normal"/>
    <w:link w:val="CommentTextChar"/>
    <w:uiPriority w:val="99"/>
    <w:unhideWhenUsed/>
    <w:rsid w:val="005711CF"/>
    <w:pPr>
      <w:spacing w:line="240" w:lineRule="auto"/>
    </w:pPr>
    <w:rPr>
      <w:sz w:val="20"/>
      <w:szCs w:val="20"/>
    </w:rPr>
  </w:style>
  <w:style w:type="character" w:customStyle="1" w:styleId="CommentTextChar">
    <w:name w:val="Comment Text Char"/>
    <w:basedOn w:val="DefaultParagraphFont"/>
    <w:link w:val="CommentText"/>
    <w:uiPriority w:val="99"/>
    <w:rsid w:val="005711CF"/>
    <w:rPr>
      <w:rFonts w:asciiTheme="minorHAnsi" w:eastAsiaTheme="minorHAnsi" w:hAnsiTheme="minorHAnsi" w:cstheme="minorBidi"/>
      <w:kern w:val="2"/>
      <w:lang w:val="en-US" w:eastAsia="en-US"/>
      <w14:ligatures w14:val="standardContextual"/>
    </w:rPr>
  </w:style>
  <w:style w:type="paragraph" w:styleId="CommentSubject">
    <w:name w:val="annotation subject"/>
    <w:basedOn w:val="CommentText"/>
    <w:next w:val="CommentText"/>
    <w:link w:val="CommentSubjectChar"/>
    <w:uiPriority w:val="99"/>
    <w:semiHidden/>
    <w:unhideWhenUsed/>
    <w:rsid w:val="005711CF"/>
    <w:rPr>
      <w:b/>
      <w:bCs/>
    </w:rPr>
  </w:style>
  <w:style w:type="character" w:customStyle="1" w:styleId="CommentSubjectChar">
    <w:name w:val="Comment Subject Char"/>
    <w:basedOn w:val="CommentTextChar"/>
    <w:link w:val="CommentSubject"/>
    <w:uiPriority w:val="99"/>
    <w:semiHidden/>
    <w:rsid w:val="005711CF"/>
    <w:rPr>
      <w:rFonts w:asciiTheme="minorHAnsi" w:eastAsiaTheme="minorHAnsi" w:hAnsiTheme="minorHAnsi" w:cstheme="minorBidi"/>
      <w:b/>
      <w:bCs/>
      <w:kern w:val="2"/>
      <w:lang w:val="en-US" w:eastAsia="en-US"/>
      <w14:ligatures w14:val="standardContextual"/>
    </w:rPr>
  </w:style>
  <w:style w:type="paragraph" w:styleId="Caption">
    <w:name w:val="caption"/>
    <w:basedOn w:val="Normal"/>
    <w:next w:val="Normal"/>
    <w:uiPriority w:val="35"/>
    <w:unhideWhenUsed/>
    <w:qFormat/>
    <w:rsid w:val="00D72358"/>
    <w:pPr>
      <w:spacing w:after="200" w:line="240" w:lineRule="auto"/>
    </w:pPr>
    <w:rPr>
      <w:i/>
      <w:iCs/>
      <w:color w:val="44546A" w:themeColor="text2"/>
      <w:sz w:val="18"/>
      <w:szCs w:val="18"/>
    </w:rPr>
  </w:style>
  <w:style w:type="table" w:styleId="TableGrid">
    <w:name w:val="Table Grid"/>
    <w:basedOn w:val="TableNormal"/>
    <w:uiPriority w:val="39"/>
    <w:rsid w:val="00BC13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13B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D235F4"/>
    <w:rPr>
      <w:color w:val="0563C1" w:themeColor="hyperlink"/>
      <w:u w:val="single"/>
    </w:rPr>
  </w:style>
  <w:style w:type="character" w:customStyle="1" w:styleId="UnresolvedMention1">
    <w:name w:val="Unresolved Mention1"/>
    <w:basedOn w:val="DefaultParagraphFont"/>
    <w:uiPriority w:val="99"/>
    <w:semiHidden/>
    <w:unhideWhenUsed/>
    <w:rsid w:val="00D235F4"/>
    <w:rPr>
      <w:color w:val="605E5C"/>
      <w:shd w:val="clear" w:color="auto" w:fill="E1DFDD"/>
    </w:rPr>
  </w:style>
  <w:style w:type="character" w:styleId="IntenseEmphasis">
    <w:name w:val="Intense Emphasis"/>
    <w:basedOn w:val="DefaultParagraphFont"/>
    <w:uiPriority w:val="21"/>
    <w:qFormat/>
    <w:rsid w:val="00607D14"/>
    <w:rPr>
      <w:i/>
      <w:iCs/>
      <w:color w:val="2F5496" w:themeColor="accent1" w:themeShade="BF"/>
    </w:rPr>
  </w:style>
  <w:style w:type="character" w:styleId="IntenseReference">
    <w:name w:val="Intense Reference"/>
    <w:basedOn w:val="DefaultParagraphFont"/>
    <w:uiPriority w:val="32"/>
    <w:qFormat/>
    <w:rsid w:val="00607D14"/>
    <w:rPr>
      <w:b/>
      <w:bCs/>
      <w:smallCaps/>
      <w:color w:val="2F5496" w:themeColor="accent1" w:themeShade="BF"/>
      <w:spacing w:val="5"/>
    </w:rPr>
  </w:style>
  <w:style w:type="character" w:customStyle="1" w:styleId="font41">
    <w:name w:val="font41"/>
    <w:basedOn w:val="DefaultParagraphFont"/>
    <w:rsid w:val="00743850"/>
    <w:rPr>
      <w:rFonts w:ascii="Arial" w:hAnsi="Arial" w:cs="Arial" w:hint="default"/>
      <w:b w:val="0"/>
      <w:bCs w:val="0"/>
      <w:i w:val="0"/>
      <w:iCs w:val="0"/>
      <w:strike w:val="0"/>
      <w:dstrike w:val="0"/>
      <w:color w:val="000000"/>
      <w:sz w:val="18"/>
      <w:szCs w:val="18"/>
      <w:u w:val="none"/>
      <w:effect w:val="none"/>
    </w:rPr>
  </w:style>
  <w:style w:type="character" w:customStyle="1" w:styleId="font51">
    <w:name w:val="font51"/>
    <w:basedOn w:val="DefaultParagraphFont"/>
    <w:rsid w:val="00743850"/>
    <w:rPr>
      <w:rFonts w:ascii="Arial" w:hAnsi="Arial" w:cs="Arial" w:hint="default"/>
      <w:b w:val="0"/>
      <w:bCs w:val="0"/>
      <w:i w:val="0"/>
      <w:iCs w:val="0"/>
      <w:strike w:val="0"/>
      <w:dstrike w:val="0"/>
      <w:color w:val="000000"/>
      <w:sz w:val="18"/>
      <w:szCs w:val="18"/>
      <w:u w:val="none"/>
      <w:effect w:val="none"/>
      <w:vertAlign w:val="superscript"/>
    </w:rPr>
  </w:style>
  <w:style w:type="character" w:customStyle="1" w:styleId="font61">
    <w:name w:val="font61"/>
    <w:basedOn w:val="DefaultParagraphFont"/>
    <w:rsid w:val="00743850"/>
    <w:rPr>
      <w:rFonts w:ascii="Arial" w:hAnsi="Arial" w:cs="Arial" w:hint="default"/>
      <w:b w:val="0"/>
      <w:bCs w:val="0"/>
      <w:i w:val="0"/>
      <w:iCs w:val="0"/>
      <w:strike w:val="0"/>
      <w:dstrike w:val="0"/>
      <w:color w:val="000000"/>
      <w:sz w:val="18"/>
      <w:szCs w:val="18"/>
      <w:u w:val="none"/>
      <w:effect w:val="none"/>
    </w:rPr>
  </w:style>
  <w:style w:type="character" w:customStyle="1" w:styleId="font71">
    <w:name w:val="font71"/>
    <w:basedOn w:val="DefaultParagraphFont"/>
    <w:rsid w:val="00743850"/>
    <w:rPr>
      <w:rFonts w:ascii="Arial" w:hAnsi="Arial" w:cs="Arial" w:hint="default"/>
      <w:b w:val="0"/>
      <w:bCs w:val="0"/>
      <w:i w:val="0"/>
      <w:iCs w:val="0"/>
      <w:strike w:val="0"/>
      <w:dstrike w:val="0"/>
      <w:color w:val="000000"/>
      <w:sz w:val="18"/>
      <w:szCs w:val="18"/>
      <w:u w:val="none"/>
      <w:effect w:val="none"/>
      <w:vertAlign w:val="superscript"/>
    </w:rPr>
  </w:style>
  <w:style w:type="paragraph" w:styleId="TOCHeading">
    <w:name w:val="TOC Heading"/>
    <w:basedOn w:val="Heading1"/>
    <w:next w:val="Normal"/>
    <w:uiPriority w:val="39"/>
    <w:unhideWhenUsed/>
    <w:qFormat/>
    <w:rsid w:val="007F29D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F29DA"/>
    <w:pPr>
      <w:spacing w:after="100"/>
    </w:pPr>
  </w:style>
  <w:style w:type="paragraph" w:styleId="TOC2">
    <w:name w:val="toc 2"/>
    <w:basedOn w:val="Normal"/>
    <w:next w:val="Normal"/>
    <w:autoRedefine/>
    <w:uiPriority w:val="39"/>
    <w:unhideWhenUsed/>
    <w:rsid w:val="007F29DA"/>
    <w:pPr>
      <w:spacing w:after="100"/>
      <w:ind w:left="240"/>
    </w:pPr>
  </w:style>
  <w:style w:type="paragraph" w:styleId="TOC3">
    <w:name w:val="toc 3"/>
    <w:basedOn w:val="Normal"/>
    <w:next w:val="Normal"/>
    <w:autoRedefine/>
    <w:uiPriority w:val="39"/>
    <w:unhideWhenUsed/>
    <w:rsid w:val="007F29DA"/>
    <w:pPr>
      <w:spacing w:after="100"/>
      <w:ind w:left="480"/>
    </w:pPr>
  </w:style>
  <w:style w:type="paragraph" w:styleId="TableofFigures">
    <w:name w:val="table of figures"/>
    <w:basedOn w:val="Normal"/>
    <w:next w:val="Normal"/>
    <w:uiPriority w:val="99"/>
    <w:unhideWhenUsed/>
    <w:rsid w:val="007F29DA"/>
    <w:pPr>
      <w:spacing w:after="0"/>
    </w:pPr>
  </w:style>
  <w:style w:type="paragraph" w:customStyle="1" w:styleId="s6">
    <w:name w:val="s6"/>
    <w:basedOn w:val="Normal"/>
    <w:rsid w:val="00F05C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F05C45"/>
  </w:style>
  <w:style w:type="paragraph" w:customStyle="1" w:styleId="s7">
    <w:name w:val="s7"/>
    <w:basedOn w:val="Normal"/>
    <w:rsid w:val="00F05C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alloonText">
    <w:name w:val="Balloon Text"/>
    <w:basedOn w:val="Normal"/>
    <w:link w:val="BalloonTextChar"/>
    <w:uiPriority w:val="99"/>
    <w:semiHidden/>
    <w:unhideWhenUsed/>
    <w:rsid w:val="007742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24C"/>
    <w:rPr>
      <w:rFonts w:ascii="Segoe UI" w:eastAsiaTheme="minorHAnsi" w:hAnsi="Segoe UI" w:cs="Segoe UI"/>
      <w:kern w:val="2"/>
      <w:sz w:val="18"/>
      <w:szCs w:val="18"/>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doi.org/10.59400/fefs.v2i1.343" TargetMode="External"/><Relationship Id="rId21" Type="http://schemas.openxmlformats.org/officeDocument/2006/relationships/image" Target="media/image12.png"/><Relationship Id="rId34" Type="http://schemas.openxmlformats.org/officeDocument/2006/relationships/hyperlink" Target="https://doi.org/10.3390/su17104495" TargetMode="External"/><Relationship Id="rId42" Type="http://schemas.openxmlformats.org/officeDocument/2006/relationships/hyperlink" Target="https://doi.org/10.1007/s11187-025-01105-3" TargetMode="External"/><Relationship Id="rId47" Type="http://schemas.openxmlformats.org/officeDocument/2006/relationships/hyperlink" Target="https://doi.org/10.1016/j.jik.2024.100610" TargetMode="External"/><Relationship Id="rId50" Type="http://schemas.openxmlformats.org/officeDocument/2006/relationships/hyperlink" Target="https://doi.org/10.5089/9781513536156.001.A001" TargetMode="External"/><Relationship Id="rId55" Type="http://schemas.openxmlformats.org/officeDocument/2006/relationships/hyperlink" Target="https://doi.org/10.3390/risks9010016" TargetMode="External"/><Relationship Id="rId63" Type="http://schemas.openxmlformats.org/officeDocument/2006/relationships/hyperlink" Target="https://doi.org/10.1109/tem.2024.3514701" TargetMode="External"/><Relationship Id="rId68" Type="http://schemas.openxmlformats.org/officeDocument/2006/relationships/hyperlink" Target="https://www.researchgate.net/publication/45072517_The_Resource-Based_View_RBV_Issues_and_Perspectives" TargetMode="External"/><Relationship Id="rId76" Type="http://schemas.openxmlformats.org/officeDocument/2006/relationships/hyperlink" Target="https://doi.org/10.1016/j.jclepro.2024.140718" TargetMode="External"/><Relationship Id="rId84" Type="http://schemas.openxmlformats.org/officeDocument/2006/relationships/hyperlink" Target="https://www.researchgate.net/publication/235362985_The_Dynamic_Capabilities_of_Firms_An_Introduction" TargetMode="External"/><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56201/ijssmr.v10.no11.2024.pg.403.413" TargetMode="External"/><Relationship Id="rId92"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doi.org/10.1007/s11187-025-01014-5" TargetMode="External"/><Relationship Id="rId40" Type="http://schemas.openxmlformats.org/officeDocument/2006/relationships/hyperlink" Target="https://doi.org/10.1287/orsc.2017.1193" TargetMode="External"/><Relationship Id="rId45" Type="http://schemas.openxmlformats.org/officeDocument/2006/relationships/hyperlink" Target="https://assets.publishing.service.gov.uk/media/6304e2ec8fa8f5536aea070b/barriers-of-exporting-businesses-and-the-role-of-export-promotion-in-addressing-them.pdf" TargetMode="External"/><Relationship Id="rId53" Type="http://schemas.openxmlformats.org/officeDocument/2006/relationships/hyperlink" Target="https://doi.org/10.1016/j.fmre.2024.08.002" TargetMode="External"/><Relationship Id="rId58" Type="http://schemas.openxmlformats.org/officeDocument/2006/relationships/hyperlink" Target="https://doi.org/10.3390/pr9040596" TargetMode="External"/><Relationship Id="rId66" Type="http://schemas.openxmlformats.org/officeDocument/2006/relationships/hyperlink" Target="https://www.mckinsey.com/industries/public-sector/our-insights/beyond-financials-helping-small-and-medium-size-enterprises-thrive" TargetMode="External"/><Relationship Id="rId74" Type="http://schemas.openxmlformats.org/officeDocument/2006/relationships/hyperlink" Target="https://doi.org/10.1504/ijbhr.2011.043414" TargetMode="External"/><Relationship Id="rId79" Type="http://schemas.openxmlformats.org/officeDocument/2006/relationships/hyperlink" Target="https://doi.org/10.1007/s11135-023-01801-w" TargetMode="External"/><Relationship Id="rId87" Type="http://schemas.openxmlformats.org/officeDocument/2006/relationships/hyperlink" Target="https://doi.org/10.1109/EMR.2020.3018420" TargetMode="External"/><Relationship Id="rId5" Type="http://schemas.openxmlformats.org/officeDocument/2006/relationships/webSettings" Target="webSettings.xml"/><Relationship Id="rId61" Type="http://schemas.openxmlformats.org/officeDocument/2006/relationships/hyperlink" Target="https://doi.org/10.18034/ajtp.v11i1.719" TargetMode="External"/><Relationship Id="rId82" Type="http://schemas.openxmlformats.org/officeDocument/2006/relationships/hyperlink" Target="https://doi.org/10.3390/su17062462" TargetMode="External"/><Relationship Id="rId90" Type="http://schemas.microsoft.com/office/2011/relationships/people" Target="peop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doi.org/10.3390/logistics6030047" TargetMode="External"/><Relationship Id="rId43" Type="http://schemas.openxmlformats.org/officeDocument/2006/relationships/hyperlink" Target="https://doi.org/10.1007/s11356-022-22221-7" TargetMode="External"/><Relationship Id="rId48" Type="http://schemas.openxmlformats.org/officeDocument/2006/relationships/hyperlink" Target="https://doi.org/10.1108/jeee-03-2022-0084" TargetMode="External"/><Relationship Id="rId56" Type="http://schemas.openxmlformats.org/officeDocument/2006/relationships/hyperlink" Target="https://doi.org/10.1016/j.jik.2025.100728" TargetMode="External"/><Relationship Id="rId64" Type="http://schemas.openxmlformats.org/officeDocument/2006/relationships/hyperlink" Target="https://doi.org/10.14254/1800-5845/2020.16-1.6" TargetMode="External"/><Relationship Id="rId69" Type="http://schemas.openxmlformats.org/officeDocument/2006/relationships/hyperlink" Target="https://doi.org/10.59256/ijire.20240502025" TargetMode="External"/><Relationship Id="rId77" Type="http://schemas.openxmlformats.org/officeDocument/2006/relationships/hyperlink" Target="https://doi.org/10.3390/su17136167" TargetMode="External"/><Relationship Id="rId8" Type="http://schemas.openxmlformats.org/officeDocument/2006/relationships/image" Target="media/image1.jpeg"/><Relationship Id="rId51" Type="http://schemas.openxmlformats.org/officeDocument/2006/relationships/hyperlink" Target="https://www.gov.uk/government/statistics/business-population-estimates-2024/business-population-estimates-for-the-uk-and-regions-2024-statistical-release" TargetMode="External"/><Relationship Id="rId72" Type="http://schemas.openxmlformats.org/officeDocument/2006/relationships/hyperlink" Target="https://doi.org/10.1016/j.intman.2021.100876" TargetMode="External"/><Relationship Id="rId80" Type="http://schemas.openxmlformats.org/officeDocument/2006/relationships/hyperlink" Target="https://doi.org/10.1016/j.lansea.2024.100415" TargetMode="External"/><Relationship Id="rId85" Type="http://schemas.openxmlformats.org/officeDocument/2006/relationships/hyperlink" Target="https://www.manufacturinggrowthprogramme.co.uk/weaker-supply-chains-are-hitting-smes-looking-to-recover-from-covid-19/" TargetMode="External"/><Relationship Id="rId93" Type="http://schemas.microsoft.com/office/2018/08/relationships/commentsExtensible" Target="commentsExtensi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doi.org/10.3390/su16188031" TargetMode="External"/><Relationship Id="rId38" Type="http://schemas.openxmlformats.org/officeDocument/2006/relationships/hyperlink" Target="https://doi.org/10.3346/jkms.2022.37.e121" TargetMode="External"/><Relationship Id="rId46" Type="http://schemas.openxmlformats.org/officeDocument/2006/relationships/hyperlink" Target="https://doi.org/10.11648/j.ajtas.20160501.11" TargetMode="External"/><Relationship Id="rId59" Type="http://schemas.openxmlformats.org/officeDocument/2006/relationships/hyperlink" Target="https://www.ivalua.com/press-releases/uk-businesses-in-the-middle-of-a-chain-reaction-with-nearly-half-experiencing-a-surge-in-supply-chain-disruption/" TargetMode="External"/><Relationship Id="rId67" Type="http://schemas.openxmlformats.org/officeDocument/2006/relationships/hyperlink" Target="https://doi.org/10.54518/rh.2.6.2022.587-596" TargetMode="External"/><Relationship Id="rId20" Type="http://schemas.openxmlformats.org/officeDocument/2006/relationships/image" Target="media/image11.png"/><Relationship Id="rId41" Type="http://schemas.openxmlformats.org/officeDocument/2006/relationships/hyperlink" Target="https://www.foreigntradejournal.com/article/view/152/7-1-21" TargetMode="External"/><Relationship Id="rId54" Type="http://schemas.openxmlformats.org/officeDocument/2006/relationships/hyperlink" Target="https://doi.org/10.1016/j.jbusres.2022.113407" TargetMode="External"/><Relationship Id="rId62" Type="http://schemas.openxmlformats.org/officeDocument/2006/relationships/hyperlink" Target="https://doi.org/10.18280/ijsdp.181016" TargetMode="External"/><Relationship Id="rId70" Type="http://schemas.openxmlformats.org/officeDocument/2006/relationships/hyperlink" Target="https://doi.org/10.1177/21582440251393994" TargetMode="External"/><Relationship Id="rId75" Type="http://schemas.openxmlformats.org/officeDocument/2006/relationships/hyperlink" Target="https://doi.org/10.1002/bse.730" TargetMode="External"/><Relationship Id="rId83" Type="http://schemas.openxmlformats.org/officeDocument/2006/relationships/hyperlink" Target="https://doi.org/10.1525/cmr.2016.58.4.13" TargetMode="External"/><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doi.org/10.1007/s13753-020-00247-0" TargetMode="External"/><Relationship Id="rId49" Type="http://schemas.openxmlformats.org/officeDocument/2006/relationships/hyperlink" Target="https://doi.org/10.14738/abr.1305.18667" TargetMode="External"/><Relationship Id="rId57" Type="http://schemas.openxmlformats.org/officeDocument/2006/relationships/hyperlink" Target="https://doi.org/10.1016/j.lrp.2025.102525" TargetMode="External"/><Relationship Id="rId10" Type="http://schemas.microsoft.com/office/2011/relationships/commentsExtended" Target="commentsExtended.xml"/><Relationship Id="rId31" Type="http://schemas.openxmlformats.org/officeDocument/2006/relationships/image" Target="media/image22.png"/><Relationship Id="rId44" Type="http://schemas.openxmlformats.org/officeDocument/2006/relationships/hyperlink" Target="https://doi.org/10.2307/259056" TargetMode="External"/><Relationship Id="rId52" Type="http://schemas.openxmlformats.org/officeDocument/2006/relationships/hyperlink" Target="https://www.gov.uk/government/publications/beis-small-and-medium-enterprises-sme-action-plan-2022-to-2025/beis-small-and-medium-enterprises-smes-action-plan-2022-to-2025-accessible-webpage" TargetMode="External"/><Relationship Id="rId60" Type="http://schemas.openxmlformats.org/officeDocument/2006/relationships/hyperlink" Target="https://doi.org/10.53703/001c.125910" TargetMode="External"/><Relationship Id="rId65" Type="http://schemas.openxmlformats.org/officeDocument/2006/relationships/hyperlink" Target="https://doi.org/10.1177/001316447003000308" TargetMode="External"/><Relationship Id="rId73" Type="http://schemas.openxmlformats.org/officeDocument/2006/relationships/hyperlink" Target="https://doi.org/10.3390/su151612665" TargetMode="External"/><Relationship Id="rId78" Type="http://schemas.openxmlformats.org/officeDocument/2006/relationships/hyperlink" Target="https://thedocs.worldbank.org/en/doc/3e5537ac17a795823a3e3c46b12c0351-0050022023/related/30-Brexit-Trade-in-Intermediates-and-Global-Value-Chains-Beyond-the-UK-and-the-EU.pdf" TargetMode="External"/><Relationship Id="rId81" Type="http://schemas.openxmlformats.org/officeDocument/2006/relationships/hyperlink" Target="https://doi.org/10.30845/ijbss.v14n4p4" TargetMode="External"/><Relationship Id="rId86" Type="http://schemas.openxmlformats.org/officeDocument/2006/relationships/hyperlink" Target="https://www.pesmedia.com/make-uk-urges-government-to-adopt-estonia-style-business-support" TargetMode="External"/><Relationship Id="rId4" Type="http://schemas.openxmlformats.org/officeDocument/2006/relationships/settings" Target="settings.xml"/><Relationship Id="rId9"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82376-7D46-473F-8921-41E42DF6C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21033</Words>
  <Characters>119894</Characters>
  <Application>Microsoft Office Word</Application>
  <DocSecurity>0</DocSecurity>
  <Lines>999</Lines>
  <Paragraphs>281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Amit Vaghela</dc:creator>
  <cp:lastModifiedBy>Amitkumar Jayantibhai Vaghela (2420384)</cp:lastModifiedBy>
  <cp:revision>3</cp:revision>
  <dcterms:created xsi:type="dcterms:W3CDTF">2026-02-02T20:13:00Z</dcterms:created>
  <dcterms:modified xsi:type="dcterms:W3CDTF">2026-02-02T20:13:00Z</dcterms:modified>
</cp:coreProperties>
</file>