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1C22023">
      <w:r>
        <w:drawing>
          <wp:inline distT="114300" distB="114300" distL="114300" distR="114300">
            <wp:extent cx="1680845" cy="66738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8"/>
                    <a:srcRect/>
                    <a:stretch>
                      <a:fillRect/>
                    </a:stretch>
                  </pic:blipFill>
                  <pic:spPr>
                    <a:xfrm>
                      <a:off x="0" y="0"/>
                      <a:ext cx="1681163" cy="667751"/>
                    </a:xfrm>
                    <a:prstGeom prst="rect">
                      <a:avLst/>
                    </a:prstGeom>
                  </pic:spPr>
                </pic:pic>
              </a:graphicData>
            </a:graphic>
          </wp:inline>
        </w:drawing>
      </w:r>
    </w:p>
    <w:tbl>
      <w:tblPr>
        <w:tblStyle w:val="16"/>
        <w:tblW w:w="910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00" w:type="dxa"/>
          <w:left w:w="100" w:type="dxa"/>
          <w:bottom w:w="100" w:type="dxa"/>
          <w:right w:w="100" w:type="dxa"/>
        </w:tblCellMar>
      </w:tblPr>
      <w:tblGrid>
        <w:gridCol w:w="2160"/>
        <w:gridCol w:w="2430"/>
        <w:gridCol w:w="1725"/>
        <w:gridCol w:w="2790"/>
      </w:tblGrid>
      <w:tr w14:paraId="061026D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360" w:hRule="atLeast"/>
        </w:trPr>
        <w:tc>
          <w:tcPr>
            <w:tcW w:w="2160" w:type="dxa"/>
            <w:tcBorders>
              <w:top w:val="single" w:color="000000" w:sz="4" w:space="0"/>
              <w:left w:val="single" w:color="000000" w:sz="4" w:space="0"/>
              <w:bottom w:val="single" w:color="000000" w:sz="4" w:space="0"/>
              <w:right w:val="single" w:color="000000" w:sz="4" w:space="0"/>
            </w:tcBorders>
            <w:tcMar>
              <w:top w:w="0" w:type="dxa"/>
              <w:left w:w="0" w:type="dxa"/>
              <w:bottom w:w="0" w:type="dxa"/>
              <w:right w:w="0" w:type="dxa"/>
            </w:tcMar>
          </w:tcPr>
          <w:p w14:paraId="5F57933D">
            <w:pPr>
              <w:spacing w:before="80"/>
              <w:ind w:left="141"/>
              <w:rPr>
                <w:b/>
                <w:bCs/>
              </w:rPr>
            </w:pPr>
            <w:r>
              <w:rPr>
                <w:b/>
                <w:bCs/>
              </w:rPr>
              <w:t>Student name:</w:t>
            </w:r>
          </w:p>
        </w:tc>
        <w:tc>
          <w:tcPr>
            <w:tcW w:w="2430" w:type="dxa"/>
            <w:tcBorders>
              <w:top w:val="single" w:color="000000" w:sz="4" w:space="0"/>
              <w:left w:val="nil"/>
              <w:bottom w:val="single" w:color="000000" w:sz="4" w:space="0"/>
              <w:right w:val="single" w:color="000000" w:sz="4" w:space="0"/>
            </w:tcBorders>
            <w:tcMar>
              <w:top w:w="0" w:type="dxa"/>
              <w:left w:w="0" w:type="dxa"/>
              <w:bottom w:w="0" w:type="dxa"/>
              <w:right w:w="0" w:type="dxa"/>
            </w:tcMar>
          </w:tcPr>
          <w:p w14:paraId="3DB871AA">
            <w:pPr>
              <w:ind w:left="141"/>
              <w:rPr>
                <w:rFonts w:hint="default"/>
                <w:lang w:val="en-US"/>
              </w:rPr>
            </w:pPr>
            <w:r>
              <w:t xml:space="preserve"> Somay</w:t>
            </w:r>
            <w:r>
              <w:rPr>
                <w:rFonts w:hint="default"/>
                <w:lang w:val="en-US"/>
              </w:rPr>
              <w:t>eh Hayati</w:t>
            </w:r>
          </w:p>
        </w:tc>
        <w:tc>
          <w:tcPr>
            <w:tcW w:w="1725" w:type="dxa"/>
            <w:tcBorders>
              <w:top w:val="single" w:color="000000" w:sz="4" w:space="0"/>
              <w:left w:val="nil"/>
              <w:bottom w:val="single" w:color="000000" w:sz="4" w:space="0"/>
              <w:right w:val="single" w:color="000000" w:sz="4" w:space="0"/>
            </w:tcBorders>
            <w:shd w:val="clear" w:color="auto" w:fill="D9D9D9"/>
            <w:tcMar>
              <w:top w:w="0" w:type="dxa"/>
              <w:left w:w="0" w:type="dxa"/>
              <w:bottom w:w="0" w:type="dxa"/>
              <w:right w:w="0" w:type="dxa"/>
            </w:tcMar>
          </w:tcPr>
          <w:p w14:paraId="67ED4CD0">
            <w:pPr>
              <w:spacing w:before="80"/>
              <w:ind w:left="141" w:right="24"/>
              <w:rPr>
                <w:b/>
                <w:bCs/>
              </w:rPr>
            </w:pPr>
            <w:r>
              <w:rPr>
                <w:b/>
                <w:bCs/>
              </w:rPr>
              <w:t>Student ID number:</w:t>
            </w:r>
          </w:p>
        </w:tc>
        <w:tc>
          <w:tcPr>
            <w:tcW w:w="2790" w:type="dxa"/>
            <w:tcBorders>
              <w:top w:val="single" w:color="000000" w:sz="4" w:space="0"/>
              <w:left w:val="nil"/>
              <w:bottom w:val="single" w:color="000000" w:sz="4" w:space="0"/>
              <w:right w:val="single" w:color="000000" w:sz="4" w:space="0"/>
            </w:tcBorders>
            <w:tcMar>
              <w:top w:w="0" w:type="dxa"/>
              <w:left w:w="0" w:type="dxa"/>
              <w:bottom w:w="0" w:type="dxa"/>
              <w:right w:w="0" w:type="dxa"/>
            </w:tcMar>
          </w:tcPr>
          <w:p w14:paraId="15A8C166">
            <w:pPr>
              <w:ind w:left="141"/>
              <w:rPr>
                <w:rFonts w:hint="default"/>
                <w:lang w:val="en-US"/>
              </w:rPr>
            </w:pPr>
            <w:r>
              <w:t xml:space="preserve"> </w:t>
            </w:r>
            <w:r>
              <w:rPr>
                <w:rFonts w:hint="default"/>
                <w:lang w:val="en-US"/>
              </w:rPr>
              <w:t>2529821</w:t>
            </w:r>
            <w:bookmarkStart w:id="26" w:name="_GoBack"/>
            <w:bookmarkEnd w:id="26"/>
          </w:p>
        </w:tc>
      </w:tr>
      <w:tr w14:paraId="3E97BF5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345" w:hRule="atLeast"/>
        </w:trPr>
        <w:tc>
          <w:tcPr>
            <w:tcW w:w="2160" w:type="dxa"/>
            <w:tcBorders>
              <w:top w:val="nil"/>
              <w:left w:val="single" w:color="000000" w:sz="4" w:space="0"/>
              <w:bottom w:val="single" w:color="000000" w:sz="4" w:space="0"/>
              <w:right w:val="single" w:color="000000" w:sz="4" w:space="0"/>
            </w:tcBorders>
            <w:tcMar>
              <w:top w:w="0" w:type="dxa"/>
              <w:left w:w="0" w:type="dxa"/>
              <w:bottom w:w="0" w:type="dxa"/>
              <w:right w:w="0" w:type="dxa"/>
            </w:tcMar>
          </w:tcPr>
          <w:p w14:paraId="34AFF10F">
            <w:pPr>
              <w:spacing w:before="80"/>
              <w:ind w:left="141"/>
              <w:rPr>
                <w:b/>
                <w:bCs/>
              </w:rPr>
            </w:pPr>
            <w:r>
              <w:rPr>
                <w:b/>
                <w:bCs/>
              </w:rPr>
              <w:t>Programme:</w:t>
            </w:r>
          </w:p>
        </w:tc>
        <w:tc>
          <w:tcPr>
            <w:tcW w:w="6945" w:type="dxa"/>
            <w:gridSpan w:val="3"/>
            <w:tcBorders>
              <w:top w:val="nil"/>
              <w:left w:val="nil"/>
              <w:bottom w:val="single" w:color="000000" w:sz="4" w:space="0"/>
              <w:right w:val="single" w:color="000000" w:sz="4" w:space="0"/>
            </w:tcBorders>
            <w:tcMar>
              <w:top w:w="0" w:type="dxa"/>
              <w:left w:w="0" w:type="dxa"/>
              <w:bottom w:w="0" w:type="dxa"/>
              <w:right w:w="0" w:type="dxa"/>
            </w:tcMar>
          </w:tcPr>
          <w:p w14:paraId="5CBFA131">
            <w:pPr>
              <w:spacing w:before="80"/>
              <w:ind w:left="141"/>
              <w:rPr>
                <w:b/>
                <w:bCs/>
              </w:rPr>
            </w:pPr>
            <w:r>
              <w:rPr>
                <w:b/>
                <w:bCs/>
              </w:rPr>
              <w:t>Certificate of Higher Education in Business Skills for the Workplace</w:t>
            </w:r>
          </w:p>
        </w:tc>
      </w:tr>
      <w:tr w14:paraId="1039A206">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360" w:hRule="atLeast"/>
        </w:trPr>
        <w:tc>
          <w:tcPr>
            <w:tcW w:w="2160" w:type="dxa"/>
            <w:tcBorders>
              <w:top w:val="nil"/>
              <w:left w:val="single" w:color="000000" w:sz="4" w:space="0"/>
              <w:bottom w:val="single" w:color="000000" w:sz="4" w:space="0"/>
              <w:right w:val="single" w:color="000000" w:sz="4" w:space="0"/>
            </w:tcBorders>
            <w:tcMar>
              <w:top w:w="0" w:type="dxa"/>
              <w:left w:w="0" w:type="dxa"/>
              <w:bottom w:w="0" w:type="dxa"/>
              <w:right w:w="0" w:type="dxa"/>
            </w:tcMar>
          </w:tcPr>
          <w:p w14:paraId="5E949E69">
            <w:pPr>
              <w:spacing w:before="80"/>
              <w:ind w:left="141"/>
              <w:rPr>
                <w:b/>
                <w:bCs/>
              </w:rPr>
            </w:pPr>
            <w:r>
              <w:rPr>
                <w:b/>
                <w:bCs/>
              </w:rPr>
              <w:t>Module:</w:t>
            </w:r>
          </w:p>
        </w:tc>
        <w:tc>
          <w:tcPr>
            <w:tcW w:w="6945" w:type="dxa"/>
            <w:gridSpan w:val="3"/>
            <w:tcBorders>
              <w:top w:val="nil"/>
              <w:left w:val="nil"/>
              <w:bottom w:val="single" w:color="000000" w:sz="4" w:space="0"/>
              <w:right w:val="single" w:color="000000" w:sz="4" w:space="0"/>
            </w:tcBorders>
            <w:tcMar>
              <w:top w:w="0" w:type="dxa"/>
              <w:left w:w="0" w:type="dxa"/>
              <w:bottom w:w="0" w:type="dxa"/>
              <w:right w:w="0" w:type="dxa"/>
            </w:tcMar>
          </w:tcPr>
          <w:p w14:paraId="068DFD43">
            <w:pPr>
              <w:spacing w:before="80"/>
              <w:ind w:left="460" w:hanging="318"/>
              <w:rPr>
                <w:b/>
                <w:bCs/>
              </w:rPr>
            </w:pPr>
            <w:r>
              <w:rPr>
                <w:b/>
                <w:bCs/>
              </w:rPr>
              <w:t>Problem Solving and Decision Making</w:t>
            </w:r>
          </w:p>
        </w:tc>
      </w:tr>
      <w:tr w14:paraId="0A6318C6">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555" w:hRule="atLeast"/>
        </w:trPr>
        <w:tc>
          <w:tcPr>
            <w:tcW w:w="2160" w:type="dxa"/>
            <w:tcBorders>
              <w:top w:val="nil"/>
              <w:left w:val="single" w:color="000000" w:sz="4" w:space="0"/>
              <w:bottom w:val="single" w:color="000000" w:sz="4" w:space="0"/>
              <w:right w:val="single" w:color="000000" w:sz="4" w:space="0"/>
            </w:tcBorders>
            <w:tcMar>
              <w:top w:w="0" w:type="dxa"/>
              <w:left w:w="0" w:type="dxa"/>
              <w:bottom w:w="0" w:type="dxa"/>
              <w:right w:w="0" w:type="dxa"/>
            </w:tcMar>
          </w:tcPr>
          <w:p w14:paraId="0E0979E1">
            <w:pPr>
              <w:spacing w:before="80"/>
              <w:ind w:left="460" w:hanging="318"/>
              <w:rPr>
                <w:b/>
                <w:bCs/>
              </w:rPr>
            </w:pPr>
            <w:r>
              <w:rPr>
                <w:b/>
                <w:bCs/>
              </w:rPr>
              <w:t>Module code:</w:t>
            </w:r>
          </w:p>
        </w:tc>
        <w:tc>
          <w:tcPr>
            <w:tcW w:w="2430" w:type="dxa"/>
            <w:tcBorders>
              <w:top w:val="nil"/>
              <w:left w:val="nil"/>
              <w:bottom w:val="single" w:color="000000" w:sz="4" w:space="0"/>
              <w:right w:val="single" w:color="000000" w:sz="4" w:space="0"/>
            </w:tcBorders>
            <w:tcMar>
              <w:top w:w="0" w:type="dxa"/>
              <w:left w:w="0" w:type="dxa"/>
              <w:bottom w:w="0" w:type="dxa"/>
              <w:right w:w="0" w:type="dxa"/>
            </w:tcMar>
          </w:tcPr>
          <w:p w14:paraId="1C955AF9">
            <w:pPr>
              <w:spacing w:before="80"/>
              <w:ind w:left="141"/>
              <w:rPr>
                <w:b/>
                <w:bCs/>
              </w:rPr>
            </w:pPr>
            <w:r>
              <w:rPr>
                <w:b/>
                <w:bCs/>
              </w:rPr>
              <w:t>LCLM4004</w:t>
            </w:r>
          </w:p>
        </w:tc>
        <w:tc>
          <w:tcPr>
            <w:tcW w:w="1725" w:type="dxa"/>
            <w:tcBorders>
              <w:top w:val="nil"/>
              <w:left w:val="nil"/>
              <w:bottom w:val="single" w:color="000000" w:sz="4" w:space="0"/>
              <w:right w:val="single" w:color="000000" w:sz="4" w:space="0"/>
            </w:tcBorders>
            <w:shd w:val="clear" w:color="auto" w:fill="D9D9D9"/>
            <w:tcMar>
              <w:top w:w="0" w:type="dxa"/>
              <w:left w:w="0" w:type="dxa"/>
              <w:bottom w:w="0" w:type="dxa"/>
              <w:right w:w="0" w:type="dxa"/>
            </w:tcMar>
          </w:tcPr>
          <w:p w14:paraId="28CFB8B5">
            <w:pPr>
              <w:ind w:left="141"/>
              <w:rPr>
                <w:b/>
                <w:bCs/>
              </w:rPr>
            </w:pPr>
            <w:r>
              <w:rPr>
                <w:b/>
                <w:bCs/>
              </w:rPr>
              <w:t xml:space="preserve">Contribution    </w:t>
            </w:r>
            <w:r>
              <w:rPr>
                <w:b/>
                <w:bCs/>
              </w:rPr>
              <w:tab/>
            </w:r>
            <w:r>
              <w:rPr>
                <w:b/>
                <w:bCs/>
              </w:rPr>
              <w:t>to</w:t>
            </w:r>
          </w:p>
          <w:p w14:paraId="43EDBEB6">
            <w:pPr>
              <w:ind w:left="141" w:right="60"/>
              <w:rPr>
                <w:b/>
                <w:bCs/>
              </w:rPr>
            </w:pPr>
            <w:r>
              <w:rPr>
                <w:b/>
                <w:bCs/>
              </w:rPr>
              <w:t xml:space="preserve">Overall    </w:t>
            </w:r>
            <w:r>
              <w:rPr>
                <w:b/>
                <w:bCs/>
              </w:rPr>
              <w:tab/>
            </w:r>
            <w:r>
              <w:rPr>
                <w:b/>
                <w:bCs/>
              </w:rPr>
              <w:t>Module Assessment (%):</w:t>
            </w:r>
          </w:p>
        </w:tc>
        <w:tc>
          <w:tcPr>
            <w:tcW w:w="2790" w:type="dxa"/>
            <w:tcBorders>
              <w:top w:val="nil"/>
              <w:left w:val="nil"/>
              <w:bottom w:val="single" w:color="000000" w:sz="4" w:space="0"/>
              <w:right w:val="single" w:color="000000" w:sz="4" w:space="0"/>
            </w:tcBorders>
            <w:tcMar>
              <w:top w:w="0" w:type="dxa"/>
              <w:left w:w="0" w:type="dxa"/>
              <w:bottom w:w="0" w:type="dxa"/>
              <w:right w:w="0" w:type="dxa"/>
            </w:tcMar>
          </w:tcPr>
          <w:p w14:paraId="12BA267C">
            <w:pPr>
              <w:spacing w:before="80"/>
              <w:ind w:left="141"/>
              <w:rPr>
                <w:b/>
                <w:bCs/>
              </w:rPr>
            </w:pPr>
            <w:r>
              <w:rPr>
                <w:b/>
                <w:bCs/>
              </w:rPr>
              <w:t>50%</w:t>
            </w:r>
          </w:p>
        </w:tc>
      </w:tr>
      <w:tr w14:paraId="08179B6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1530" w:hRule="atLeast"/>
        </w:trPr>
        <w:tc>
          <w:tcPr>
            <w:tcW w:w="2160" w:type="dxa"/>
            <w:tcBorders>
              <w:top w:val="nil"/>
              <w:left w:val="single" w:color="000000" w:sz="4" w:space="0"/>
              <w:bottom w:val="single" w:color="000000" w:sz="4" w:space="0"/>
              <w:right w:val="single" w:color="000000" w:sz="4" w:space="0"/>
            </w:tcBorders>
            <w:tcMar>
              <w:top w:w="0" w:type="dxa"/>
              <w:left w:w="0" w:type="dxa"/>
              <w:bottom w:w="0" w:type="dxa"/>
              <w:right w:w="0" w:type="dxa"/>
            </w:tcMar>
          </w:tcPr>
          <w:p w14:paraId="16BA2079">
            <w:pPr>
              <w:spacing w:before="80"/>
              <w:ind w:left="141"/>
              <w:rPr>
                <w:b/>
                <w:bCs/>
              </w:rPr>
            </w:pPr>
            <w:r>
              <w:rPr>
                <w:b/>
                <w:bCs/>
              </w:rPr>
              <w:t>Module leader:</w:t>
            </w:r>
          </w:p>
        </w:tc>
        <w:tc>
          <w:tcPr>
            <w:tcW w:w="2430" w:type="dxa"/>
            <w:tcBorders>
              <w:top w:val="nil"/>
              <w:left w:val="nil"/>
              <w:bottom w:val="single" w:color="000000" w:sz="4" w:space="0"/>
              <w:right w:val="single" w:color="000000" w:sz="4" w:space="0"/>
            </w:tcBorders>
            <w:tcMar>
              <w:top w:w="0" w:type="dxa"/>
              <w:left w:w="0" w:type="dxa"/>
              <w:bottom w:w="0" w:type="dxa"/>
              <w:right w:w="0" w:type="dxa"/>
            </w:tcMar>
          </w:tcPr>
          <w:p w14:paraId="7D7C92CD">
            <w:pPr>
              <w:spacing w:before="80"/>
              <w:ind w:left="141" w:right="700"/>
              <w:rPr>
                <w:b/>
                <w:bCs/>
              </w:rPr>
            </w:pPr>
            <w:r>
              <w:rPr>
                <w:b/>
                <w:bCs/>
              </w:rPr>
              <w:t>Annamarie Dufficy Anita Nan</w:t>
            </w:r>
          </w:p>
        </w:tc>
        <w:tc>
          <w:tcPr>
            <w:tcW w:w="1725" w:type="dxa"/>
            <w:tcBorders>
              <w:top w:val="nil"/>
              <w:left w:val="nil"/>
              <w:bottom w:val="single" w:color="000000" w:sz="4" w:space="0"/>
              <w:right w:val="single" w:color="000000" w:sz="4" w:space="0"/>
            </w:tcBorders>
            <w:shd w:val="clear" w:color="auto" w:fill="D9D9D9"/>
            <w:tcMar>
              <w:top w:w="0" w:type="dxa"/>
              <w:left w:w="0" w:type="dxa"/>
              <w:bottom w:w="0" w:type="dxa"/>
              <w:right w:w="0" w:type="dxa"/>
            </w:tcMar>
          </w:tcPr>
          <w:p w14:paraId="2F18C24D">
            <w:pPr>
              <w:spacing w:before="80"/>
              <w:ind w:left="141"/>
              <w:rPr>
                <w:b/>
                <w:bCs/>
              </w:rPr>
            </w:pPr>
            <w:r>
              <w:rPr>
                <w:b/>
                <w:bCs/>
              </w:rPr>
              <w:t>Internal Verifier:</w:t>
            </w:r>
          </w:p>
        </w:tc>
        <w:tc>
          <w:tcPr>
            <w:tcW w:w="2790" w:type="dxa"/>
            <w:tcBorders>
              <w:top w:val="nil"/>
              <w:left w:val="nil"/>
              <w:bottom w:val="single" w:color="000000" w:sz="4" w:space="0"/>
              <w:right w:val="single" w:color="000000" w:sz="4" w:space="0"/>
            </w:tcBorders>
            <w:tcMar>
              <w:top w:w="0" w:type="dxa"/>
              <w:left w:w="0" w:type="dxa"/>
              <w:bottom w:w="0" w:type="dxa"/>
              <w:right w:w="0" w:type="dxa"/>
            </w:tcMar>
          </w:tcPr>
          <w:p w14:paraId="63E2D950">
            <w:pPr>
              <w:spacing w:before="80"/>
              <w:ind w:left="141" w:right="760"/>
              <w:rPr>
                <w:b/>
                <w:bCs/>
              </w:rPr>
            </w:pPr>
            <w:r>
              <w:rPr>
                <w:b/>
                <w:bCs/>
              </w:rPr>
              <w:t>Dr Lizeta Demetriou</w:t>
            </w:r>
          </w:p>
          <w:p w14:paraId="10B7CDFF">
            <w:pPr>
              <w:spacing w:before="80"/>
              <w:ind w:left="141"/>
              <w:rPr>
                <w:b/>
                <w:bCs/>
              </w:rPr>
            </w:pPr>
            <w:r>
              <w:rPr>
                <w:b/>
                <w:bCs/>
              </w:rPr>
              <w:t>Naomi Doerge</w:t>
            </w:r>
          </w:p>
          <w:p w14:paraId="766673BE">
            <w:pPr>
              <w:spacing w:before="80"/>
              <w:ind w:left="141" w:right="540"/>
              <w:rPr>
                <w:b/>
                <w:bCs/>
              </w:rPr>
            </w:pPr>
            <w:r>
              <w:rPr>
                <w:b/>
                <w:bCs/>
              </w:rPr>
              <w:t>Dr Chung Lai Johnny Wan</w:t>
            </w:r>
          </w:p>
          <w:p w14:paraId="5373447F">
            <w:pPr>
              <w:spacing w:before="80"/>
              <w:ind w:left="141"/>
              <w:rPr>
                <w:b/>
                <w:bCs/>
              </w:rPr>
            </w:pPr>
            <w:r>
              <w:rPr>
                <w:b/>
                <w:bCs/>
              </w:rPr>
              <w:t>Fatima Hashmi</w:t>
            </w:r>
          </w:p>
        </w:tc>
      </w:tr>
      <w:tr w14:paraId="740436B6">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1155" w:hRule="atLeast"/>
        </w:trPr>
        <w:tc>
          <w:tcPr>
            <w:tcW w:w="2160" w:type="dxa"/>
            <w:tcBorders>
              <w:top w:val="nil"/>
              <w:left w:val="single" w:color="000000" w:sz="4" w:space="0"/>
              <w:bottom w:val="single" w:color="000000" w:sz="4" w:space="0"/>
              <w:right w:val="single" w:color="000000" w:sz="4" w:space="0"/>
            </w:tcBorders>
            <w:tcMar>
              <w:top w:w="0" w:type="dxa"/>
              <w:left w:w="0" w:type="dxa"/>
              <w:bottom w:w="0" w:type="dxa"/>
              <w:right w:w="0" w:type="dxa"/>
            </w:tcMar>
          </w:tcPr>
          <w:p w14:paraId="0CB0602F">
            <w:pPr>
              <w:spacing w:before="80"/>
              <w:ind w:left="141" w:right="175"/>
              <w:rPr>
                <w:b/>
                <w:bCs/>
              </w:rPr>
            </w:pPr>
            <w:r>
              <w:rPr>
                <w:b/>
                <w:bCs/>
              </w:rPr>
              <w:t>Assignment Title:</w:t>
            </w:r>
          </w:p>
        </w:tc>
        <w:tc>
          <w:tcPr>
            <w:tcW w:w="2430" w:type="dxa"/>
            <w:tcBorders>
              <w:top w:val="nil"/>
              <w:left w:val="nil"/>
              <w:bottom w:val="single" w:color="000000" w:sz="4" w:space="0"/>
              <w:right w:val="single" w:color="000000" w:sz="4" w:space="0"/>
            </w:tcBorders>
            <w:tcMar>
              <w:top w:w="0" w:type="dxa"/>
              <w:left w:w="0" w:type="dxa"/>
              <w:bottom w:w="0" w:type="dxa"/>
              <w:right w:w="0" w:type="dxa"/>
            </w:tcMar>
          </w:tcPr>
          <w:p w14:paraId="6566A84A">
            <w:pPr>
              <w:spacing w:before="80"/>
              <w:ind w:left="141" w:right="700"/>
            </w:pPr>
            <w:r>
              <w:t>Component 2 Individual Report Basil’s Bakery</w:t>
            </w:r>
          </w:p>
        </w:tc>
        <w:tc>
          <w:tcPr>
            <w:tcW w:w="1725" w:type="dxa"/>
            <w:tcBorders>
              <w:top w:val="nil"/>
              <w:left w:val="nil"/>
              <w:bottom w:val="single" w:color="000000" w:sz="4" w:space="0"/>
              <w:right w:val="single" w:color="000000" w:sz="4" w:space="0"/>
            </w:tcBorders>
            <w:tcMar>
              <w:top w:w="0" w:type="dxa"/>
              <w:left w:w="0" w:type="dxa"/>
              <w:bottom w:w="0" w:type="dxa"/>
              <w:right w:w="0" w:type="dxa"/>
            </w:tcMar>
          </w:tcPr>
          <w:p w14:paraId="2E530815">
            <w:pPr>
              <w:spacing w:before="80"/>
              <w:ind w:left="141" w:right="60"/>
              <w:rPr>
                <w:b/>
                <w:bCs/>
              </w:rPr>
            </w:pPr>
            <w:r>
              <w:rPr>
                <w:b/>
                <w:bCs/>
              </w:rPr>
              <w:t xml:space="preserve">Word </w:t>
            </w:r>
            <w:r>
              <w:rPr>
                <w:b/>
                <w:bCs/>
              </w:rPr>
              <w:tab/>
            </w:r>
            <w:r>
              <w:rPr>
                <w:b/>
                <w:bCs/>
              </w:rPr>
              <w:t>count:</w:t>
            </w:r>
          </w:p>
        </w:tc>
        <w:tc>
          <w:tcPr>
            <w:tcW w:w="2790" w:type="dxa"/>
            <w:tcBorders>
              <w:top w:val="nil"/>
              <w:left w:val="nil"/>
              <w:bottom w:val="single" w:color="000000" w:sz="4" w:space="0"/>
              <w:right w:val="single" w:color="000000" w:sz="4" w:space="0"/>
            </w:tcBorders>
            <w:tcMar>
              <w:top w:w="0" w:type="dxa"/>
              <w:left w:w="0" w:type="dxa"/>
              <w:bottom w:w="0" w:type="dxa"/>
              <w:right w:w="0" w:type="dxa"/>
            </w:tcMar>
          </w:tcPr>
          <w:p w14:paraId="4269E85E">
            <w:pPr>
              <w:spacing w:before="80"/>
              <w:ind w:left="141"/>
            </w:pPr>
            <w:r>
              <w:t>1619</w:t>
            </w:r>
          </w:p>
        </w:tc>
      </w:tr>
      <w:tr w14:paraId="5DD97505">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900" w:hRule="atLeast"/>
        </w:trPr>
        <w:tc>
          <w:tcPr>
            <w:tcW w:w="2160" w:type="dxa"/>
            <w:tcBorders>
              <w:top w:val="nil"/>
              <w:left w:val="single" w:color="000000" w:sz="4" w:space="0"/>
              <w:bottom w:val="single" w:color="000000" w:sz="4" w:space="0"/>
              <w:right w:val="single" w:color="000000" w:sz="4" w:space="0"/>
            </w:tcBorders>
            <w:tcMar>
              <w:top w:w="0" w:type="dxa"/>
              <w:left w:w="0" w:type="dxa"/>
              <w:bottom w:w="0" w:type="dxa"/>
              <w:right w:w="0" w:type="dxa"/>
            </w:tcMar>
          </w:tcPr>
          <w:p w14:paraId="60B3D8C7">
            <w:pPr>
              <w:spacing w:before="80"/>
              <w:ind w:left="283" w:right="520"/>
              <w:rPr>
                <w:b/>
                <w:bCs/>
              </w:rPr>
            </w:pPr>
            <w:r>
              <w:rPr>
                <w:b/>
                <w:bCs/>
              </w:rPr>
              <w:t>Submission deadline:</w:t>
            </w:r>
          </w:p>
        </w:tc>
        <w:tc>
          <w:tcPr>
            <w:tcW w:w="2430" w:type="dxa"/>
            <w:tcBorders>
              <w:top w:val="nil"/>
              <w:left w:val="nil"/>
              <w:bottom w:val="single" w:color="000000" w:sz="4" w:space="0"/>
              <w:right w:val="single" w:color="000000" w:sz="4" w:space="0"/>
            </w:tcBorders>
            <w:tcMar>
              <w:top w:w="0" w:type="dxa"/>
              <w:left w:w="0" w:type="dxa"/>
              <w:bottom w:w="0" w:type="dxa"/>
              <w:right w:w="0" w:type="dxa"/>
            </w:tcMar>
          </w:tcPr>
          <w:p w14:paraId="6E904373">
            <w:pPr>
              <w:spacing w:before="80"/>
              <w:ind w:left="141" w:right="60"/>
              <w:rPr>
                <w:b/>
                <w:bCs/>
                <w:color w:val="FF0000"/>
              </w:rPr>
            </w:pPr>
            <w:r>
              <w:rPr>
                <w:b/>
                <w:bCs/>
                <w:color w:val="FF0000"/>
              </w:rPr>
              <w:t>18</w:t>
            </w:r>
            <w:r>
              <w:rPr>
                <w:b/>
                <w:bCs/>
                <w:color w:val="FF0000"/>
                <w:vertAlign w:val="superscript"/>
              </w:rPr>
              <w:t>th</w:t>
            </w:r>
            <w:r>
              <w:rPr>
                <w:b/>
                <w:bCs/>
                <w:color w:val="FF0000"/>
              </w:rPr>
              <w:t xml:space="preserve"> of August 2026 by 10:00 am</w:t>
            </w:r>
          </w:p>
        </w:tc>
        <w:tc>
          <w:tcPr>
            <w:tcW w:w="1725" w:type="dxa"/>
            <w:tcBorders>
              <w:top w:val="nil"/>
              <w:left w:val="nil"/>
              <w:bottom w:val="single" w:color="000000" w:sz="4" w:space="0"/>
              <w:right w:val="single" w:color="000000" w:sz="4" w:space="0"/>
            </w:tcBorders>
            <w:tcMar>
              <w:top w:w="0" w:type="dxa"/>
              <w:left w:w="0" w:type="dxa"/>
              <w:bottom w:w="0" w:type="dxa"/>
              <w:right w:w="0" w:type="dxa"/>
            </w:tcMar>
          </w:tcPr>
          <w:p w14:paraId="2F7887F7">
            <w:pPr>
              <w:spacing w:before="80"/>
              <w:ind w:left="141" w:right="60"/>
              <w:rPr>
                <w:b/>
                <w:bCs/>
              </w:rPr>
            </w:pPr>
            <w:r>
              <w:rPr>
                <w:b/>
                <w:bCs/>
              </w:rPr>
              <w:t>Return date of provisional marks &amp; written feedback:</w:t>
            </w:r>
          </w:p>
        </w:tc>
        <w:tc>
          <w:tcPr>
            <w:tcW w:w="2790" w:type="dxa"/>
            <w:tcBorders>
              <w:top w:val="nil"/>
              <w:left w:val="nil"/>
              <w:bottom w:val="single" w:color="000000" w:sz="4" w:space="0"/>
              <w:right w:val="single" w:color="000000" w:sz="4" w:space="0"/>
            </w:tcBorders>
            <w:shd w:val="clear" w:color="auto" w:fill="DAE8F8"/>
            <w:tcMar>
              <w:top w:w="0" w:type="dxa"/>
              <w:left w:w="0" w:type="dxa"/>
              <w:bottom w:w="0" w:type="dxa"/>
              <w:right w:w="0" w:type="dxa"/>
            </w:tcMar>
          </w:tcPr>
          <w:p w14:paraId="3E04EBDE">
            <w:pPr>
              <w:spacing w:before="80"/>
              <w:ind w:left="141"/>
              <w:rPr>
                <w:b/>
                <w:bCs/>
                <w:color w:val="FF0000"/>
              </w:rPr>
            </w:pPr>
            <w:r>
              <w:rPr>
                <w:b/>
                <w:bCs/>
                <w:color w:val="FF0000"/>
              </w:rPr>
              <w:t>14</w:t>
            </w:r>
            <w:r>
              <w:rPr>
                <w:b/>
                <w:bCs/>
                <w:color w:val="FF0000"/>
                <w:vertAlign w:val="superscript"/>
              </w:rPr>
              <w:t>th</w:t>
            </w:r>
            <w:r>
              <w:rPr>
                <w:b/>
                <w:bCs/>
                <w:color w:val="FF0000"/>
              </w:rPr>
              <w:t xml:space="preserve"> of September 2026</w:t>
            </w:r>
          </w:p>
        </w:tc>
      </w:tr>
    </w:tbl>
    <w:p w14:paraId="7A6B24B1">
      <w:r>
        <w:br w:type="page"/>
      </w:r>
    </w:p>
    <w:p w14:paraId="7B6B9F5F">
      <w:pPr>
        <w:jc w:val="center"/>
      </w:pPr>
      <w:r>
        <w:rPr>
          <w:b/>
          <w:bCs/>
          <w:sz w:val="28"/>
          <w:szCs w:val="28"/>
        </w:rPr>
        <w:t>Table of Contents</w:t>
      </w:r>
    </w:p>
    <w:sdt>
      <w:sdtPr>
        <w:id w:val="-1"/>
        <w:docPartObj>
          <w:docPartGallery w:val="Table of Contents"/>
          <w:docPartUnique/>
        </w:docPartObj>
      </w:sdtPr>
      <w:sdtContent>
        <w:p w14:paraId="196E7F61">
          <w:pPr>
            <w:pStyle w:val="13"/>
            <w:tabs>
              <w:tab w:val="right" w:pos="9019"/>
            </w:tabs>
            <w:rPr>
              <w:rFonts w:asciiTheme="minorHAnsi" w:hAnsiTheme="minorHAnsi" w:eastAsiaTheme="minorEastAsia" w:cstheme="minorBidi"/>
              <w:kern w:val="2"/>
              <w:lang w:val="en-US"/>
              <w14:ligatures w14:val="standardContextual"/>
            </w:rPr>
          </w:pPr>
          <w:r>
            <w:fldChar w:fldCharType="begin"/>
          </w:r>
          <w:r>
            <w:instrText xml:space="preserve"> TOC \h \u \z \t "Heading 1,1,Heading 2,2,Heading 3,3,Heading 4,4,Heading 5,5,Heading 6,6,"</w:instrText>
          </w:r>
          <w:r>
            <w:fldChar w:fldCharType="separate"/>
          </w:r>
          <w:r>
            <w:fldChar w:fldCharType="begin"/>
          </w:r>
          <w:r>
            <w:instrText xml:space="preserve"> HYPERLINK \l "_Toc237212558" </w:instrText>
          </w:r>
          <w:r>
            <w:fldChar w:fldCharType="separate"/>
          </w:r>
          <w:r>
            <w:rPr>
              <w:rStyle w:val="10"/>
            </w:rPr>
            <w:t>1. Overview of the Basil’s Bakery Case Study and the Nature of its Problems</w:t>
          </w:r>
          <w:r>
            <w:tab/>
          </w:r>
          <w:r>
            <w:fldChar w:fldCharType="begin"/>
          </w:r>
          <w:r>
            <w:instrText xml:space="preserve"> PAGEREF _Toc237212558 \h </w:instrText>
          </w:r>
          <w:r>
            <w:fldChar w:fldCharType="separate"/>
          </w:r>
          <w:r>
            <w:t>2</w:t>
          </w:r>
          <w:r>
            <w:fldChar w:fldCharType="end"/>
          </w:r>
          <w:r>
            <w:fldChar w:fldCharType="end"/>
          </w:r>
        </w:p>
        <w:p w14:paraId="3F196C87">
          <w:pPr>
            <w:pStyle w:val="13"/>
            <w:tabs>
              <w:tab w:val="right" w:pos="9019"/>
            </w:tabs>
            <w:rPr>
              <w:rFonts w:asciiTheme="minorHAnsi" w:hAnsiTheme="minorHAnsi" w:eastAsiaTheme="minorEastAsia" w:cstheme="minorBidi"/>
              <w:kern w:val="2"/>
              <w:lang w:val="en-US"/>
              <w14:ligatures w14:val="standardContextual"/>
            </w:rPr>
          </w:pPr>
          <w:r>
            <w:fldChar w:fldCharType="begin"/>
          </w:r>
          <w:r>
            <w:instrText xml:space="preserve"> HYPERLINK \l "_Toc237212559" </w:instrText>
          </w:r>
          <w:r>
            <w:fldChar w:fldCharType="separate"/>
          </w:r>
          <w:r>
            <w:rPr>
              <w:rStyle w:val="10"/>
            </w:rPr>
            <w:t>2. Proposal of Two Solutions</w:t>
          </w:r>
          <w:r>
            <w:tab/>
          </w:r>
          <w:r>
            <w:fldChar w:fldCharType="begin"/>
          </w:r>
          <w:r>
            <w:instrText xml:space="preserve"> PAGEREF _Toc237212559 \h </w:instrText>
          </w:r>
          <w:r>
            <w:fldChar w:fldCharType="separate"/>
          </w:r>
          <w:r>
            <w:t>2</w:t>
          </w:r>
          <w:r>
            <w:fldChar w:fldCharType="end"/>
          </w:r>
          <w:r>
            <w:fldChar w:fldCharType="end"/>
          </w:r>
        </w:p>
        <w:p w14:paraId="4D654B09">
          <w:pPr>
            <w:pStyle w:val="14"/>
            <w:tabs>
              <w:tab w:val="right" w:pos="9019"/>
            </w:tabs>
            <w:rPr>
              <w:rFonts w:asciiTheme="minorHAnsi" w:hAnsiTheme="minorHAnsi" w:eastAsiaTheme="minorEastAsia" w:cstheme="minorBidi"/>
              <w:kern w:val="2"/>
              <w:lang w:val="en-US"/>
              <w14:ligatures w14:val="standardContextual"/>
            </w:rPr>
          </w:pPr>
          <w:r>
            <w:fldChar w:fldCharType="begin"/>
          </w:r>
          <w:r>
            <w:instrText xml:space="preserve"> HYPERLINK \l "_Toc237212560" </w:instrText>
          </w:r>
          <w:r>
            <w:fldChar w:fldCharType="separate"/>
          </w:r>
          <w:r>
            <w:rPr>
              <w:rStyle w:val="10"/>
            </w:rPr>
            <w:t>2.1 Solution 1 - Development of an integrated pre-order and delivery service</w:t>
          </w:r>
          <w:r>
            <w:tab/>
          </w:r>
          <w:r>
            <w:fldChar w:fldCharType="begin"/>
          </w:r>
          <w:r>
            <w:instrText xml:space="preserve"> PAGEREF _Toc237212560 \h </w:instrText>
          </w:r>
          <w:r>
            <w:fldChar w:fldCharType="separate"/>
          </w:r>
          <w:r>
            <w:t>2</w:t>
          </w:r>
          <w:r>
            <w:fldChar w:fldCharType="end"/>
          </w:r>
          <w:r>
            <w:fldChar w:fldCharType="end"/>
          </w:r>
        </w:p>
        <w:p w14:paraId="41FC89DC">
          <w:pPr>
            <w:pStyle w:val="14"/>
            <w:tabs>
              <w:tab w:val="right" w:pos="9019"/>
            </w:tabs>
            <w:rPr>
              <w:rFonts w:asciiTheme="minorHAnsi" w:hAnsiTheme="minorHAnsi" w:eastAsiaTheme="minorEastAsia" w:cstheme="minorBidi"/>
              <w:kern w:val="2"/>
              <w:lang w:val="en-US"/>
              <w14:ligatures w14:val="standardContextual"/>
            </w:rPr>
          </w:pPr>
          <w:r>
            <w:fldChar w:fldCharType="begin"/>
          </w:r>
          <w:r>
            <w:instrText xml:space="preserve"> HYPERLINK \l "_Toc237212561" </w:instrText>
          </w:r>
          <w:r>
            <w:fldChar w:fldCharType="separate"/>
          </w:r>
          <w:r>
            <w:rPr>
              <w:rStyle w:val="10"/>
            </w:rPr>
            <w:t>2.2 Solution 2 - Diversification of sales channels and product offerings</w:t>
          </w:r>
          <w:r>
            <w:tab/>
          </w:r>
          <w:r>
            <w:fldChar w:fldCharType="begin"/>
          </w:r>
          <w:r>
            <w:instrText xml:space="preserve"> PAGEREF _Toc237212561 \h </w:instrText>
          </w:r>
          <w:r>
            <w:fldChar w:fldCharType="separate"/>
          </w:r>
          <w:r>
            <w:t>2</w:t>
          </w:r>
          <w:r>
            <w:fldChar w:fldCharType="end"/>
          </w:r>
          <w:r>
            <w:fldChar w:fldCharType="end"/>
          </w:r>
        </w:p>
        <w:p w14:paraId="1041A4DA">
          <w:pPr>
            <w:pStyle w:val="13"/>
            <w:tabs>
              <w:tab w:val="right" w:pos="9019"/>
            </w:tabs>
            <w:rPr>
              <w:rFonts w:asciiTheme="minorHAnsi" w:hAnsiTheme="minorHAnsi" w:eastAsiaTheme="minorEastAsia" w:cstheme="minorBidi"/>
              <w:kern w:val="2"/>
              <w:lang w:val="en-US"/>
              <w14:ligatures w14:val="standardContextual"/>
            </w:rPr>
          </w:pPr>
          <w:r>
            <w:fldChar w:fldCharType="begin"/>
          </w:r>
          <w:r>
            <w:instrText xml:space="preserve"> HYPERLINK \l "_Toc237212562" </w:instrText>
          </w:r>
          <w:r>
            <w:fldChar w:fldCharType="separate"/>
          </w:r>
          <w:r>
            <w:rPr>
              <w:rStyle w:val="10"/>
            </w:rPr>
            <w:t>3. Evaluation of the Proposed Solutions</w:t>
          </w:r>
          <w:r>
            <w:tab/>
          </w:r>
          <w:r>
            <w:fldChar w:fldCharType="begin"/>
          </w:r>
          <w:r>
            <w:instrText xml:space="preserve"> PAGEREF _Toc237212562 \h </w:instrText>
          </w:r>
          <w:r>
            <w:fldChar w:fldCharType="separate"/>
          </w:r>
          <w:r>
            <w:t>2</w:t>
          </w:r>
          <w:r>
            <w:fldChar w:fldCharType="end"/>
          </w:r>
          <w:r>
            <w:fldChar w:fldCharType="end"/>
          </w:r>
        </w:p>
        <w:p w14:paraId="415DF033">
          <w:pPr>
            <w:pStyle w:val="14"/>
            <w:tabs>
              <w:tab w:val="right" w:pos="9019"/>
            </w:tabs>
            <w:rPr>
              <w:rFonts w:asciiTheme="minorHAnsi" w:hAnsiTheme="minorHAnsi" w:eastAsiaTheme="minorEastAsia" w:cstheme="minorBidi"/>
              <w:kern w:val="2"/>
              <w:lang w:val="en-US"/>
              <w14:ligatures w14:val="standardContextual"/>
            </w:rPr>
          </w:pPr>
          <w:r>
            <w:fldChar w:fldCharType="begin"/>
          </w:r>
          <w:r>
            <w:instrText xml:space="preserve"> HYPERLINK \l "_Toc237212563" </w:instrText>
          </w:r>
          <w:r>
            <w:fldChar w:fldCharType="separate"/>
          </w:r>
          <w:r>
            <w:rPr>
              <w:rStyle w:val="10"/>
            </w:rPr>
            <w:t>3.1 Grid Analysis</w:t>
          </w:r>
          <w:r>
            <w:tab/>
          </w:r>
          <w:r>
            <w:fldChar w:fldCharType="begin"/>
          </w:r>
          <w:r>
            <w:instrText xml:space="preserve"> PAGEREF _Toc237212563 \h </w:instrText>
          </w:r>
          <w:r>
            <w:fldChar w:fldCharType="separate"/>
          </w:r>
          <w:r>
            <w:t>2</w:t>
          </w:r>
          <w:r>
            <w:fldChar w:fldCharType="end"/>
          </w:r>
          <w:r>
            <w:fldChar w:fldCharType="end"/>
          </w:r>
        </w:p>
        <w:p w14:paraId="4BD4A66C">
          <w:pPr>
            <w:pStyle w:val="14"/>
            <w:tabs>
              <w:tab w:val="right" w:pos="9019"/>
            </w:tabs>
            <w:rPr>
              <w:rFonts w:asciiTheme="minorHAnsi" w:hAnsiTheme="minorHAnsi" w:eastAsiaTheme="minorEastAsia" w:cstheme="minorBidi"/>
              <w:kern w:val="2"/>
              <w:lang w:val="en-US"/>
              <w14:ligatures w14:val="standardContextual"/>
            </w:rPr>
          </w:pPr>
          <w:r>
            <w:fldChar w:fldCharType="begin"/>
          </w:r>
          <w:r>
            <w:instrText xml:space="preserve"> HYPERLINK \l "_Toc237212564" </w:instrText>
          </w:r>
          <w:r>
            <w:fldChar w:fldCharType="separate"/>
          </w:r>
          <w:r>
            <w:rPr>
              <w:rStyle w:val="10"/>
            </w:rPr>
            <w:t>3.2 Explanation of the result to select one preferred solution</w:t>
          </w:r>
          <w:r>
            <w:tab/>
          </w:r>
          <w:r>
            <w:fldChar w:fldCharType="begin"/>
          </w:r>
          <w:r>
            <w:instrText xml:space="preserve"> PAGEREF _Toc237212564 \h </w:instrText>
          </w:r>
          <w:r>
            <w:fldChar w:fldCharType="separate"/>
          </w:r>
          <w:r>
            <w:t>3</w:t>
          </w:r>
          <w:r>
            <w:fldChar w:fldCharType="end"/>
          </w:r>
          <w:r>
            <w:fldChar w:fldCharType="end"/>
          </w:r>
        </w:p>
        <w:p w14:paraId="38016B88">
          <w:pPr>
            <w:pStyle w:val="13"/>
            <w:tabs>
              <w:tab w:val="right" w:pos="9019"/>
            </w:tabs>
            <w:rPr>
              <w:rFonts w:asciiTheme="minorHAnsi" w:hAnsiTheme="minorHAnsi" w:eastAsiaTheme="minorEastAsia" w:cstheme="minorBidi"/>
              <w:kern w:val="2"/>
              <w:lang w:val="en-US"/>
              <w14:ligatures w14:val="standardContextual"/>
            </w:rPr>
          </w:pPr>
          <w:r>
            <w:fldChar w:fldCharType="begin"/>
          </w:r>
          <w:r>
            <w:instrText xml:space="preserve"> HYPERLINK \l "_Toc237212565" </w:instrText>
          </w:r>
          <w:r>
            <w:fldChar w:fldCharType="separate"/>
          </w:r>
          <w:r>
            <w:rPr>
              <w:rStyle w:val="10"/>
            </w:rPr>
            <w:t>4. Risk Analysis</w:t>
          </w:r>
          <w:r>
            <w:tab/>
          </w:r>
          <w:r>
            <w:fldChar w:fldCharType="begin"/>
          </w:r>
          <w:r>
            <w:instrText xml:space="preserve"> PAGEREF _Toc237212565 \h </w:instrText>
          </w:r>
          <w:r>
            <w:fldChar w:fldCharType="separate"/>
          </w:r>
          <w:r>
            <w:t>3</w:t>
          </w:r>
          <w:r>
            <w:fldChar w:fldCharType="end"/>
          </w:r>
          <w:r>
            <w:fldChar w:fldCharType="end"/>
          </w:r>
        </w:p>
        <w:p w14:paraId="29870245">
          <w:pPr>
            <w:pStyle w:val="14"/>
            <w:tabs>
              <w:tab w:val="right" w:pos="9019"/>
            </w:tabs>
            <w:rPr>
              <w:rFonts w:asciiTheme="minorHAnsi" w:hAnsiTheme="minorHAnsi" w:eastAsiaTheme="minorEastAsia" w:cstheme="minorBidi"/>
              <w:kern w:val="2"/>
              <w:lang w:val="en-US"/>
              <w14:ligatures w14:val="standardContextual"/>
            </w:rPr>
          </w:pPr>
          <w:r>
            <w:fldChar w:fldCharType="begin"/>
          </w:r>
          <w:r>
            <w:instrText xml:space="preserve"> HYPERLINK \l "_Toc237212566" </w:instrText>
          </w:r>
          <w:r>
            <w:fldChar w:fldCharType="separate"/>
          </w:r>
          <w:r>
            <w:rPr>
              <w:rStyle w:val="10"/>
            </w:rPr>
            <w:t>4.1 Risks</w:t>
          </w:r>
          <w:r>
            <w:tab/>
          </w:r>
          <w:r>
            <w:fldChar w:fldCharType="begin"/>
          </w:r>
          <w:r>
            <w:instrText xml:space="preserve"> PAGEREF _Toc237212566 \h </w:instrText>
          </w:r>
          <w:r>
            <w:fldChar w:fldCharType="separate"/>
          </w:r>
          <w:r>
            <w:t>3</w:t>
          </w:r>
          <w:r>
            <w:fldChar w:fldCharType="end"/>
          </w:r>
          <w:r>
            <w:fldChar w:fldCharType="end"/>
          </w:r>
        </w:p>
        <w:p w14:paraId="3B6EDDF2">
          <w:pPr>
            <w:pStyle w:val="14"/>
            <w:tabs>
              <w:tab w:val="right" w:pos="9019"/>
            </w:tabs>
            <w:rPr>
              <w:rFonts w:asciiTheme="minorHAnsi" w:hAnsiTheme="minorHAnsi" w:eastAsiaTheme="minorEastAsia" w:cstheme="minorBidi"/>
              <w:kern w:val="2"/>
              <w:lang w:val="en-US"/>
              <w14:ligatures w14:val="standardContextual"/>
            </w:rPr>
          </w:pPr>
          <w:r>
            <w:fldChar w:fldCharType="begin"/>
          </w:r>
          <w:r>
            <w:instrText xml:space="preserve"> HYPERLINK \l "_Toc237212567" </w:instrText>
          </w:r>
          <w:r>
            <w:fldChar w:fldCharType="separate"/>
          </w:r>
          <w:r>
            <w:rPr>
              <w:rStyle w:val="10"/>
            </w:rPr>
            <w:t>4.2 Explanation of the feasibility of the selected solution</w:t>
          </w:r>
          <w:r>
            <w:tab/>
          </w:r>
          <w:r>
            <w:fldChar w:fldCharType="begin"/>
          </w:r>
          <w:r>
            <w:instrText xml:space="preserve"> PAGEREF _Toc237212567 \h </w:instrText>
          </w:r>
          <w:r>
            <w:fldChar w:fldCharType="separate"/>
          </w:r>
          <w:r>
            <w:t>3</w:t>
          </w:r>
          <w:r>
            <w:fldChar w:fldCharType="end"/>
          </w:r>
          <w:r>
            <w:fldChar w:fldCharType="end"/>
          </w:r>
        </w:p>
        <w:p w14:paraId="27454E54">
          <w:pPr>
            <w:pStyle w:val="13"/>
            <w:tabs>
              <w:tab w:val="right" w:pos="9019"/>
            </w:tabs>
            <w:rPr>
              <w:rFonts w:asciiTheme="minorHAnsi" w:hAnsiTheme="minorHAnsi" w:eastAsiaTheme="minorEastAsia" w:cstheme="minorBidi"/>
              <w:kern w:val="2"/>
              <w:lang w:val="en-US"/>
              <w14:ligatures w14:val="standardContextual"/>
            </w:rPr>
          </w:pPr>
          <w:r>
            <w:fldChar w:fldCharType="begin"/>
          </w:r>
          <w:r>
            <w:instrText xml:space="preserve"> HYPERLINK \l "_Toc237212568" </w:instrText>
          </w:r>
          <w:r>
            <w:fldChar w:fldCharType="separate"/>
          </w:r>
          <w:r>
            <w:rPr>
              <w:rStyle w:val="10"/>
            </w:rPr>
            <w:t>5. Implementation Plan</w:t>
          </w:r>
          <w:r>
            <w:tab/>
          </w:r>
          <w:r>
            <w:fldChar w:fldCharType="begin"/>
          </w:r>
          <w:r>
            <w:instrText xml:space="preserve"> PAGEREF _Toc237212568 \h </w:instrText>
          </w:r>
          <w:r>
            <w:fldChar w:fldCharType="separate"/>
          </w:r>
          <w:r>
            <w:t>4</w:t>
          </w:r>
          <w:r>
            <w:fldChar w:fldCharType="end"/>
          </w:r>
          <w:r>
            <w:fldChar w:fldCharType="end"/>
          </w:r>
        </w:p>
        <w:p w14:paraId="28DAB5F2">
          <w:pPr>
            <w:pStyle w:val="14"/>
            <w:tabs>
              <w:tab w:val="right" w:pos="9019"/>
            </w:tabs>
            <w:rPr>
              <w:rFonts w:asciiTheme="minorHAnsi" w:hAnsiTheme="minorHAnsi" w:eastAsiaTheme="minorEastAsia" w:cstheme="minorBidi"/>
              <w:kern w:val="2"/>
              <w:lang w:val="en-US"/>
              <w14:ligatures w14:val="standardContextual"/>
            </w:rPr>
          </w:pPr>
          <w:r>
            <w:fldChar w:fldCharType="begin"/>
          </w:r>
          <w:r>
            <w:instrText xml:space="preserve"> HYPERLINK \l "_Toc237212569" </w:instrText>
          </w:r>
          <w:r>
            <w:fldChar w:fldCharType="separate"/>
          </w:r>
          <w:r>
            <w:rPr>
              <w:rStyle w:val="10"/>
            </w:rPr>
            <w:t>5.1 Plan to implement the selected solution</w:t>
          </w:r>
          <w:r>
            <w:tab/>
          </w:r>
          <w:r>
            <w:fldChar w:fldCharType="begin"/>
          </w:r>
          <w:r>
            <w:instrText xml:space="preserve"> PAGEREF _Toc237212569 \h </w:instrText>
          </w:r>
          <w:r>
            <w:fldChar w:fldCharType="separate"/>
          </w:r>
          <w:r>
            <w:t>4</w:t>
          </w:r>
          <w:r>
            <w:fldChar w:fldCharType="end"/>
          </w:r>
          <w:r>
            <w:fldChar w:fldCharType="end"/>
          </w:r>
        </w:p>
        <w:p w14:paraId="6982DF0D">
          <w:pPr>
            <w:pStyle w:val="14"/>
            <w:tabs>
              <w:tab w:val="right" w:pos="9019"/>
            </w:tabs>
            <w:rPr>
              <w:rFonts w:asciiTheme="minorHAnsi" w:hAnsiTheme="minorHAnsi" w:eastAsiaTheme="minorEastAsia" w:cstheme="minorBidi"/>
              <w:kern w:val="2"/>
              <w:lang w:val="en-US"/>
              <w14:ligatures w14:val="standardContextual"/>
            </w:rPr>
          </w:pPr>
          <w:r>
            <w:fldChar w:fldCharType="begin"/>
          </w:r>
          <w:r>
            <w:instrText xml:space="preserve"> HYPERLINK \l "_Toc237212570" </w:instrText>
          </w:r>
          <w:r>
            <w:fldChar w:fldCharType="separate"/>
          </w:r>
          <w:r>
            <w:rPr>
              <w:rStyle w:val="10"/>
            </w:rPr>
            <w:t>5.2 Rationale of the provided implementation plan</w:t>
          </w:r>
          <w:r>
            <w:tab/>
          </w:r>
          <w:r>
            <w:fldChar w:fldCharType="begin"/>
          </w:r>
          <w:r>
            <w:instrText xml:space="preserve"> PAGEREF _Toc237212570 \h </w:instrText>
          </w:r>
          <w:r>
            <w:fldChar w:fldCharType="separate"/>
          </w:r>
          <w:r>
            <w:t>5</w:t>
          </w:r>
          <w:r>
            <w:fldChar w:fldCharType="end"/>
          </w:r>
          <w:r>
            <w:fldChar w:fldCharType="end"/>
          </w:r>
        </w:p>
        <w:p w14:paraId="5CB3E344">
          <w:pPr>
            <w:pStyle w:val="13"/>
            <w:tabs>
              <w:tab w:val="right" w:pos="9019"/>
            </w:tabs>
            <w:rPr>
              <w:rFonts w:asciiTheme="minorHAnsi" w:hAnsiTheme="minorHAnsi" w:eastAsiaTheme="minorEastAsia" w:cstheme="minorBidi"/>
              <w:kern w:val="2"/>
              <w:lang w:val="en-US"/>
              <w14:ligatures w14:val="standardContextual"/>
            </w:rPr>
          </w:pPr>
          <w:r>
            <w:fldChar w:fldCharType="begin"/>
          </w:r>
          <w:r>
            <w:instrText xml:space="preserve"> HYPERLINK \l "_Toc237212571" </w:instrText>
          </w:r>
          <w:r>
            <w:fldChar w:fldCharType="separate"/>
          </w:r>
          <w:r>
            <w:rPr>
              <w:rStyle w:val="10"/>
            </w:rPr>
            <w:t>6. Key Performance Indicator (KPI)</w:t>
          </w:r>
          <w:r>
            <w:tab/>
          </w:r>
          <w:r>
            <w:fldChar w:fldCharType="begin"/>
          </w:r>
          <w:r>
            <w:instrText xml:space="preserve"> PAGEREF _Toc237212571 \h </w:instrText>
          </w:r>
          <w:r>
            <w:fldChar w:fldCharType="separate"/>
          </w:r>
          <w:r>
            <w:t>5</w:t>
          </w:r>
          <w:r>
            <w:fldChar w:fldCharType="end"/>
          </w:r>
          <w:r>
            <w:fldChar w:fldCharType="end"/>
          </w:r>
        </w:p>
        <w:p w14:paraId="7C2296F8">
          <w:pPr>
            <w:pStyle w:val="14"/>
            <w:tabs>
              <w:tab w:val="right" w:pos="9019"/>
            </w:tabs>
            <w:rPr>
              <w:rFonts w:asciiTheme="minorHAnsi" w:hAnsiTheme="minorHAnsi" w:eastAsiaTheme="minorEastAsia" w:cstheme="minorBidi"/>
              <w:kern w:val="2"/>
              <w:lang w:val="en-US"/>
              <w14:ligatures w14:val="standardContextual"/>
            </w:rPr>
          </w:pPr>
          <w:r>
            <w:fldChar w:fldCharType="begin"/>
          </w:r>
          <w:r>
            <w:instrText xml:space="preserve"> HYPERLINK \l "_Toc237212572" </w:instrText>
          </w:r>
          <w:r>
            <w:fldChar w:fldCharType="separate"/>
          </w:r>
          <w:r>
            <w:rPr>
              <w:rStyle w:val="10"/>
            </w:rPr>
            <w:t>6.1 KPI and SMART objectives</w:t>
          </w:r>
          <w:r>
            <w:tab/>
          </w:r>
          <w:r>
            <w:fldChar w:fldCharType="begin"/>
          </w:r>
          <w:r>
            <w:instrText xml:space="preserve"> PAGEREF _Toc237212572 \h </w:instrText>
          </w:r>
          <w:r>
            <w:fldChar w:fldCharType="separate"/>
          </w:r>
          <w:r>
            <w:t>5</w:t>
          </w:r>
          <w:r>
            <w:fldChar w:fldCharType="end"/>
          </w:r>
          <w:r>
            <w:fldChar w:fldCharType="end"/>
          </w:r>
        </w:p>
        <w:p w14:paraId="56069E2E">
          <w:pPr>
            <w:pStyle w:val="14"/>
            <w:tabs>
              <w:tab w:val="right" w:pos="9019"/>
            </w:tabs>
            <w:rPr>
              <w:rFonts w:asciiTheme="minorHAnsi" w:hAnsiTheme="minorHAnsi" w:eastAsiaTheme="minorEastAsia" w:cstheme="minorBidi"/>
              <w:kern w:val="2"/>
              <w:lang w:val="en-US"/>
              <w14:ligatures w14:val="standardContextual"/>
            </w:rPr>
          </w:pPr>
          <w:r>
            <w:fldChar w:fldCharType="begin"/>
          </w:r>
          <w:r>
            <w:instrText xml:space="preserve"> HYPERLINK \l "_Toc237212573" </w:instrText>
          </w:r>
          <w:r>
            <w:fldChar w:fldCharType="separate"/>
          </w:r>
          <w:r>
            <w:rPr>
              <w:rStyle w:val="10"/>
            </w:rPr>
            <w:t>6.2 Use of the KPI</w:t>
          </w:r>
          <w:r>
            <w:tab/>
          </w:r>
          <w:r>
            <w:fldChar w:fldCharType="begin"/>
          </w:r>
          <w:r>
            <w:instrText xml:space="preserve"> PAGEREF _Toc237212573 \h </w:instrText>
          </w:r>
          <w:r>
            <w:fldChar w:fldCharType="separate"/>
          </w:r>
          <w:r>
            <w:t>5</w:t>
          </w:r>
          <w:r>
            <w:fldChar w:fldCharType="end"/>
          </w:r>
          <w:r>
            <w:fldChar w:fldCharType="end"/>
          </w:r>
        </w:p>
        <w:p w14:paraId="56EF2EBD">
          <w:pPr>
            <w:pStyle w:val="13"/>
            <w:tabs>
              <w:tab w:val="right" w:pos="9019"/>
            </w:tabs>
            <w:rPr>
              <w:rFonts w:asciiTheme="minorHAnsi" w:hAnsiTheme="minorHAnsi" w:eastAsiaTheme="minorEastAsia" w:cstheme="minorBidi"/>
              <w:kern w:val="2"/>
              <w:lang w:val="en-US"/>
              <w14:ligatures w14:val="standardContextual"/>
            </w:rPr>
          </w:pPr>
          <w:r>
            <w:fldChar w:fldCharType="begin"/>
          </w:r>
          <w:r>
            <w:instrText xml:space="preserve"> HYPERLINK \l "_Toc237212574" </w:instrText>
          </w:r>
          <w:r>
            <w:fldChar w:fldCharType="separate"/>
          </w:r>
          <w:r>
            <w:rPr>
              <w:rStyle w:val="10"/>
            </w:rPr>
            <w:t>7. Summary of Key Findings</w:t>
          </w:r>
          <w:r>
            <w:tab/>
          </w:r>
          <w:r>
            <w:fldChar w:fldCharType="begin"/>
          </w:r>
          <w:r>
            <w:instrText xml:space="preserve"> PAGEREF _Toc237212574 \h </w:instrText>
          </w:r>
          <w:r>
            <w:fldChar w:fldCharType="separate"/>
          </w:r>
          <w:r>
            <w:t>6</w:t>
          </w:r>
          <w:r>
            <w:fldChar w:fldCharType="end"/>
          </w:r>
          <w:r>
            <w:fldChar w:fldCharType="end"/>
          </w:r>
        </w:p>
        <w:p w14:paraId="30E0F54F">
          <w:pPr>
            <w:pStyle w:val="13"/>
            <w:tabs>
              <w:tab w:val="right" w:pos="9019"/>
            </w:tabs>
            <w:rPr>
              <w:rFonts w:asciiTheme="minorHAnsi" w:hAnsiTheme="minorHAnsi" w:eastAsiaTheme="minorEastAsia" w:cstheme="minorBidi"/>
              <w:kern w:val="2"/>
              <w:lang w:val="en-US"/>
              <w14:ligatures w14:val="standardContextual"/>
            </w:rPr>
          </w:pPr>
          <w:r>
            <w:fldChar w:fldCharType="begin"/>
          </w:r>
          <w:r>
            <w:instrText xml:space="preserve"> HYPERLINK \l "_Toc237212575" </w:instrText>
          </w:r>
          <w:r>
            <w:fldChar w:fldCharType="separate"/>
          </w:r>
          <w:r>
            <w:rPr>
              <w:rStyle w:val="10"/>
            </w:rPr>
            <w:t>References</w:t>
          </w:r>
          <w:r>
            <w:tab/>
          </w:r>
          <w:r>
            <w:fldChar w:fldCharType="begin"/>
          </w:r>
          <w:r>
            <w:instrText xml:space="preserve"> PAGEREF _Toc237212575 \h </w:instrText>
          </w:r>
          <w:r>
            <w:fldChar w:fldCharType="separate"/>
          </w:r>
          <w:r>
            <w:t>7</w:t>
          </w:r>
          <w:r>
            <w:fldChar w:fldCharType="end"/>
          </w:r>
          <w:r>
            <w:fldChar w:fldCharType="end"/>
          </w:r>
        </w:p>
        <w:p w14:paraId="412F99B6">
          <w:pPr>
            <w:pStyle w:val="13"/>
            <w:tabs>
              <w:tab w:val="right" w:pos="9019"/>
            </w:tabs>
            <w:rPr>
              <w:rFonts w:asciiTheme="minorHAnsi" w:hAnsiTheme="minorHAnsi" w:eastAsiaTheme="minorEastAsia" w:cstheme="minorBidi"/>
              <w:kern w:val="2"/>
              <w:lang w:val="en-US"/>
              <w14:ligatures w14:val="standardContextual"/>
            </w:rPr>
          </w:pPr>
          <w:r>
            <w:fldChar w:fldCharType="begin"/>
          </w:r>
          <w:r>
            <w:instrText xml:space="preserve"> HYPERLINK \l "_Toc237212576" </w:instrText>
          </w:r>
          <w:r>
            <w:fldChar w:fldCharType="separate"/>
          </w:r>
          <w:r>
            <w:rPr>
              <w:rStyle w:val="10"/>
            </w:rPr>
            <w:t>Appendices</w:t>
          </w:r>
          <w:r>
            <w:tab/>
          </w:r>
          <w:r>
            <w:fldChar w:fldCharType="begin"/>
          </w:r>
          <w:r>
            <w:instrText xml:space="preserve"> PAGEREF _Toc237212576 \h </w:instrText>
          </w:r>
          <w:r>
            <w:fldChar w:fldCharType="separate"/>
          </w:r>
          <w:r>
            <w:t>8</w:t>
          </w:r>
          <w:r>
            <w:fldChar w:fldCharType="end"/>
          </w:r>
          <w:r>
            <w:fldChar w:fldCharType="end"/>
          </w:r>
        </w:p>
        <w:p w14:paraId="5A28B5EE">
          <w:pPr>
            <w:pStyle w:val="14"/>
            <w:tabs>
              <w:tab w:val="right" w:pos="9019"/>
            </w:tabs>
            <w:rPr>
              <w:rFonts w:asciiTheme="minorHAnsi" w:hAnsiTheme="minorHAnsi" w:eastAsiaTheme="minorEastAsia" w:cstheme="minorBidi"/>
              <w:kern w:val="2"/>
              <w:lang w:val="en-US"/>
              <w14:ligatures w14:val="standardContextual"/>
            </w:rPr>
          </w:pPr>
          <w:r>
            <w:fldChar w:fldCharType="begin"/>
          </w:r>
          <w:r>
            <w:instrText xml:space="preserve"> HYPERLINK \l "_Toc237212577" </w:instrText>
          </w:r>
          <w:r>
            <w:fldChar w:fldCharType="separate"/>
          </w:r>
          <w:r>
            <w:rPr>
              <w:rStyle w:val="10"/>
            </w:rPr>
            <w:t>Appendix 1: Grid Analysis</w:t>
          </w:r>
          <w:r>
            <w:tab/>
          </w:r>
          <w:r>
            <w:fldChar w:fldCharType="begin"/>
          </w:r>
          <w:r>
            <w:instrText xml:space="preserve"> PAGEREF _Toc237212577 \h </w:instrText>
          </w:r>
          <w:r>
            <w:fldChar w:fldCharType="separate"/>
          </w:r>
          <w:r>
            <w:t>8</w:t>
          </w:r>
          <w:r>
            <w:fldChar w:fldCharType="end"/>
          </w:r>
          <w:r>
            <w:fldChar w:fldCharType="end"/>
          </w:r>
        </w:p>
        <w:p w14:paraId="66D84AFE">
          <w:pPr>
            <w:pStyle w:val="14"/>
            <w:tabs>
              <w:tab w:val="right" w:pos="9019"/>
            </w:tabs>
            <w:rPr>
              <w:rFonts w:asciiTheme="minorHAnsi" w:hAnsiTheme="minorHAnsi" w:eastAsiaTheme="minorEastAsia" w:cstheme="minorBidi"/>
              <w:kern w:val="2"/>
              <w:lang w:val="en-US"/>
              <w14:ligatures w14:val="standardContextual"/>
            </w:rPr>
          </w:pPr>
          <w:r>
            <w:fldChar w:fldCharType="begin"/>
          </w:r>
          <w:r>
            <w:instrText xml:space="preserve"> HYPERLINK \l "_Toc237212578" </w:instrText>
          </w:r>
          <w:r>
            <w:fldChar w:fldCharType="separate"/>
          </w:r>
          <w:r>
            <w:rPr>
              <w:rStyle w:val="10"/>
            </w:rPr>
            <w:t>Appendix 2: Risk Analysis</w:t>
          </w:r>
          <w:r>
            <w:tab/>
          </w:r>
          <w:r>
            <w:fldChar w:fldCharType="begin"/>
          </w:r>
          <w:r>
            <w:instrText xml:space="preserve"> PAGEREF _Toc237212578 \h </w:instrText>
          </w:r>
          <w:r>
            <w:fldChar w:fldCharType="separate"/>
          </w:r>
          <w:r>
            <w:t>9</w:t>
          </w:r>
          <w:r>
            <w:fldChar w:fldCharType="end"/>
          </w:r>
          <w:r>
            <w:fldChar w:fldCharType="end"/>
          </w:r>
        </w:p>
        <w:p w14:paraId="12C1E2D2">
          <w:pPr>
            <w:pStyle w:val="14"/>
            <w:tabs>
              <w:tab w:val="right" w:pos="9019"/>
            </w:tabs>
            <w:rPr>
              <w:rFonts w:asciiTheme="minorHAnsi" w:hAnsiTheme="minorHAnsi" w:eastAsiaTheme="minorEastAsia" w:cstheme="minorBidi"/>
              <w:kern w:val="2"/>
              <w:lang w:val="en-US"/>
              <w14:ligatures w14:val="standardContextual"/>
            </w:rPr>
          </w:pPr>
          <w:r>
            <w:fldChar w:fldCharType="begin"/>
          </w:r>
          <w:r>
            <w:instrText xml:space="preserve"> HYPERLINK \l "_Toc237212579" </w:instrText>
          </w:r>
          <w:r>
            <w:fldChar w:fldCharType="separate"/>
          </w:r>
          <w:r>
            <w:rPr>
              <w:rStyle w:val="10"/>
            </w:rPr>
            <w:t>Appendix 3: Implementation plan</w:t>
          </w:r>
          <w:r>
            <w:tab/>
          </w:r>
          <w:r>
            <w:fldChar w:fldCharType="begin"/>
          </w:r>
          <w:r>
            <w:instrText xml:space="preserve"> PAGEREF _Toc237212579 \h </w:instrText>
          </w:r>
          <w:r>
            <w:fldChar w:fldCharType="separate"/>
          </w:r>
          <w:r>
            <w:t>11</w:t>
          </w:r>
          <w:r>
            <w:fldChar w:fldCharType="end"/>
          </w:r>
          <w:r>
            <w:fldChar w:fldCharType="end"/>
          </w:r>
        </w:p>
        <w:p w14:paraId="33273F06">
          <w:pPr>
            <w:pStyle w:val="14"/>
            <w:tabs>
              <w:tab w:val="right" w:pos="9019"/>
            </w:tabs>
            <w:rPr>
              <w:rFonts w:asciiTheme="minorHAnsi" w:hAnsiTheme="minorHAnsi" w:eastAsiaTheme="minorEastAsia" w:cstheme="minorBidi"/>
              <w:kern w:val="2"/>
              <w:lang w:val="en-US"/>
              <w14:ligatures w14:val="standardContextual"/>
            </w:rPr>
          </w:pPr>
          <w:r>
            <w:fldChar w:fldCharType="begin"/>
          </w:r>
          <w:r>
            <w:instrText xml:space="preserve"> HYPERLINK \l "_Toc237212580" </w:instrText>
          </w:r>
          <w:r>
            <w:fldChar w:fldCharType="separate"/>
          </w:r>
          <w:r>
            <w:rPr>
              <w:rStyle w:val="10"/>
            </w:rPr>
            <w:t>Appendix 4: SMART goals</w:t>
          </w:r>
          <w:r>
            <w:tab/>
          </w:r>
          <w:r>
            <w:fldChar w:fldCharType="begin"/>
          </w:r>
          <w:r>
            <w:instrText xml:space="preserve"> PAGEREF _Toc237212580 \h </w:instrText>
          </w:r>
          <w:r>
            <w:fldChar w:fldCharType="separate"/>
          </w:r>
          <w:r>
            <w:t>12</w:t>
          </w:r>
          <w:r>
            <w:fldChar w:fldCharType="end"/>
          </w:r>
          <w:r>
            <w:fldChar w:fldCharType="end"/>
          </w:r>
        </w:p>
        <w:p w14:paraId="3FB8B3D4">
          <w:pPr>
            <w:widowControl w:val="0"/>
            <w:tabs>
              <w:tab w:val="right" w:pos="9025"/>
            </w:tabs>
            <w:spacing w:before="60"/>
            <w:ind w:left="360"/>
            <w:jc w:val="left"/>
            <w:rPr>
              <w:color w:val="000000"/>
            </w:rPr>
          </w:pPr>
          <w:r>
            <w:fldChar w:fldCharType="end"/>
          </w:r>
        </w:p>
      </w:sdtContent>
    </w:sdt>
    <w:p w14:paraId="2BD7ACD3">
      <w:r>
        <w:br w:type="page"/>
      </w:r>
    </w:p>
    <w:p w14:paraId="0C0DE835">
      <w:pPr>
        <w:pStyle w:val="2"/>
      </w:pPr>
      <w:bookmarkStart w:id="0" w:name="_Toc237212558"/>
      <w:r>
        <w:t>1. Overview of the Basil’s Bakery Case Study and the Nature of its Problems</w:t>
      </w:r>
      <w:bookmarkEnd w:id="0"/>
    </w:p>
    <w:p w14:paraId="0C91ECA8">
      <w:r>
        <w:t xml:space="preserve">Basil’s Bakery, an independent business, opened in 2015 in a shopping retail park in Coventry, UK. Basil, the owner of the business, is an artisan baker who sells cakes, breads, and pastries. At the time of the COVID-19 lockdown, the sales of this business declined drastically, while Basil expected to increase its sales in the post-lockdown period. However, the number of sales never rose again, and between 2023 and 2025 it declined to approximately 25% of its sales in 2019. The main reason for such a sales decline can be the reduced footfall of the retail park, and customers' evolving demands for service delivery due to the emerging ‘work from culture after COVID-19.         </w:t>
      </w:r>
    </w:p>
    <w:p w14:paraId="5530B3BC">
      <w:pPr>
        <w:pStyle w:val="2"/>
      </w:pPr>
      <w:bookmarkStart w:id="1" w:name="_Toc237212559"/>
      <w:r>
        <w:t>2. Proposal of Two Solutions</w:t>
      </w:r>
      <w:bookmarkEnd w:id="1"/>
    </w:p>
    <w:p w14:paraId="486C10CF">
      <w:pPr>
        <w:pStyle w:val="3"/>
      </w:pPr>
      <w:bookmarkStart w:id="2" w:name="_Toc237212560"/>
      <w:r>
        <w:t>2.1 Solution 1 - Development of an integrated pre-order and delivery service</w:t>
      </w:r>
      <w:bookmarkEnd w:id="2"/>
    </w:p>
    <w:p w14:paraId="74CDA30C">
      <w:r>
        <w:t xml:space="preserve">Development of an online platform for pre-order and delivery service will be helpful for Basil’s Bakery to address the current demands of its targeted customers. According to the study of Keong </w:t>
      </w:r>
      <w:r>
        <w:rPr>
          <w:i/>
          <w:iCs/>
        </w:rPr>
        <w:t>et al.</w:t>
      </w:r>
      <w:r>
        <w:t xml:space="preserve"> (2026), adoption of online order and delivery services helped several small businesses to address the evolving customer preferences after the COVID-19 pandemic situation. This solution may address different problems mentioned in the case, like reduced footfall, WFH culture, and loss of loyal customers, by offering online order and delivery services.        </w:t>
      </w:r>
    </w:p>
    <w:p w14:paraId="0FF4F900">
      <w:pPr>
        <w:pStyle w:val="3"/>
      </w:pPr>
      <w:bookmarkStart w:id="3" w:name="_Toc237212561"/>
      <w:r>
        <w:t>2.2 Solution 2 - Diversification of sales channels and product offerings</w:t>
      </w:r>
      <w:bookmarkEnd w:id="3"/>
    </w:p>
    <w:p w14:paraId="44012F5F">
      <w:r>
        <w:t xml:space="preserve"> Expansion of the bakery beyond dependency on retail-park footfall may be helpful for Basil’s Bakery to address its current problems of declining product sales. Batsakis, Konara and Theoharakis (2022) stated that diversification of sales channels along with product offerings allows small businesses to improve sales. Considering this fact, Basil’s Bakery might diversify its sales channels through catering services, bakery boxes, online sales, seasonal product ranges, and partnerships with nearby businesses.   </w:t>
      </w:r>
    </w:p>
    <w:p w14:paraId="7C831617">
      <w:pPr>
        <w:pStyle w:val="2"/>
      </w:pPr>
      <w:bookmarkStart w:id="4" w:name="_Toc237212562"/>
      <w:r>
        <w:t>3. Evaluation of the Proposed Solutions</w:t>
      </w:r>
      <w:bookmarkEnd w:id="4"/>
    </w:p>
    <w:p w14:paraId="4BF3749A">
      <w:pPr>
        <w:pStyle w:val="3"/>
      </w:pPr>
      <w:bookmarkStart w:id="5" w:name="_Toc237212563"/>
      <w:r>
        <w:t>3.1 Grid Analysis</w:t>
      </w:r>
      <w:bookmarkEnd w:id="5"/>
      <w:r>
        <w:t xml:space="preserve"> </w:t>
      </w:r>
    </w:p>
    <w:p w14:paraId="55CD28B6">
      <w:r>
        <w:t xml:space="preserve">Following the proposed solutions for Basil’s Bakery, it is quite certain that both of them have applicability to the current situation at the firm, but it is important to narrow down the strategic execution process. Sobai, Pokharel and Abdella (2020) defined that in strategic project management, selective goals over the initiatives help to maintain the process. Similarly, according to the results gathered through Grid Analysis </w:t>
      </w:r>
      <w:r>
        <w:rPr>
          <w:b/>
          <w:bCs/>
        </w:rPr>
        <w:t>(Refer to Appendix 1),</w:t>
      </w:r>
      <w:r>
        <w:t xml:space="preserve"> it is an integrated pre-order and delivery service which has the highest score and value point to be adopted. In terms of adopting it, a delivery fleet using third-party collaborations and a pre-ordering dashboard is supposed to be needed with IT help. In both implications, the company might have a better way of doing business and ease the concern regarding customer accessibility to their services. </w:t>
      </w:r>
    </w:p>
    <w:p w14:paraId="3A9FB61E">
      <w:pPr>
        <w:pStyle w:val="3"/>
      </w:pPr>
      <w:bookmarkStart w:id="6" w:name="_Toc237212564"/>
      <w:r>
        <w:t>3.2 Explanation of the result to select one preferred solution</w:t>
      </w:r>
      <w:bookmarkEnd w:id="6"/>
      <w:r>
        <w:t xml:space="preserve"> </w:t>
      </w:r>
    </w:p>
    <w:p w14:paraId="1C1A7B3C">
      <w:r>
        <w:t xml:space="preserve">From the Grid analysis table, estimated score values were found segregated over the adaptability and influence of each identified strategic solution. In the proposed solutions, one is associated with a complete arrangement for external delivery and internal operation to take online orders, while the other one makes a strong sales strategy using diversification. However, Manuaba, No and Wu (2022) defined that a problem-based solution is more effective compared to other strategic and measured approaches. Similarly, Basil’s Bakery specifically faced the issue due to their no service viability for the new-normal period of customers who seek online delivery. Therefore, it is more justified to choose the preferred solution that directly applies to the situation, such as pre-order and delivery. </w:t>
      </w:r>
    </w:p>
    <w:p w14:paraId="3EF67A93">
      <w:pPr>
        <w:pStyle w:val="2"/>
      </w:pPr>
      <w:bookmarkStart w:id="7" w:name="_Toc237212565"/>
      <w:r>
        <w:t>4. Risk Analysis</w:t>
      </w:r>
      <w:bookmarkEnd w:id="7"/>
    </w:p>
    <w:p w14:paraId="10C921B6">
      <w:pPr>
        <w:pStyle w:val="3"/>
      </w:pPr>
      <w:bookmarkStart w:id="8" w:name="_Toc237212566"/>
      <w:r>
        <w:t>4.1 Risks</w:t>
      </w:r>
      <w:bookmarkEnd w:id="8"/>
    </w:p>
    <w:p w14:paraId="0F1F0176">
      <w:r>
        <w:t xml:space="preserve">Managing risks over project initiation and the process-mapping to implement a solution is an essential as well as effective way to ensure procedural feasibility. Similarly, enlisted key concerns or risk potentials in the proposed solution have been found mostly associated with delivery cost and employee pressure </w:t>
      </w:r>
      <w:r>
        <w:rPr>
          <w:b/>
          <w:bCs/>
        </w:rPr>
        <w:t>(Refer to Appendix 2)</w:t>
      </w:r>
      <w:r>
        <w:t xml:space="preserve">. In the tabular risks analysis, the highest-scoring risks involve delivery time and expense, increased workload, followed by technical failure, capacity constraints and low customer adoption. However, Eichholz, Hoffmann and Schwering (2024) opined that in terms of risks in a pre-estimated plan, possible areas associated with company internal functions become more vulnerable. Similarly, increased workload seems a more probable issue that may reduce company productivity and become a concern area along with other risks.  </w:t>
      </w:r>
    </w:p>
    <w:p w14:paraId="3387C424">
      <w:pPr>
        <w:pStyle w:val="3"/>
      </w:pPr>
      <w:bookmarkStart w:id="9" w:name="_Toc237212567"/>
      <w:r>
        <w:t>4.2 Explanation of the feasibility of the selected solution</w:t>
      </w:r>
      <w:bookmarkEnd w:id="9"/>
      <w:r>
        <w:t xml:space="preserve"> </w:t>
      </w:r>
    </w:p>
    <w:p w14:paraId="7A7C5C5C">
      <w:r>
        <w:t xml:space="preserve">In the proposed solutions, the chosen pre-order and delivery is evidently a value-driven change that may improve the company situation, but also subject to feasibility. According to the SAF framework, it is the company-driven metrics or KPIs that employ the changes to make improvements (Condori-Fernandez </w:t>
      </w:r>
      <w:r>
        <w:rPr>
          <w:i/>
          <w:iCs/>
        </w:rPr>
        <w:t>et al.</w:t>
      </w:r>
      <w:r>
        <w:t xml:space="preserve">, 2020). Similarly, the following points are important to understand the actual feasibility of the solution at Basil’s Bakery. </w:t>
      </w:r>
    </w:p>
    <w:p w14:paraId="0FF039F9">
      <w:pPr>
        <w:numPr>
          <w:ilvl w:val="0"/>
          <w:numId w:val="1"/>
        </w:numPr>
      </w:pPr>
      <w:r>
        <w:rPr>
          <w:b/>
          <w:bCs/>
          <w:i/>
          <w:iCs/>
        </w:rPr>
        <w:t>Suitability</w:t>
      </w:r>
      <w:r>
        <w:t xml:space="preserve">: According to the case study, consumers at Basil’s Bakery already asked for ‘Pre-Order’ as it would reduce their ordering time. So, it is apparently already suited for choosing it as the key solution for the company. </w:t>
      </w:r>
    </w:p>
    <w:p w14:paraId="0DECC560">
      <w:pPr>
        <w:numPr>
          <w:ilvl w:val="0"/>
          <w:numId w:val="1"/>
        </w:numPr>
      </w:pPr>
      <w:r>
        <w:rPr>
          <w:b/>
          <w:bCs/>
          <w:i/>
          <w:iCs/>
        </w:rPr>
        <w:t>Acceptability</w:t>
      </w:r>
      <w:r>
        <w:t xml:space="preserve">: Basil’s Bakery, as of the scenario given, is already agreed to make any changes possible. Their current goal is to make improvements to their sales by any means that makes the idea or solution accepted. </w:t>
      </w:r>
    </w:p>
    <w:p w14:paraId="4F5CA507">
      <w:pPr>
        <w:numPr>
          <w:ilvl w:val="0"/>
          <w:numId w:val="1"/>
        </w:numPr>
      </w:pPr>
      <w:r>
        <w:rPr>
          <w:b/>
          <w:bCs/>
          <w:i/>
          <w:iCs/>
        </w:rPr>
        <w:t>Feasibility</w:t>
      </w:r>
      <w:r>
        <w:t xml:space="preserve">:  In the current period, where every operating business has adopted a digital outlook for customer reachability along with home-delivery service, it is also probable for Basil’s Bakery. It will happen as it happens to the whole UK food industry. </w:t>
      </w:r>
    </w:p>
    <w:p w14:paraId="3033DD61">
      <w:pPr>
        <w:pStyle w:val="2"/>
      </w:pPr>
      <w:bookmarkStart w:id="10" w:name="_Toc237212568"/>
      <w:r>
        <w:t>5. Implementation Plan</w:t>
      </w:r>
      <w:bookmarkEnd w:id="10"/>
    </w:p>
    <w:p w14:paraId="50C091ED">
      <w:pPr>
        <w:pStyle w:val="3"/>
      </w:pPr>
      <w:bookmarkStart w:id="11" w:name="_Toc237212569"/>
      <w:r>
        <w:t>5.1 Plan to implement the selected solution</w:t>
      </w:r>
      <w:bookmarkEnd w:id="11"/>
    </w:p>
    <w:p w14:paraId="06AB1A13">
      <w:r>
        <w:t>Implementation of the integrated pre-order and delivery service must follow a phased plan</w:t>
      </w:r>
      <w:r>
        <w:rPr>
          <w:b/>
          <w:bCs/>
        </w:rPr>
        <w:t xml:space="preserve"> (Refer to Appendix 3)</w:t>
      </w:r>
      <w:r>
        <w:t xml:space="preserve">. The key phases of the implementation plan will involve proper planning, system development, staff preparation, pilot testing, evaluation, and final implementation. According to Holm, Kringelum and Anand (2025), a phased implementation plan helps to break complex projects into manageable smaller stages. Such practice will be helpful for Basil’s Bakery to simplify its new service implementation by following small steps rather than launching the entire service at once. The initial phase of planning will include assessing demand and costs to determine the feasibility of the new service within 1-2 weeks. The next phase of system development will be done within 2 to 4 weeks, in which there will be the selection of the most relevant ordering platform and checking its operational efficiency. Phase 3 will be staff development, which demands that Basil’s Bakery develop a trained staff for online order preparation and home delivery services. After all these system and staff development, there must be pilot testing for the new service in phase 4, and in phase 5 the result of the test will be evaluated, and relevant adjustments will be implemented. Finally, in phase 6, the final launch of the new service will be implemented with significant marketing and promotions.     </w:t>
      </w:r>
    </w:p>
    <w:p w14:paraId="6D1410BC">
      <w:pPr>
        <w:pStyle w:val="3"/>
      </w:pPr>
      <w:bookmarkStart w:id="12" w:name="_Toc237212570"/>
      <w:r>
        <w:t>5.2 Rationale of the provided implementation plan</w:t>
      </w:r>
      <w:bookmarkEnd w:id="12"/>
    </w:p>
    <w:p w14:paraId="35D2E13A">
      <w:r>
        <w:t xml:space="preserve">All the phases mentioned above for the implementation of solution 1 have been designed considering their efficiency to simplify the entire process. For instance, the planning phase (phase 1) will help to identify customer demand and budget development. For these activities, in phases 1 to 2 weeks have been allocated which is quite sufficient to fulfil the phase 1 plan with proper sales and customer data. In the same way, all the 6 phases have been developed considering their required resources, time, and responsibilities </w:t>
      </w:r>
      <w:r>
        <w:rPr>
          <w:b/>
          <w:bCs/>
        </w:rPr>
        <w:t>(Refer to Appendix 3)</w:t>
      </w:r>
      <w:r>
        <w:t xml:space="preserve">. Altogether, Basil is responsible for overseeing the strategic decisions, while his staff will manage the order preparation and product delivery operations in this new service.   </w:t>
      </w:r>
    </w:p>
    <w:p w14:paraId="76173B52">
      <w:pPr>
        <w:pStyle w:val="2"/>
      </w:pPr>
      <w:bookmarkStart w:id="13" w:name="_Toc237212571"/>
      <w:r>
        <w:t>6. Key Performance Indicator (KPI)</w:t>
      </w:r>
      <w:bookmarkEnd w:id="13"/>
    </w:p>
    <w:p w14:paraId="744B9D0A">
      <w:pPr>
        <w:pStyle w:val="3"/>
      </w:pPr>
      <w:bookmarkStart w:id="14" w:name="_Toc237212572"/>
      <w:r>
        <w:t>6.1 KPI and SMART objectives</w:t>
      </w:r>
      <w:bookmarkEnd w:id="14"/>
    </w:p>
    <w:p w14:paraId="13D48A56">
      <w:r>
        <w:t xml:space="preserve">Monitoring the </w:t>
      </w:r>
      <w:r>
        <w:rPr>
          <w:b/>
          <w:bCs/>
        </w:rPr>
        <w:t>percentage of sales growth</w:t>
      </w:r>
      <w:r>
        <w:t xml:space="preserve"> will be the most relevant KPI for Basil’s Bakery to monitor the performance of its new service. According to Asher, Nafees and Syeda (2024), in commercial business growth, internal feasibility of change management matters highly. Similarly, the KPIs over sales, monthly pre-order increase, and reducing customer waiting line are subject to the execution of the proposed solution. In that case, the following formula will be helpful:</w:t>
      </w:r>
    </w:p>
    <w:p w14:paraId="5BCBC8E7">
      <w:pPr>
        <w:jc w:val="center"/>
      </w:pPr>
      <w:r>
        <w:rPr>
          <w:b/>
          <w:bCs/>
        </w:rPr>
        <w:t>(Sales generated through pre-order and delivery service/Total monthly sales)*100</w:t>
      </w:r>
    </w:p>
    <w:p w14:paraId="33E72095">
      <w:r>
        <w:t xml:space="preserve">In the developed SMART goals, each goal is associated with the strategic option chosen over the pre-order delivery system </w:t>
      </w:r>
      <w:r>
        <w:rPr>
          <w:b/>
          <w:bCs/>
        </w:rPr>
        <w:t>(Refer to Appendix 4)</w:t>
      </w:r>
      <w:r>
        <w:t xml:space="preserve">. Now, in each of these goals, the selected one key KPI will play the most significant role in evaluating the contribution of this new service in achieving them.  </w:t>
      </w:r>
    </w:p>
    <w:p w14:paraId="44D9C5BA">
      <w:pPr>
        <w:pStyle w:val="3"/>
      </w:pPr>
      <w:bookmarkStart w:id="15" w:name="_Toc237212573"/>
      <w:r>
        <w:t>6.2 Use of the KPI</w:t>
      </w:r>
      <w:bookmarkEnd w:id="15"/>
    </w:p>
    <w:p w14:paraId="718342FD">
      <w:r>
        <w:t>To monitor and evaluate the performance of the newly integrated pre-order and delivery service, the above-identified key KPI will be used in the following strategic path. It is important to identify specific areas associated with the business functions in the following manner:</w:t>
      </w:r>
    </w:p>
    <w:p w14:paraId="53ADDC9E">
      <w:pPr>
        <w:numPr>
          <w:ilvl w:val="0"/>
          <w:numId w:val="2"/>
        </w:numPr>
      </w:pPr>
      <w:r>
        <w:t xml:space="preserve"> Tracking numbers of orders, delivery performance, and customer waiting time weekly</w:t>
      </w:r>
    </w:p>
    <w:p w14:paraId="4FF58B37">
      <w:pPr>
        <w:numPr>
          <w:ilvl w:val="0"/>
          <w:numId w:val="2"/>
        </w:numPr>
      </w:pPr>
      <w:r>
        <w:t>Monitoring sales generated, delivery cost, average order value, and repeat customers monthly</w:t>
      </w:r>
    </w:p>
    <w:p w14:paraId="19EA9373">
      <w:pPr>
        <w:numPr>
          <w:ilvl w:val="0"/>
          <w:numId w:val="2"/>
        </w:numPr>
      </w:pPr>
      <w:r>
        <w:t>Evaluate overall profitability, customer retention, and reduce dependency on retail-park footfall quarterly</w:t>
      </w:r>
    </w:p>
    <w:p w14:paraId="57276DC8">
      <w:r>
        <w:t xml:space="preserve">Therefore, above-mentioned each point of KPIs is important to track and follow through to ensure the suggested goal is adopted adequately.  </w:t>
      </w:r>
    </w:p>
    <w:p w14:paraId="1EAB64AE">
      <w:pPr>
        <w:pStyle w:val="2"/>
      </w:pPr>
      <w:bookmarkStart w:id="16" w:name="_Toc237212574"/>
      <w:r>
        <w:t>7. Summary of Key Findings</w:t>
      </w:r>
      <w:bookmarkEnd w:id="16"/>
    </w:p>
    <w:p w14:paraId="30422494">
      <w:pPr>
        <w:numPr>
          <w:ilvl w:val="0"/>
          <w:numId w:val="3"/>
        </w:numPr>
      </w:pPr>
      <w:r>
        <w:t>Sales of Basil’s Bakery declined approximately 25% in 2023-2025, compared to its sales in 2019</w:t>
      </w:r>
    </w:p>
    <w:p w14:paraId="74821289">
      <w:pPr>
        <w:numPr>
          <w:ilvl w:val="0"/>
          <w:numId w:val="3"/>
        </w:numPr>
      </w:pPr>
      <w:r>
        <w:t>The main reason for such sales decline in post COVID-19 pandemic reduced footfall in the retail park</w:t>
      </w:r>
    </w:p>
    <w:p w14:paraId="3D0E0AA1">
      <w:pPr>
        <w:numPr>
          <w:ilvl w:val="0"/>
          <w:numId w:val="3"/>
        </w:numPr>
      </w:pPr>
      <w:r>
        <w:t>Increasing demand for home delivery services, business rates, and organic ingredient costs are also the reasons behind the business losses of Basil</w:t>
      </w:r>
    </w:p>
    <w:p w14:paraId="5EBA9BE0">
      <w:pPr>
        <w:numPr>
          <w:ilvl w:val="0"/>
          <w:numId w:val="3"/>
        </w:numPr>
      </w:pPr>
      <w:r>
        <w:t>To address these issues, Basil must develop an online pre-ordering and delivery service</w:t>
      </w:r>
    </w:p>
    <w:p w14:paraId="37FAD4F7">
      <w:pPr>
        <w:numPr>
          <w:ilvl w:val="0"/>
          <w:numId w:val="3"/>
        </w:numPr>
      </w:pPr>
      <w:r>
        <w:t>The key implementation risks are delivery costs, staff overload, and uncertainties about customer adoption</w:t>
      </w:r>
    </w:p>
    <w:p w14:paraId="2CC8D37C">
      <w:pPr>
        <w:numPr>
          <w:ilvl w:val="0"/>
          <w:numId w:val="3"/>
        </w:numPr>
      </w:pPr>
      <w:r>
        <w:t>It is essential to conduct a pilot test to address all kinds of issues with relevant and data-driven adjustments</w:t>
      </w:r>
    </w:p>
    <w:p w14:paraId="2F660807">
      <w:pPr>
        <w:numPr>
          <w:ilvl w:val="0"/>
          <w:numId w:val="3"/>
        </w:numPr>
      </w:pPr>
      <w:r>
        <w:t>Performance of the new service must be measured through the sales generated through this service</w:t>
      </w:r>
    </w:p>
    <w:p w14:paraId="784EAF0F">
      <w:pPr>
        <w:pStyle w:val="2"/>
      </w:pPr>
      <w:bookmarkStart w:id="17" w:name="_85m7jx7qkb8p" w:colFirst="0" w:colLast="0"/>
      <w:bookmarkEnd w:id="17"/>
      <w:r>
        <w:br w:type="page"/>
      </w:r>
    </w:p>
    <w:p w14:paraId="7D9ECD54">
      <w:pPr>
        <w:pStyle w:val="2"/>
      </w:pPr>
      <w:bookmarkStart w:id="18" w:name="_Toc237212575"/>
      <w:r>
        <w:t>References</w:t>
      </w:r>
      <w:bookmarkEnd w:id="18"/>
    </w:p>
    <w:p w14:paraId="4CB1E830">
      <w:pPr>
        <w:spacing w:after="240"/>
      </w:pPr>
      <w:r>
        <w:t xml:space="preserve">Asher, S., Nafees, M. and Syeda, T. (2024) “Exploring the change management framework: An in-depth investigation,” </w:t>
      </w:r>
      <w:r>
        <w:rPr>
          <w:i/>
          <w:iCs/>
        </w:rPr>
        <w:t>MethodsX</w:t>
      </w:r>
      <w:r>
        <w:t>, 13(1), pp. 1–19.</w:t>
      </w:r>
    </w:p>
    <w:p w14:paraId="602558D2">
      <w:pPr>
        <w:spacing w:after="240"/>
      </w:pPr>
      <w:r>
        <w:t xml:space="preserve">Batsakis, G., Konara, P. and Theoharakis, V. (2022) ‘Digital sales channels and the relationship between product and international diversification: Evidence from going digital retail MNEs’, </w:t>
      </w:r>
      <w:r>
        <w:rPr>
          <w:i/>
          <w:iCs/>
        </w:rPr>
        <w:t>Global Strategy Journal</w:t>
      </w:r>
      <w:r>
        <w:t>, 13(4).</w:t>
      </w:r>
    </w:p>
    <w:p w14:paraId="13CD52E6">
      <w:pPr>
        <w:spacing w:after="240"/>
      </w:pPr>
      <w:r>
        <w:t xml:space="preserve">Condori-Fernandez, N., Lago, P., Luaces, M.R. and Places, Á.S. (2020) “An action research for improving the sustainability Assessment Framework Instruments,” </w:t>
      </w:r>
      <w:r>
        <w:rPr>
          <w:i/>
          <w:iCs/>
        </w:rPr>
        <w:t>Sustainability</w:t>
      </w:r>
      <w:r>
        <w:t>, 12(4), pp. 1–6.</w:t>
      </w:r>
    </w:p>
    <w:p w14:paraId="46F1F687">
      <w:pPr>
        <w:spacing w:after="240"/>
      </w:pPr>
      <w:r>
        <w:t xml:space="preserve">Eichholz, J., Hoffmann, N. and Schwering, A. (2024) “The role of risk management orientation and the planning function of budgeting in enhancing organizational resilience and its effect on competitive advantages during times of crises,” </w:t>
      </w:r>
      <w:r>
        <w:rPr>
          <w:i/>
          <w:iCs/>
        </w:rPr>
        <w:t>Journal of management control</w:t>
      </w:r>
      <w:r>
        <w:t>, 35(1), pp. 17–58.</w:t>
      </w:r>
    </w:p>
    <w:p w14:paraId="4B8B82FE">
      <w:pPr>
        <w:spacing w:after="240"/>
      </w:pPr>
      <w:r>
        <w:t xml:space="preserve">Holm, C.G., Kringelum, L. and Anand, A. (2025) ‘Creating effective strategy implementation: A systematic review of managerial and organizational levers’, </w:t>
      </w:r>
      <w:r>
        <w:rPr>
          <w:i/>
          <w:iCs/>
        </w:rPr>
        <w:t>Review of Managerial Science</w:t>
      </w:r>
      <w:r>
        <w:t>, 20, pp. 673–705.</w:t>
      </w:r>
    </w:p>
    <w:p w14:paraId="422D1DF8">
      <w:pPr>
        <w:spacing w:after="240"/>
      </w:pPr>
      <w:r>
        <w:t xml:space="preserve">Keong, T.B., Foo, Y.J., Baliyan, M., Fong, Y.C., Ying, Y.Y., Ning, Y.S., V, V., Tai, Y.Z. and Kee, D.M.H. (2026) ‘Post-COVID consumer behavior shifts in the online food delivery service sector in Malaysia’, </w:t>
      </w:r>
      <w:r>
        <w:rPr>
          <w:i/>
          <w:iCs/>
        </w:rPr>
        <w:t>Journal of The Community Development in Asia</w:t>
      </w:r>
      <w:r>
        <w:t>, 9(1), pp. 132–148.</w:t>
      </w:r>
    </w:p>
    <w:p w14:paraId="57E388D0">
      <w:pPr>
        <w:spacing w:after="240"/>
      </w:pPr>
      <w:r>
        <w:t xml:space="preserve">Manuaba, I.B.A.P., No, Y. and Wu, C.-C. (2022) “The effectiveness of problem based learning in improving critical thinking, problem-solving and self-directed learning in first-year medical students: A meta-analysis,” </w:t>
      </w:r>
      <w:r>
        <w:rPr>
          <w:i/>
          <w:iCs/>
        </w:rPr>
        <w:t>PLOS ONE</w:t>
      </w:r>
      <w:r>
        <w:t>. Edited by H. Cao, 17(11), pp. 2–7.</w:t>
      </w:r>
    </w:p>
    <w:p w14:paraId="4F04659C">
      <w:pPr>
        <w:spacing w:after="240"/>
      </w:pPr>
      <w:r>
        <w:t xml:space="preserve">Sobai, K.M. Al, Pokharel, S. and Abdella, G.M. (2020) “Perspectives on the capabilities for the selection of strategic projects,” </w:t>
      </w:r>
      <w:r>
        <w:rPr>
          <w:i/>
          <w:iCs/>
        </w:rPr>
        <w:t>Sustainability</w:t>
      </w:r>
      <w:r>
        <w:t>, 12(19), pp. 1–17.</w:t>
      </w:r>
    </w:p>
    <w:p w14:paraId="64454F63">
      <w:r>
        <w:br w:type="page"/>
      </w:r>
    </w:p>
    <w:p w14:paraId="52036CB2">
      <w:pPr>
        <w:pStyle w:val="2"/>
      </w:pPr>
      <w:bookmarkStart w:id="19" w:name="_Toc237212576"/>
      <w:r>
        <w:t>Appendices</w:t>
      </w:r>
      <w:bookmarkEnd w:id="19"/>
    </w:p>
    <w:p w14:paraId="686DB96F">
      <w:pPr>
        <w:pStyle w:val="3"/>
      </w:pPr>
      <w:bookmarkStart w:id="20" w:name="_Toc237212577"/>
      <w:r>
        <w:t>Appendix 1: Grid Analysis</w:t>
      </w:r>
      <w:bookmarkEnd w:id="20"/>
    </w:p>
    <w:tbl>
      <w:tblPr>
        <w:tblStyle w:val="17"/>
        <w:tblW w:w="900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1710"/>
        <w:gridCol w:w="1155"/>
        <w:gridCol w:w="1740"/>
        <w:gridCol w:w="1305"/>
        <w:gridCol w:w="1800"/>
        <w:gridCol w:w="1290"/>
      </w:tblGrid>
      <w:tr w14:paraId="1E67F8E5">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tcW w:w="1710" w:type="dxa"/>
            <w:tcMar>
              <w:top w:w="100" w:type="dxa"/>
              <w:left w:w="100" w:type="dxa"/>
              <w:bottom w:w="100" w:type="dxa"/>
              <w:right w:w="100" w:type="dxa"/>
            </w:tcMar>
          </w:tcPr>
          <w:p w14:paraId="546FD02F">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Evaluation Criteria</w:t>
            </w:r>
          </w:p>
        </w:tc>
        <w:tc>
          <w:tcPr>
            <w:tcW w:w="1155" w:type="dxa"/>
            <w:tcMar>
              <w:top w:w="100" w:type="dxa"/>
              <w:left w:w="100" w:type="dxa"/>
              <w:bottom w:w="100" w:type="dxa"/>
              <w:right w:w="100" w:type="dxa"/>
            </w:tcMar>
          </w:tcPr>
          <w:p w14:paraId="60927463">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Weight</w:t>
            </w:r>
          </w:p>
        </w:tc>
        <w:tc>
          <w:tcPr>
            <w:tcW w:w="1740" w:type="dxa"/>
            <w:tcMar>
              <w:top w:w="100" w:type="dxa"/>
              <w:left w:w="100" w:type="dxa"/>
              <w:bottom w:w="100" w:type="dxa"/>
              <w:right w:w="100" w:type="dxa"/>
            </w:tcMar>
          </w:tcPr>
          <w:p w14:paraId="6D87E795">
            <w:pPr>
              <w:jc w:val="center"/>
              <w:rPr>
                <w:b/>
                <w:bCs/>
              </w:rPr>
            </w:pPr>
            <w:r>
              <w:rPr>
                <w:b/>
                <w:bCs/>
              </w:rPr>
              <w:t>Solution 1 - Integrated pre-order and delivery service</w:t>
            </w:r>
          </w:p>
        </w:tc>
        <w:tc>
          <w:tcPr>
            <w:tcW w:w="1305" w:type="dxa"/>
            <w:tcMar>
              <w:top w:w="100" w:type="dxa"/>
              <w:left w:w="100" w:type="dxa"/>
              <w:bottom w:w="100" w:type="dxa"/>
              <w:right w:w="100" w:type="dxa"/>
            </w:tcMar>
          </w:tcPr>
          <w:p w14:paraId="11CC355E">
            <w:pPr>
              <w:jc w:val="center"/>
              <w:rPr>
                <w:b/>
                <w:bCs/>
              </w:rPr>
            </w:pPr>
            <w:r>
              <w:rPr>
                <w:b/>
                <w:bCs/>
              </w:rPr>
              <w:t>Weighted Score</w:t>
            </w:r>
          </w:p>
          <w:p w14:paraId="622822E6">
            <w:pPr>
              <w:jc w:val="center"/>
              <w:rPr>
                <w:b/>
                <w:bCs/>
              </w:rPr>
            </w:pPr>
            <w:r>
              <w:rPr>
                <w:b/>
                <w:bCs/>
              </w:rPr>
              <w:t>(Score * Weight)</w:t>
            </w:r>
          </w:p>
          <w:p w14:paraId="38CFC3E5">
            <w:pPr>
              <w:jc w:val="center"/>
              <w:rPr>
                <w:b/>
                <w:bCs/>
              </w:rPr>
            </w:pPr>
          </w:p>
        </w:tc>
        <w:tc>
          <w:tcPr>
            <w:tcW w:w="1800" w:type="dxa"/>
            <w:tcMar>
              <w:top w:w="100" w:type="dxa"/>
              <w:left w:w="100" w:type="dxa"/>
              <w:bottom w:w="100" w:type="dxa"/>
              <w:right w:w="100" w:type="dxa"/>
            </w:tcMar>
          </w:tcPr>
          <w:p w14:paraId="159B0914">
            <w:pPr>
              <w:jc w:val="center"/>
              <w:rPr>
                <w:b/>
                <w:bCs/>
              </w:rPr>
            </w:pPr>
            <w:r>
              <w:rPr>
                <w:b/>
                <w:bCs/>
              </w:rPr>
              <w:t>Solution 2 - Diversification of sales channels and product offerings</w:t>
            </w:r>
          </w:p>
        </w:tc>
        <w:tc>
          <w:tcPr>
            <w:tcW w:w="1290" w:type="dxa"/>
            <w:tcMar>
              <w:top w:w="100" w:type="dxa"/>
              <w:left w:w="100" w:type="dxa"/>
              <w:bottom w:w="100" w:type="dxa"/>
              <w:right w:w="100" w:type="dxa"/>
            </w:tcMar>
          </w:tcPr>
          <w:p w14:paraId="77B7F26B">
            <w:pPr>
              <w:jc w:val="center"/>
              <w:rPr>
                <w:b/>
                <w:bCs/>
              </w:rPr>
            </w:pPr>
            <w:r>
              <w:rPr>
                <w:b/>
                <w:bCs/>
              </w:rPr>
              <w:t>Weighted Score</w:t>
            </w:r>
          </w:p>
          <w:p w14:paraId="66DBEEE0">
            <w:pPr>
              <w:jc w:val="center"/>
              <w:rPr>
                <w:b/>
                <w:bCs/>
              </w:rPr>
            </w:pPr>
            <w:r>
              <w:rPr>
                <w:b/>
                <w:bCs/>
              </w:rPr>
              <w:t>(Score * Weight)</w:t>
            </w:r>
          </w:p>
        </w:tc>
      </w:tr>
      <w:tr w14:paraId="78CF139D">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tcW w:w="1710" w:type="dxa"/>
            <w:tcMar>
              <w:top w:w="100" w:type="dxa"/>
              <w:left w:w="100" w:type="dxa"/>
              <w:bottom w:w="100" w:type="dxa"/>
              <w:right w:w="100" w:type="dxa"/>
            </w:tcMar>
          </w:tcPr>
          <w:p w14:paraId="15C423CA">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Ability to improve sales</w:t>
            </w:r>
          </w:p>
        </w:tc>
        <w:tc>
          <w:tcPr>
            <w:tcW w:w="1155" w:type="dxa"/>
            <w:tcMar>
              <w:top w:w="100" w:type="dxa"/>
              <w:left w:w="100" w:type="dxa"/>
              <w:bottom w:w="100" w:type="dxa"/>
              <w:right w:w="100" w:type="dxa"/>
            </w:tcMar>
          </w:tcPr>
          <w:p w14:paraId="209DB182">
            <w:pPr>
              <w:widowControl w:val="0"/>
              <w:pBdr>
                <w:top w:val="none" w:color="auto" w:sz="0" w:space="0"/>
                <w:left w:val="none" w:color="auto" w:sz="0" w:space="0"/>
                <w:bottom w:val="none" w:color="auto" w:sz="0" w:space="0"/>
                <w:right w:val="none" w:color="auto" w:sz="0" w:space="0"/>
                <w:between w:val="none" w:color="auto" w:sz="0" w:space="0"/>
              </w:pBdr>
              <w:jc w:val="center"/>
            </w:pPr>
            <w:r>
              <w:t>30%</w:t>
            </w:r>
          </w:p>
        </w:tc>
        <w:tc>
          <w:tcPr>
            <w:tcW w:w="1740" w:type="dxa"/>
            <w:tcMar>
              <w:top w:w="100" w:type="dxa"/>
              <w:left w:w="100" w:type="dxa"/>
              <w:bottom w:w="100" w:type="dxa"/>
              <w:right w:w="100" w:type="dxa"/>
            </w:tcMar>
          </w:tcPr>
          <w:p w14:paraId="5CAF99BF">
            <w:pPr>
              <w:widowControl w:val="0"/>
              <w:pBdr>
                <w:top w:val="none" w:color="auto" w:sz="0" w:space="0"/>
                <w:left w:val="none" w:color="auto" w:sz="0" w:space="0"/>
                <w:bottom w:val="none" w:color="auto" w:sz="0" w:space="0"/>
                <w:right w:val="none" w:color="auto" w:sz="0" w:space="0"/>
                <w:between w:val="none" w:color="auto" w:sz="0" w:space="0"/>
              </w:pBdr>
              <w:jc w:val="center"/>
            </w:pPr>
            <w:r>
              <w:t>5</w:t>
            </w:r>
          </w:p>
        </w:tc>
        <w:tc>
          <w:tcPr>
            <w:tcW w:w="1305" w:type="dxa"/>
            <w:tcMar>
              <w:top w:w="100" w:type="dxa"/>
              <w:left w:w="100" w:type="dxa"/>
              <w:bottom w:w="100" w:type="dxa"/>
              <w:right w:w="100" w:type="dxa"/>
            </w:tcMar>
          </w:tcPr>
          <w:p w14:paraId="57AA2634">
            <w:pPr>
              <w:widowControl w:val="0"/>
              <w:pBdr>
                <w:top w:val="none" w:color="auto" w:sz="0" w:space="0"/>
                <w:left w:val="none" w:color="auto" w:sz="0" w:space="0"/>
                <w:bottom w:val="none" w:color="auto" w:sz="0" w:space="0"/>
                <w:right w:val="none" w:color="auto" w:sz="0" w:space="0"/>
                <w:between w:val="none" w:color="auto" w:sz="0" w:space="0"/>
              </w:pBdr>
              <w:jc w:val="center"/>
            </w:pPr>
            <w:r>
              <w:t>1.50</w:t>
            </w:r>
          </w:p>
        </w:tc>
        <w:tc>
          <w:tcPr>
            <w:tcW w:w="1800" w:type="dxa"/>
            <w:tcMar>
              <w:top w:w="100" w:type="dxa"/>
              <w:left w:w="100" w:type="dxa"/>
              <w:bottom w:w="100" w:type="dxa"/>
              <w:right w:w="100" w:type="dxa"/>
            </w:tcMar>
          </w:tcPr>
          <w:p w14:paraId="35886F5C">
            <w:pPr>
              <w:widowControl w:val="0"/>
              <w:pBdr>
                <w:top w:val="none" w:color="auto" w:sz="0" w:space="0"/>
                <w:left w:val="none" w:color="auto" w:sz="0" w:space="0"/>
                <w:bottom w:val="none" w:color="auto" w:sz="0" w:space="0"/>
                <w:right w:val="none" w:color="auto" w:sz="0" w:space="0"/>
                <w:between w:val="none" w:color="auto" w:sz="0" w:space="0"/>
              </w:pBdr>
              <w:jc w:val="center"/>
            </w:pPr>
            <w:r>
              <w:t>5</w:t>
            </w:r>
          </w:p>
        </w:tc>
        <w:tc>
          <w:tcPr>
            <w:tcW w:w="1290" w:type="dxa"/>
            <w:tcMar>
              <w:top w:w="100" w:type="dxa"/>
              <w:left w:w="100" w:type="dxa"/>
              <w:bottom w:w="100" w:type="dxa"/>
              <w:right w:w="100" w:type="dxa"/>
            </w:tcMar>
          </w:tcPr>
          <w:p w14:paraId="4E24E76D">
            <w:pPr>
              <w:widowControl w:val="0"/>
              <w:pBdr>
                <w:top w:val="none" w:color="auto" w:sz="0" w:space="0"/>
                <w:left w:val="none" w:color="auto" w:sz="0" w:space="0"/>
                <w:bottom w:val="none" w:color="auto" w:sz="0" w:space="0"/>
                <w:right w:val="none" w:color="auto" w:sz="0" w:space="0"/>
                <w:between w:val="none" w:color="auto" w:sz="0" w:space="0"/>
              </w:pBdr>
              <w:jc w:val="center"/>
            </w:pPr>
            <w:r>
              <w:t>1.50</w:t>
            </w:r>
          </w:p>
        </w:tc>
      </w:tr>
      <w:tr w14:paraId="6DE9B392">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tcW w:w="1710" w:type="dxa"/>
            <w:tcMar>
              <w:top w:w="100" w:type="dxa"/>
              <w:left w:w="100" w:type="dxa"/>
              <w:bottom w:w="100" w:type="dxa"/>
              <w:right w:w="100" w:type="dxa"/>
            </w:tcMar>
          </w:tcPr>
          <w:p w14:paraId="3B307821">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Ability to reduce dependency on retail park footfall</w:t>
            </w:r>
          </w:p>
        </w:tc>
        <w:tc>
          <w:tcPr>
            <w:tcW w:w="1155" w:type="dxa"/>
            <w:tcMar>
              <w:top w:w="100" w:type="dxa"/>
              <w:left w:w="100" w:type="dxa"/>
              <w:bottom w:w="100" w:type="dxa"/>
              <w:right w:w="100" w:type="dxa"/>
            </w:tcMar>
          </w:tcPr>
          <w:p w14:paraId="4D7D5AD6">
            <w:pPr>
              <w:widowControl w:val="0"/>
              <w:pBdr>
                <w:top w:val="none" w:color="auto" w:sz="0" w:space="0"/>
                <w:left w:val="none" w:color="auto" w:sz="0" w:space="0"/>
                <w:bottom w:val="none" w:color="auto" w:sz="0" w:space="0"/>
                <w:right w:val="none" w:color="auto" w:sz="0" w:space="0"/>
                <w:between w:val="none" w:color="auto" w:sz="0" w:space="0"/>
              </w:pBdr>
              <w:jc w:val="center"/>
            </w:pPr>
            <w:r>
              <w:t>20%</w:t>
            </w:r>
          </w:p>
        </w:tc>
        <w:tc>
          <w:tcPr>
            <w:tcW w:w="1740" w:type="dxa"/>
            <w:tcMar>
              <w:top w:w="100" w:type="dxa"/>
              <w:left w:w="100" w:type="dxa"/>
              <w:bottom w:w="100" w:type="dxa"/>
              <w:right w:w="100" w:type="dxa"/>
            </w:tcMar>
          </w:tcPr>
          <w:p w14:paraId="5D129D35">
            <w:pPr>
              <w:widowControl w:val="0"/>
              <w:pBdr>
                <w:top w:val="none" w:color="auto" w:sz="0" w:space="0"/>
                <w:left w:val="none" w:color="auto" w:sz="0" w:space="0"/>
                <w:bottom w:val="none" w:color="auto" w:sz="0" w:space="0"/>
                <w:right w:val="none" w:color="auto" w:sz="0" w:space="0"/>
                <w:between w:val="none" w:color="auto" w:sz="0" w:space="0"/>
              </w:pBdr>
              <w:jc w:val="center"/>
            </w:pPr>
            <w:r>
              <w:t>5</w:t>
            </w:r>
          </w:p>
        </w:tc>
        <w:tc>
          <w:tcPr>
            <w:tcW w:w="1305" w:type="dxa"/>
            <w:tcMar>
              <w:top w:w="100" w:type="dxa"/>
              <w:left w:w="100" w:type="dxa"/>
              <w:bottom w:w="100" w:type="dxa"/>
              <w:right w:w="100" w:type="dxa"/>
            </w:tcMar>
          </w:tcPr>
          <w:p w14:paraId="2E25CF73">
            <w:pPr>
              <w:widowControl w:val="0"/>
              <w:pBdr>
                <w:top w:val="none" w:color="auto" w:sz="0" w:space="0"/>
                <w:left w:val="none" w:color="auto" w:sz="0" w:space="0"/>
                <w:bottom w:val="none" w:color="auto" w:sz="0" w:space="0"/>
                <w:right w:val="none" w:color="auto" w:sz="0" w:space="0"/>
                <w:between w:val="none" w:color="auto" w:sz="0" w:space="0"/>
              </w:pBdr>
              <w:jc w:val="center"/>
            </w:pPr>
            <w:r>
              <w:t>1.00</w:t>
            </w:r>
          </w:p>
        </w:tc>
        <w:tc>
          <w:tcPr>
            <w:tcW w:w="1800" w:type="dxa"/>
            <w:tcMar>
              <w:top w:w="100" w:type="dxa"/>
              <w:left w:w="100" w:type="dxa"/>
              <w:bottom w:w="100" w:type="dxa"/>
              <w:right w:w="100" w:type="dxa"/>
            </w:tcMar>
          </w:tcPr>
          <w:p w14:paraId="7B943668">
            <w:pPr>
              <w:widowControl w:val="0"/>
              <w:pBdr>
                <w:top w:val="none" w:color="auto" w:sz="0" w:space="0"/>
                <w:left w:val="none" w:color="auto" w:sz="0" w:space="0"/>
                <w:bottom w:val="none" w:color="auto" w:sz="0" w:space="0"/>
                <w:right w:val="none" w:color="auto" w:sz="0" w:space="0"/>
                <w:between w:val="none" w:color="auto" w:sz="0" w:space="0"/>
              </w:pBdr>
              <w:jc w:val="center"/>
            </w:pPr>
            <w:r>
              <w:t>5</w:t>
            </w:r>
          </w:p>
        </w:tc>
        <w:tc>
          <w:tcPr>
            <w:tcW w:w="1290" w:type="dxa"/>
            <w:tcMar>
              <w:top w:w="100" w:type="dxa"/>
              <w:left w:w="100" w:type="dxa"/>
              <w:bottom w:w="100" w:type="dxa"/>
              <w:right w:w="100" w:type="dxa"/>
            </w:tcMar>
          </w:tcPr>
          <w:p w14:paraId="7FF8267E">
            <w:pPr>
              <w:widowControl w:val="0"/>
              <w:pBdr>
                <w:top w:val="none" w:color="auto" w:sz="0" w:space="0"/>
                <w:left w:val="none" w:color="auto" w:sz="0" w:space="0"/>
                <w:bottom w:val="none" w:color="auto" w:sz="0" w:space="0"/>
                <w:right w:val="none" w:color="auto" w:sz="0" w:space="0"/>
                <w:between w:val="none" w:color="auto" w:sz="0" w:space="0"/>
              </w:pBdr>
              <w:jc w:val="center"/>
            </w:pPr>
            <w:r>
              <w:t>1.00</w:t>
            </w:r>
          </w:p>
        </w:tc>
      </w:tr>
      <w:tr w14:paraId="58D5325B">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trHeight w:val="1910" w:hRule="atLeast"/>
        </w:trPr>
        <w:tc>
          <w:tcPr>
            <w:tcW w:w="1710" w:type="dxa"/>
            <w:tcMar>
              <w:top w:w="100" w:type="dxa"/>
              <w:left w:w="100" w:type="dxa"/>
              <w:bottom w:w="100" w:type="dxa"/>
              <w:right w:w="100" w:type="dxa"/>
            </w:tcMar>
          </w:tcPr>
          <w:p w14:paraId="399AD55C">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Response to the evolving customer demands</w:t>
            </w:r>
          </w:p>
        </w:tc>
        <w:tc>
          <w:tcPr>
            <w:tcW w:w="1155" w:type="dxa"/>
            <w:tcMar>
              <w:top w:w="100" w:type="dxa"/>
              <w:left w:w="100" w:type="dxa"/>
              <w:bottom w:w="100" w:type="dxa"/>
              <w:right w:w="100" w:type="dxa"/>
            </w:tcMar>
          </w:tcPr>
          <w:p w14:paraId="03F804DD">
            <w:pPr>
              <w:widowControl w:val="0"/>
              <w:pBdr>
                <w:top w:val="none" w:color="auto" w:sz="0" w:space="0"/>
                <w:left w:val="none" w:color="auto" w:sz="0" w:space="0"/>
                <w:bottom w:val="none" w:color="auto" w:sz="0" w:space="0"/>
                <w:right w:val="none" w:color="auto" w:sz="0" w:space="0"/>
                <w:between w:val="none" w:color="auto" w:sz="0" w:space="0"/>
              </w:pBdr>
              <w:jc w:val="center"/>
            </w:pPr>
            <w:r>
              <w:t>20%</w:t>
            </w:r>
          </w:p>
        </w:tc>
        <w:tc>
          <w:tcPr>
            <w:tcW w:w="1740" w:type="dxa"/>
            <w:tcMar>
              <w:top w:w="100" w:type="dxa"/>
              <w:left w:w="100" w:type="dxa"/>
              <w:bottom w:w="100" w:type="dxa"/>
              <w:right w:w="100" w:type="dxa"/>
            </w:tcMar>
          </w:tcPr>
          <w:p w14:paraId="5CDF4EFA">
            <w:pPr>
              <w:widowControl w:val="0"/>
              <w:pBdr>
                <w:top w:val="none" w:color="auto" w:sz="0" w:space="0"/>
                <w:left w:val="none" w:color="auto" w:sz="0" w:space="0"/>
                <w:bottom w:val="none" w:color="auto" w:sz="0" w:space="0"/>
                <w:right w:val="none" w:color="auto" w:sz="0" w:space="0"/>
                <w:between w:val="none" w:color="auto" w:sz="0" w:space="0"/>
              </w:pBdr>
              <w:jc w:val="center"/>
            </w:pPr>
            <w:r>
              <w:t>5</w:t>
            </w:r>
          </w:p>
        </w:tc>
        <w:tc>
          <w:tcPr>
            <w:tcW w:w="1305" w:type="dxa"/>
            <w:tcMar>
              <w:top w:w="100" w:type="dxa"/>
              <w:left w:w="100" w:type="dxa"/>
              <w:bottom w:w="100" w:type="dxa"/>
              <w:right w:w="100" w:type="dxa"/>
            </w:tcMar>
          </w:tcPr>
          <w:p w14:paraId="7DE5AB9A">
            <w:pPr>
              <w:widowControl w:val="0"/>
              <w:pBdr>
                <w:top w:val="none" w:color="auto" w:sz="0" w:space="0"/>
                <w:left w:val="none" w:color="auto" w:sz="0" w:space="0"/>
                <w:bottom w:val="none" w:color="auto" w:sz="0" w:space="0"/>
                <w:right w:val="none" w:color="auto" w:sz="0" w:space="0"/>
                <w:between w:val="none" w:color="auto" w:sz="0" w:space="0"/>
              </w:pBdr>
              <w:jc w:val="center"/>
            </w:pPr>
            <w:r>
              <w:t>1.00</w:t>
            </w:r>
          </w:p>
        </w:tc>
        <w:tc>
          <w:tcPr>
            <w:tcW w:w="1800" w:type="dxa"/>
            <w:tcMar>
              <w:top w:w="100" w:type="dxa"/>
              <w:left w:w="100" w:type="dxa"/>
              <w:bottom w:w="100" w:type="dxa"/>
              <w:right w:w="100" w:type="dxa"/>
            </w:tcMar>
          </w:tcPr>
          <w:p w14:paraId="6EF52A87">
            <w:pPr>
              <w:widowControl w:val="0"/>
              <w:pBdr>
                <w:top w:val="none" w:color="auto" w:sz="0" w:space="0"/>
                <w:left w:val="none" w:color="auto" w:sz="0" w:space="0"/>
                <w:bottom w:val="none" w:color="auto" w:sz="0" w:space="0"/>
                <w:right w:val="none" w:color="auto" w:sz="0" w:space="0"/>
                <w:between w:val="none" w:color="auto" w:sz="0" w:space="0"/>
              </w:pBdr>
              <w:jc w:val="center"/>
            </w:pPr>
            <w:r>
              <w:t>4</w:t>
            </w:r>
          </w:p>
        </w:tc>
        <w:tc>
          <w:tcPr>
            <w:tcW w:w="1290" w:type="dxa"/>
            <w:tcMar>
              <w:top w:w="100" w:type="dxa"/>
              <w:left w:w="100" w:type="dxa"/>
              <w:bottom w:w="100" w:type="dxa"/>
              <w:right w:w="100" w:type="dxa"/>
            </w:tcMar>
          </w:tcPr>
          <w:p w14:paraId="4E6D7959">
            <w:pPr>
              <w:widowControl w:val="0"/>
              <w:pBdr>
                <w:top w:val="none" w:color="auto" w:sz="0" w:space="0"/>
                <w:left w:val="none" w:color="auto" w:sz="0" w:space="0"/>
                <w:bottom w:val="none" w:color="auto" w:sz="0" w:space="0"/>
                <w:right w:val="none" w:color="auto" w:sz="0" w:space="0"/>
                <w:between w:val="none" w:color="auto" w:sz="0" w:space="0"/>
              </w:pBdr>
              <w:jc w:val="center"/>
            </w:pPr>
            <w:r>
              <w:t>0.80</w:t>
            </w:r>
          </w:p>
        </w:tc>
      </w:tr>
      <w:tr w14:paraId="26ABB07C">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tcW w:w="1710" w:type="dxa"/>
            <w:tcMar>
              <w:top w:w="100" w:type="dxa"/>
              <w:left w:w="100" w:type="dxa"/>
              <w:bottom w:w="100" w:type="dxa"/>
              <w:right w:w="100" w:type="dxa"/>
            </w:tcMar>
          </w:tcPr>
          <w:p w14:paraId="05F9C3E6">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Initial cost affordability</w:t>
            </w:r>
          </w:p>
        </w:tc>
        <w:tc>
          <w:tcPr>
            <w:tcW w:w="1155" w:type="dxa"/>
            <w:tcMar>
              <w:top w:w="100" w:type="dxa"/>
              <w:left w:w="100" w:type="dxa"/>
              <w:bottom w:w="100" w:type="dxa"/>
              <w:right w:w="100" w:type="dxa"/>
            </w:tcMar>
          </w:tcPr>
          <w:p w14:paraId="59DD052D">
            <w:pPr>
              <w:widowControl w:val="0"/>
              <w:pBdr>
                <w:top w:val="none" w:color="auto" w:sz="0" w:space="0"/>
                <w:left w:val="none" w:color="auto" w:sz="0" w:space="0"/>
                <w:bottom w:val="none" w:color="auto" w:sz="0" w:space="0"/>
                <w:right w:val="none" w:color="auto" w:sz="0" w:space="0"/>
                <w:between w:val="none" w:color="auto" w:sz="0" w:space="0"/>
              </w:pBdr>
              <w:jc w:val="center"/>
            </w:pPr>
            <w:r>
              <w:t>15%</w:t>
            </w:r>
          </w:p>
        </w:tc>
        <w:tc>
          <w:tcPr>
            <w:tcW w:w="1740" w:type="dxa"/>
            <w:tcMar>
              <w:top w:w="100" w:type="dxa"/>
              <w:left w:w="100" w:type="dxa"/>
              <w:bottom w:w="100" w:type="dxa"/>
              <w:right w:w="100" w:type="dxa"/>
            </w:tcMar>
          </w:tcPr>
          <w:p w14:paraId="0F1C7926">
            <w:pPr>
              <w:widowControl w:val="0"/>
              <w:pBdr>
                <w:top w:val="none" w:color="auto" w:sz="0" w:space="0"/>
                <w:left w:val="none" w:color="auto" w:sz="0" w:space="0"/>
                <w:bottom w:val="none" w:color="auto" w:sz="0" w:space="0"/>
                <w:right w:val="none" w:color="auto" w:sz="0" w:space="0"/>
                <w:between w:val="none" w:color="auto" w:sz="0" w:space="0"/>
              </w:pBdr>
              <w:jc w:val="center"/>
            </w:pPr>
            <w:r>
              <w:t>4</w:t>
            </w:r>
          </w:p>
        </w:tc>
        <w:tc>
          <w:tcPr>
            <w:tcW w:w="1305" w:type="dxa"/>
            <w:tcMar>
              <w:top w:w="100" w:type="dxa"/>
              <w:left w:w="100" w:type="dxa"/>
              <w:bottom w:w="100" w:type="dxa"/>
              <w:right w:w="100" w:type="dxa"/>
            </w:tcMar>
          </w:tcPr>
          <w:p w14:paraId="52606C90">
            <w:pPr>
              <w:widowControl w:val="0"/>
              <w:pBdr>
                <w:top w:val="none" w:color="auto" w:sz="0" w:space="0"/>
                <w:left w:val="none" w:color="auto" w:sz="0" w:space="0"/>
                <w:bottom w:val="none" w:color="auto" w:sz="0" w:space="0"/>
                <w:right w:val="none" w:color="auto" w:sz="0" w:space="0"/>
                <w:between w:val="none" w:color="auto" w:sz="0" w:space="0"/>
              </w:pBdr>
              <w:jc w:val="center"/>
            </w:pPr>
            <w:r>
              <w:t>0.60</w:t>
            </w:r>
          </w:p>
        </w:tc>
        <w:tc>
          <w:tcPr>
            <w:tcW w:w="1800" w:type="dxa"/>
            <w:tcMar>
              <w:top w:w="100" w:type="dxa"/>
              <w:left w:w="100" w:type="dxa"/>
              <w:bottom w:w="100" w:type="dxa"/>
              <w:right w:w="100" w:type="dxa"/>
            </w:tcMar>
          </w:tcPr>
          <w:p w14:paraId="5831AE45">
            <w:pPr>
              <w:widowControl w:val="0"/>
              <w:pBdr>
                <w:top w:val="none" w:color="auto" w:sz="0" w:space="0"/>
                <w:left w:val="none" w:color="auto" w:sz="0" w:space="0"/>
                <w:bottom w:val="none" w:color="auto" w:sz="0" w:space="0"/>
                <w:right w:val="none" w:color="auto" w:sz="0" w:space="0"/>
                <w:between w:val="none" w:color="auto" w:sz="0" w:space="0"/>
              </w:pBdr>
              <w:jc w:val="center"/>
            </w:pPr>
            <w:r>
              <w:t>3</w:t>
            </w:r>
          </w:p>
        </w:tc>
        <w:tc>
          <w:tcPr>
            <w:tcW w:w="1290" w:type="dxa"/>
            <w:tcMar>
              <w:top w:w="100" w:type="dxa"/>
              <w:left w:w="100" w:type="dxa"/>
              <w:bottom w:w="100" w:type="dxa"/>
              <w:right w:w="100" w:type="dxa"/>
            </w:tcMar>
          </w:tcPr>
          <w:p w14:paraId="04F784BB">
            <w:pPr>
              <w:widowControl w:val="0"/>
              <w:pBdr>
                <w:top w:val="none" w:color="auto" w:sz="0" w:space="0"/>
                <w:left w:val="none" w:color="auto" w:sz="0" w:space="0"/>
                <w:bottom w:val="none" w:color="auto" w:sz="0" w:space="0"/>
                <w:right w:val="none" w:color="auto" w:sz="0" w:space="0"/>
                <w:between w:val="none" w:color="auto" w:sz="0" w:space="0"/>
              </w:pBdr>
              <w:jc w:val="center"/>
            </w:pPr>
            <w:r>
              <w:t>0.45</w:t>
            </w:r>
          </w:p>
        </w:tc>
      </w:tr>
      <w:tr w14:paraId="0B8B7FDF">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tcW w:w="1710" w:type="dxa"/>
            <w:tcMar>
              <w:top w:w="100" w:type="dxa"/>
              <w:left w:w="100" w:type="dxa"/>
              <w:bottom w:w="100" w:type="dxa"/>
              <w:right w:w="100" w:type="dxa"/>
            </w:tcMar>
          </w:tcPr>
          <w:p w14:paraId="239E4184">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Customer convenience and experience</w:t>
            </w:r>
          </w:p>
        </w:tc>
        <w:tc>
          <w:tcPr>
            <w:tcW w:w="1155" w:type="dxa"/>
            <w:tcMar>
              <w:top w:w="100" w:type="dxa"/>
              <w:left w:w="100" w:type="dxa"/>
              <w:bottom w:w="100" w:type="dxa"/>
              <w:right w:w="100" w:type="dxa"/>
            </w:tcMar>
          </w:tcPr>
          <w:p w14:paraId="09442ED6">
            <w:pPr>
              <w:widowControl w:val="0"/>
              <w:pBdr>
                <w:top w:val="none" w:color="auto" w:sz="0" w:space="0"/>
                <w:left w:val="none" w:color="auto" w:sz="0" w:space="0"/>
                <w:bottom w:val="none" w:color="auto" w:sz="0" w:space="0"/>
                <w:right w:val="none" w:color="auto" w:sz="0" w:space="0"/>
                <w:between w:val="none" w:color="auto" w:sz="0" w:space="0"/>
              </w:pBdr>
              <w:jc w:val="center"/>
            </w:pPr>
            <w:r>
              <w:t>15%</w:t>
            </w:r>
          </w:p>
        </w:tc>
        <w:tc>
          <w:tcPr>
            <w:tcW w:w="1740" w:type="dxa"/>
            <w:tcMar>
              <w:top w:w="100" w:type="dxa"/>
              <w:left w:w="100" w:type="dxa"/>
              <w:bottom w:w="100" w:type="dxa"/>
              <w:right w:w="100" w:type="dxa"/>
            </w:tcMar>
          </w:tcPr>
          <w:p w14:paraId="17C57EF8">
            <w:pPr>
              <w:widowControl w:val="0"/>
              <w:pBdr>
                <w:top w:val="none" w:color="auto" w:sz="0" w:space="0"/>
                <w:left w:val="none" w:color="auto" w:sz="0" w:space="0"/>
                <w:bottom w:val="none" w:color="auto" w:sz="0" w:space="0"/>
                <w:right w:val="none" w:color="auto" w:sz="0" w:space="0"/>
                <w:between w:val="none" w:color="auto" w:sz="0" w:space="0"/>
              </w:pBdr>
              <w:jc w:val="center"/>
            </w:pPr>
            <w:r>
              <w:t>5</w:t>
            </w:r>
          </w:p>
        </w:tc>
        <w:tc>
          <w:tcPr>
            <w:tcW w:w="1305" w:type="dxa"/>
            <w:tcMar>
              <w:top w:w="100" w:type="dxa"/>
              <w:left w:w="100" w:type="dxa"/>
              <w:bottom w:w="100" w:type="dxa"/>
              <w:right w:w="100" w:type="dxa"/>
            </w:tcMar>
          </w:tcPr>
          <w:p w14:paraId="0EA49E8D">
            <w:pPr>
              <w:widowControl w:val="0"/>
              <w:pBdr>
                <w:top w:val="none" w:color="auto" w:sz="0" w:space="0"/>
                <w:left w:val="none" w:color="auto" w:sz="0" w:space="0"/>
                <w:bottom w:val="none" w:color="auto" w:sz="0" w:space="0"/>
                <w:right w:val="none" w:color="auto" w:sz="0" w:space="0"/>
                <w:between w:val="none" w:color="auto" w:sz="0" w:space="0"/>
              </w:pBdr>
              <w:jc w:val="center"/>
            </w:pPr>
            <w:r>
              <w:t>0.75</w:t>
            </w:r>
          </w:p>
        </w:tc>
        <w:tc>
          <w:tcPr>
            <w:tcW w:w="1800" w:type="dxa"/>
            <w:tcMar>
              <w:top w:w="100" w:type="dxa"/>
              <w:left w:w="100" w:type="dxa"/>
              <w:bottom w:w="100" w:type="dxa"/>
              <w:right w:w="100" w:type="dxa"/>
            </w:tcMar>
          </w:tcPr>
          <w:p w14:paraId="5C635260">
            <w:pPr>
              <w:widowControl w:val="0"/>
              <w:pBdr>
                <w:top w:val="none" w:color="auto" w:sz="0" w:space="0"/>
                <w:left w:val="none" w:color="auto" w:sz="0" w:space="0"/>
                <w:bottom w:val="none" w:color="auto" w:sz="0" w:space="0"/>
                <w:right w:val="none" w:color="auto" w:sz="0" w:space="0"/>
                <w:between w:val="none" w:color="auto" w:sz="0" w:space="0"/>
              </w:pBdr>
              <w:jc w:val="center"/>
            </w:pPr>
            <w:r>
              <w:t>4</w:t>
            </w:r>
          </w:p>
        </w:tc>
        <w:tc>
          <w:tcPr>
            <w:tcW w:w="1290" w:type="dxa"/>
            <w:tcMar>
              <w:top w:w="100" w:type="dxa"/>
              <w:left w:w="100" w:type="dxa"/>
              <w:bottom w:w="100" w:type="dxa"/>
              <w:right w:w="100" w:type="dxa"/>
            </w:tcMar>
          </w:tcPr>
          <w:p w14:paraId="695C0DD4">
            <w:pPr>
              <w:widowControl w:val="0"/>
              <w:pBdr>
                <w:top w:val="none" w:color="auto" w:sz="0" w:space="0"/>
                <w:left w:val="none" w:color="auto" w:sz="0" w:space="0"/>
                <w:bottom w:val="none" w:color="auto" w:sz="0" w:space="0"/>
                <w:right w:val="none" w:color="auto" w:sz="0" w:space="0"/>
                <w:between w:val="none" w:color="auto" w:sz="0" w:space="0"/>
              </w:pBdr>
              <w:jc w:val="center"/>
            </w:pPr>
            <w:r>
              <w:t>0.60</w:t>
            </w:r>
          </w:p>
        </w:tc>
      </w:tr>
      <w:tr w14:paraId="5431DA8E">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tcW w:w="1710" w:type="dxa"/>
            <w:tcMar>
              <w:top w:w="100" w:type="dxa"/>
              <w:left w:w="100" w:type="dxa"/>
              <w:bottom w:w="100" w:type="dxa"/>
              <w:right w:w="100" w:type="dxa"/>
            </w:tcMar>
          </w:tcPr>
          <w:p w14:paraId="01B5392D">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Total</w:t>
            </w:r>
          </w:p>
        </w:tc>
        <w:tc>
          <w:tcPr>
            <w:tcW w:w="1155" w:type="dxa"/>
            <w:tcMar>
              <w:top w:w="100" w:type="dxa"/>
              <w:left w:w="100" w:type="dxa"/>
              <w:bottom w:w="100" w:type="dxa"/>
              <w:right w:w="100" w:type="dxa"/>
            </w:tcMar>
          </w:tcPr>
          <w:p w14:paraId="205F1870">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100%</w:t>
            </w:r>
          </w:p>
        </w:tc>
        <w:tc>
          <w:tcPr>
            <w:tcW w:w="1740" w:type="dxa"/>
            <w:tcMar>
              <w:top w:w="100" w:type="dxa"/>
              <w:left w:w="100" w:type="dxa"/>
              <w:bottom w:w="100" w:type="dxa"/>
              <w:right w:w="100" w:type="dxa"/>
            </w:tcMar>
          </w:tcPr>
          <w:p w14:paraId="7B395727">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w:t>
            </w:r>
          </w:p>
        </w:tc>
        <w:tc>
          <w:tcPr>
            <w:tcW w:w="1305" w:type="dxa"/>
            <w:shd w:val="clear" w:color="auto" w:fill="00B050"/>
            <w:tcMar>
              <w:top w:w="100" w:type="dxa"/>
              <w:left w:w="100" w:type="dxa"/>
              <w:bottom w:w="100" w:type="dxa"/>
              <w:right w:w="100" w:type="dxa"/>
            </w:tcMar>
          </w:tcPr>
          <w:p w14:paraId="61D17B89">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4.85</w:t>
            </w:r>
          </w:p>
        </w:tc>
        <w:tc>
          <w:tcPr>
            <w:tcW w:w="1800" w:type="dxa"/>
            <w:tcMar>
              <w:top w:w="100" w:type="dxa"/>
              <w:left w:w="100" w:type="dxa"/>
              <w:bottom w:w="100" w:type="dxa"/>
              <w:right w:w="100" w:type="dxa"/>
            </w:tcMar>
          </w:tcPr>
          <w:p w14:paraId="3C7D2716">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w:t>
            </w:r>
          </w:p>
        </w:tc>
        <w:tc>
          <w:tcPr>
            <w:tcW w:w="1290" w:type="dxa"/>
            <w:tcMar>
              <w:top w:w="100" w:type="dxa"/>
              <w:left w:w="100" w:type="dxa"/>
              <w:bottom w:w="100" w:type="dxa"/>
              <w:right w:w="100" w:type="dxa"/>
            </w:tcMar>
          </w:tcPr>
          <w:p w14:paraId="28515B8C">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4.35</w:t>
            </w:r>
          </w:p>
        </w:tc>
      </w:tr>
    </w:tbl>
    <w:p w14:paraId="179A6B7B">
      <w:pPr>
        <w:jc w:val="center"/>
        <w:rPr>
          <w:b/>
          <w:bCs/>
        </w:rPr>
      </w:pPr>
      <w:r>
        <w:rPr>
          <w:b/>
          <w:bCs/>
        </w:rPr>
        <w:t>Table 1: Grid analysis</w:t>
      </w:r>
    </w:p>
    <w:p w14:paraId="1A1A04C2">
      <w:pPr>
        <w:pStyle w:val="3"/>
      </w:pPr>
      <w:bookmarkStart w:id="21" w:name="_f3gq9odgazmv" w:colFirst="0" w:colLast="0"/>
      <w:bookmarkEnd w:id="21"/>
      <w:r>
        <w:br w:type="page"/>
      </w:r>
    </w:p>
    <w:p w14:paraId="73354D5B">
      <w:pPr>
        <w:pStyle w:val="3"/>
      </w:pPr>
      <w:bookmarkStart w:id="22" w:name="_Toc237212578"/>
      <w:r>
        <w:t>Appendix 2: Risk Analysis</w:t>
      </w:r>
      <w:bookmarkEnd w:id="22"/>
    </w:p>
    <w:tbl>
      <w:tblPr>
        <w:tblStyle w:val="18"/>
        <w:tblW w:w="8925"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585"/>
        <w:gridCol w:w="1815"/>
        <w:gridCol w:w="1365"/>
        <w:gridCol w:w="1170"/>
        <w:gridCol w:w="1110"/>
        <w:gridCol w:w="1245"/>
        <w:gridCol w:w="1635"/>
      </w:tblGrid>
      <w:tr w14:paraId="1E4F54AC">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tcW w:w="585" w:type="dxa"/>
            <w:tcMar>
              <w:top w:w="100" w:type="dxa"/>
              <w:left w:w="100" w:type="dxa"/>
              <w:bottom w:w="100" w:type="dxa"/>
              <w:right w:w="100" w:type="dxa"/>
            </w:tcMar>
          </w:tcPr>
          <w:p w14:paraId="5EE595D1">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No.</w:t>
            </w:r>
          </w:p>
        </w:tc>
        <w:tc>
          <w:tcPr>
            <w:tcW w:w="1815" w:type="dxa"/>
            <w:tcMar>
              <w:top w:w="100" w:type="dxa"/>
              <w:left w:w="100" w:type="dxa"/>
              <w:bottom w:w="100" w:type="dxa"/>
              <w:right w:w="100" w:type="dxa"/>
            </w:tcMar>
          </w:tcPr>
          <w:p w14:paraId="28B15336">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Risk</w:t>
            </w:r>
          </w:p>
        </w:tc>
        <w:tc>
          <w:tcPr>
            <w:tcW w:w="1365" w:type="dxa"/>
            <w:tcMar>
              <w:top w:w="100" w:type="dxa"/>
              <w:left w:w="100" w:type="dxa"/>
              <w:bottom w:w="100" w:type="dxa"/>
              <w:right w:w="100" w:type="dxa"/>
            </w:tcMar>
          </w:tcPr>
          <w:p w14:paraId="35D201C1">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Likelihood</w:t>
            </w:r>
          </w:p>
        </w:tc>
        <w:tc>
          <w:tcPr>
            <w:tcW w:w="1170" w:type="dxa"/>
            <w:tcMar>
              <w:top w:w="100" w:type="dxa"/>
              <w:left w:w="100" w:type="dxa"/>
              <w:bottom w:w="100" w:type="dxa"/>
              <w:right w:w="100" w:type="dxa"/>
            </w:tcMar>
          </w:tcPr>
          <w:p w14:paraId="549A195C">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Severity</w:t>
            </w:r>
          </w:p>
        </w:tc>
        <w:tc>
          <w:tcPr>
            <w:tcW w:w="1110" w:type="dxa"/>
            <w:tcMar>
              <w:top w:w="100" w:type="dxa"/>
              <w:left w:w="100" w:type="dxa"/>
              <w:bottom w:w="100" w:type="dxa"/>
              <w:right w:w="100" w:type="dxa"/>
            </w:tcMar>
          </w:tcPr>
          <w:p w14:paraId="36CBCCDE">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Risk Score</w:t>
            </w:r>
          </w:p>
        </w:tc>
        <w:tc>
          <w:tcPr>
            <w:tcW w:w="1245" w:type="dxa"/>
            <w:tcMar>
              <w:top w:w="100" w:type="dxa"/>
              <w:left w:w="100" w:type="dxa"/>
              <w:bottom w:w="100" w:type="dxa"/>
              <w:right w:w="100" w:type="dxa"/>
            </w:tcMar>
          </w:tcPr>
          <w:p w14:paraId="437F3072">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Risk Level</w:t>
            </w:r>
          </w:p>
        </w:tc>
        <w:tc>
          <w:tcPr>
            <w:tcW w:w="1635" w:type="dxa"/>
            <w:tcMar>
              <w:top w:w="100" w:type="dxa"/>
              <w:left w:w="100" w:type="dxa"/>
              <w:bottom w:w="100" w:type="dxa"/>
              <w:right w:w="100" w:type="dxa"/>
            </w:tcMar>
          </w:tcPr>
          <w:p w14:paraId="0172706A">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Control measures</w:t>
            </w:r>
          </w:p>
        </w:tc>
      </w:tr>
      <w:tr w14:paraId="1AEE3DAE">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tcW w:w="585" w:type="dxa"/>
            <w:tcMar>
              <w:top w:w="100" w:type="dxa"/>
              <w:left w:w="100" w:type="dxa"/>
              <w:bottom w:w="100" w:type="dxa"/>
              <w:right w:w="100" w:type="dxa"/>
            </w:tcMar>
          </w:tcPr>
          <w:p w14:paraId="64700CDF">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1</w:t>
            </w:r>
          </w:p>
        </w:tc>
        <w:tc>
          <w:tcPr>
            <w:tcW w:w="1815" w:type="dxa"/>
            <w:tcMar>
              <w:top w:w="100" w:type="dxa"/>
              <w:left w:w="100" w:type="dxa"/>
              <w:bottom w:w="100" w:type="dxa"/>
              <w:right w:w="100" w:type="dxa"/>
            </w:tcMar>
          </w:tcPr>
          <w:p w14:paraId="39AAA9CE">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Delivery cost reduces profitability</w:t>
            </w:r>
          </w:p>
        </w:tc>
        <w:tc>
          <w:tcPr>
            <w:tcW w:w="1365" w:type="dxa"/>
            <w:shd w:val="clear" w:color="auto" w:fill="FF0000"/>
            <w:tcMar>
              <w:top w:w="100" w:type="dxa"/>
              <w:left w:w="100" w:type="dxa"/>
              <w:bottom w:w="100" w:type="dxa"/>
              <w:right w:w="100" w:type="dxa"/>
            </w:tcMar>
          </w:tcPr>
          <w:p w14:paraId="63411D73">
            <w:pPr>
              <w:widowControl w:val="0"/>
              <w:pBdr>
                <w:top w:val="none" w:color="auto" w:sz="0" w:space="0"/>
                <w:left w:val="none" w:color="auto" w:sz="0" w:space="0"/>
                <w:bottom w:val="none" w:color="auto" w:sz="0" w:space="0"/>
                <w:right w:val="none" w:color="auto" w:sz="0" w:space="0"/>
                <w:between w:val="none" w:color="auto" w:sz="0" w:space="0"/>
              </w:pBdr>
              <w:jc w:val="center"/>
            </w:pPr>
            <w:r>
              <w:t>4</w:t>
            </w:r>
          </w:p>
        </w:tc>
        <w:tc>
          <w:tcPr>
            <w:tcW w:w="1170" w:type="dxa"/>
            <w:shd w:val="clear" w:color="auto" w:fill="FF0000"/>
            <w:tcMar>
              <w:top w:w="100" w:type="dxa"/>
              <w:left w:w="100" w:type="dxa"/>
              <w:bottom w:w="100" w:type="dxa"/>
              <w:right w:w="100" w:type="dxa"/>
            </w:tcMar>
          </w:tcPr>
          <w:p w14:paraId="5413A7E8">
            <w:pPr>
              <w:widowControl w:val="0"/>
              <w:pBdr>
                <w:top w:val="none" w:color="auto" w:sz="0" w:space="0"/>
                <w:left w:val="none" w:color="auto" w:sz="0" w:space="0"/>
                <w:bottom w:val="none" w:color="auto" w:sz="0" w:space="0"/>
                <w:right w:val="none" w:color="auto" w:sz="0" w:space="0"/>
                <w:between w:val="none" w:color="auto" w:sz="0" w:space="0"/>
              </w:pBdr>
              <w:jc w:val="center"/>
            </w:pPr>
            <w:r>
              <w:t>5</w:t>
            </w:r>
          </w:p>
        </w:tc>
        <w:tc>
          <w:tcPr>
            <w:tcW w:w="1110" w:type="dxa"/>
            <w:shd w:val="clear" w:color="auto" w:fill="FF0000"/>
            <w:tcMar>
              <w:top w:w="100" w:type="dxa"/>
              <w:left w:w="100" w:type="dxa"/>
              <w:bottom w:w="100" w:type="dxa"/>
              <w:right w:w="100" w:type="dxa"/>
            </w:tcMar>
          </w:tcPr>
          <w:p w14:paraId="111D5509">
            <w:pPr>
              <w:widowControl w:val="0"/>
              <w:pBdr>
                <w:top w:val="none" w:color="auto" w:sz="0" w:space="0"/>
                <w:left w:val="none" w:color="auto" w:sz="0" w:space="0"/>
                <w:bottom w:val="none" w:color="auto" w:sz="0" w:space="0"/>
                <w:right w:val="none" w:color="auto" w:sz="0" w:space="0"/>
                <w:between w:val="none" w:color="auto" w:sz="0" w:space="0"/>
              </w:pBdr>
              <w:jc w:val="center"/>
            </w:pPr>
            <w:r>
              <w:t>20</w:t>
            </w:r>
          </w:p>
        </w:tc>
        <w:tc>
          <w:tcPr>
            <w:tcW w:w="1245" w:type="dxa"/>
            <w:tcMar>
              <w:top w:w="100" w:type="dxa"/>
              <w:left w:w="100" w:type="dxa"/>
              <w:bottom w:w="100" w:type="dxa"/>
              <w:right w:w="100" w:type="dxa"/>
            </w:tcMar>
          </w:tcPr>
          <w:p w14:paraId="2D54075F">
            <w:pPr>
              <w:widowControl w:val="0"/>
              <w:pBdr>
                <w:top w:val="none" w:color="auto" w:sz="0" w:space="0"/>
                <w:left w:val="none" w:color="auto" w:sz="0" w:space="0"/>
                <w:bottom w:val="none" w:color="auto" w:sz="0" w:space="0"/>
                <w:right w:val="none" w:color="auto" w:sz="0" w:space="0"/>
                <w:between w:val="none" w:color="auto" w:sz="0" w:space="0"/>
              </w:pBdr>
              <w:jc w:val="center"/>
            </w:pPr>
            <w:r>
              <w:t>High</w:t>
            </w:r>
          </w:p>
        </w:tc>
        <w:tc>
          <w:tcPr>
            <w:tcW w:w="1635" w:type="dxa"/>
            <w:tcMar>
              <w:top w:w="100" w:type="dxa"/>
              <w:left w:w="100" w:type="dxa"/>
              <w:bottom w:w="100" w:type="dxa"/>
              <w:right w:w="100" w:type="dxa"/>
            </w:tcMar>
          </w:tcPr>
          <w:p w14:paraId="0BAB9DD5">
            <w:pPr>
              <w:widowControl w:val="0"/>
              <w:pBdr>
                <w:top w:val="none" w:color="auto" w:sz="0" w:space="0"/>
                <w:left w:val="none" w:color="auto" w:sz="0" w:space="0"/>
                <w:bottom w:val="none" w:color="auto" w:sz="0" w:space="0"/>
                <w:right w:val="none" w:color="auto" w:sz="0" w:space="0"/>
                <w:between w:val="none" w:color="auto" w:sz="0" w:space="0"/>
              </w:pBdr>
            </w:pPr>
            <w:r>
              <w:t>Minimum order value</w:t>
            </w:r>
          </w:p>
          <w:p w14:paraId="51D2B172">
            <w:pPr>
              <w:widowControl w:val="0"/>
              <w:pBdr>
                <w:top w:val="none" w:color="auto" w:sz="0" w:space="0"/>
                <w:left w:val="none" w:color="auto" w:sz="0" w:space="0"/>
                <w:bottom w:val="none" w:color="auto" w:sz="0" w:space="0"/>
                <w:right w:val="none" w:color="auto" w:sz="0" w:space="0"/>
                <w:between w:val="none" w:color="auto" w:sz="0" w:space="0"/>
              </w:pBdr>
            </w:pPr>
            <w:r>
              <w:t>Charge reasonable delivery fee</w:t>
            </w:r>
          </w:p>
        </w:tc>
      </w:tr>
      <w:tr w14:paraId="3F55342F">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tcW w:w="585" w:type="dxa"/>
            <w:tcMar>
              <w:top w:w="100" w:type="dxa"/>
              <w:left w:w="100" w:type="dxa"/>
              <w:bottom w:w="100" w:type="dxa"/>
              <w:right w:w="100" w:type="dxa"/>
            </w:tcMar>
          </w:tcPr>
          <w:p w14:paraId="40C0F8D4">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2</w:t>
            </w:r>
          </w:p>
        </w:tc>
        <w:tc>
          <w:tcPr>
            <w:tcW w:w="1815" w:type="dxa"/>
            <w:tcMar>
              <w:top w:w="100" w:type="dxa"/>
              <w:left w:w="100" w:type="dxa"/>
              <w:bottom w:w="100" w:type="dxa"/>
              <w:right w:w="100" w:type="dxa"/>
            </w:tcMar>
          </w:tcPr>
          <w:p w14:paraId="4616B4D5">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Increased employee workload</w:t>
            </w:r>
          </w:p>
        </w:tc>
        <w:tc>
          <w:tcPr>
            <w:tcW w:w="1365" w:type="dxa"/>
            <w:shd w:val="clear" w:color="auto" w:fill="FF0000"/>
            <w:tcMar>
              <w:top w:w="100" w:type="dxa"/>
              <w:left w:w="100" w:type="dxa"/>
              <w:bottom w:w="100" w:type="dxa"/>
              <w:right w:w="100" w:type="dxa"/>
            </w:tcMar>
          </w:tcPr>
          <w:p w14:paraId="702424B8">
            <w:pPr>
              <w:widowControl w:val="0"/>
              <w:pBdr>
                <w:top w:val="none" w:color="auto" w:sz="0" w:space="0"/>
                <w:left w:val="none" w:color="auto" w:sz="0" w:space="0"/>
                <w:bottom w:val="none" w:color="auto" w:sz="0" w:space="0"/>
                <w:right w:val="none" w:color="auto" w:sz="0" w:space="0"/>
                <w:between w:val="none" w:color="auto" w:sz="0" w:space="0"/>
              </w:pBdr>
              <w:jc w:val="center"/>
            </w:pPr>
            <w:r>
              <w:t>4</w:t>
            </w:r>
          </w:p>
        </w:tc>
        <w:tc>
          <w:tcPr>
            <w:tcW w:w="1170" w:type="dxa"/>
            <w:shd w:val="clear" w:color="auto" w:fill="FF0000"/>
            <w:tcMar>
              <w:top w:w="100" w:type="dxa"/>
              <w:left w:w="100" w:type="dxa"/>
              <w:bottom w:w="100" w:type="dxa"/>
              <w:right w:w="100" w:type="dxa"/>
            </w:tcMar>
          </w:tcPr>
          <w:p w14:paraId="35A1A2C7">
            <w:pPr>
              <w:widowControl w:val="0"/>
              <w:pBdr>
                <w:top w:val="none" w:color="auto" w:sz="0" w:space="0"/>
                <w:left w:val="none" w:color="auto" w:sz="0" w:space="0"/>
                <w:bottom w:val="none" w:color="auto" w:sz="0" w:space="0"/>
                <w:right w:val="none" w:color="auto" w:sz="0" w:space="0"/>
                <w:between w:val="none" w:color="auto" w:sz="0" w:space="0"/>
              </w:pBdr>
              <w:jc w:val="center"/>
            </w:pPr>
            <w:r>
              <w:t>4</w:t>
            </w:r>
          </w:p>
        </w:tc>
        <w:tc>
          <w:tcPr>
            <w:tcW w:w="1110" w:type="dxa"/>
            <w:shd w:val="clear" w:color="auto" w:fill="FF0000"/>
            <w:tcMar>
              <w:top w:w="100" w:type="dxa"/>
              <w:left w:w="100" w:type="dxa"/>
              <w:bottom w:w="100" w:type="dxa"/>
              <w:right w:w="100" w:type="dxa"/>
            </w:tcMar>
          </w:tcPr>
          <w:p w14:paraId="14EE708E">
            <w:pPr>
              <w:widowControl w:val="0"/>
              <w:pBdr>
                <w:top w:val="none" w:color="auto" w:sz="0" w:space="0"/>
                <w:left w:val="none" w:color="auto" w:sz="0" w:space="0"/>
                <w:bottom w:val="none" w:color="auto" w:sz="0" w:space="0"/>
                <w:right w:val="none" w:color="auto" w:sz="0" w:space="0"/>
                <w:between w:val="none" w:color="auto" w:sz="0" w:space="0"/>
              </w:pBdr>
              <w:jc w:val="center"/>
            </w:pPr>
            <w:r>
              <w:t>16</w:t>
            </w:r>
          </w:p>
        </w:tc>
        <w:tc>
          <w:tcPr>
            <w:tcW w:w="1245" w:type="dxa"/>
            <w:tcMar>
              <w:top w:w="100" w:type="dxa"/>
              <w:left w:w="100" w:type="dxa"/>
              <w:bottom w:w="100" w:type="dxa"/>
              <w:right w:w="100" w:type="dxa"/>
            </w:tcMar>
          </w:tcPr>
          <w:p w14:paraId="1A60BD46">
            <w:pPr>
              <w:widowControl w:val="0"/>
              <w:pBdr>
                <w:top w:val="none" w:color="auto" w:sz="0" w:space="0"/>
                <w:left w:val="none" w:color="auto" w:sz="0" w:space="0"/>
                <w:bottom w:val="none" w:color="auto" w:sz="0" w:space="0"/>
                <w:right w:val="none" w:color="auto" w:sz="0" w:space="0"/>
                <w:between w:val="none" w:color="auto" w:sz="0" w:space="0"/>
              </w:pBdr>
              <w:jc w:val="center"/>
            </w:pPr>
            <w:r>
              <w:t>High</w:t>
            </w:r>
          </w:p>
        </w:tc>
        <w:tc>
          <w:tcPr>
            <w:tcW w:w="1635" w:type="dxa"/>
            <w:tcMar>
              <w:top w:w="100" w:type="dxa"/>
              <w:left w:w="100" w:type="dxa"/>
              <w:bottom w:w="100" w:type="dxa"/>
              <w:right w:w="100" w:type="dxa"/>
            </w:tcMar>
          </w:tcPr>
          <w:p w14:paraId="0C49D710">
            <w:pPr>
              <w:widowControl w:val="0"/>
              <w:pBdr>
                <w:top w:val="none" w:color="auto" w:sz="0" w:space="0"/>
                <w:left w:val="none" w:color="auto" w:sz="0" w:space="0"/>
                <w:bottom w:val="none" w:color="auto" w:sz="0" w:space="0"/>
                <w:right w:val="none" w:color="auto" w:sz="0" w:space="0"/>
                <w:between w:val="none" w:color="auto" w:sz="0" w:space="0"/>
              </w:pBdr>
            </w:pPr>
            <w:r>
              <w:t>Allocate specific responsibilities</w:t>
            </w:r>
          </w:p>
          <w:p w14:paraId="07CC2FDF">
            <w:pPr>
              <w:widowControl w:val="0"/>
              <w:pBdr>
                <w:top w:val="none" w:color="auto" w:sz="0" w:space="0"/>
                <w:left w:val="none" w:color="auto" w:sz="0" w:space="0"/>
                <w:bottom w:val="none" w:color="auto" w:sz="0" w:space="0"/>
                <w:right w:val="none" w:color="auto" w:sz="0" w:space="0"/>
                <w:between w:val="none" w:color="auto" w:sz="0" w:space="0"/>
              </w:pBdr>
            </w:pPr>
            <w:r>
              <w:t>Staff training and adjustment in stuffing</w:t>
            </w:r>
          </w:p>
        </w:tc>
      </w:tr>
      <w:tr w14:paraId="4E2177D3">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tcW w:w="585" w:type="dxa"/>
            <w:tcMar>
              <w:top w:w="100" w:type="dxa"/>
              <w:left w:w="100" w:type="dxa"/>
              <w:bottom w:w="100" w:type="dxa"/>
              <w:right w:w="100" w:type="dxa"/>
            </w:tcMar>
          </w:tcPr>
          <w:p w14:paraId="42BFD56D">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3</w:t>
            </w:r>
          </w:p>
        </w:tc>
        <w:tc>
          <w:tcPr>
            <w:tcW w:w="1815" w:type="dxa"/>
            <w:tcMar>
              <w:top w:w="100" w:type="dxa"/>
              <w:left w:w="100" w:type="dxa"/>
              <w:bottom w:w="100" w:type="dxa"/>
              <w:right w:w="100" w:type="dxa"/>
            </w:tcMar>
          </w:tcPr>
          <w:p w14:paraId="546B9515">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Insufficient customer adoption</w:t>
            </w:r>
          </w:p>
        </w:tc>
        <w:tc>
          <w:tcPr>
            <w:tcW w:w="1365" w:type="dxa"/>
            <w:shd w:val="clear" w:color="auto" w:fill="FFFF00"/>
            <w:tcMar>
              <w:top w:w="100" w:type="dxa"/>
              <w:left w:w="100" w:type="dxa"/>
              <w:bottom w:w="100" w:type="dxa"/>
              <w:right w:w="100" w:type="dxa"/>
            </w:tcMar>
          </w:tcPr>
          <w:p w14:paraId="3E432257">
            <w:pPr>
              <w:widowControl w:val="0"/>
              <w:pBdr>
                <w:top w:val="none" w:color="auto" w:sz="0" w:space="0"/>
                <w:left w:val="none" w:color="auto" w:sz="0" w:space="0"/>
                <w:bottom w:val="none" w:color="auto" w:sz="0" w:space="0"/>
                <w:right w:val="none" w:color="auto" w:sz="0" w:space="0"/>
                <w:between w:val="none" w:color="auto" w:sz="0" w:space="0"/>
              </w:pBdr>
              <w:jc w:val="center"/>
            </w:pPr>
            <w:r>
              <w:t>3</w:t>
            </w:r>
          </w:p>
        </w:tc>
        <w:tc>
          <w:tcPr>
            <w:tcW w:w="1170" w:type="dxa"/>
            <w:shd w:val="clear" w:color="auto" w:fill="FF0000"/>
            <w:tcMar>
              <w:top w:w="100" w:type="dxa"/>
              <w:left w:w="100" w:type="dxa"/>
              <w:bottom w:w="100" w:type="dxa"/>
              <w:right w:w="100" w:type="dxa"/>
            </w:tcMar>
          </w:tcPr>
          <w:p w14:paraId="30894A09">
            <w:pPr>
              <w:widowControl w:val="0"/>
              <w:pBdr>
                <w:top w:val="none" w:color="auto" w:sz="0" w:space="0"/>
                <w:left w:val="none" w:color="auto" w:sz="0" w:space="0"/>
                <w:bottom w:val="none" w:color="auto" w:sz="0" w:space="0"/>
                <w:right w:val="none" w:color="auto" w:sz="0" w:space="0"/>
                <w:between w:val="none" w:color="auto" w:sz="0" w:space="0"/>
              </w:pBdr>
              <w:jc w:val="center"/>
            </w:pPr>
            <w:r>
              <w:t>5</w:t>
            </w:r>
          </w:p>
        </w:tc>
        <w:tc>
          <w:tcPr>
            <w:tcW w:w="1110" w:type="dxa"/>
            <w:shd w:val="clear" w:color="auto" w:fill="FF0000"/>
            <w:tcMar>
              <w:top w:w="100" w:type="dxa"/>
              <w:left w:w="100" w:type="dxa"/>
              <w:bottom w:w="100" w:type="dxa"/>
              <w:right w:w="100" w:type="dxa"/>
            </w:tcMar>
          </w:tcPr>
          <w:p w14:paraId="1DE9FA5D">
            <w:pPr>
              <w:widowControl w:val="0"/>
              <w:pBdr>
                <w:top w:val="none" w:color="auto" w:sz="0" w:space="0"/>
                <w:left w:val="none" w:color="auto" w:sz="0" w:space="0"/>
                <w:bottom w:val="none" w:color="auto" w:sz="0" w:space="0"/>
                <w:right w:val="none" w:color="auto" w:sz="0" w:space="0"/>
                <w:between w:val="none" w:color="auto" w:sz="0" w:space="0"/>
              </w:pBdr>
              <w:jc w:val="center"/>
            </w:pPr>
            <w:r>
              <w:t>15</w:t>
            </w:r>
          </w:p>
        </w:tc>
        <w:tc>
          <w:tcPr>
            <w:tcW w:w="1245" w:type="dxa"/>
            <w:tcMar>
              <w:top w:w="100" w:type="dxa"/>
              <w:left w:w="100" w:type="dxa"/>
              <w:bottom w:w="100" w:type="dxa"/>
              <w:right w:w="100" w:type="dxa"/>
            </w:tcMar>
          </w:tcPr>
          <w:p w14:paraId="34367304">
            <w:pPr>
              <w:widowControl w:val="0"/>
              <w:pBdr>
                <w:top w:val="none" w:color="auto" w:sz="0" w:space="0"/>
                <w:left w:val="none" w:color="auto" w:sz="0" w:space="0"/>
                <w:bottom w:val="none" w:color="auto" w:sz="0" w:space="0"/>
                <w:right w:val="none" w:color="auto" w:sz="0" w:space="0"/>
                <w:between w:val="none" w:color="auto" w:sz="0" w:space="0"/>
              </w:pBdr>
              <w:jc w:val="center"/>
            </w:pPr>
            <w:r>
              <w:t>High</w:t>
            </w:r>
          </w:p>
        </w:tc>
        <w:tc>
          <w:tcPr>
            <w:tcW w:w="1635" w:type="dxa"/>
            <w:tcMar>
              <w:top w:w="100" w:type="dxa"/>
              <w:left w:w="100" w:type="dxa"/>
              <w:bottom w:w="100" w:type="dxa"/>
              <w:right w:w="100" w:type="dxa"/>
            </w:tcMar>
          </w:tcPr>
          <w:p w14:paraId="27E720E5">
            <w:pPr>
              <w:widowControl w:val="0"/>
              <w:pBdr>
                <w:top w:val="none" w:color="auto" w:sz="0" w:space="0"/>
                <w:left w:val="none" w:color="auto" w:sz="0" w:space="0"/>
                <w:bottom w:val="none" w:color="auto" w:sz="0" w:space="0"/>
                <w:right w:val="none" w:color="auto" w:sz="0" w:space="0"/>
                <w:between w:val="none" w:color="auto" w:sz="0" w:space="0"/>
              </w:pBdr>
            </w:pPr>
            <w:r>
              <w:t>Conduct a small pilot</w:t>
            </w:r>
          </w:p>
          <w:p w14:paraId="68E5ACC2">
            <w:pPr>
              <w:widowControl w:val="0"/>
              <w:pBdr>
                <w:top w:val="none" w:color="auto" w:sz="0" w:space="0"/>
                <w:left w:val="none" w:color="auto" w:sz="0" w:space="0"/>
                <w:bottom w:val="none" w:color="auto" w:sz="0" w:space="0"/>
                <w:right w:val="none" w:color="auto" w:sz="0" w:space="0"/>
                <w:between w:val="none" w:color="auto" w:sz="0" w:space="0"/>
              </w:pBdr>
            </w:pPr>
            <w:r>
              <w:t>Extensively promote the service</w:t>
            </w:r>
          </w:p>
        </w:tc>
      </w:tr>
      <w:tr w14:paraId="1ACF3ED1">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tcW w:w="585" w:type="dxa"/>
            <w:tcMar>
              <w:top w:w="100" w:type="dxa"/>
              <w:left w:w="100" w:type="dxa"/>
              <w:bottom w:w="100" w:type="dxa"/>
              <w:right w:w="100" w:type="dxa"/>
            </w:tcMar>
          </w:tcPr>
          <w:p w14:paraId="74FEC253">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4</w:t>
            </w:r>
          </w:p>
        </w:tc>
        <w:tc>
          <w:tcPr>
            <w:tcW w:w="1815" w:type="dxa"/>
            <w:tcMar>
              <w:top w:w="100" w:type="dxa"/>
              <w:left w:w="100" w:type="dxa"/>
              <w:bottom w:w="100" w:type="dxa"/>
              <w:right w:w="100" w:type="dxa"/>
            </w:tcMar>
          </w:tcPr>
          <w:p w14:paraId="6C71E0D6">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Production capacity constraints</w:t>
            </w:r>
          </w:p>
        </w:tc>
        <w:tc>
          <w:tcPr>
            <w:tcW w:w="1365" w:type="dxa"/>
            <w:shd w:val="clear" w:color="auto" w:fill="00FF00"/>
            <w:tcMar>
              <w:top w:w="100" w:type="dxa"/>
              <w:left w:w="100" w:type="dxa"/>
              <w:bottom w:w="100" w:type="dxa"/>
              <w:right w:w="100" w:type="dxa"/>
            </w:tcMar>
          </w:tcPr>
          <w:p w14:paraId="67CB6727">
            <w:pPr>
              <w:widowControl w:val="0"/>
              <w:pBdr>
                <w:top w:val="none" w:color="auto" w:sz="0" w:space="0"/>
                <w:left w:val="none" w:color="auto" w:sz="0" w:space="0"/>
                <w:bottom w:val="none" w:color="auto" w:sz="0" w:space="0"/>
                <w:right w:val="none" w:color="auto" w:sz="0" w:space="0"/>
                <w:between w:val="none" w:color="auto" w:sz="0" w:space="0"/>
              </w:pBdr>
              <w:jc w:val="center"/>
            </w:pPr>
            <w:r>
              <w:t>2</w:t>
            </w:r>
          </w:p>
        </w:tc>
        <w:tc>
          <w:tcPr>
            <w:tcW w:w="1170" w:type="dxa"/>
            <w:shd w:val="clear" w:color="auto" w:fill="FFFF00"/>
            <w:tcMar>
              <w:top w:w="100" w:type="dxa"/>
              <w:left w:w="100" w:type="dxa"/>
              <w:bottom w:w="100" w:type="dxa"/>
              <w:right w:w="100" w:type="dxa"/>
            </w:tcMar>
          </w:tcPr>
          <w:p w14:paraId="0141354A">
            <w:pPr>
              <w:widowControl w:val="0"/>
              <w:pBdr>
                <w:top w:val="none" w:color="auto" w:sz="0" w:space="0"/>
                <w:left w:val="none" w:color="auto" w:sz="0" w:space="0"/>
                <w:bottom w:val="none" w:color="auto" w:sz="0" w:space="0"/>
                <w:right w:val="none" w:color="auto" w:sz="0" w:space="0"/>
                <w:between w:val="none" w:color="auto" w:sz="0" w:space="0"/>
              </w:pBdr>
              <w:jc w:val="center"/>
            </w:pPr>
            <w:r>
              <w:t>3</w:t>
            </w:r>
          </w:p>
        </w:tc>
        <w:tc>
          <w:tcPr>
            <w:tcW w:w="1110" w:type="dxa"/>
            <w:shd w:val="clear" w:color="auto" w:fill="00FF00"/>
            <w:tcMar>
              <w:top w:w="100" w:type="dxa"/>
              <w:left w:w="100" w:type="dxa"/>
              <w:bottom w:w="100" w:type="dxa"/>
              <w:right w:w="100" w:type="dxa"/>
            </w:tcMar>
          </w:tcPr>
          <w:p w14:paraId="3DA5FD7F">
            <w:pPr>
              <w:widowControl w:val="0"/>
              <w:pBdr>
                <w:top w:val="none" w:color="auto" w:sz="0" w:space="0"/>
                <w:left w:val="none" w:color="auto" w:sz="0" w:space="0"/>
                <w:bottom w:val="none" w:color="auto" w:sz="0" w:space="0"/>
                <w:right w:val="none" w:color="auto" w:sz="0" w:space="0"/>
                <w:between w:val="none" w:color="auto" w:sz="0" w:space="0"/>
              </w:pBdr>
              <w:jc w:val="center"/>
            </w:pPr>
            <w:r>
              <w:t>6</w:t>
            </w:r>
          </w:p>
        </w:tc>
        <w:tc>
          <w:tcPr>
            <w:tcW w:w="1245" w:type="dxa"/>
            <w:tcMar>
              <w:top w:w="100" w:type="dxa"/>
              <w:left w:w="100" w:type="dxa"/>
              <w:bottom w:w="100" w:type="dxa"/>
              <w:right w:w="100" w:type="dxa"/>
            </w:tcMar>
          </w:tcPr>
          <w:p w14:paraId="23FAD206">
            <w:pPr>
              <w:widowControl w:val="0"/>
              <w:pBdr>
                <w:top w:val="none" w:color="auto" w:sz="0" w:space="0"/>
                <w:left w:val="none" w:color="auto" w:sz="0" w:space="0"/>
                <w:bottom w:val="none" w:color="auto" w:sz="0" w:space="0"/>
                <w:right w:val="none" w:color="auto" w:sz="0" w:space="0"/>
                <w:between w:val="none" w:color="auto" w:sz="0" w:space="0"/>
              </w:pBdr>
              <w:jc w:val="center"/>
            </w:pPr>
            <w:r>
              <w:t>Low</w:t>
            </w:r>
          </w:p>
        </w:tc>
        <w:tc>
          <w:tcPr>
            <w:tcW w:w="1635" w:type="dxa"/>
            <w:tcMar>
              <w:top w:w="100" w:type="dxa"/>
              <w:left w:w="100" w:type="dxa"/>
              <w:bottom w:w="100" w:type="dxa"/>
              <w:right w:w="100" w:type="dxa"/>
            </w:tcMar>
          </w:tcPr>
          <w:p w14:paraId="6857E9CC">
            <w:pPr>
              <w:widowControl w:val="0"/>
              <w:pBdr>
                <w:top w:val="none" w:color="auto" w:sz="0" w:space="0"/>
                <w:left w:val="none" w:color="auto" w:sz="0" w:space="0"/>
                <w:bottom w:val="none" w:color="auto" w:sz="0" w:space="0"/>
                <w:right w:val="none" w:color="auto" w:sz="0" w:space="0"/>
                <w:between w:val="none" w:color="auto" w:sz="0" w:space="0"/>
              </w:pBdr>
            </w:pPr>
            <w:r>
              <w:t>Introduction of daily order limits</w:t>
            </w:r>
          </w:p>
          <w:p w14:paraId="0FB12B1A">
            <w:pPr>
              <w:widowControl w:val="0"/>
              <w:pBdr>
                <w:top w:val="none" w:color="auto" w:sz="0" w:space="0"/>
                <w:left w:val="none" w:color="auto" w:sz="0" w:space="0"/>
                <w:bottom w:val="none" w:color="auto" w:sz="0" w:space="0"/>
                <w:right w:val="none" w:color="auto" w:sz="0" w:space="0"/>
                <w:between w:val="none" w:color="auto" w:sz="0" w:space="0"/>
              </w:pBdr>
            </w:pPr>
            <w:r>
              <w:t xml:space="preserve">Use pre-order information </w:t>
            </w:r>
          </w:p>
        </w:tc>
      </w:tr>
      <w:tr w14:paraId="0E02076A">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tcW w:w="585" w:type="dxa"/>
            <w:tcMar>
              <w:top w:w="100" w:type="dxa"/>
              <w:left w:w="100" w:type="dxa"/>
              <w:bottom w:w="100" w:type="dxa"/>
              <w:right w:w="100" w:type="dxa"/>
            </w:tcMar>
          </w:tcPr>
          <w:p w14:paraId="1BA99E83">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5</w:t>
            </w:r>
          </w:p>
        </w:tc>
        <w:tc>
          <w:tcPr>
            <w:tcW w:w="1815" w:type="dxa"/>
            <w:tcMar>
              <w:top w:w="100" w:type="dxa"/>
              <w:left w:w="100" w:type="dxa"/>
              <w:bottom w:w="100" w:type="dxa"/>
              <w:right w:w="100" w:type="dxa"/>
            </w:tcMar>
          </w:tcPr>
          <w:p w14:paraId="5532BF1C">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Technology failure</w:t>
            </w:r>
          </w:p>
        </w:tc>
        <w:tc>
          <w:tcPr>
            <w:tcW w:w="1365" w:type="dxa"/>
            <w:shd w:val="clear" w:color="auto" w:fill="00FF00"/>
            <w:tcMar>
              <w:top w:w="100" w:type="dxa"/>
              <w:left w:w="100" w:type="dxa"/>
              <w:bottom w:w="100" w:type="dxa"/>
              <w:right w:w="100" w:type="dxa"/>
            </w:tcMar>
          </w:tcPr>
          <w:p w14:paraId="16DA85DE">
            <w:pPr>
              <w:widowControl w:val="0"/>
              <w:pBdr>
                <w:top w:val="none" w:color="auto" w:sz="0" w:space="0"/>
                <w:left w:val="none" w:color="auto" w:sz="0" w:space="0"/>
                <w:bottom w:val="none" w:color="auto" w:sz="0" w:space="0"/>
                <w:right w:val="none" w:color="auto" w:sz="0" w:space="0"/>
                <w:between w:val="none" w:color="auto" w:sz="0" w:space="0"/>
              </w:pBdr>
              <w:jc w:val="center"/>
            </w:pPr>
            <w:r>
              <w:t>2</w:t>
            </w:r>
          </w:p>
        </w:tc>
        <w:tc>
          <w:tcPr>
            <w:tcW w:w="1170" w:type="dxa"/>
            <w:shd w:val="clear" w:color="auto" w:fill="FF0000"/>
            <w:tcMar>
              <w:top w:w="100" w:type="dxa"/>
              <w:left w:w="100" w:type="dxa"/>
              <w:bottom w:w="100" w:type="dxa"/>
              <w:right w:w="100" w:type="dxa"/>
            </w:tcMar>
          </w:tcPr>
          <w:p w14:paraId="584E5051">
            <w:pPr>
              <w:widowControl w:val="0"/>
              <w:pBdr>
                <w:top w:val="none" w:color="auto" w:sz="0" w:space="0"/>
                <w:left w:val="none" w:color="auto" w:sz="0" w:space="0"/>
                <w:bottom w:val="none" w:color="auto" w:sz="0" w:space="0"/>
                <w:right w:val="none" w:color="auto" w:sz="0" w:space="0"/>
                <w:between w:val="none" w:color="auto" w:sz="0" w:space="0"/>
              </w:pBdr>
              <w:jc w:val="center"/>
            </w:pPr>
            <w:r>
              <w:t>4</w:t>
            </w:r>
          </w:p>
        </w:tc>
        <w:tc>
          <w:tcPr>
            <w:tcW w:w="1110" w:type="dxa"/>
            <w:shd w:val="clear" w:color="auto" w:fill="FFFF00"/>
            <w:tcMar>
              <w:top w:w="100" w:type="dxa"/>
              <w:left w:w="100" w:type="dxa"/>
              <w:bottom w:w="100" w:type="dxa"/>
              <w:right w:w="100" w:type="dxa"/>
            </w:tcMar>
          </w:tcPr>
          <w:p w14:paraId="4F6C15E2">
            <w:pPr>
              <w:widowControl w:val="0"/>
              <w:pBdr>
                <w:top w:val="none" w:color="auto" w:sz="0" w:space="0"/>
                <w:left w:val="none" w:color="auto" w:sz="0" w:space="0"/>
                <w:bottom w:val="none" w:color="auto" w:sz="0" w:space="0"/>
                <w:right w:val="none" w:color="auto" w:sz="0" w:space="0"/>
                <w:between w:val="none" w:color="auto" w:sz="0" w:space="0"/>
              </w:pBdr>
              <w:jc w:val="center"/>
            </w:pPr>
            <w:r>
              <w:t>8</w:t>
            </w:r>
          </w:p>
        </w:tc>
        <w:tc>
          <w:tcPr>
            <w:tcW w:w="1245" w:type="dxa"/>
            <w:tcMar>
              <w:top w:w="100" w:type="dxa"/>
              <w:left w:w="100" w:type="dxa"/>
              <w:bottom w:w="100" w:type="dxa"/>
              <w:right w:w="100" w:type="dxa"/>
            </w:tcMar>
          </w:tcPr>
          <w:p w14:paraId="00904C82">
            <w:pPr>
              <w:widowControl w:val="0"/>
              <w:pBdr>
                <w:top w:val="none" w:color="auto" w:sz="0" w:space="0"/>
                <w:left w:val="none" w:color="auto" w:sz="0" w:space="0"/>
                <w:bottom w:val="none" w:color="auto" w:sz="0" w:space="0"/>
                <w:right w:val="none" w:color="auto" w:sz="0" w:space="0"/>
                <w:between w:val="none" w:color="auto" w:sz="0" w:space="0"/>
              </w:pBdr>
              <w:jc w:val="center"/>
            </w:pPr>
            <w:r>
              <w:t>Moderate</w:t>
            </w:r>
          </w:p>
        </w:tc>
        <w:tc>
          <w:tcPr>
            <w:tcW w:w="1635" w:type="dxa"/>
            <w:tcMar>
              <w:top w:w="100" w:type="dxa"/>
              <w:left w:w="100" w:type="dxa"/>
              <w:bottom w:w="100" w:type="dxa"/>
              <w:right w:w="100" w:type="dxa"/>
            </w:tcMar>
          </w:tcPr>
          <w:p w14:paraId="3AD3BCB1">
            <w:pPr>
              <w:widowControl w:val="0"/>
              <w:pBdr>
                <w:top w:val="none" w:color="auto" w:sz="0" w:space="0"/>
                <w:left w:val="none" w:color="auto" w:sz="0" w:space="0"/>
                <w:bottom w:val="none" w:color="auto" w:sz="0" w:space="0"/>
                <w:right w:val="none" w:color="auto" w:sz="0" w:space="0"/>
                <w:between w:val="none" w:color="auto" w:sz="0" w:space="0"/>
              </w:pBdr>
            </w:pPr>
            <w:r>
              <w:t>Use a reliable platform</w:t>
            </w:r>
          </w:p>
          <w:p w14:paraId="67FAA53F">
            <w:pPr>
              <w:widowControl w:val="0"/>
              <w:pBdr>
                <w:top w:val="none" w:color="auto" w:sz="0" w:space="0"/>
                <w:left w:val="none" w:color="auto" w:sz="0" w:space="0"/>
                <w:bottom w:val="none" w:color="auto" w:sz="0" w:space="0"/>
                <w:right w:val="none" w:color="auto" w:sz="0" w:space="0"/>
                <w:between w:val="none" w:color="auto" w:sz="0" w:space="0"/>
              </w:pBdr>
            </w:pPr>
            <w:r>
              <w:t>Test the system before launch</w:t>
            </w:r>
          </w:p>
          <w:p w14:paraId="15A24A1D">
            <w:pPr>
              <w:widowControl w:val="0"/>
              <w:pBdr>
                <w:top w:val="none" w:color="auto" w:sz="0" w:space="0"/>
                <w:left w:val="none" w:color="auto" w:sz="0" w:space="0"/>
                <w:bottom w:val="none" w:color="auto" w:sz="0" w:space="0"/>
                <w:right w:val="none" w:color="auto" w:sz="0" w:space="0"/>
                <w:between w:val="none" w:color="auto" w:sz="0" w:space="0"/>
              </w:pBdr>
            </w:pPr>
            <w:r>
              <w:t>Provide technical support</w:t>
            </w:r>
          </w:p>
        </w:tc>
      </w:tr>
    </w:tbl>
    <w:p w14:paraId="7EE32EEB">
      <w:pPr>
        <w:jc w:val="center"/>
      </w:pPr>
      <w:r>
        <w:t>T</w:t>
      </w:r>
      <w:r>
        <w:rPr>
          <w:b/>
          <w:bCs/>
        </w:rPr>
        <w:t>able 2: Risk analysis</w:t>
      </w:r>
      <w:r>
        <w:br w:type="page"/>
      </w:r>
    </w:p>
    <w:p w14:paraId="6C8BDD29">
      <w:pPr>
        <w:pStyle w:val="3"/>
      </w:pPr>
      <w:bookmarkStart w:id="23" w:name="_Toc237212579"/>
      <w:r>
        <w:t>Appendix 3: Implementation plan</w:t>
      </w:r>
      <w:bookmarkEnd w:id="23"/>
    </w:p>
    <w:tbl>
      <w:tblPr>
        <w:tblStyle w:val="19"/>
        <w:tblW w:w="900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1800"/>
        <w:gridCol w:w="1725"/>
        <w:gridCol w:w="1875"/>
        <w:gridCol w:w="1800"/>
        <w:gridCol w:w="1800"/>
      </w:tblGrid>
      <w:tr w14:paraId="56385C49">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tcW w:w="1800" w:type="dxa"/>
            <w:tcMar>
              <w:top w:w="100" w:type="dxa"/>
              <w:left w:w="100" w:type="dxa"/>
              <w:bottom w:w="100" w:type="dxa"/>
              <w:right w:w="100" w:type="dxa"/>
            </w:tcMar>
          </w:tcPr>
          <w:p w14:paraId="4CB06E65">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Activity</w:t>
            </w:r>
          </w:p>
        </w:tc>
        <w:tc>
          <w:tcPr>
            <w:tcW w:w="1725" w:type="dxa"/>
            <w:tcMar>
              <w:top w:w="100" w:type="dxa"/>
              <w:left w:w="100" w:type="dxa"/>
              <w:bottom w:w="100" w:type="dxa"/>
              <w:right w:w="100" w:type="dxa"/>
            </w:tcMar>
          </w:tcPr>
          <w:p w14:paraId="27880650">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Timing</w:t>
            </w:r>
          </w:p>
          <w:p w14:paraId="2866FAF0">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(Week)</w:t>
            </w:r>
          </w:p>
        </w:tc>
        <w:tc>
          <w:tcPr>
            <w:tcW w:w="1875" w:type="dxa"/>
            <w:tcMar>
              <w:top w:w="100" w:type="dxa"/>
              <w:left w:w="100" w:type="dxa"/>
              <w:bottom w:w="100" w:type="dxa"/>
              <w:right w:w="100" w:type="dxa"/>
            </w:tcMar>
          </w:tcPr>
          <w:p w14:paraId="11B594CB">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Responsibility</w:t>
            </w:r>
          </w:p>
        </w:tc>
        <w:tc>
          <w:tcPr>
            <w:tcW w:w="1800" w:type="dxa"/>
            <w:tcMar>
              <w:top w:w="100" w:type="dxa"/>
              <w:left w:w="100" w:type="dxa"/>
              <w:bottom w:w="100" w:type="dxa"/>
              <w:right w:w="100" w:type="dxa"/>
            </w:tcMar>
          </w:tcPr>
          <w:p w14:paraId="7E19EDC9">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Key resources</w:t>
            </w:r>
          </w:p>
        </w:tc>
        <w:tc>
          <w:tcPr>
            <w:tcW w:w="1800" w:type="dxa"/>
            <w:tcMar>
              <w:top w:w="100" w:type="dxa"/>
              <w:left w:w="100" w:type="dxa"/>
              <w:bottom w:w="100" w:type="dxa"/>
              <w:right w:w="100" w:type="dxa"/>
            </w:tcMar>
          </w:tcPr>
          <w:p w14:paraId="43C42125">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Expected outcomes</w:t>
            </w:r>
          </w:p>
        </w:tc>
      </w:tr>
      <w:tr w14:paraId="601DF4CA">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tcW w:w="1800" w:type="dxa"/>
            <w:tcMar>
              <w:top w:w="100" w:type="dxa"/>
              <w:left w:w="100" w:type="dxa"/>
              <w:bottom w:w="100" w:type="dxa"/>
              <w:right w:w="100" w:type="dxa"/>
            </w:tcMar>
          </w:tcPr>
          <w:p w14:paraId="4B39402C">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Assessment of demand and cost</w:t>
            </w:r>
          </w:p>
        </w:tc>
        <w:tc>
          <w:tcPr>
            <w:tcW w:w="1725" w:type="dxa"/>
            <w:tcMar>
              <w:top w:w="100" w:type="dxa"/>
              <w:left w:w="100" w:type="dxa"/>
              <w:bottom w:w="100" w:type="dxa"/>
              <w:right w:w="100" w:type="dxa"/>
            </w:tcMar>
          </w:tcPr>
          <w:p w14:paraId="6E5FC826">
            <w:pPr>
              <w:widowControl w:val="0"/>
              <w:pBdr>
                <w:top w:val="none" w:color="auto" w:sz="0" w:space="0"/>
                <w:left w:val="none" w:color="auto" w:sz="0" w:space="0"/>
                <w:bottom w:val="none" w:color="auto" w:sz="0" w:space="0"/>
                <w:right w:val="none" w:color="auto" w:sz="0" w:space="0"/>
                <w:between w:val="none" w:color="auto" w:sz="0" w:space="0"/>
              </w:pBdr>
              <w:jc w:val="center"/>
            </w:pPr>
            <w:r>
              <w:t>1-2</w:t>
            </w:r>
          </w:p>
        </w:tc>
        <w:tc>
          <w:tcPr>
            <w:tcW w:w="1875" w:type="dxa"/>
            <w:tcMar>
              <w:top w:w="100" w:type="dxa"/>
              <w:left w:w="100" w:type="dxa"/>
              <w:bottom w:w="100" w:type="dxa"/>
              <w:right w:w="100" w:type="dxa"/>
            </w:tcMar>
          </w:tcPr>
          <w:p w14:paraId="6B8E56C8">
            <w:pPr>
              <w:widowControl w:val="0"/>
              <w:pBdr>
                <w:top w:val="none" w:color="auto" w:sz="0" w:space="0"/>
                <w:left w:val="none" w:color="auto" w:sz="0" w:space="0"/>
                <w:bottom w:val="none" w:color="auto" w:sz="0" w:space="0"/>
                <w:right w:val="none" w:color="auto" w:sz="0" w:space="0"/>
                <w:between w:val="none" w:color="auto" w:sz="0" w:space="0"/>
              </w:pBdr>
              <w:jc w:val="center"/>
            </w:pPr>
            <w:r>
              <w:t>Basil</w:t>
            </w:r>
          </w:p>
        </w:tc>
        <w:tc>
          <w:tcPr>
            <w:tcW w:w="1800" w:type="dxa"/>
            <w:tcMar>
              <w:top w:w="100" w:type="dxa"/>
              <w:left w:w="100" w:type="dxa"/>
              <w:bottom w:w="100" w:type="dxa"/>
              <w:right w:w="100" w:type="dxa"/>
            </w:tcMar>
          </w:tcPr>
          <w:p w14:paraId="4EA435F5">
            <w:pPr>
              <w:widowControl w:val="0"/>
              <w:pBdr>
                <w:top w:val="none" w:color="auto" w:sz="0" w:space="0"/>
                <w:left w:val="none" w:color="auto" w:sz="0" w:space="0"/>
                <w:bottom w:val="none" w:color="auto" w:sz="0" w:space="0"/>
                <w:right w:val="none" w:color="auto" w:sz="0" w:space="0"/>
                <w:between w:val="none" w:color="auto" w:sz="0" w:space="0"/>
              </w:pBdr>
              <w:jc w:val="center"/>
            </w:pPr>
            <w:r>
              <w:t>Sales and customer data</w:t>
            </w:r>
          </w:p>
        </w:tc>
        <w:tc>
          <w:tcPr>
            <w:tcW w:w="1800" w:type="dxa"/>
            <w:tcMar>
              <w:top w:w="100" w:type="dxa"/>
              <w:left w:w="100" w:type="dxa"/>
              <w:bottom w:w="100" w:type="dxa"/>
              <w:right w:w="100" w:type="dxa"/>
            </w:tcMar>
          </w:tcPr>
          <w:p w14:paraId="0CB6E939">
            <w:pPr>
              <w:widowControl w:val="0"/>
              <w:pBdr>
                <w:top w:val="none" w:color="auto" w:sz="0" w:space="0"/>
                <w:left w:val="none" w:color="auto" w:sz="0" w:space="0"/>
                <w:bottom w:val="none" w:color="auto" w:sz="0" w:space="0"/>
                <w:right w:val="none" w:color="auto" w:sz="0" w:space="0"/>
                <w:between w:val="none" w:color="auto" w:sz="0" w:space="0"/>
              </w:pBdr>
              <w:jc w:val="center"/>
            </w:pPr>
            <w:r>
              <w:t>Establishment of new strategy feasibility</w:t>
            </w:r>
          </w:p>
        </w:tc>
      </w:tr>
      <w:tr w14:paraId="4ECBCC22">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tcW w:w="1800" w:type="dxa"/>
            <w:tcMar>
              <w:top w:w="100" w:type="dxa"/>
              <w:left w:w="100" w:type="dxa"/>
              <w:bottom w:w="100" w:type="dxa"/>
              <w:right w:w="100" w:type="dxa"/>
            </w:tcMar>
          </w:tcPr>
          <w:p w14:paraId="7844D55A">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Selection of ordering system</w:t>
            </w:r>
          </w:p>
        </w:tc>
        <w:tc>
          <w:tcPr>
            <w:tcW w:w="1725" w:type="dxa"/>
            <w:tcMar>
              <w:top w:w="100" w:type="dxa"/>
              <w:left w:w="100" w:type="dxa"/>
              <w:bottom w:w="100" w:type="dxa"/>
              <w:right w:w="100" w:type="dxa"/>
            </w:tcMar>
          </w:tcPr>
          <w:p w14:paraId="03B9D416">
            <w:pPr>
              <w:widowControl w:val="0"/>
              <w:pBdr>
                <w:top w:val="none" w:color="auto" w:sz="0" w:space="0"/>
                <w:left w:val="none" w:color="auto" w:sz="0" w:space="0"/>
                <w:bottom w:val="none" w:color="auto" w:sz="0" w:space="0"/>
                <w:right w:val="none" w:color="auto" w:sz="0" w:space="0"/>
                <w:between w:val="none" w:color="auto" w:sz="0" w:space="0"/>
              </w:pBdr>
              <w:jc w:val="center"/>
            </w:pPr>
            <w:r>
              <w:t>2-3</w:t>
            </w:r>
          </w:p>
        </w:tc>
        <w:tc>
          <w:tcPr>
            <w:tcW w:w="1875" w:type="dxa"/>
            <w:tcMar>
              <w:top w:w="100" w:type="dxa"/>
              <w:left w:w="100" w:type="dxa"/>
              <w:bottom w:w="100" w:type="dxa"/>
              <w:right w:w="100" w:type="dxa"/>
            </w:tcMar>
          </w:tcPr>
          <w:p w14:paraId="0B0A032C">
            <w:pPr>
              <w:widowControl w:val="0"/>
              <w:pBdr>
                <w:top w:val="none" w:color="auto" w:sz="0" w:space="0"/>
                <w:left w:val="none" w:color="auto" w:sz="0" w:space="0"/>
                <w:bottom w:val="none" w:color="auto" w:sz="0" w:space="0"/>
                <w:right w:val="none" w:color="auto" w:sz="0" w:space="0"/>
                <w:between w:val="none" w:color="auto" w:sz="0" w:space="0"/>
              </w:pBdr>
              <w:jc w:val="center"/>
            </w:pPr>
            <w:r>
              <w:t>Basil</w:t>
            </w:r>
          </w:p>
        </w:tc>
        <w:tc>
          <w:tcPr>
            <w:tcW w:w="1800" w:type="dxa"/>
            <w:tcMar>
              <w:top w:w="100" w:type="dxa"/>
              <w:left w:w="100" w:type="dxa"/>
              <w:bottom w:w="100" w:type="dxa"/>
              <w:right w:w="100" w:type="dxa"/>
            </w:tcMar>
          </w:tcPr>
          <w:p w14:paraId="1A2864C9">
            <w:pPr>
              <w:widowControl w:val="0"/>
              <w:pBdr>
                <w:top w:val="none" w:color="auto" w:sz="0" w:space="0"/>
                <w:left w:val="none" w:color="auto" w:sz="0" w:space="0"/>
                <w:bottom w:val="none" w:color="auto" w:sz="0" w:space="0"/>
                <w:right w:val="none" w:color="auto" w:sz="0" w:space="0"/>
                <w:between w:val="none" w:color="auto" w:sz="0" w:space="0"/>
              </w:pBdr>
              <w:jc w:val="center"/>
            </w:pPr>
            <w:r>
              <w:t>Budget for IT</w:t>
            </w:r>
          </w:p>
        </w:tc>
        <w:tc>
          <w:tcPr>
            <w:tcW w:w="1800" w:type="dxa"/>
            <w:tcMar>
              <w:top w:w="100" w:type="dxa"/>
              <w:left w:w="100" w:type="dxa"/>
              <w:bottom w:w="100" w:type="dxa"/>
              <w:right w:w="100" w:type="dxa"/>
            </w:tcMar>
          </w:tcPr>
          <w:p w14:paraId="1AAF3688">
            <w:pPr>
              <w:widowControl w:val="0"/>
              <w:pBdr>
                <w:top w:val="none" w:color="auto" w:sz="0" w:space="0"/>
                <w:left w:val="none" w:color="auto" w:sz="0" w:space="0"/>
                <w:bottom w:val="none" w:color="auto" w:sz="0" w:space="0"/>
                <w:right w:val="none" w:color="auto" w:sz="0" w:space="0"/>
                <w:between w:val="none" w:color="auto" w:sz="0" w:space="0"/>
              </w:pBdr>
              <w:jc w:val="center"/>
            </w:pPr>
            <w:r>
              <w:t>Selection of most relevant platform</w:t>
            </w:r>
          </w:p>
        </w:tc>
      </w:tr>
      <w:tr w14:paraId="7362B4C5">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tcW w:w="1800" w:type="dxa"/>
            <w:tcMar>
              <w:top w:w="100" w:type="dxa"/>
              <w:left w:w="100" w:type="dxa"/>
              <w:bottom w:w="100" w:type="dxa"/>
              <w:right w:w="100" w:type="dxa"/>
            </w:tcMar>
          </w:tcPr>
          <w:p w14:paraId="7B630E30">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Online ordering</w:t>
            </w:r>
          </w:p>
        </w:tc>
        <w:tc>
          <w:tcPr>
            <w:tcW w:w="1725" w:type="dxa"/>
            <w:tcMar>
              <w:top w:w="100" w:type="dxa"/>
              <w:left w:w="100" w:type="dxa"/>
              <w:bottom w:w="100" w:type="dxa"/>
              <w:right w:w="100" w:type="dxa"/>
            </w:tcMar>
          </w:tcPr>
          <w:p w14:paraId="22243F7A">
            <w:pPr>
              <w:widowControl w:val="0"/>
              <w:pBdr>
                <w:top w:val="none" w:color="auto" w:sz="0" w:space="0"/>
                <w:left w:val="none" w:color="auto" w:sz="0" w:space="0"/>
                <w:bottom w:val="none" w:color="auto" w:sz="0" w:space="0"/>
                <w:right w:val="none" w:color="auto" w:sz="0" w:space="0"/>
                <w:between w:val="none" w:color="auto" w:sz="0" w:space="0"/>
              </w:pBdr>
              <w:jc w:val="center"/>
            </w:pPr>
            <w:r>
              <w:t>3-4</w:t>
            </w:r>
          </w:p>
        </w:tc>
        <w:tc>
          <w:tcPr>
            <w:tcW w:w="1875" w:type="dxa"/>
            <w:tcMar>
              <w:top w:w="100" w:type="dxa"/>
              <w:left w:w="100" w:type="dxa"/>
              <w:bottom w:w="100" w:type="dxa"/>
              <w:right w:w="100" w:type="dxa"/>
            </w:tcMar>
          </w:tcPr>
          <w:p w14:paraId="63A3DE7F">
            <w:pPr>
              <w:widowControl w:val="0"/>
              <w:pBdr>
                <w:top w:val="none" w:color="auto" w:sz="0" w:space="0"/>
                <w:left w:val="none" w:color="auto" w:sz="0" w:space="0"/>
                <w:bottom w:val="none" w:color="auto" w:sz="0" w:space="0"/>
                <w:right w:val="none" w:color="auto" w:sz="0" w:space="0"/>
                <w:between w:val="none" w:color="auto" w:sz="0" w:space="0"/>
              </w:pBdr>
              <w:jc w:val="center"/>
            </w:pPr>
            <w:r>
              <w:t>IT provider</w:t>
            </w:r>
          </w:p>
        </w:tc>
        <w:tc>
          <w:tcPr>
            <w:tcW w:w="1800" w:type="dxa"/>
            <w:tcMar>
              <w:top w:w="100" w:type="dxa"/>
              <w:left w:w="100" w:type="dxa"/>
              <w:bottom w:w="100" w:type="dxa"/>
              <w:right w:w="100" w:type="dxa"/>
            </w:tcMar>
          </w:tcPr>
          <w:p w14:paraId="209B8A4D">
            <w:pPr>
              <w:widowControl w:val="0"/>
              <w:pBdr>
                <w:top w:val="none" w:color="auto" w:sz="0" w:space="0"/>
                <w:left w:val="none" w:color="auto" w:sz="0" w:space="0"/>
                <w:bottom w:val="none" w:color="auto" w:sz="0" w:space="0"/>
                <w:right w:val="none" w:color="auto" w:sz="0" w:space="0"/>
                <w:between w:val="none" w:color="auto" w:sz="0" w:space="0"/>
              </w:pBdr>
              <w:jc w:val="center"/>
            </w:pPr>
            <w:r>
              <w:t>Digital system</w:t>
            </w:r>
          </w:p>
        </w:tc>
        <w:tc>
          <w:tcPr>
            <w:tcW w:w="1800" w:type="dxa"/>
            <w:tcMar>
              <w:top w:w="100" w:type="dxa"/>
              <w:left w:w="100" w:type="dxa"/>
              <w:bottom w:w="100" w:type="dxa"/>
              <w:right w:w="100" w:type="dxa"/>
            </w:tcMar>
          </w:tcPr>
          <w:p w14:paraId="0A156F7D">
            <w:pPr>
              <w:widowControl w:val="0"/>
              <w:pBdr>
                <w:top w:val="none" w:color="auto" w:sz="0" w:space="0"/>
                <w:left w:val="none" w:color="auto" w:sz="0" w:space="0"/>
                <w:bottom w:val="none" w:color="auto" w:sz="0" w:space="0"/>
                <w:right w:val="none" w:color="auto" w:sz="0" w:space="0"/>
                <w:between w:val="none" w:color="auto" w:sz="0" w:space="0"/>
              </w:pBdr>
              <w:jc w:val="center"/>
            </w:pPr>
            <w:r>
              <w:t>Operational ordering process check</w:t>
            </w:r>
          </w:p>
        </w:tc>
      </w:tr>
      <w:tr w14:paraId="3063C3B3">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tcW w:w="1800" w:type="dxa"/>
            <w:tcMar>
              <w:top w:w="100" w:type="dxa"/>
              <w:left w:w="100" w:type="dxa"/>
              <w:bottom w:w="100" w:type="dxa"/>
              <w:right w:w="100" w:type="dxa"/>
            </w:tcMar>
          </w:tcPr>
          <w:p w14:paraId="2CBDE9C5">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Employee training</w:t>
            </w:r>
          </w:p>
        </w:tc>
        <w:tc>
          <w:tcPr>
            <w:tcW w:w="1725" w:type="dxa"/>
            <w:tcMar>
              <w:top w:w="100" w:type="dxa"/>
              <w:left w:w="100" w:type="dxa"/>
              <w:bottom w:w="100" w:type="dxa"/>
              <w:right w:w="100" w:type="dxa"/>
            </w:tcMar>
          </w:tcPr>
          <w:p w14:paraId="0CBDFC51">
            <w:pPr>
              <w:widowControl w:val="0"/>
              <w:pBdr>
                <w:top w:val="none" w:color="auto" w:sz="0" w:space="0"/>
                <w:left w:val="none" w:color="auto" w:sz="0" w:space="0"/>
                <w:bottom w:val="none" w:color="auto" w:sz="0" w:space="0"/>
                <w:right w:val="none" w:color="auto" w:sz="0" w:space="0"/>
                <w:between w:val="none" w:color="auto" w:sz="0" w:space="0"/>
              </w:pBdr>
              <w:jc w:val="center"/>
            </w:pPr>
            <w:r>
              <w:t>4-5</w:t>
            </w:r>
          </w:p>
        </w:tc>
        <w:tc>
          <w:tcPr>
            <w:tcW w:w="1875" w:type="dxa"/>
            <w:tcMar>
              <w:top w:w="100" w:type="dxa"/>
              <w:left w:w="100" w:type="dxa"/>
              <w:bottom w:w="100" w:type="dxa"/>
              <w:right w:w="100" w:type="dxa"/>
            </w:tcMar>
          </w:tcPr>
          <w:p w14:paraId="6F85696B">
            <w:pPr>
              <w:widowControl w:val="0"/>
              <w:pBdr>
                <w:top w:val="none" w:color="auto" w:sz="0" w:space="0"/>
                <w:left w:val="none" w:color="auto" w:sz="0" w:space="0"/>
                <w:bottom w:val="none" w:color="auto" w:sz="0" w:space="0"/>
                <w:right w:val="none" w:color="auto" w:sz="0" w:space="0"/>
                <w:between w:val="none" w:color="auto" w:sz="0" w:space="0"/>
              </w:pBdr>
              <w:jc w:val="center"/>
            </w:pPr>
            <w:r>
              <w:t>Basil</w:t>
            </w:r>
          </w:p>
        </w:tc>
        <w:tc>
          <w:tcPr>
            <w:tcW w:w="1800" w:type="dxa"/>
            <w:tcMar>
              <w:top w:w="100" w:type="dxa"/>
              <w:left w:w="100" w:type="dxa"/>
              <w:bottom w:w="100" w:type="dxa"/>
              <w:right w:w="100" w:type="dxa"/>
            </w:tcMar>
          </w:tcPr>
          <w:p w14:paraId="6C2A1E56">
            <w:pPr>
              <w:widowControl w:val="0"/>
              <w:pBdr>
                <w:top w:val="none" w:color="auto" w:sz="0" w:space="0"/>
                <w:left w:val="none" w:color="auto" w:sz="0" w:space="0"/>
                <w:bottom w:val="none" w:color="auto" w:sz="0" w:space="0"/>
                <w:right w:val="none" w:color="auto" w:sz="0" w:space="0"/>
                <w:between w:val="none" w:color="auto" w:sz="0" w:space="0"/>
              </w:pBdr>
              <w:jc w:val="center"/>
            </w:pPr>
            <w:r>
              <w:t>Training materials and time</w:t>
            </w:r>
          </w:p>
        </w:tc>
        <w:tc>
          <w:tcPr>
            <w:tcW w:w="1800" w:type="dxa"/>
            <w:tcMar>
              <w:top w:w="100" w:type="dxa"/>
              <w:left w:w="100" w:type="dxa"/>
              <w:bottom w:w="100" w:type="dxa"/>
              <w:right w:w="100" w:type="dxa"/>
            </w:tcMar>
          </w:tcPr>
          <w:p w14:paraId="26DABBCF">
            <w:pPr>
              <w:widowControl w:val="0"/>
              <w:pBdr>
                <w:top w:val="none" w:color="auto" w:sz="0" w:space="0"/>
                <w:left w:val="none" w:color="auto" w:sz="0" w:space="0"/>
                <w:bottom w:val="none" w:color="auto" w:sz="0" w:space="0"/>
                <w:right w:val="none" w:color="auto" w:sz="0" w:space="0"/>
                <w:between w:val="none" w:color="auto" w:sz="0" w:space="0"/>
              </w:pBdr>
              <w:jc w:val="center"/>
            </w:pPr>
            <w:r>
              <w:t>Prepared staff for the changes</w:t>
            </w:r>
          </w:p>
        </w:tc>
      </w:tr>
      <w:tr w14:paraId="188F6C27">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tcW w:w="1800" w:type="dxa"/>
            <w:tcMar>
              <w:top w:w="100" w:type="dxa"/>
              <w:left w:w="100" w:type="dxa"/>
              <w:bottom w:w="100" w:type="dxa"/>
              <w:right w:w="100" w:type="dxa"/>
            </w:tcMar>
          </w:tcPr>
          <w:p w14:paraId="7E577926">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Conduct pilot service test</w:t>
            </w:r>
          </w:p>
        </w:tc>
        <w:tc>
          <w:tcPr>
            <w:tcW w:w="1725" w:type="dxa"/>
            <w:tcMar>
              <w:top w:w="100" w:type="dxa"/>
              <w:left w:w="100" w:type="dxa"/>
              <w:bottom w:w="100" w:type="dxa"/>
              <w:right w:w="100" w:type="dxa"/>
            </w:tcMar>
          </w:tcPr>
          <w:p w14:paraId="7CCF9FCF">
            <w:pPr>
              <w:widowControl w:val="0"/>
              <w:pBdr>
                <w:top w:val="none" w:color="auto" w:sz="0" w:space="0"/>
                <w:left w:val="none" w:color="auto" w:sz="0" w:space="0"/>
                <w:bottom w:val="none" w:color="auto" w:sz="0" w:space="0"/>
                <w:right w:val="none" w:color="auto" w:sz="0" w:space="0"/>
                <w:between w:val="none" w:color="auto" w:sz="0" w:space="0"/>
              </w:pBdr>
              <w:jc w:val="center"/>
            </w:pPr>
            <w:r>
              <w:t>6-8</w:t>
            </w:r>
          </w:p>
        </w:tc>
        <w:tc>
          <w:tcPr>
            <w:tcW w:w="1875" w:type="dxa"/>
            <w:tcMar>
              <w:top w:w="100" w:type="dxa"/>
              <w:left w:w="100" w:type="dxa"/>
              <w:bottom w:w="100" w:type="dxa"/>
              <w:right w:w="100" w:type="dxa"/>
            </w:tcMar>
          </w:tcPr>
          <w:p w14:paraId="4432D5E4">
            <w:pPr>
              <w:widowControl w:val="0"/>
              <w:pBdr>
                <w:top w:val="none" w:color="auto" w:sz="0" w:space="0"/>
                <w:left w:val="none" w:color="auto" w:sz="0" w:space="0"/>
                <w:bottom w:val="none" w:color="auto" w:sz="0" w:space="0"/>
                <w:right w:val="none" w:color="auto" w:sz="0" w:space="0"/>
                <w:between w:val="none" w:color="auto" w:sz="0" w:space="0"/>
              </w:pBdr>
              <w:jc w:val="center"/>
            </w:pPr>
            <w:r>
              <w:t>Bakery team</w:t>
            </w:r>
          </w:p>
        </w:tc>
        <w:tc>
          <w:tcPr>
            <w:tcW w:w="1800" w:type="dxa"/>
            <w:tcMar>
              <w:top w:w="100" w:type="dxa"/>
              <w:left w:w="100" w:type="dxa"/>
              <w:bottom w:w="100" w:type="dxa"/>
              <w:right w:w="100" w:type="dxa"/>
            </w:tcMar>
          </w:tcPr>
          <w:p w14:paraId="6D4451E2">
            <w:pPr>
              <w:widowControl w:val="0"/>
              <w:pBdr>
                <w:top w:val="none" w:color="auto" w:sz="0" w:space="0"/>
                <w:left w:val="none" w:color="auto" w:sz="0" w:space="0"/>
                <w:bottom w:val="none" w:color="auto" w:sz="0" w:space="0"/>
                <w:right w:val="none" w:color="auto" w:sz="0" w:space="0"/>
                <w:between w:val="none" w:color="auto" w:sz="0" w:space="0"/>
              </w:pBdr>
              <w:jc w:val="center"/>
            </w:pPr>
            <w:r>
              <w:t>Delivery resources</w:t>
            </w:r>
          </w:p>
        </w:tc>
        <w:tc>
          <w:tcPr>
            <w:tcW w:w="1800" w:type="dxa"/>
            <w:tcMar>
              <w:top w:w="100" w:type="dxa"/>
              <w:left w:w="100" w:type="dxa"/>
              <w:bottom w:w="100" w:type="dxa"/>
              <w:right w:w="100" w:type="dxa"/>
            </w:tcMar>
          </w:tcPr>
          <w:p w14:paraId="710644EF">
            <w:pPr>
              <w:widowControl w:val="0"/>
              <w:pBdr>
                <w:top w:val="none" w:color="auto" w:sz="0" w:space="0"/>
                <w:left w:val="none" w:color="auto" w:sz="0" w:space="0"/>
                <w:bottom w:val="none" w:color="auto" w:sz="0" w:space="0"/>
                <w:right w:val="none" w:color="auto" w:sz="0" w:space="0"/>
                <w:between w:val="none" w:color="auto" w:sz="0" w:space="0"/>
              </w:pBdr>
              <w:jc w:val="center"/>
            </w:pPr>
            <w:r>
              <w:t xml:space="preserve">Test of customer response </w:t>
            </w:r>
          </w:p>
        </w:tc>
      </w:tr>
      <w:tr w14:paraId="76532F72">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tcW w:w="1800" w:type="dxa"/>
            <w:tcMar>
              <w:top w:w="100" w:type="dxa"/>
              <w:left w:w="100" w:type="dxa"/>
              <w:bottom w:w="100" w:type="dxa"/>
              <w:right w:w="100" w:type="dxa"/>
            </w:tcMar>
          </w:tcPr>
          <w:p w14:paraId="5134DA3A">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Review of pilot test results</w:t>
            </w:r>
          </w:p>
        </w:tc>
        <w:tc>
          <w:tcPr>
            <w:tcW w:w="1725" w:type="dxa"/>
            <w:tcMar>
              <w:top w:w="100" w:type="dxa"/>
              <w:left w:w="100" w:type="dxa"/>
              <w:bottom w:w="100" w:type="dxa"/>
              <w:right w:w="100" w:type="dxa"/>
            </w:tcMar>
          </w:tcPr>
          <w:p w14:paraId="73A4B68A">
            <w:pPr>
              <w:widowControl w:val="0"/>
              <w:pBdr>
                <w:top w:val="none" w:color="auto" w:sz="0" w:space="0"/>
                <w:left w:val="none" w:color="auto" w:sz="0" w:space="0"/>
                <w:bottom w:val="none" w:color="auto" w:sz="0" w:space="0"/>
                <w:right w:val="none" w:color="auto" w:sz="0" w:space="0"/>
                <w:between w:val="none" w:color="auto" w:sz="0" w:space="0"/>
              </w:pBdr>
              <w:jc w:val="center"/>
            </w:pPr>
            <w:r>
              <w:t>9</w:t>
            </w:r>
          </w:p>
        </w:tc>
        <w:tc>
          <w:tcPr>
            <w:tcW w:w="1875" w:type="dxa"/>
            <w:tcMar>
              <w:top w:w="100" w:type="dxa"/>
              <w:left w:w="100" w:type="dxa"/>
              <w:bottom w:w="100" w:type="dxa"/>
              <w:right w:w="100" w:type="dxa"/>
            </w:tcMar>
          </w:tcPr>
          <w:p w14:paraId="10FBB350">
            <w:pPr>
              <w:widowControl w:val="0"/>
              <w:pBdr>
                <w:top w:val="none" w:color="auto" w:sz="0" w:space="0"/>
                <w:left w:val="none" w:color="auto" w:sz="0" w:space="0"/>
                <w:bottom w:val="none" w:color="auto" w:sz="0" w:space="0"/>
                <w:right w:val="none" w:color="auto" w:sz="0" w:space="0"/>
                <w:between w:val="none" w:color="auto" w:sz="0" w:space="0"/>
              </w:pBdr>
              <w:jc w:val="center"/>
            </w:pPr>
            <w:r>
              <w:t>Basil</w:t>
            </w:r>
          </w:p>
        </w:tc>
        <w:tc>
          <w:tcPr>
            <w:tcW w:w="1800" w:type="dxa"/>
            <w:tcMar>
              <w:top w:w="100" w:type="dxa"/>
              <w:left w:w="100" w:type="dxa"/>
              <w:bottom w:w="100" w:type="dxa"/>
              <w:right w:w="100" w:type="dxa"/>
            </w:tcMar>
          </w:tcPr>
          <w:p w14:paraId="231ABC30">
            <w:pPr>
              <w:widowControl w:val="0"/>
              <w:pBdr>
                <w:top w:val="none" w:color="auto" w:sz="0" w:space="0"/>
                <w:left w:val="none" w:color="auto" w:sz="0" w:space="0"/>
                <w:bottom w:val="none" w:color="auto" w:sz="0" w:space="0"/>
                <w:right w:val="none" w:color="auto" w:sz="0" w:space="0"/>
                <w:between w:val="none" w:color="auto" w:sz="0" w:space="0"/>
              </w:pBdr>
              <w:jc w:val="center"/>
            </w:pPr>
            <w:r>
              <w:t>KPI data</w:t>
            </w:r>
          </w:p>
        </w:tc>
        <w:tc>
          <w:tcPr>
            <w:tcW w:w="1800" w:type="dxa"/>
            <w:tcMar>
              <w:top w:w="100" w:type="dxa"/>
              <w:left w:w="100" w:type="dxa"/>
              <w:bottom w:w="100" w:type="dxa"/>
              <w:right w:w="100" w:type="dxa"/>
            </w:tcMar>
          </w:tcPr>
          <w:p w14:paraId="53B232C9">
            <w:pPr>
              <w:widowControl w:val="0"/>
              <w:pBdr>
                <w:top w:val="none" w:color="auto" w:sz="0" w:space="0"/>
                <w:left w:val="none" w:color="auto" w:sz="0" w:space="0"/>
                <w:bottom w:val="none" w:color="auto" w:sz="0" w:space="0"/>
                <w:right w:val="none" w:color="auto" w:sz="0" w:space="0"/>
                <w:between w:val="none" w:color="auto" w:sz="0" w:space="0"/>
              </w:pBdr>
              <w:jc w:val="center"/>
            </w:pPr>
            <w:r>
              <w:t>Identified requirements adjustments</w:t>
            </w:r>
          </w:p>
        </w:tc>
      </w:tr>
      <w:tr w14:paraId="08BC48A0">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tcW w:w="1800" w:type="dxa"/>
            <w:tcMar>
              <w:top w:w="100" w:type="dxa"/>
              <w:left w:w="100" w:type="dxa"/>
              <w:bottom w:w="100" w:type="dxa"/>
              <w:right w:w="100" w:type="dxa"/>
            </w:tcMar>
          </w:tcPr>
          <w:p w14:paraId="70500DDD">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Final launch</w:t>
            </w:r>
          </w:p>
        </w:tc>
        <w:tc>
          <w:tcPr>
            <w:tcW w:w="1725" w:type="dxa"/>
            <w:tcMar>
              <w:top w:w="100" w:type="dxa"/>
              <w:left w:w="100" w:type="dxa"/>
              <w:bottom w:w="100" w:type="dxa"/>
              <w:right w:w="100" w:type="dxa"/>
            </w:tcMar>
          </w:tcPr>
          <w:p w14:paraId="4A30D564">
            <w:pPr>
              <w:widowControl w:val="0"/>
              <w:pBdr>
                <w:top w:val="none" w:color="auto" w:sz="0" w:space="0"/>
                <w:left w:val="none" w:color="auto" w:sz="0" w:space="0"/>
                <w:bottom w:val="none" w:color="auto" w:sz="0" w:space="0"/>
                <w:right w:val="none" w:color="auto" w:sz="0" w:space="0"/>
                <w:between w:val="none" w:color="auto" w:sz="0" w:space="0"/>
              </w:pBdr>
              <w:jc w:val="center"/>
            </w:pPr>
            <w:r>
              <w:t>10-12</w:t>
            </w:r>
          </w:p>
        </w:tc>
        <w:tc>
          <w:tcPr>
            <w:tcW w:w="1875" w:type="dxa"/>
            <w:tcMar>
              <w:top w:w="100" w:type="dxa"/>
              <w:left w:w="100" w:type="dxa"/>
              <w:bottom w:w="100" w:type="dxa"/>
              <w:right w:w="100" w:type="dxa"/>
            </w:tcMar>
          </w:tcPr>
          <w:p w14:paraId="4E772BC7">
            <w:pPr>
              <w:widowControl w:val="0"/>
              <w:pBdr>
                <w:top w:val="none" w:color="auto" w:sz="0" w:space="0"/>
                <w:left w:val="none" w:color="auto" w:sz="0" w:space="0"/>
                <w:bottom w:val="none" w:color="auto" w:sz="0" w:space="0"/>
                <w:right w:val="none" w:color="auto" w:sz="0" w:space="0"/>
                <w:between w:val="none" w:color="auto" w:sz="0" w:space="0"/>
              </w:pBdr>
              <w:jc w:val="center"/>
            </w:pPr>
            <w:r>
              <w:t>Basil team</w:t>
            </w:r>
          </w:p>
        </w:tc>
        <w:tc>
          <w:tcPr>
            <w:tcW w:w="1800" w:type="dxa"/>
            <w:tcMar>
              <w:top w:w="100" w:type="dxa"/>
              <w:left w:w="100" w:type="dxa"/>
              <w:bottom w:w="100" w:type="dxa"/>
              <w:right w:w="100" w:type="dxa"/>
            </w:tcMar>
          </w:tcPr>
          <w:p w14:paraId="4CD751F3">
            <w:pPr>
              <w:widowControl w:val="0"/>
              <w:pBdr>
                <w:top w:val="none" w:color="auto" w:sz="0" w:space="0"/>
                <w:left w:val="none" w:color="auto" w:sz="0" w:space="0"/>
                <w:bottom w:val="none" w:color="auto" w:sz="0" w:space="0"/>
                <w:right w:val="none" w:color="auto" w:sz="0" w:space="0"/>
                <w:between w:val="none" w:color="auto" w:sz="0" w:space="0"/>
              </w:pBdr>
              <w:jc w:val="center"/>
            </w:pPr>
            <w:r>
              <w:t>Marketing and delivery</w:t>
            </w:r>
          </w:p>
        </w:tc>
        <w:tc>
          <w:tcPr>
            <w:tcW w:w="1800" w:type="dxa"/>
            <w:tcMar>
              <w:top w:w="100" w:type="dxa"/>
              <w:left w:w="100" w:type="dxa"/>
              <w:bottom w:w="100" w:type="dxa"/>
              <w:right w:w="100" w:type="dxa"/>
            </w:tcMar>
          </w:tcPr>
          <w:p w14:paraId="7B6FBD40">
            <w:pPr>
              <w:widowControl w:val="0"/>
              <w:pBdr>
                <w:top w:val="none" w:color="auto" w:sz="0" w:space="0"/>
                <w:left w:val="none" w:color="auto" w:sz="0" w:space="0"/>
                <w:bottom w:val="none" w:color="auto" w:sz="0" w:space="0"/>
                <w:right w:val="none" w:color="auto" w:sz="0" w:space="0"/>
                <w:between w:val="none" w:color="auto" w:sz="0" w:space="0"/>
              </w:pBdr>
              <w:jc w:val="center"/>
            </w:pPr>
            <w:r>
              <w:t>Expansion of the service</w:t>
            </w:r>
          </w:p>
        </w:tc>
      </w:tr>
    </w:tbl>
    <w:p w14:paraId="3A3AC5B7">
      <w:pPr>
        <w:jc w:val="center"/>
        <w:rPr>
          <w:b/>
          <w:bCs/>
        </w:rPr>
      </w:pPr>
      <w:r>
        <w:rPr>
          <w:b/>
          <w:bCs/>
        </w:rPr>
        <w:t>Table 3: Implementation plan</w:t>
      </w:r>
    </w:p>
    <w:p w14:paraId="7BBFE208">
      <w:pPr>
        <w:pStyle w:val="3"/>
      </w:pPr>
      <w:bookmarkStart w:id="24" w:name="_rcibi1aq7to8" w:colFirst="0" w:colLast="0"/>
      <w:bookmarkEnd w:id="24"/>
      <w:r>
        <w:br w:type="page"/>
      </w:r>
    </w:p>
    <w:p w14:paraId="0B4F43F9">
      <w:pPr>
        <w:pStyle w:val="3"/>
      </w:pPr>
      <w:bookmarkStart w:id="25" w:name="_Toc237212580"/>
      <w:r>
        <w:t>Appendix 4: SMART goals</w:t>
      </w:r>
      <w:bookmarkEnd w:id="25"/>
      <w:r>
        <w:t xml:space="preserve">  </w:t>
      </w:r>
    </w:p>
    <w:tbl>
      <w:tblPr>
        <w:tblStyle w:val="20"/>
        <w:tblW w:w="9029"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1805"/>
        <w:gridCol w:w="1806"/>
        <w:gridCol w:w="1806"/>
        <w:gridCol w:w="1806"/>
        <w:gridCol w:w="1806"/>
      </w:tblGrid>
      <w:tr w14:paraId="495E2D11">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trHeight w:val="420" w:hRule="atLeast"/>
        </w:trPr>
        <w:tc>
          <w:tcPr>
            <w:tcW w:w="9025" w:type="dxa"/>
            <w:gridSpan w:val="5"/>
            <w:tcMar>
              <w:top w:w="100" w:type="dxa"/>
              <w:left w:w="100" w:type="dxa"/>
              <w:bottom w:w="100" w:type="dxa"/>
              <w:right w:w="100" w:type="dxa"/>
            </w:tcMar>
          </w:tcPr>
          <w:p w14:paraId="7AEF4CB1">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Objective 1: Increase sales</w:t>
            </w:r>
          </w:p>
        </w:tc>
      </w:tr>
      <w:tr w14:paraId="43C67683">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tcW w:w="1805" w:type="dxa"/>
            <w:tcMar>
              <w:top w:w="100" w:type="dxa"/>
              <w:left w:w="100" w:type="dxa"/>
              <w:bottom w:w="100" w:type="dxa"/>
              <w:right w:w="100" w:type="dxa"/>
            </w:tcMar>
          </w:tcPr>
          <w:p w14:paraId="3CF3CE4D">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Specific</w:t>
            </w:r>
          </w:p>
        </w:tc>
        <w:tc>
          <w:tcPr>
            <w:tcW w:w="1805" w:type="dxa"/>
            <w:tcMar>
              <w:top w:w="100" w:type="dxa"/>
              <w:left w:w="100" w:type="dxa"/>
              <w:bottom w:w="100" w:type="dxa"/>
              <w:right w:w="100" w:type="dxa"/>
            </w:tcMar>
          </w:tcPr>
          <w:p w14:paraId="703E33BD">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Measurable</w:t>
            </w:r>
          </w:p>
        </w:tc>
        <w:tc>
          <w:tcPr>
            <w:tcW w:w="1805" w:type="dxa"/>
            <w:tcMar>
              <w:top w:w="100" w:type="dxa"/>
              <w:left w:w="100" w:type="dxa"/>
              <w:bottom w:w="100" w:type="dxa"/>
              <w:right w:w="100" w:type="dxa"/>
            </w:tcMar>
          </w:tcPr>
          <w:p w14:paraId="1D53DCB6">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Achievable</w:t>
            </w:r>
          </w:p>
        </w:tc>
        <w:tc>
          <w:tcPr>
            <w:tcW w:w="1805" w:type="dxa"/>
            <w:tcMar>
              <w:top w:w="100" w:type="dxa"/>
              <w:left w:w="100" w:type="dxa"/>
              <w:bottom w:w="100" w:type="dxa"/>
              <w:right w:w="100" w:type="dxa"/>
            </w:tcMar>
          </w:tcPr>
          <w:p w14:paraId="3547001E">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Relevant</w:t>
            </w:r>
          </w:p>
        </w:tc>
        <w:tc>
          <w:tcPr>
            <w:tcW w:w="1805" w:type="dxa"/>
            <w:tcMar>
              <w:top w:w="100" w:type="dxa"/>
              <w:left w:w="100" w:type="dxa"/>
              <w:bottom w:w="100" w:type="dxa"/>
              <w:right w:w="100" w:type="dxa"/>
            </w:tcMar>
          </w:tcPr>
          <w:p w14:paraId="7FDC5C1B">
            <w:pPr>
              <w:widowControl w:val="0"/>
              <w:pBdr>
                <w:top w:val="none" w:color="auto" w:sz="0" w:space="0"/>
                <w:left w:val="none" w:color="auto" w:sz="0" w:space="0"/>
                <w:bottom w:val="none" w:color="auto" w:sz="0" w:space="0"/>
                <w:right w:val="none" w:color="auto" w:sz="0" w:space="0"/>
                <w:between w:val="none" w:color="auto" w:sz="0" w:space="0"/>
              </w:pBdr>
              <w:jc w:val="center"/>
              <w:rPr>
                <w:b/>
                <w:bCs/>
              </w:rPr>
            </w:pPr>
            <w:r>
              <w:rPr>
                <w:b/>
                <w:bCs/>
              </w:rPr>
              <w:t>Timebound</w:t>
            </w:r>
          </w:p>
        </w:tc>
      </w:tr>
      <w:tr w14:paraId="740D705A">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tcW w:w="1805" w:type="dxa"/>
            <w:tcMar>
              <w:top w:w="100" w:type="dxa"/>
              <w:left w:w="100" w:type="dxa"/>
              <w:bottom w:w="100" w:type="dxa"/>
              <w:right w:w="100" w:type="dxa"/>
            </w:tcMar>
          </w:tcPr>
          <w:p w14:paraId="2FBD5F6D">
            <w:pPr>
              <w:widowControl w:val="0"/>
              <w:pBdr>
                <w:top w:val="none" w:color="auto" w:sz="0" w:space="0"/>
                <w:left w:val="none" w:color="auto" w:sz="0" w:space="0"/>
                <w:bottom w:val="none" w:color="auto" w:sz="0" w:space="0"/>
                <w:right w:val="none" w:color="auto" w:sz="0" w:space="0"/>
                <w:between w:val="none" w:color="auto" w:sz="0" w:space="0"/>
              </w:pBdr>
              <w:jc w:val="left"/>
            </w:pPr>
            <w:r>
              <w:t>Improve sales specifically through the new service</w:t>
            </w:r>
          </w:p>
        </w:tc>
        <w:tc>
          <w:tcPr>
            <w:tcW w:w="1805" w:type="dxa"/>
            <w:tcMar>
              <w:top w:w="100" w:type="dxa"/>
              <w:left w:w="100" w:type="dxa"/>
              <w:bottom w:w="100" w:type="dxa"/>
              <w:right w:w="100" w:type="dxa"/>
            </w:tcMar>
          </w:tcPr>
          <w:p w14:paraId="0F02984A">
            <w:pPr>
              <w:widowControl w:val="0"/>
              <w:pBdr>
                <w:top w:val="none" w:color="auto" w:sz="0" w:space="0"/>
                <w:left w:val="none" w:color="auto" w:sz="0" w:space="0"/>
                <w:bottom w:val="none" w:color="auto" w:sz="0" w:space="0"/>
                <w:right w:val="none" w:color="auto" w:sz="0" w:space="0"/>
                <w:between w:val="none" w:color="auto" w:sz="0" w:space="0"/>
              </w:pBdr>
              <w:jc w:val="left"/>
            </w:pPr>
            <w:r>
              <w:t xml:space="preserve">Increase at least 15% of the total sales through pre-orders and delivery service </w:t>
            </w:r>
          </w:p>
        </w:tc>
        <w:tc>
          <w:tcPr>
            <w:tcW w:w="1805" w:type="dxa"/>
            <w:tcMar>
              <w:top w:w="100" w:type="dxa"/>
              <w:left w:w="100" w:type="dxa"/>
              <w:bottom w:w="100" w:type="dxa"/>
              <w:right w:w="100" w:type="dxa"/>
            </w:tcMar>
          </w:tcPr>
          <w:p w14:paraId="7199117E">
            <w:pPr>
              <w:widowControl w:val="0"/>
              <w:pBdr>
                <w:top w:val="none" w:color="auto" w:sz="0" w:space="0"/>
                <w:left w:val="none" w:color="auto" w:sz="0" w:space="0"/>
                <w:bottom w:val="none" w:color="auto" w:sz="0" w:space="0"/>
                <w:right w:val="none" w:color="auto" w:sz="0" w:space="0"/>
                <w:between w:val="none" w:color="auto" w:sz="0" w:space="0"/>
              </w:pBdr>
              <w:jc w:val="left"/>
            </w:pPr>
            <w:r>
              <w:t>Through effective integration of customer demand, improved product accessibility, and targeted promotions</w:t>
            </w:r>
          </w:p>
        </w:tc>
        <w:tc>
          <w:tcPr>
            <w:tcW w:w="1805" w:type="dxa"/>
            <w:tcMar>
              <w:top w:w="100" w:type="dxa"/>
              <w:left w:w="100" w:type="dxa"/>
              <w:bottom w:w="100" w:type="dxa"/>
              <w:right w:w="100" w:type="dxa"/>
            </w:tcMar>
          </w:tcPr>
          <w:p w14:paraId="1840FAF9">
            <w:pPr>
              <w:widowControl w:val="0"/>
              <w:pBdr>
                <w:top w:val="none" w:color="auto" w:sz="0" w:space="0"/>
                <w:left w:val="none" w:color="auto" w:sz="0" w:space="0"/>
                <w:bottom w:val="none" w:color="auto" w:sz="0" w:space="0"/>
                <w:right w:val="none" w:color="auto" w:sz="0" w:space="0"/>
                <w:between w:val="none" w:color="auto" w:sz="0" w:space="0"/>
              </w:pBdr>
              <w:jc w:val="left"/>
            </w:pPr>
            <w:r>
              <w:t>Directly address the current issue of sales decline at Bassil’s</w:t>
            </w:r>
          </w:p>
        </w:tc>
        <w:tc>
          <w:tcPr>
            <w:tcW w:w="1805" w:type="dxa"/>
            <w:tcMar>
              <w:top w:w="100" w:type="dxa"/>
              <w:left w:w="100" w:type="dxa"/>
              <w:bottom w:w="100" w:type="dxa"/>
              <w:right w:w="100" w:type="dxa"/>
            </w:tcMar>
          </w:tcPr>
          <w:p w14:paraId="0FE8E107">
            <w:pPr>
              <w:widowControl w:val="0"/>
              <w:pBdr>
                <w:top w:val="none" w:color="auto" w:sz="0" w:space="0"/>
                <w:left w:val="none" w:color="auto" w:sz="0" w:space="0"/>
                <w:bottom w:val="none" w:color="auto" w:sz="0" w:space="0"/>
                <w:right w:val="none" w:color="auto" w:sz="0" w:space="0"/>
                <w:between w:val="none" w:color="auto" w:sz="0" w:space="0"/>
              </w:pBdr>
              <w:jc w:val="left"/>
            </w:pPr>
            <w:r>
              <w:t>Within the next 6 months</w:t>
            </w:r>
          </w:p>
        </w:tc>
      </w:tr>
      <w:tr w14:paraId="7CF77F59">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tcW w:w="9025" w:type="dxa"/>
            <w:gridSpan w:val="5"/>
            <w:tcMar>
              <w:top w:w="100" w:type="dxa"/>
              <w:left w:w="100" w:type="dxa"/>
              <w:bottom w:w="100" w:type="dxa"/>
              <w:right w:w="100" w:type="dxa"/>
            </w:tcMar>
          </w:tcPr>
          <w:p w14:paraId="429C3058">
            <w:pPr>
              <w:widowControl w:val="0"/>
              <w:jc w:val="center"/>
              <w:rPr>
                <w:b/>
                <w:bCs/>
              </w:rPr>
            </w:pPr>
            <w:r>
              <w:rPr>
                <w:b/>
                <w:bCs/>
              </w:rPr>
              <w:t xml:space="preserve">Objective 2: Achieve significant monthly pre-orders and delivery transactions </w:t>
            </w:r>
          </w:p>
        </w:tc>
      </w:tr>
      <w:tr w14:paraId="200D7CAD">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tcW w:w="1805" w:type="dxa"/>
            <w:tcMar>
              <w:top w:w="100" w:type="dxa"/>
              <w:left w:w="100" w:type="dxa"/>
              <w:bottom w:w="100" w:type="dxa"/>
              <w:right w:w="100" w:type="dxa"/>
            </w:tcMar>
          </w:tcPr>
          <w:p w14:paraId="3DDD824D">
            <w:pPr>
              <w:widowControl w:val="0"/>
              <w:jc w:val="center"/>
              <w:rPr>
                <w:b/>
                <w:bCs/>
              </w:rPr>
            </w:pPr>
            <w:r>
              <w:rPr>
                <w:b/>
                <w:bCs/>
              </w:rPr>
              <w:t>Specific</w:t>
            </w:r>
          </w:p>
        </w:tc>
        <w:tc>
          <w:tcPr>
            <w:tcW w:w="1805" w:type="dxa"/>
            <w:tcMar>
              <w:top w:w="100" w:type="dxa"/>
              <w:left w:w="100" w:type="dxa"/>
              <w:bottom w:w="100" w:type="dxa"/>
              <w:right w:w="100" w:type="dxa"/>
            </w:tcMar>
          </w:tcPr>
          <w:p w14:paraId="75DC9F4F">
            <w:pPr>
              <w:widowControl w:val="0"/>
              <w:jc w:val="center"/>
              <w:rPr>
                <w:b/>
                <w:bCs/>
              </w:rPr>
            </w:pPr>
            <w:r>
              <w:rPr>
                <w:b/>
                <w:bCs/>
              </w:rPr>
              <w:t>Measurable</w:t>
            </w:r>
          </w:p>
        </w:tc>
        <w:tc>
          <w:tcPr>
            <w:tcW w:w="1805" w:type="dxa"/>
            <w:tcMar>
              <w:top w:w="100" w:type="dxa"/>
              <w:left w:w="100" w:type="dxa"/>
              <w:bottom w:w="100" w:type="dxa"/>
              <w:right w:w="100" w:type="dxa"/>
            </w:tcMar>
          </w:tcPr>
          <w:p w14:paraId="2BD883A6">
            <w:pPr>
              <w:widowControl w:val="0"/>
              <w:jc w:val="center"/>
              <w:rPr>
                <w:b/>
                <w:bCs/>
              </w:rPr>
            </w:pPr>
            <w:r>
              <w:rPr>
                <w:b/>
                <w:bCs/>
              </w:rPr>
              <w:t>Achievable</w:t>
            </w:r>
          </w:p>
        </w:tc>
        <w:tc>
          <w:tcPr>
            <w:tcW w:w="1805" w:type="dxa"/>
            <w:tcMar>
              <w:top w:w="100" w:type="dxa"/>
              <w:left w:w="100" w:type="dxa"/>
              <w:bottom w:w="100" w:type="dxa"/>
              <w:right w:w="100" w:type="dxa"/>
            </w:tcMar>
          </w:tcPr>
          <w:p w14:paraId="2C3F4B27">
            <w:pPr>
              <w:widowControl w:val="0"/>
              <w:jc w:val="center"/>
              <w:rPr>
                <w:b/>
                <w:bCs/>
              </w:rPr>
            </w:pPr>
            <w:r>
              <w:rPr>
                <w:b/>
                <w:bCs/>
              </w:rPr>
              <w:t>Relevant</w:t>
            </w:r>
          </w:p>
        </w:tc>
        <w:tc>
          <w:tcPr>
            <w:tcW w:w="1805" w:type="dxa"/>
            <w:tcMar>
              <w:top w:w="100" w:type="dxa"/>
              <w:left w:w="100" w:type="dxa"/>
              <w:bottom w:w="100" w:type="dxa"/>
              <w:right w:w="100" w:type="dxa"/>
            </w:tcMar>
          </w:tcPr>
          <w:p w14:paraId="1332D476">
            <w:pPr>
              <w:widowControl w:val="0"/>
              <w:jc w:val="center"/>
              <w:rPr>
                <w:b/>
                <w:bCs/>
              </w:rPr>
            </w:pPr>
            <w:r>
              <w:rPr>
                <w:b/>
                <w:bCs/>
              </w:rPr>
              <w:t>Timebound</w:t>
            </w:r>
          </w:p>
        </w:tc>
      </w:tr>
      <w:tr w14:paraId="422934DE">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tcW w:w="1805" w:type="dxa"/>
            <w:tcMar>
              <w:top w:w="100" w:type="dxa"/>
              <w:left w:w="100" w:type="dxa"/>
              <w:bottom w:w="100" w:type="dxa"/>
              <w:right w:w="100" w:type="dxa"/>
            </w:tcMar>
          </w:tcPr>
          <w:p w14:paraId="4074A91A">
            <w:pPr>
              <w:widowControl w:val="0"/>
              <w:pBdr>
                <w:top w:val="none" w:color="auto" w:sz="0" w:space="0"/>
                <w:left w:val="none" w:color="auto" w:sz="0" w:space="0"/>
                <w:bottom w:val="none" w:color="auto" w:sz="0" w:space="0"/>
                <w:right w:val="none" w:color="auto" w:sz="0" w:space="0"/>
                <w:between w:val="none" w:color="auto" w:sz="0" w:space="0"/>
              </w:pBdr>
              <w:jc w:val="left"/>
            </w:pPr>
            <w:r>
              <w:t>Improve customer adoption of the new service</w:t>
            </w:r>
          </w:p>
        </w:tc>
        <w:tc>
          <w:tcPr>
            <w:tcW w:w="1805" w:type="dxa"/>
            <w:tcMar>
              <w:top w:w="100" w:type="dxa"/>
              <w:left w:w="100" w:type="dxa"/>
              <w:bottom w:w="100" w:type="dxa"/>
              <w:right w:w="100" w:type="dxa"/>
            </w:tcMar>
          </w:tcPr>
          <w:p w14:paraId="56882362">
            <w:pPr>
              <w:widowControl w:val="0"/>
              <w:pBdr>
                <w:top w:val="none" w:color="auto" w:sz="0" w:space="0"/>
                <w:left w:val="none" w:color="auto" w:sz="0" w:space="0"/>
                <w:bottom w:val="none" w:color="auto" w:sz="0" w:space="0"/>
                <w:right w:val="none" w:color="auto" w:sz="0" w:space="0"/>
                <w:between w:val="none" w:color="auto" w:sz="0" w:space="0"/>
              </w:pBdr>
              <w:jc w:val="left"/>
            </w:pPr>
            <w:r>
              <w:t xml:space="preserve">Achieve approximately 100 pre-orders and delivery transactions per month </w:t>
            </w:r>
          </w:p>
        </w:tc>
        <w:tc>
          <w:tcPr>
            <w:tcW w:w="1805" w:type="dxa"/>
            <w:tcMar>
              <w:top w:w="100" w:type="dxa"/>
              <w:left w:w="100" w:type="dxa"/>
              <w:bottom w:w="100" w:type="dxa"/>
              <w:right w:w="100" w:type="dxa"/>
            </w:tcMar>
          </w:tcPr>
          <w:p w14:paraId="3FC257BE">
            <w:pPr>
              <w:widowControl w:val="0"/>
              <w:pBdr>
                <w:top w:val="none" w:color="auto" w:sz="0" w:space="0"/>
                <w:left w:val="none" w:color="auto" w:sz="0" w:space="0"/>
                <w:bottom w:val="none" w:color="auto" w:sz="0" w:space="0"/>
                <w:right w:val="none" w:color="auto" w:sz="0" w:space="0"/>
                <w:between w:val="none" w:color="auto" w:sz="0" w:space="0"/>
              </w:pBdr>
              <w:jc w:val="left"/>
            </w:pPr>
            <w:r>
              <w:t>With extensive promotional activities</w:t>
            </w:r>
          </w:p>
        </w:tc>
        <w:tc>
          <w:tcPr>
            <w:tcW w:w="1805" w:type="dxa"/>
            <w:tcMar>
              <w:top w:w="100" w:type="dxa"/>
              <w:left w:w="100" w:type="dxa"/>
              <w:bottom w:w="100" w:type="dxa"/>
              <w:right w:w="100" w:type="dxa"/>
            </w:tcMar>
          </w:tcPr>
          <w:p w14:paraId="1DACF881">
            <w:pPr>
              <w:widowControl w:val="0"/>
              <w:pBdr>
                <w:top w:val="none" w:color="auto" w:sz="0" w:space="0"/>
                <w:left w:val="none" w:color="auto" w:sz="0" w:space="0"/>
                <w:bottom w:val="none" w:color="auto" w:sz="0" w:space="0"/>
                <w:right w:val="none" w:color="auto" w:sz="0" w:space="0"/>
                <w:between w:val="none" w:color="auto" w:sz="0" w:space="0"/>
              </w:pBdr>
              <w:jc w:val="left"/>
            </w:pPr>
            <w:r>
              <w:t>Will reduce dependency on retail park footfall</w:t>
            </w:r>
          </w:p>
        </w:tc>
        <w:tc>
          <w:tcPr>
            <w:tcW w:w="1805" w:type="dxa"/>
            <w:tcMar>
              <w:top w:w="100" w:type="dxa"/>
              <w:left w:w="100" w:type="dxa"/>
              <w:bottom w:w="100" w:type="dxa"/>
              <w:right w:w="100" w:type="dxa"/>
            </w:tcMar>
          </w:tcPr>
          <w:p w14:paraId="0FC63699">
            <w:pPr>
              <w:widowControl w:val="0"/>
              <w:pBdr>
                <w:top w:val="none" w:color="auto" w:sz="0" w:space="0"/>
                <w:left w:val="none" w:color="auto" w:sz="0" w:space="0"/>
                <w:bottom w:val="none" w:color="auto" w:sz="0" w:space="0"/>
                <w:right w:val="none" w:color="auto" w:sz="0" w:space="0"/>
                <w:between w:val="none" w:color="auto" w:sz="0" w:space="0"/>
              </w:pBdr>
              <w:jc w:val="left"/>
            </w:pPr>
            <w:r>
              <w:t>Within the next 3 months</w:t>
            </w:r>
          </w:p>
        </w:tc>
      </w:tr>
      <w:tr w14:paraId="7D8DE184">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tcW w:w="9025" w:type="dxa"/>
            <w:gridSpan w:val="5"/>
            <w:tcMar>
              <w:top w:w="100" w:type="dxa"/>
              <w:left w:w="100" w:type="dxa"/>
              <w:bottom w:w="100" w:type="dxa"/>
              <w:right w:w="100" w:type="dxa"/>
            </w:tcMar>
          </w:tcPr>
          <w:p w14:paraId="41DE05B6">
            <w:pPr>
              <w:widowControl w:val="0"/>
              <w:jc w:val="center"/>
              <w:rPr>
                <w:b/>
                <w:bCs/>
              </w:rPr>
            </w:pPr>
            <w:r>
              <w:rPr>
                <w:b/>
                <w:bCs/>
              </w:rPr>
              <w:t>Objective 3: Reduction in average customer waiting time</w:t>
            </w:r>
          </w:p>
        </w:tc>
      </w:tr>
      <w:tr w14:paraId="230D005B">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tcW w:w="1805" w:type="dxa"/>
            <w:tcMar>
              <w:top w:w="100" w:type="dxa"/>
              <w:left w:w="100" w:type="dxa"/>
              <w:bottom w:w="100" w:type="dxa"/>
              <w:right w:w="100" w:type="dxa"/>
            </w:tcMar>
          </w:tcPr>
          <w:p w14:paraId="47119351">
            <w:pPr>
              <w:widowControl w:val="0"/>
              <w:jc w:val="center"/>
              <w:rPr>
                <w:b/>
                <w:bCs/>
              </w:rPr>
            </w:pPr>
            <w:r>
              <w:rPr>
                <w:b/>
                <w:bCs/>
              </w:rPr>
              <w:t>Specific</w:t>
            </w:r>
          </w:p>
        </w:tc>
        <w:tc>
          <w:tcPr>
            <w:tcW w:w="1805" w:type="dxa"/>
            <w:tcMar>
              <w:top w:w="100" w:type="dxa"/>
              <w:left w:w="100" w:type="dxa"/>
              <w:bottom w:w="100" w:type="dxa"/>
              <w:right w:w="100" w:type="dxa"/>
            </w:tcMar>
          </w:tcPr>
          <w:p w14:paraId="084D68C4">
            <w:pPr>
              <w:widowControl w:val="0"/>
              <w:jc w:val="center"/>
              <w:rPr>
                <w:b/>
                <w:bCs/>
              </w:rPr>
            </w:pPr>
            <w:r>
              <w:rPr>
                <w:b/>
                <w:bCs/>
              </w:rPr>
              <w:t>Measurable</w:t>
            </w:r>
          </w:p>
        </w:tc>
        <w:tc>
          <w:tcPr>
            <w:tcW w:w="1805" w:type="dxa"/>
            <w:tcMar>
              <w:top w:w="100" w:type="dxa"/>
              <w:left w:w="100" w:type="dxa"/>
              <w:bottom w:w="100" w:type="dxa"/>
              <w:right w:w="100" w:type="dxa"/>
            </w:tcMar>
          </w:tcPr>
          <w:p w14:paraId="1CB8CE9E">
            <w:pPr>
              <w:widowControl w:val="0"/>
              <w:jc w:val="center"/>
              <w:rPr>
                <w:b/>
                <w:bCs/>
              </w:rPr>
            </w:pPr>
            <w:r>
              <w:rPr>
                <w:b/>
                <w:bCs/>
              </w:rPr>
              <w:t>Achievable</w:t>
            </w:r>
          </w:p>
        </w:tc>
        <w:tc>
          <w:tcPr>
            <w:tcW w:w="1805" w:type="dxa"/>
            <w:tcMar>
              <w:top w:w="100" w:type="dxa"/>
              <w:left w:w="100" w:type="dxa"/>
              <w:bottom w:w="100" w:type="dxa"/>
              <w:right w:w="100" w:type="dxa"/>
            </w:tcMar>
          </w:tcPr>
          <w:p w14:paraId="78DB4BB3">
            <w:pPr>
              <w:widowControl w:val="0"/>
              <w:jc w:val="center"/>
              <w:rPr>
                <w:b/>
                <w:bCs/>
              </w:rPr>
            </w:pPr>
            <w:r>
              <w:rPr>
                <w:b/>
                <w:bCs/>
              </w:rPr>
              <w:t>Relevant</w:t>
            </w:r>
          </w:p>
        </w:tc>
        <w:tc>
          <w:tcPr>
            <w:tcW w:w="1805" w:type="dxa"/>
            <w:tcMar>
              <w:top w:w="100" w:type="dxa"/>
              <w:left w:w="100" w:type="dxa"/>
              <w:bottom w:w="100" w:type="dxa"/>
              <w:right w:w="100" w:type="dxa"/>
            </w:tcMar>
          </w:tcPr>
          <w:p w14:paraId="0FF41D19">
            <w:pPr>
              <w:widowControl w:val="0"/>
              <w:jc w:val="center"/>
              <w:rPr>
                <w:b/>
                <w:bCs/>
              </w:rPr>
            </w:pPr>
            <w:r>
              <w:rPr>
                <w:b/>
                <w:bCs/>
              </w:rPr>
              <w:t>Timebound</w:t>
            </w:r>
          </w:p>
        </w:tc>
      </w:tr>
      <w:tr w14:paraId="0EF6D319">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tcW w:w="1805" w:type="dxa"/>
            <w:tcMar>
              <w:top w:w="100" w:type="dxa"/>
              <w:left w:w="100" w:type="dxa"/>
              <w:bottom w:w="100" w:type="dxa"/>
              <w:right w:w="100" w:type="dxa"/>
            </w:tcMar>
          </w:tcPr>
          <w:p w14:paraId="44D36658">
            <w:pPr>
              <w:widowControl w:val="0"/>
              <w:pBdr>
                <w:top w:val="none" w:color="auto" w:sz="0" w:space="0"/>
                <w:left w:val="none" w:color="auto" w:sz="0" w:space="0"/>
                <w:bottom w:val="none" w:color="auto" w:sz="0" w:space="0"/>
                <w:right w:val="none" w:color="auto" w:sz="0" w:space="0"/>
                <w:between w:val="none" w:color="auto" w:sz="0" w:space="0"/>
              </w:pBdr>
              <w:jc w:val="left"/>
            </w:pPr>
            <w:r>
              <w:t>Minimisation of customer waiting time, especially during busy periods through the new service</w:t>
            </w:r>
          </w:p>
        </w:tc>
        <w:tc>
          <w:tcPr>
            <w:tcW w:w="1805" w:type="dxa"/>
            <w:tcMar>
              <w:top w:w="100" w:type="dxa"/>
              <w:left w:w="100" w:type="dxa"/>
              <w:bottom w:w="100" w:type="dxa"/>
              <w:right w:w="100" w:type="dxa"/>
            </w:tcMar>
          </w:tcPr>
          <w:p w14:paraId="7D0A1C26">
            <w:pPr>
              <w:widowControl w:val="0"/>
              <w:pBdr>
                <w:top w:val="none" w:color="auto" w:sz="0" w:space="0"/>
                <w:left w:val="none" w:color="auto" w:sz="0" w:space="0"/>
                <w:bottom w:val="none" w:color="auto" w:sz="0" w:space="0"/>
                <w:right w:val="none" w:color="auto" w:sz="0" w:space="0"/>
                <w:between w:val="none" w:color="auto" w:sz="0" w:space="0"/>
              </w:pBdr>
              <w:jc w:val="left"/>
            </w:pPr>
            <w:r>
              <w:t>Achieve customer waiting time below 5 minutes</w:t>
            </w:r>
          </w:p>
        </w:tc>
        <w:tc>
          <w:tcPr>
            <w:tcW w:w="1805" w:type="dxa"/>
            <w:tcMar>
              <w:top w:w="100" w:type="dxa"/>
              <w:left w:w="100" w:type="dxa"/>
              <w:bottom w:w="100" w:type="dxa"/>
              <w:right w:w="100" w:type="dxa"/>
            </w:tcMar>
          </w:tcPr>
          <w:p w14:paraId="07E6EA60">
            <w:pPr>
              <w:widowControl w:val="0"/>
              <w:pBdr>
                <w:top w:val="none" w:color="auto" w:sz="0" w:space="0"/>
                <w:left w:val="none" w:color="auto" w:sz="0" w:space="0"/>
                <w:bottom w:val="none" w:color="auto" w:sz="0" w:space="0"/>
                <w:right w:val="none" w:color="auto" w:sz="0" w:space="0"/>
                <w:between w:val="none" w:color="auto" w:sz="0" w:space="0"/>
              </w:pBdr>
              <w:jc w:val="left"/>
            </w:pPr>
            <w:r>
              <w:t>Advanced preparation and scheduled collection of slots</w:t>
            </w:r>
          </w:p>
        </w:tc>
        <w:tc>
          <w:tcPr>
            <w:tcW w:w="1805" w:type="dxa"/>
            <w:tcMar>
              <w:top w:w="100" w:type="dxa"/>
              <w:left w:w="100" w:type="dxa"/>
              <w:bottom w:w="100" w:type="dxa"/>
              <w:right w:w="100" w:type="dxa"/>
            </w:tcMar>
          </w:tcPr>
          <w:p w14:paraId="40BA0F0F">
            <w:pPr>
              <w:widowControl w:val="0"/>
              <w:pBdr>
                <w:top w:val="none" w:color="auto" w:sz="0" w:space="0"/>
                <w:left w:val="none" w:color="auto" w:sz="0" w:space="0"/>
                <w:bottom w:val="none" w:color="auto" w:sz="0" w:space="0"/>
                <w:right w:val="none" w:color="auto" w:sz="0" w:space="0"/>
                <w:between w:val="none" w:color="auto" w:sz="0" w:space="0"/>
              </w:pBdr>
              <w:jc w:val="left"/>
            </w:pPr>
            <w:r>
              <w:t>Help to improve customer experience</w:t>
            </w:r>
          </w:p>
        </w:tc>
        <w:tc>
          <w:tcPr>
            <w:tcW w:w="1805" w:type="dxa"/>
            <w:tcMar>
              <w:top w:w="100" w:type="dxa"/>
              <w:left w:w="100" w:type="dxa"/>
              <w:bottom w:w="100" w:type="dxa"/>
              <w:right w:w="100" w:type="dxa"/>
            </w:tcMar>
          </w:tcPr>
          <w:p w14:paraId="3CE09667">
            <w:pPr>
              <w:widowControl w:val="0"/>
              <w:pBdr>
                <w:top w:val="none" w:color="auto" w:sz="0" w:space="0"/>
                <w:left w:val="none" w:color="auto" w:sz="0" w:space="0"/>
                <w:bottom w:val="none" w:color="auto" w:sz="0" w:space="0"/>
                <w:right w:val="none" w:color="auto" w:sz="0" w:space="0"/>
                <w:between w:val="none" w:color="auto" w:sz="0" w:space="0"/>
              </w:pBdr>
              <w:jc w:val="left"/>
            </w:pPr>
            <w:r>
              <w:t>Within the next 5 months</w:t>
            </w:r>
          </w:p>
        </w:tc>
      </w:tr>
    </w:tbl>
    <w:p w14:paraId="2E0D2C37">
      <w:pPr>
        <w:jc w:val="center"/>
        <w:rPr>
          <w:b/>
          <w:bCs/>
        </w:rPr>
      </w:pPr>
      <w:r>
        <w:rPr>
          <w:b/>
          <w:bCs/>
        </w:rPr>
        <w:t>Table 4: SMART goals</w:t>
      </w:r>
    </w:p>
    <w:sectPr>
      <w:footerReference r:id="rId6" w:type="first"/>
      <w:footerReference r:id="rId5" w:type="default"/>
      <w:pgSz w:w="11909" w:h="16834"/>
      <w:pgMar w:top="1440" w:right="1440" w:bottom="1440" w:left="1440" w:header="720" w:footer="720" w:gutter="0"/>
      <w:pgNumType w:start="0"/>
      <w:cols w:space="720" w:num="1"/>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embedRegular r:id="rId1" w:fontKey="{F91FAB6F-6C8E-E002-3C48-836AF08731E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Arial">
    <w:panose1 w:val="020B0604020202090204"/>
    <w:charset w:val="86"/>
    <w:family w:val="swiss"/>
    <w:pitch w:val="default"/>
    <w:sig w:usb0="E0000AFF" w:usb1="00007843" w:usb2="00000001" w:usb3="00000000" w:csb0="400001BF" w:csb1="DFF70000"/>
    <w:embedRegular r:id="rId2" w:fontKey="{9D249CA4-B592-A049-3C48-836A347A373C}"/>
  </w:font>
  <w:font w:name="SimHei">
    <w:altName w:val="黑体-简"/>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等线">
    <w:altName w:val="苹方-简"/>
    <w:panose1 w:val="00000000000000000000"/>
    <w:charset w:val="86"/>
    <w:family w:val="auto"/>
    <w:pitch w:val="default"/>
    <w:sig w:usb0="00000000" w:usb1="00000000" w:usb2="00000000" w:usb3="00000000" w:csb0="00000000" w:csb1="00000000"/>
  </w:font>
  <w:font w:name="Cambria">
    <w:panose1 w:val="02040503050406030204"/>
    <w:charset w:val="00"/>
    <w:family w:val="roman"/>
    <w:pitch w:val="default"/>
    <w:sig w:usb0="E00006FF" w:usb1="420024FF" w:usb2="02000000" w:usb3="00000000" w:csb0="2000019F" w:csb1="00000000"/>
    <w:embedRegular r:id="rId3" w:fontKey="{6CE72E13-9A75-27EE-3C48-836A451C225C}"/>
  </w:font>
  <w:font w:name="宋体-简">
    <w:panose1 w:val="02010800040101010101"/>
    <w:charset w:val="86"/>
    <w:family w:val="auto"/>
    <w:pitch w:val="default"/>
    <w:sig w:usb0="00000001" w:usb1="080F0000" w:usb2="00000000" w:usb3="00000000" w:csb0="00040000" w:csb1="00000000"/>
  </w:font>
  <w:font w:name="黑体-简">
    <w:panose1 w:val="02000000000000000000"/>
    <w:charset w:val="86"/>
    <w:family w:val="auto"/>
    <w:pitch w:val="default"/>
    <w:sig w:usb0="8000002F" w:usb1="0800004A" w:usb2="00000000" w:usb3="00000000" w:csb0="203E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D6D70FB">
    <w:pPr>
      <w:jc w:val="right"/>
    </w:pPr>
    <w:r>
      <w:fldChar w:fldCharType="begin"/>
    </w:r>
    <w:r>
      <w:instrText xml:space="preserve">PAGE</w:instrText>
    </w:r>
    <w:r>
      <w:fldChar w:fldCharType="separate"/>
    </w:r>
    <w:r>
      <w:t>1</w:t>
    </w:r>
    <w: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2870D63"/>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AF8266F"/>
    <w:multiLevelType w:val="multilevel"/>
    <w:tmpl w:val="2AF8266F"/>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nsid w:val="60EF6FB6"/>
    <w:multiLevelType w:val="multilevel"/>
    <w:tmpl w:val="60EF6FB6"/>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2">
    <w:nsid w:val="790B71CC"/>
    <w:multiLevelType w:val="multilevel"/>
    <w:tmpl w:val="790B71CC"/>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TrueTypeFont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30E1"/>
    <w:rsid w:val="00091E05"/>
    <w:rsid w:val="0010362E"/>
    <w:rsid w:val="005830E1"/>
    <w:rsid w:val="006423F2"/>
    <w:rsid w:val="0DB565F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Arial" w:hAnsi="Arial" w:eastAsia="Arial" w:cs="Arial"/>
      <w:sz w:val="24"/>
      <w:szCs w:val="24"/>
      <w:lang w:val="en-GB" w:eastAsia="en-US" w:bidi="ar-SA"/>
    </w:rPr>
  </w:style>
  <w:style w:type="paragraph" w:styleId="2">
    <w:name w:val="heading 1"/>
    <w:basedOn w:val="1"/>
    <w:next w:val="1"/>
    <w:qFormat/>
    <w:uiPriority w:val="9"/>
    <w:pPr>
      <w:keepNext/>
      <w:keepLines/>
      <w:outlineLvl w:val="0"/>
    </w:pPr>
    <w:rPr>
      <w:b/>
      <w:bCs/>
      <w:sz w:val="28"/>
      <w:szCs w:val="28"/>
    </w:rPr>
  </w:style>
  <w:style w:type="paragraph" w:styleId="3">
    <w:name w:val="heading 2"/>
    <w:basedOn w:val="1"/>
    <w:next w:val="1"/>
    <w:unhideWhenUsed/>
    <w:qFormat/>
    <w:uiPriority w:val="9"/>
    <w:pPr>
      <w:keepNext/>
      <w:keepLines/>
      <w:outlineLvl w:val="1"/>
    </w:pPr>
    <w:rPr>
      <w:b/>
      <w:bCs/>
    </w:rPr>
  </w:style>
  <w:style w:type="paragraph" w:styleId="4">
    <w:name w:val="heading 3"/>
    <w:basedOn w:val="1"/>
    <w:next w:val="1"/>
    <w:semiHidden/>
    <w:unhideWhenUsed/>
    <w:qFormat/>
    <w:uiPriority w:val="9"/>
    <w:pPr>
      <w:keepNext/>
      <w:keepLines/>
      <w:spacing w:before="320" w:after="80"/>
      <w:outlineLvl w:val="2"/>
    </w:pPr>
    <w:rPr>
      <w:color w:val="434343"/>
      <w:sz w:val="28"/>
      <w:szCs w:val="28"/>
    </w:rPr>
  </w:style>
  <w:style w:type="paragraph" w:styleId="5">
    <w:name w:val="heading 4"/>
    <w:basedOn w:val="1"/>
    <w:next w:val="1"/>
    <w:semiHidden/>
    <w:unhideWhenUsed/>
    <w:qFormat/>
    <w:uiPriority w:val="9"/>
    <w:pPr>
      <w:keepNext/>
      <w:keepLines/>
      <w:spacing w:before="280" w:after="80"/>
      <w:outlineLvl w:val="3"/>
    </w:pPr>
    <w:rPr>
      <w:color w:val="666666"/>
    </w:rPr>
  </w:style>
  <w:style w:type="paragraph" w:styleId="6">
    <w:name w:val="heading 5"/>
    <w:basedOn w:val="1"/>
    <w:next w:val="1"/>
    <w:semiHidden/>
    <w:unhideWhenUsed/>
    <w:qFormat/>
    <w:uiPriority w:val="9"/>
    <w:pPr>
      <w:keepNext/>
      <w:keepLines/>
      <w:spacing w:before="240" w:after="80"/>
      <w:outlineLvl w:val="4"/>
    </w:pPr>
    <w:rPr>
      <w:color w:val="666666"/>
      <w:sz w:val="22"/>
      <w:szCs w:val="22"/>
    </w:rPr>
  </w:style>
  <w:style w:type="paragraph" w:styleId="7">
    <w:name w:val="heading 6"/>
    <w:basedOn w:val="1"/>
    <w:next w:val="1"/>
    <w:semiHidden/>
    <w:unhideWhenUsed/>
    <w:qFormat/>
    <w:uiPriority w:val="9"/>
    <w:pPr>
      <w:keepNext/>
      <w:keepLines/>
      <w:spacing w:before="240" w:after="80"/>
      <w:outlineLvl w:val="5"/>
    </w:pPr>
    <w:rPr>
      <w:i/>
      <w:iCs/>
      <w:color w:val="666666"/>
      <w:sz w:val="22"/>
      <w:szCs w:val="22"/>
    </w:rPr>
  </w:style>
  <w:style w:type="character" w:default="1" w:styleId="8">
    <w:name w:val="Default Paragraph Font"/>
    <w:semiHidden/>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character" w:styleId="10">
    <w:name w:val="Hyperlink"/>
    <w:basedOn w:val="8"/>
    <w:unhideWhenUsed/>
    <w:uiPriority w:val="99"/>
    <w:rPr>
      <w:color w:val="0000FF" w:themeColor="hyperlink"/>
      <w:u w:val="single"/>
      <w14:textFill>
        <w14:solidFill>
          <w14:schemeClr w14:val="hlink"/>
        </w14:solidFill>
      </w14:textFill>
    </w:rPr>
  </w:style>
  <w:style w:type="paragraph" w:styleId="11">
    <w:name w:val="Subtitle"/>
    <w:basedOn w:val="1"/>
    <w:next w:val="1"/>
    <w:qFormat/>
    <w:uiPriority w:val="11"/>
    <w:pPr>
      <w:keepNext/>
      <w:keepLines/>
      <w:spacing w:after="320"/>
    </w:pPr>
    <w:rPr>
      <w:color w:val="666666"/>
      <w:sz w:val="30"/>
      <w:szCs w:val="30"/>
    </w:rPr>
  </w:style>
  <w:style w:type="paragraph" w:styleId="12">
    <w:name w:val="Title"/>
    <w:basedOn w:val="1"/>
    <w:next w:val="1"/>
    <w:qFormat/>
    <w:uiPriority w:val="10"/>
    <w:pPr>
      <w:keepNext/>
      <w:keepLines/>
      <w:spacing w:after="60"/>
    </w:pPr>
    <w:rPr>
      <w:sz w:val="52"/>
      <w:szCs w:val="52"/>
    </w:rPr>
  </w:style>
  <w:style w:type="paragraph" w:styleId="13">
    <w:name w:val="toc 1"/>
    <w:basedOn w:val="1"/>
    <w:next w:val="1"/>
    <w:autoRedefine/>
    <w:unhideWhenUsed/>
    <w:uiPriority w:val="39"/>
    <w:pPr>
      <w:spacing w:after="100"/>
    </w:pPr>
  </w:style>
  <w:style w:type="paragraph" w:styleId="14">
    <w:name w:val="toc 2"/>
    <w:basedOn w:val="1"/>
    <w:next w:val="1"/>
    <w:autoRedefine/>
    <w:unhideWhenUsed/>
    <w:uiPriority w:val="39"/>
    <w:pPr>
      <w:spacing w:after="100"/>
      <w:ind w:left="240"/>
    </w:pPr>
  </w:style>
  <w:style w:type="table" w:customStyle="1" w:styleId="15">
    <w:name w:val="TableNormal"/>
    <w:uiPriority w:val="0"/>
    <w:tblPr>
      <w:tblCellMar>
        <w:top w:w="100" w:type="dxa"/>
        <w:left w:w="100" w:type="dxa"/>
        <w:bottom w:w="100" w:type="dxa"/>
        <w:right w:w="100" w:type="dxa"/>
      </w:tblCellMar>
    </w:tblPr>
  </w:style>
  <w:style w:type="table" w:customStyle="1" w:styleId="16">
    <w:name w:val="_Style 12"/>
    <w:basedOn w:val="15"/>
    <w:uiPriority w:val="0"/>
  </w:style>
  <w:style w:type="table" w:customStyle="1" w:styleId="17">
    <w:name w:val="_Style 13"/>
    <w:basedOn w:val="15"/>
    <w:uiPriority w:val="0"/>
  </w:style>
  <w:style w:type="table" w:customStyle="1" w:styleId="18">
    <w:name w:val="_Style 14"/>
    <w:basedOn w:val="15"/>
    <w:uiPriority w:val="0"/>
  </w:style>
  <w:style w:type="table" w:customStyle="1" w:styleId="19">
    <w:name w:val="_Style 15"/>
    <w:basedOn w:val="15"/>
    <w:uiPriority w:val="0"/>
  </w:style>
  <w:style w:type="table" w:customStyle="1" w:styleId="20">
    <w:name w:val="_Style 16"/>
    <w:basedOn w:val="15"/>
    <w:uiPriority w:val="0"/>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Template>Normal</Template>
  <Pages>14</Pages>
  <Words>2769</Words>
  <Characters>15785</Characters>
  <Lines>131</Lines>
  <Paragraphs>37</Paragraphs>
  <TotalTime>4</TotalTime>
  <ScaleCrop>false</ScaleCrop>
  <LinksUpToDate>false</LinksUpToDate>
  <CharactersWithSpaces>18517</CharactersWithSpaces>
  <Application>WPS Office_12.1.26050.26050_F1E327BC-269C-435d-A152-05C5408002CA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2026-08-09T19:30:00Z</dcterms:created>
  <dc:creator>Data</dc:creator>
  <cp:lastModifiedBy>somayehhayati</cp:lastModifiedBy>
  <dcterms:modified xsi:type="dcterms:W3CDTF">2026-08-17T18:43:24Z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1033-12.1.26050.26050</vt:lpwstr>
  </property>
  <property fmtid="{D5CDD505-2E9C-101B-9397-08002B2CF9AE}" pid="3" name="ICV">
    <vt:lpwstr>A02E2D5B49654D063C48836A41259DD4_42</vt:lpwstr>
  </property>
</Properties>
</file>