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28D6D" w14:textId="071A2777" w:rsidR="00D96DF0" w:rsidRDefault="00D96DF0" w:rsidP="00D96DF0">
      <w:r>
        <w:rPr>
          <w:noProof/>
        </w:rPr>
        <w:drawing>
          <wp:inline distT="0" distB="0" distL="0" distR="0" wp14:anchorId="1168BAD4" wp14:editId="65CF5105">
            <wp:extent cx="2705100" cy="1502700"/>
            <wp:effectExtent l="0" t="0" r="0" b="2540"/>
            <wp:docPr id="970703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03852" name="Picture 970703852"/>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21578" cy="1511854"/>
                    </a:xfrm>
                    <a:prstGeom prst="rect">
                      <a:avLst/>
                    </a:prstGeom>
                  </pic:spPr>
                </pic:pic>
              </a:graphicData>
            </a:graphic>
          </wp:inline>
        </w:drawing>
      </w:r>
    </w:p>
    <w:p w14:paraId="62D5DBE4" w14:textId="44A2031E" w:rsidR="00D96DF0" w:rsidRDefault="00737E47" w:rsidP="00737E47">
      <w:pPr>
        <w:jc w:val="center"/>
        <w:rPr>
          <w:b/>
          <w:bCs/>
          <w:sz w:val="28"/>
          <w:szCs w:val="28"/>
          <w:u w:val="single"/>
        </w:rPr>
      </w:pPr>
      <w:r w:rsidRPr="00737E47">
        <w:rPr>
          <w:b/>
          <w:bCs/>
          <w:sz w:val="28"/>
          <w:szCs w:val="28"/>
          <w:u w:val="single"/>
        </w:rPr>
        <w:t>CHANGEMAKERS: CREATIVITY AND VALUE IN CREATION.</w:t>
      </w:r>
    </w:p>
    <w:p w14:paraId="3D096178" w14:textId="5A1F6B1B" w:rsidR="00737E47" w:rsidRPr="00737E47" w:rsidRDefault="00737E47" w:rsidP="00737E47">
      <w:pPr>
        <w:jc w:val="center"/>
        <w:rPr>
          <w:b/>
          <w:bCs/>
        </w:rPr>
      </w:pPr>
      <w:r w:rsidRPr="00737E47">
        <w:rPr>
          <w:b/>
          <w:bCs/>
        </w:rPr>
        <w:t>Assessment 2: Poster &amp; Pitch</w:t>
      </w:r>
    </w:p>
    <w:p w14:paraId="3E737A52" w14:textId="77777777" w:rsidR="00737E47" w:rsidRDefault="00737E47" w:rsidP="00737E47"/>
    <w:p w14:paraId="7B69B35C" w14:textId="77777777" w:rsidR="00737E47" w:rsidRDefault="00737E47" w:rsidP="00737E47"/>
    <w:p w14:paraId="68592D33" w14:textId="77777777" w:rsidR="00737E47" w:rsidRDefault="00737E47" w:rsidP="00737E47"/>
    <w:p w14:paraId="56BCBD72" w14:textId="77777777" w:rsidR="00737E47" w:rsidRDefault="00737E47" w:rsidP="00737E47"/>
    <w:p w14:paraId="5AD66B09" w14:textId="77777777" w:rsidR="00737E47" w:rsidRDefault="00737E47" w:rsidP="00737E47"/>
    <w:p w14:paraId="7FBCE6FC" w14:textId="77777777" w:rsidR="00737E47" w:rsidRDefault="00737E47" w:rsidP="00737E47"/>
    <w:p w14:paraId="625FF0D6" w14:textId="77777777" w:rsidR="00737E47" w:rsidRDefault="00737E47" w:rsidP="00737E47"/>
    <w:p w14:paraId="4BB0DD10" w14:textId="77777777" w:rsidR="00737E47" w:rsidRDefault="00737E47" w:rsidP="00737E47"/>
    <w:p w14:paraId="154734E8" w14:textId="77777777" w:rsidR="00737E47" w:rsidRDefault="00737E47" w:rsidP="00737E47"/>
    <w:p w14:paraId="19C28EA0" w14:textId="77777777" w:rsidR="00737E47" w:rsidRDefault="00737E47" w:rsidP="00737E47"/>
    <w:p w14:paraId="390C8D7D" w14:textId="77777777" w:rsidR="00737E47" w:rsidRDefault="00737E47" w:rsidP="00737E47"/>
    <w:p w14:paraId="644B8554" w14:textId="77777777" w:rsidR="00737E47" w:rsidRDefault="00737E47" w:rsidP="00737E47"/>
    <w:p w14:paraId="7A9636A0" w14:textId="77777777" w:rsidR="00737E47" w:rsidRDefault="00737E47" w:rsidP="00737E47"/>
    <w:p w14:paraId="64B70F66" w14:textId="4046E399" w:rsidR="00737E47" w:rsidRDefault="00737E47" w:rsidP="00737E47">
      <w:r w:rsidRPr="00737E47">
        <w:rPr>
          <w:b/>
          <w:bCs/>
        </w:rPr>
        <w:t>MODULE:</w:t>
      </w:r>
      <w:r>
        <w:t xml:space="preserve"> BMP5014</w:t>
      </w:r>
    </w:p>
    <w:p w14:paraId="5DD6B450" w14:textId="77777777" w:rsidR="00737E47" w:rsidRDefault="00737E47" w:rsidP="00737E47">
      <w:r w:rsidRPr="00737E47">
        <w:rPr>
          <w:b/>
          <w:bCs/>
        </w:rPr>
        <w:t>STUDENT:</w:t>
      </w:r>
      <w:r>
        <w:t xml:space="preserve"> Samantha Rendall-Dillon</w:t>
      </w:r>
    </w:p>
    <w:p w14:paraId="10D04F5C" w14:textId="77777777" w:rsidR="00737E47" w:rsidRDefault="00737E47" w:rsidP="00737E47">
      <w:r w:rsidRPr="00737E47">
        <w:rPr>
          <w:b/>
          <w:bCs/>
        </w:rPr>
        <w:t>ID:</w:t>
      </w:r>
      <w:r>
        <w:t xml:space="preserve"> 2431395</w:t>
      </w:r>
    </w:p>
    <w:p w14:paraId="22813E49" w14:textId="77777777" w:rsidR="00737E47" w:rsidRDefault="00737E47" w:rsidP="00737E47">
      <w:r w:rsidRPr="00737E47">
        <w:rPr>
          <w:b/>
          <w:bCs/>
        </w:rPr>
        <w:t>LECTURER:</w:t>
      </w:r>
      <w:r>
        <w:t xml:space="preserve"> Brian Mashumba</w:t>
      </w:r>
    </w:p>
    <w:p w14:paraId="7A0674AD" w14:textId="77777777" w:rsidR="00737E47" w:rsidRPr="00737E47" w:rsidRDefault="00737E47" w:rsidP="00737E47">
      <w:pPr>
        <w:rPr>
          <w:b/>
          <w:bCs/>
          <w:sz w:val="28"/>
          <w:szCs w:val="28"/>
          <w:u w:val="single"/>
        </w:rPr>
      </w:pPr>
    </w:p>
    <w:p w14:paraId="450288F9" w14:textId="77B82D66" w:rsidR="00D96DF0" w:rsidRPr="00737E47" w:rsidRDefault="00D96DF0" w:rsidP="00737E47">
      <w:pPr>
        <w:spacing w:line="360" w:lineRule="auto"/>
        <w:rPr>
          <w:rFonts w:ascii="Arial" w:hAnsi="Arial" w:cs="Arial"/>
          <w:sz w:val="22"/>
          <w:szCs w:val="22"/>
        </w:rPr>
      </w:pPr>
      <w:r>
        <w:rPr>
          <w:noProof/>
        </w:rPr>
        <w:lastRenderedPageBreak/>
        <w:drawing>
          <wp:inline distT="0" distB="0" distL="0" distR="0" wp14:anchorId="3CB9A47E" wp14:editId="41D23E3C">
            <wp:extent cx="6126480" cy="8666397"/>
            <wp:effectExtent l="0" t="0" r="7620" b="1905"/>
            <wp:docPr id="1788951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51344" name="Picture 1788951344"/>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30432" cy="8671987"/>
                    </a:xfrm>
                    <a:prstGeom prst="rect">
                      <a:avLst/>
                    </a:prstGeom>
                  </pic:spPr>
                </pic:pic>
              </a:graphicData>
            </a:graphic>
          </wp:inline>
        </w:drawing>
      </w:r>
      <w:r w:rsidRPr="00737E47">
        <w:rPr>
          <w:rFonts w:ascii="Arial" w:hAnsi="Arial" w:cs="Arial"/>
          <w:b/>
          <w:bCs/>
          <w:sz w:val="22"/>
          <w:szCs w:val="22"/>
        </w:rPr>
        <w:lastRenderedPageBreak/>
        <w:t>CONNECT: Find Your People. Find Your Place.</w:t>
      </w:r>
    </w:p>
    <w:p w14:paraId="0D4D8CC2" w14:textId="767EDCF5" w:rsidR="00D96DF0" w:rsidRPr="00737E47" w:rsidRDefault="00D96DF0" w:rsidP="00737E47">
      <w:pPr>
        <w:spacing w:line="360" w:lineRule="auto"/>
        <w:rPr>
          <w:rFonts w:ascii="Arial" w:hAnsi="Arial" w:cs="Arial"/>
          <w:b/>
          <w:bCs/>
          <w:sz w:val="22"/>
          <w:szCs w:val="22"/>
        </w:rPr>
      </w:pPr>
      <w:r w:rsidRPr="00737E47">
        <w:rPr>
          <w:rFonts w:ascii="Arial" w:hAnsi="Arial" w:cs="Arial"/>
          <w:b/>
          <w:bCs/>
          <w:sz w:val="22"/>
          <w:szCs w:val="22"/>
        </w:rPr>
        <w:t>PITCH.</w:t>
      </w:r>
    </w:p>
    <w:p w14:paraId="731D9FDA"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Imagine being a young person who has finished school for the day but has nowhere to go. You may have friends online, but that does not necessarily mean you feel connected in real life. You may want to try something new, but not know where to go or who to go with. For previous generations, youth clubs and community spaces often provided somewhere to meet friends, develop interests and spend time safely. However, access to youth provision has declined considerably.</w:t>
      </w:r>
    </w:p>
    <w:p w14:paraId="528A62EF"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Research by the Department for Culture, Media and Sport found that 95% of local authorities reduced real-terms spending on youth services by at least 25% between 2011 and 2021, while the average number of youth clubs supported by individual authorities fell from 14 to eight (DCMS, 2024a). At the same time, the Community Life Survey found that 9% of 16–24-year-olds in England felt lonely often or always in 2024/25 (DCMS, 2025).</w:t>
      </w:r>
    </w:p>
    <w:p w14:paraId="220244AA" w14:textId="77777777" w:rsidR="00D96DF0" w:rsidRPr="00737E47" w:rsidRDefault="00D96DF0" w:rsidP="00737E47">
      <w:pPr>
        <w:spacing w:line="360" w:lineRule="auto"/>
        <w:rPr>
          <w:rFonts w:ascii="Arial" w:hAnsi="Arial" w:cs="Arial"/>
          <w:b/>
          <w:bCs/>
          <w:sz w:val="22"/>
          <w:szCs w:val="22"/>
        </w:rPr>
      </w:pPr>
      <w:r w:rsidRPr="00737E47">
        <w:rPr>
          <w:rFonts w:ascii="Arial" w:hAnsi="Arial" w:cs="Arial"/>
          <w:b/>
          <w:bCs/>
          <w:sz w:val="22"/>
          <w:szCs w:val="22"/>
        </w:rPr>
        <w:t>This is the problem that CONNECT aims to address.</w:t>
      </w:r>
    </w:p>
    <w:p w14:paraId="4C10FF6E"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CONNECT is a youth-led network of local community hubs supported by a dedicated mobile application. Its central idea is simple: use technology to get young people off the app and into real communities.</w:t>
      </w:r>
    </w:p>
    <w:p w14:paraId="4323F85A"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 app would allow young people to discover activities happening locally, choose events according to their interests and age group, book places and receive reminders. They could also vote on future activities and provide feedback. However, the app is not the intervention itself. It is the bridge between young people and opportunities for face-to-face interaction.</w:t>
      </w:r>
    </w:p>
    <w:p w14:paraId="55FB62EB"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This distinction is important. The intention is not to encourage more screen time, but to use technology to overcome one of the barriers to participation: not knowing what is available locally.</w:t>
      </w:r>
    </w:p>
    <w:p w14:paraId="280EC37D"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Recent research commissioned by DCMS found that social connection is particularly important when considering loneliness and isolation among young people, with in-person relationships and participation in activities providing important opportunities for connection (DCMS, 2026). CONNECT therefore creates a pathway from discovering an activity digitally to participating socially in the real world.</w:t>
      </w:r>
    </w:p>
    <w:p w14:paraId="596E5E63"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 xml:space="preserve">The physical hubs would use existing community facilities such as community centres, libraries and suitable faith or community halls. This could make the model more affordable and adaptable than building entirely new youth centres. It also reflects the principles of community development, where local resources and participation can be brought together to </w:t>
      </w:r>
      <w:r w:rsidRPr="00737E47">
        <w:rPr>
          <w:rFonts w:ascii="Arial" w:hAnsi="Arial" w:cs="Arial"/>
          <w:sz w:val="22"/>
          <w:szCs w:val="22"/>
        </w:rPr>
        <w:lastRenderedPageBreak/>
        <w:t>strengthen communities rather than relying entirely on externally provided services (Ledwith, 2011).</w:t>
      </w:r>
    </w:p>
    <w:p w14:paraId="7A27DCD8"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 activities would be deliberately varied. A CONNECT hub might offer sport, dance, boxing or fitness; another week could involve cooking, first aid, DIY or money skills. Creative sessions could include photography, music, film-making and DJing. There could also be film nights, gaming, quizzes and social events. Guest speakers could include local artists, athletes, entrepreneurs, emergency-service workers or people with interesting life experiences.</w:t>
      </w:r>
    </w:p>
    <w:p w14:paraId="66504559"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 purpose is not simply to keep young people busy. Youth work has traditionally placed importance on relationships, informal learning, activities and creating environments where young people can participate and develop their interests (Jeffs and Smith, 2010). CONNECT builds on these principles while adapting them to a contemporary environment in which young people already use digital technology to organise much of their social lives.</w:t>
      </w:r>
    </w:p>
    <w:p w14:paraId="30816357"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 intervention would initially focus on young people aged approximately 12–16, particularly those who may experience loneliness, have limited local opportunities, lack confidence in joining existing groups or simply want to meet new people and develop new interests. However, CONNECT would be designed as an inclusive and universal service rather than requiring young people to identify themselves as lonely or vulnerable.</w:t>
      </w:r>
    </w:p>
    <w:p w14:paraId="6ECCCBAE"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This is important because labelling young people as having a problem could itself become a barrier to participation. Instead, CONNECT would promote positive experiences that can potentially improve social connection, confidence, skills and belonging.</w:t>
      </w:r>
    </w:p>
    <w:p w14:paraId="41AED290"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There is evidence to support the wider principle. DCMS research into youth provision found associations between participation in youth activities and outcomes including education, employment, mental health and life satisfaction (DCMS, 2024b). Health promotion also emphasises the importance of identifying needs, involving communities and designing interventions that encourage people to participate in healthier environments and behaviours (</w:t>
      </w:r>
      <w:proofErr w:type="spellStart"/>
      <w:r w:rsidRPr="00737E47">
        <w:rPr>
          <w:rFonts w:ascii="Arial" w:hAnsi="Arial" w:cs="Arial"/>
          <w:sz w:val="22"/>
          <w:szCs w:val="22"/>
        </w:rPr>
        <w:t>Ewles</w:t>
      </w:r>
      <w:proofErr w:type="spellEnd"/>
      <w:r w:rsidRPr="00737E47">
        <w:rPr>
          <w:rFonts w:ascii="Arial" w:hAnsi="Arial" w:cs="Arial"/>
          <w:sz w:val="22"/>
          <w:szCs w:val="22"/>
        </w:rPr>
        <w:t xml:space="preserve"> and Simnett, 2003).</w:t>
      </w:r>
    </w:p>
    <w:p w14:paraId="6AD0BDFE"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CONNECT therefore represents a preventative health and wellbeing intervention. It would not replace mental-health services, social workers or other professionals. Instead, it would provide an accessible community opportunity for connection and, where appropriate, signpost young people towards more specialist support.</w:t>
      </w:r>
    </w:p>
    <w:p w14:paraId="6515B7C0"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Youth participation is another central feature. CONNECT would establish a Youth Panel that would influence the activities offered, opening times, app features, venue design and future development. Young people would be able to vote on activities and suggest new ideas.</w:t>
      </w:r>
    </w:p>
    <w:p w14:paraId="0D3731F8"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lastRenderedPageBreak/>
        <w:t>This reflects a wider shift towards involving young people in decisions that affect them. The government's Youth Matters strategy was developed with more than 14,000 young people and emphasises connection, empowerment, opportunities, health and young people's ability to shape their communities (DCMS, 2025b). CONNECT would apply this principle at local level rather than simply designing a service for young people without them.</w:t>
      </w:r>
    </w:p>
    <w:p w14:paraId="1984BC2E"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The concept also fits particularly well with the current London context. In July 2026, the Mayor of London announced more than £30 million of investment to support at least one late-night youth club in every London borough. The programme aims to provide safe spaces, activities, trusted adults and opportunities for young Londoners aged 14–24, while emphasising meaningful youth involvement in shaping provision (Mayor of London, 2026). CONNECT could complement this direction by providing an additional digital coordination layer connecting young people with existing and newly expanded youth provision.</w:t>
      </w:r>
    </w:p>
    <w:p w14:paraId="1433F653" w14:textId="77777777" w:rsidR="00D96DF0" w:rsidRPr="00737E47" w:rsidRDefault="00D96DF0" w:rsidP="00737E47">
      <w:pPr>
        <w:spacing w:line="360" w:lineRule="auto"/>
        <w:rPr>
          <w:rFonts w:ascii="Arial" w:hAnsi="Arial" w:cs="Arial"/>
          <w:b/>
          <w:bCs/>
          <w:sz w:val="22"/>
          <w:szCs w:val="22"/>
        </w:rPr>
      </w:pPr>
      <w:r w:rsidRPr="00737E47">
        <w:rPr>
          <w:rFonts w:ascii="Arial" w:hAnsi="Arial" w:cs="Arial"/>
          <w:b/>
          <w:bCs/>
          <w:sz w:val="22"/>
          <w:szCs w:val="22"/>
        </w:rPr>
        <w:t>Safeguarding would be fundamental.</w:t>
      </w:r>
    </w:p>
    <w:p w14:paraId="287D77D0"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Because children and young people would use the application, CONNECT would need to comply with appropriate data-protection and safeguarding requirements. The ICO's Children's Code includes principles such as high privacy by default, data minimisation and careful management of geolocation for online services likely to be accessed by children (ICO, 2026). CONNECT would therefore avoid unnecessary personal data collection, public profiles and stranger-to-child messaging, while limiting location information and providing clear mechanisms for reporting concerns.</w:t>
      </w:r>
    </w:p>
    <w:p w14:paraId="706A4019"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Physical hubs would require appropriate safeguarding policies, safer recruitment, relevant DBS checks, trained youth workers and volunteers, health and safety procedures and clear reporting arrangements. Working Together to Safeguard Children emphasises the importance of effective multi-agency working across organisations that come into contact with children (Department for Education, 2023).</w:t>
      </w:r>
    </w:p>
    <w:p w14:paraId="372A019C"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Professional involvement would therefore be important. Youth workers could facilitate sessions and provide trusted relationships; schools and colleges could promote the service; local authorities could help with venues and funding; community organisations could provide activities; and health and social-care professionals could provide appropriate advice and signposting where a young person requires additional support.</w:t>
      </w:r>
    </w:p>
    <w:p w14:paraId="618C8155" w14:textId="77777777" w:rsidR="00D96DF0" w:rsidRPr="00737E47" w:rsidRDefault="00D96DF0" w:rsidP="00737E47">
      <w:pPr>
        <w:spacing w:line="360" w:lineRule="auto"/>
        <w:rPr>
          <w:rFonts w:ascii="Arial" w:hAnsi="Arial" w:cs="Arial"/>
          <w:sz w:val="22"/>
          <w:szCs w:val="22"/>
        </w:rPr>
      </w:pPr>
      <w:r w:rsidRPr="00737E47">
        <w:rPr>
          <w:rFonts w:ascii="Arial" w:hAnsi="Arial" w:cs="Arial"/>
          <w:sz w:val="22"/>
          <w:szCs w:val="22"/>
        </w:rPr>
        <w:t xml:space="preserve">CONNECT would be implemented initially as a 12-month pilot. The first stage would identify local needs and consult young people. This would be followed by co-design with young people and community partners, development of the minimum viable app, venue preparation </w:t>
      </w:r>
      <w:r w:rsidRPr="00737E47">
        <w:rPr>
          <w:rFonts w:ascii="Arial" w:hAnsi="Arial" w:cs="Arial"/>
          <w:sz w:val="22"/>
          <w:szCs w:val="22"/>
        </w:rPr>
        <w:lastRenderedPageBreak/>
        <w:t>and safeguarding planning. The pilot would then launch in selected London communities before being evaluated and potentially expanded.</w:t>
      </w:r>
    </w:p>
    <w:p w14:paraId="664A748A" w14:textId="77777777" w:rsidR="00D96DF0" w:rsidRPr="00D96DF0" w:rsidRDefault="00D96DF0" w:rsidP="00D96DF0">
      <w:r w:rsidRPr="00D96DF0">
        <w:t>Promotion would take place through schools, colleges, youth workers, community organisations, QR codes, social media and youth ambassadors. Parents and carers could also be engaged through schools and community networks. This is important because reaching socially isolated young people may require more than simply putting an app into an app store.</w:t>
      </w:r>
    </w:p>
    <w:p w14:paraId="5165CA18" w14:textId="77777777" w:rsidR="00D96DF0" w:rsidRPr="00D96DF0" w:rsidRDefault="00D96DF0" w:rsidP="00D96DF0">
      <w:r w:rsidRPr="00D96DF0">
        <w:t>There would also be challenges. Funding, suitable venues, safeguarding, digital exclusion and engaging young people who are already isolated could all affect the success of the intervention. CONNECT would therefore need strong partnerships and continuous feedback. It should also recognise that an app cannot solve loneliness on its own.</w:t>
      </w:r>
    </w:p>
    <w:p w14:paraId="4906CD24" w14:textId="77777777" w:rsidR="00D96DF0" w:rsidRDefault="00D96DF0" w:rsidP="00D96DF0">
      <w:r w:rsidRPr="00D96DF0">
        <w:t>Success would be measured through attendance, repeat participation, activity preferences, satisfaction and self-reported feelings of connection and belonging. Qualitative feedback from young people and youth workers would be combined with quantitative participation data. This would allow the programme to identify which activities are working and adapt the service before considering wider implementation.</w:t>
      </w:r>
    </w:p>
    <w:p w14:paraId="578D573D" w14:textId="4098FBDF" w:rsidR="00D96DF0" w:rsidRPr="00D96DF0" w:rsidRDefault="00D96DF0" w:rsidP="00D96DF0">
      <w:pPr>
        <w:rPr>
          <w:b/>
          <w:bCs/>
        </w:rPr>
      </w:pPr>
      <w:r w:rsidRPr="00D96DF0">
        <w:rPr>
          <w:b/>
          <w:bCs/>
        </w:rPr>
        <w:t>Conclusion</w:t>
      </w:r>
    </w:p>
    <w:p w14:paraId="24F8B06D" w14:textId="77777777" w:rsidR="00D96DF0" w:rsidRPr="00D96DF0" w:rsidRDefault="00D96DF0" w:rsidP="00D96DF0">
      <w:r w:rsidRPr="00D96DF0">
        <w:t>Ultimately, CONNECT is innovative not because it has invented either a youth club or an app. Its innovation lies in combining digital discovery, existing community spaces, youth participation and face-to-face activity into one flexible model.</w:t>
      </w:r>
    </w:p>
    <w:p w14:paraId="739510F9" w14:textId="77777777" w:rsidR="00D96DF0" w:rsidRPr="00D96DF0" w:rsidRDefault="00D96DF0" w:rsidP="00D96DF0">
      <w:r w:rsidRPr="00D96DF0">
        <w:t>The aim is to create places where young people can meet others, develop skills, discover interests and feel that they belong.</w:t>
      </w:r>
    </w:p>
    <w:p w14:paraId="38B91652" w14:textId="77777777" w:rsidR="00D96DF0" w:rsidRPr="00D96DF0" w:rsidRDefault="00D96DF0" w:rsidP="00D96DF0">
      <w:r w:rsidRPr="00D96DF0">
        <w:t>Because young people need more than somewhere to go.</w:t>
      </w:r>
    </w:p>
    <w:p w14:paraId="2F9A16FD" w14:textId="77777777" w:rsidR="00D96DF0" w:rsidRPr="00D96DF0" w:rsidRDefault="00D96DF0" w:rsidP="00D96DF0">
      <w:r w:rsidRPr="00D96DF0">
        <w:t>They need somewhere they can belong.</w:t>
      </w:r>
    </w:p>
    <w:p w14:paraId="4570C186" w14:textId="77777777" w:rsidR="00D96DF0" w:rsidRDefault="00D96DF0" w:rsidP="00D96DF0">
      <w:pPr>
        <w:rPr>
          <w:b/>
          <w:bCs/>
        </w:rPr>
      </w:pPr>
      <w:r w:rsidRPr="00D96DF0">
        <w:rPr>
          <w:b/>
          <w:bCs/>
        </w:rPr>
        <w:t>CONNECT – Find your people. Find your place.</w:t>
      </w:r>
    </w:p>
    <w:p w14:paraId="49ED27EF" w14:textId="77777777" w:rsidR="00D96DF0" w:rsidRDefault="00D96DF0" w:rsidP="00D96DF0">
      <w:pPr>
        <w:rPr>
          <w:b/>
          <w:bCs/>
        </w:rPr>
      </w:pPr>
    </w:p>
    <w:p w14:paraId="6DD27AA7" w14:textId="77777777" w:rsidR="00D96DF0" w:rsidRDefault="00D96DF0" w:rsidP="00D96DF0">
      <w:pPr>
        <w:rPr>
          <w:b/>
          <w:bCs/>
        </w:rPr>
      </w:pPr>
    </w:p>
    <w:p w14:paraId="4016C1B1" w14:textId="77777777" w:rsidR="00D96DF0" w:rsidRDefault="00D96DF0" w:rsidP="00D96DF0">
      <w:pPr>
        <w:rPr>
          <w:b/>
          <w:bCs/>
        </w:rPr>
      </w:pPr>
    </w:p>
    <w:p w14:paraId="6D794591" w14:textId="77777777" w:rsidR="00D96DF0" w:rsidRDefault="00D96DF0" w:rsidP="00D96DF0">
      <w:pPr>
        <w:rPr>
          <w:b/>
          <w:bCs/>
        </w:rPr>
      </w:pPr>
    </w:p>
    <w:p w14:paraId="148AB42F" w14:textId="77777777" w:rsidR="00D96DF0" w:rsidRDefault="00D96DF0" w:rsidP="00D96DF0">
      <w:pPr>
        <w:rPr>
          <w:b/>
          <w:bCs/>
        </w:rPr>
      </w:pPr>
    </w:p>
    <w:p w14:paraId="31F17C8B" w14:textId="77777777" w:rsidR="00D96DF0" w:rsidRDefault="00D96DF0" w:rsidP="00D96DF0">
      <w:pPr>
        <w:rPr>
          <w:b/>
          <w:bCs/>
        </w:rPr>
      </w:pPr>
    </w:p>
    <w:p w14:paraId="793C27D1" w14:textId="77777777" w:rsidR="00D96DF0" w:rsidRDefault="00D96DF0" w:rsidP="00D96DF0">
      <w:pPr>
        <w:rPr>
          <w:b/>
          <w:bCs/>
        </w:rPr>
      </w:pPr>
    </w:p>
    <w:p w14:paraId="3EDEDE03" w14:textId="77777777" w:rsidR="00D96DF0" w:rsidRDefault="00D96DF0" w:rsidP="00D96DF0">
      <w:pPr>
        <w:rPr>
          <w:b/>
          <w:bCs/>
        </w:rPr>
      </w:pPr>
    </w:p>
    <w:p w14:paraId="6F1B9E0E" w14:textId="77777777" w:rsidR="00D96DF0" w:rsidRDefault="00D96DF0" w:rsidP="00D96DF0">
      <w:pPr>
        <w:rPr>
          <w:b/>
          <w:bCs/>
        </w:rPr>
      </w:pPr>
    </w:p>
    <w:p w14:paraId="2ED2F4BD" w14:textId="54F6B6EC" w:rsidR="00D96DF0" w:rsidRDefault="00D96DF0" w:rsidP="00D96DF0">
      <w:pPr>
        <w:rPr>
          <w:b/>
          <w:bCs/>
        </w:rPr>
      </w:pPr>
      <w:r>
        <w:rPr>
          <w:b/>
          <w:bCs/>
        </w:rPr>
        <w:t>References:</w:t>
      </w:r>
    </w:p>
    <w:p w14:paraId="4E0BD3C4" w14:textId="5507C0D0" w:rsidR="00D96DF0" w:rsidRPr="00D96DF0" w:rsidRDefault="00D96DF0" w:rsidP="00D96DF0">
      <w:pPr>
        <w:rPr>
          <w:rFonts w:ascii="Arial" w:hAnsi="Arial" w:cs="Arial"/>
          <w:sz w:val="22"/>
          <w:szCs w:val="22"/>
        </w:rPr>
      </w:pPr>
      <w:r w:rsidRPr="00D96DF0">
        <w:rPr>
          <w:rFonts w:ascii="Arial" w:hAnsi="Arial" w:cs="Arial"/>
          <w:sz w:val="22"/>
          <w:szCs w:val="22"/>
        </w:rPr>
        <w:t xml:space="preserve">Department for Culture, Media and Sport (DCMS) (2024a) </w:t>
      </w:r>
      <w:r w:rsidRPr="00D96DF0">
        <w:rPr>
          <w:rFonts w:ascii="Arial" w:hAnsi="Arial" w:cs="Arial"/>
          <w:i/>
          <w:iCs/>
          <w:sz w:val="22"/>
          <w:szCs w:val="22"/>
        </w:rPr>
        <w:t xml:space="preserve">Youth provision and life outcomes: a study of the local impact of youth clubs. </w:t>
      </w:r>
      <w:r w:rsidRPr="00D96DF0">
        <w:rPr>
          <w:rFonts w:ascii="Arial" w:hAnsi="Arial" w:cs="Arial"/>
          <w:sz w:val="22"/>
          <w:szCs w:val="22"/>
        </w:rPr>
        <w:t>Available at: </w:t>
      </w:r>
      <w:hyperlink r:id="rId6" w:tgtFrame="_blank" w:history="1">
        <w:r w:rsidRPr="00D96DF0">
          <w:rPr>
            <w:rStyle w:val="Hyperlink"/>
            <w:rFonts w:ascii="Arial" w:hAnsi="Arial" w:cs="Arial"/>
            <w:sz w:val="22"/>
            <w:szCs w:val="22"/>
          </w:rPr>
          <w:t>GOV.UK</w:t>
        </w:r>
      </w:hyperlink>
      <w:r w:rsidRPr="00D96DF0">
        <w:rPr>
          <w:rFonts w:ascii="Arial" w:hAnsi="Arial" w:cs="Arial"/>
          <w:sz w:val="22"/>
          <w:szCs w:val="22"/>
        </w:rPr>
        <w:t> – Youth provision and life outcomes research</w:t>
      </w:r>
      <w:r w:rsidRPr="00D96DF0">
        <w:rPr>
          <w:rFonts w:ascii="Segoe UI Symbol" w:hAnsi="Segoe UI Symbol" w:cs="Segoe UI Symbol"/>
          <w:sz w:val="22"/>
          <w:szCs w:val="22"/>
        </w:rPr>
        <w:t>⁠</w:t>
      </w:r>
      <w:r w:rsidRPr="00D96DF0">
        <w:rPr>
          <w:rFonts w:ascii="Arial" w:hAnsi="Arial" w:cs="Arial"/>
          <w:sz w:val="22"/>
          <w:szCs w:val="22"/>
        </w:rPr>
        <w:t xml:space="preserve"> (Accessed: </w:t>
      </w:r>
      <w:r w:rsidR="001F29C3">
        <w:rPr>
          <w:rFonts w:ascii="Arial" w:hAnsi="Arial" w:cs="Arial"/>
          <w:sz w:val="22"/>
          <w:szCs w:val="22"/>
        </w:rPr>
        <w:t>28</w:t>
      </w:r>
      <w:r w:rsidRPr="00D96DF0">
        <w:rPr>
          <w:rFonts w:ascii="Arial" w:hAnsi="Arial" w:cs="Arial"/>
          <w:sz w:val="22"/>
          <w:szCs w:val="22"/>
        </w:rPr>
        <w:t xml:space="preserve"> </w:t>
      </w:r>
      <w:r w:rsidR="001F29C3">
        <w:rPr>
          <w:rFonts w:ascii="Arial" w:hAnsi="Arial" w:cs="Arial"/>
          <w:sz w:val="22"/>
          <w:szCs w:val="22"/>
        </w:rPr>
        <w:t>July</w:t>
      </w:r>
      <w:r w:rsidRPr="00D96DF0">
        <w:rPr>
          <w:rFonts w:ascii="Arial" w:hAnsi="Arial" w:cs="Arial"/>
          <w:sz w:val="22"/>
          <w:szCs w:val="22"/>
        </w:rPr>
        <w:t xml:space="preserve"> 2026).</w:t>
      </w:r>
    </w:p>
    <w:p w14:paraId="36C7E6F0" w14:textId="2E802348" w:rsidR="00D96DF0" w:rsidRPr="00D96DF0" w:rsidRDefault="00D96DF0" w:rsidP="00D96DF0">
      <w:pPr>
        <w:rPr>
          <w:rFonts w:ascii="Arial" w:hAnsi="Arial" w:cs="Arial"/>
          <w:sz w:val="22"/>
          <w:szCs w:val="22"/>
        </w:rPr>
      </w:pPr>
      <w:r w:rsidRPr="00D96DF0">
        <w:rPr>
          <w:rFonts w:ascii="Arial" w:hAnsi="Arial" w:cs="Arial"/>
          <w:sz w:val="22"/>
          <w:szCs w:val="22"/>
        </w:rPr>
        <w:t xml:space="preserve">Department for Culture, Media and Sport (DCMS) (2024b) </w:t>
      </w:r>
      <w:r w:rsidRPr="00D96DF0">
        <w:rPr>
          <w:rFonts w:ascii="Arial" w:hAnsi="Arial" w:cs="Arial"/>
          <w:i/>
          <w:iCs/>
          <w:sz w:val="22"/>
          <w:szCs w:val="22"/>
        </w:rPr>
        <w:t>Youth provision and life outcomes: a study of longitudinal research</w:t>
      </w:r>
      <w:r w:rsidRPr="00D96DF0">
        <w:rPr>
          <w:rFonts w:ascii="Arial" w:hAnsi="Arial" w:cs="Arial"/>
          <w:sz w:val="22"/>
          <w:szCs w:val="22"/>
        </w:rPr>
        <w:t>. Available at: </w:t>
      </w:r>
      <w:hyperlink r:id="rId7" w:tgtFrame="_blank" w:history="1">
        <w:r w:rsidRPr="00D96DF0">
          <w:rPr>
            <w:rStyle w:val="Hyperlink"/>
            <w:rFonts w:ascii="Arial" w:hAnsi="Arial" w:cs="Arial"/>
            <w:sz w:val="22"/>
            <w:szCs w:val="22"/>
          </w:rPr>
          <w:t>GOV.UK</w:t>
        </w:r>
      </w:hyperlink>
      <w:r w:rsidRPr="00D96DF0">
        <w:rPr>
          <w:rFonts w:ascii="Arial" w:hAnsi="Arial" w:cs="Arial"/>
          <w:sz w:val="22"/>
          <w:szCs w:val="22"/>
        </w:rPr>
        <w:t> – Longitudinal research</w:t>
      </w:r>
      <w:r w:rsidRPr="00D96DF0">
        <w:rPr>
          <w:rFonts w:ascii="Segoe UI Symbol" w:hAnsi="Segoe UI Symbol" w:cs="Segoe UI Symbol"/>
          <w:sz w:val="22"/>
          <w:szCs w:val="22"/>
        </w:rPr>
        <w:t>⁠</w:t>
      </w:r>
      <w:r w:rsidRPr="00D96DF0">
        <w:rPr>
          <w:rFonts w:ascii="Arial" w:hAnsi="Arial" w:cs="Arial"/>
          <w:sz w:val="22"/>
          <w:szCs w:val="22"/>
        </w:rPr>
        <w:t xml:space="preserve"> (Accessed: </w:t>
      </w:r>
      <w:r w:rsidR="001F29C3">
        <w:rPr>
          <w:rFonts w:ascii="Arial" w:hAnsi="Arial" w:cs="Arial"/>
          <w:sz w:val="22"/>
          <w:szCs w:val="22"/>
        </w:rPr>
        <w:t>28 July</w:t>
      </w:r>
      <w:r w:rsidRPr="00D96DF0">
        <w:rPr>
          <w:rFonts w:ascii="Arial" w:hAnsi="Arial" w:cs="Arial"/>
          <w:sz w:val="22"/>
          <w:szCs w:val="22"/>
        </w:rPr>
        <w:t xml:space="preserve"> 2026).</w:t>
      </w:r>
    </w:p>
    <w:p w14:paraId="2DF34BC5" w14:textId="230B81F2" w:rsidR="00D96DF0" w:rsidRPr="00D96DF0" w:rsidRDefault="00D96DF0" w:rsidP="00D96DF0">
      <w:pPr>
        <w:rPr>
          <w:rFonts w:ascii="Arial" w:hAnsi="Arial" w:cs="Arial"/>
          <w:sz w:val="22"/>
          <w:szCs w:val="22"/>
        </w:rPr>
      </w:pPr>
      <w:r w:rsidRPr="00D96DF0">
        <w:rPr>
          <w:rFonts w:ascii="Arial" w:hAnsi="Arial" w:cs="Arial"/>
          <w:sz w:val="22"/>
          <w:szCs w:val="22"/>
        </w:rPr>
        <w:t xml:space="preserve">Department for Culture, Media and Sport (DCMS) (2025) </w:t>
      </w:r>
      <w:r w:rsidRPr="00D96DF0">
        <w:rPr>
          <w:rFonts w:ascii="Arial" w:hAnsi="Arial" w:cs="Arial"/>
          <w:i/>
          <w:iCs/>
          <w:sz w:val="22"/>
          <w:szCs w:val="22"/>
        </w:rPr>
        <w:t>Community Life Survey 2024/25: Loneliness and support networks.</w:t>
      </w:r>
      <w:r w:rsidRPr="00D96DF0">
        <w:rPr>
          <w:rFonts w:ascii="Arial" w:hAnsi="Arial" w:cs="Arial"/>
          <w:sz w:val="22"/>
          <w:szCs w:val="22"/>
        </w:rPr>
        <w:t xml:space="preserve"> Available at: </w:t>
      </w:r>
      <w:hyperlink r:id="rId8" w:tgtFrame="_blank" w:history="1">
        <w:r w:rsidRPr="00D96DF0">
          <w:rPr>
            <w:rStyle w:val="Hyperlink"/>
            <w:rFonts w:ascii="Arial" w:hAnsi="Arial" w:cs="Arial"/>
            <w:sz w:val="22"/>
            <w:szCs w:val="22"/>
          </w:rPr>
          <w:t>GOV.UK</w:t>
        </w:r>
      </w:hyperlink>
      <w:r w:rsidRPr="00D96DF0">
        <w:rPr>
          <w:rFonts w:ascii="Arial" w:hAnsi="Arial" w:cs="Arial"/>
          <w:sz w:val="22"/>
          <w:szCs w:val="22"/>
        </w:rPr>
        <w:t> – Community Life Survey 2024/25</w:t>
      </w:r>
      <w:r w:rsidRPr="00D96DF0">
        <w:rPr>
          <w:rFonts w:ascii="Segoe UI Symbol" w:hAnsi="Segoe UI Symbol" w:cs="Segoe UI Symbol"/>
          <w:sz w:val="22"/>
          <w:szCs w:val="22"/>
        </w:rPr>
        <w:t>⁠</w:t>
      </w:r>
      <w:r>
        <w:rPr>
          <w:rFonts w:ascii="Arial" w:hAnsi="Arial" w:cs="Arial"/>
          <w:sz w:val="22"/>
          <w:szCs w:val="22"/>
        </w:rPr>
        <w:t xml:space="preserve"> </w:t>
      </w:r>
      <w:r w:rsidRPr="00D96DF0">
        <w:rPr>
          <w:rFonts w:ascii="Arial" w:hAnsi="Arial" w:cs="Arial"/>
          <w:sz w:val="22"/>
          <w:szCs w:val="22"/>
        </w:rPr>
        <w:t xml:space="preserve">(Accessed: </w:t>
      </w:r>
      <w:r w:rsidR="001F29C3">
        <w:rPr>
          <w:rFonts w:ascii="Arial" w:hAnsi="Arial" w:cs="Arial"/>
          <w:sz w:val="22"/>
          <w:szCs w:val="22"/>
        </w:rPr>
        <w:t>1 August</w:t>
      </w:r>
      <w:r w:rsidRPr="00D96DF0">
        <w:rPr>
          <w:rFonts w:ascii="Arial" w:hAnsi="Arial" w:cs="Arial"/>
          <w:sz w:val="22"/>
          <w:szCs w:val="22"/>
        </w:rPr>
        <w:t xml:space="preserve"> 2026).</w:t>
      </w:r>
    </w:p>
    <w:p w14:paraId="69AEA273" w14:textId="05EB22EE" w:rsidR="00D96DF0" w:rsidRPr="00D96DF0" w:rsidRDefault="00D96DF0" w:rsidP="00D96DF0">
      <w:pPr>
        <w:rPr>
          <w:rFonts w:ascii="Arial" w:hAnsi="Arial" w:cs="Arial"/>
          <w:sz w:val="22"/>
          <w:szCs w:val="22"/>
        </w:rPr>
      </w:pPr>
      <w:r w:rsidRPr="00D96DF0">
        <w:rPr>
          <w:rFonts w:ascii="Arial" w:hAnsi="Arial" w:cs="Arial"/>
          <w:sz w:val="22"/>
          <w:szCs w:val="22"/>
        </w:rPr>
        <w:t xml:space="preserve">Department for Culture, Media and Sport (DCMS) (2025b) </w:t>
      </w:r>
      <w:r w:rsidRPr="00D96DF0">
        <w:rPr>
          <w:rFonts w:ascii="Arial" w:hAnsi="Arial" w:cs="Arial"/>
          <w:i/>
          <w:iCs/>
          <w:sz w:val="22"/>
          <w:szCs w:val="22"/>
        </w:rPr>
        <w:t>Youth Matters: Your National Youth Strategy.</w:t>
      </w:r>
      <w:r w:rsidRPr="00D96DF0">
        <w:rPr>
          <w:rFonts w:ascii="Arial" w:hAnsi="Arial" w:cs="Arial"/>
          <w:sz w:val="22"/>
          <w:szCs w:val="22"/>
        </w:rPr>
        <w:t xml:space="preserve"> Available at: </w:t>
      </w:r>
      <w:hyperlink r:id="rId9" w:tgtFrame="_blank" w:history="1">
        <w:r w:rsidRPr="00D96DF0">
          <w:rPr>
            <w:rStyle w:val="Hyperlink"/>
            <w:rFonts w:ascii="Arial" w:hAnsi="Arial" w:cs="Arial"/>
            <w:sz w:val="22"/>
            <w:szCs w:val="22"/>
          </w:rPr>
          <w:t>GOV.UK</w:t>
        </w:r>
      </w:hyperlink>
      <w:r w:rsidRPr="00D96DF0">
        <w:rPr>
          <w:rFonts w:ascii="Arial" w:hAnsi="Arial" w:cs="Arial"/>
          <w:sz w:val="22"/>
          <w:szCs w:val="22"/>
        </w:rPr>
        <w:t> – Youth Matters</w:t>
      </w:r>
      <w:r w:rsidRPr="00D96DF0">
        <w:rPr>
          <w:rFonts w:ascii="Segoe UI Symbol" w:hAnsi="Segoe UI Symbol" w:cs="Segoe UI Symbol"/>
          <w:sz w:val="22"/>
          <w:szCs w:val="22"/>
        </w:rPr>
        <w:t>⁠</w:t>
      </w:r>
      <w:r w:rsidRPr="00D96DF0">
        <w:rPr>
          <w:rFonts w:ascii="Arial" w:hAnsi="Arial" w:cs="Arial"/>
          <w:sz w:val="22"/>
          <w:szCs w:val="22"/>
        </w:rPr>
        <w:t xml:space="preserve"> (Accessed: </w:t>
      </w:r>
      <w:r w:rsidR="001F29C3">
        <w:rPr>
          <w:rFonts w:ascii="Arial" w:hAnsi="Arial" w:cs="Arial"/>
          <w:sz w:val="22"/>
          <w:szCs w:val="22"/>
        </w:rPr>
        <w:t>2</w:t>
      </w:r>
      <w:r w:rsidRPr="00D96DF0">
        <w:rPr>
          <w:rFonts w:ascii="Arial" w:hAnsi="Arial" w:cs="Arial"/>
          <w:sz w:val="22"/>
          <w:szCs w:val="22"/>
        </w:rPr>
        <w:t xml:space="preserve"> August 2026).</w:t>
      </w:r>
    </w:p>
    <w:p w14:paraId="6B9B0678" w14:textId="44A18B5C" w:rsidR="00D96DF0" w:rsidRPr="00D96DF0" w:rsidRDefault="00D96DF0" w:rsidP="00D96DF0">
      <w:pPr>
        <w:rPr>
          <w:rFonts w:ascii="Arial" w:hAnsi="Arial" w:cs="Arial"/>
          <w:sz w:val="22"/>
          <w:szCs w:val="22"/>
        </w:rPr>
      </w:pPr>
      <w:r w:rsidRPr="00D96DF0">
        <w:rPr>
          <w:rFonts w:ascii="Arial" w:hAnsi="Arial" w:cs="Arial"/>
          <w:sz w:val="22"/>
          <w:szCs w:val="22"/>
        </w:rPr>
        <w:t>Department for Culture, Media and Sport (DCMS) (2026</w:t>
      </w:r>
      <w:r w:rsidRPr="00D96DF0">
        <w:rPr>
          <w:rFonts w:ascii="Arial" w:hAnsi="Arial" w:cs="Arial"/>
          <w:i/>
          <w:iCs/>
          <w:sz w:val="22"/>
          <w:szCs w:val="22"/>
        </w:rPr>
        <w:t xml:space="preserve">) Loneliness, isolation and social connection among boys and young men in England. </w:t>
      </w:r>
      <w:r w:rsidRPr="00D96DF0">
        <w:rPr>
          <w:rFonts w:ascii="Arial" w:hAnsi="Arial" w:cs="Arial"/>
          <w:sz w:val="22"/>
          <w:szCs w:val="22"/>
        </w:rPr>
        <w:t>Available at: </w:t>
      </w:r>
      <w:hyperlink r:id="rId10" w:tgtFrame="_blank" w:history="1">
        <w:r w:rsidRPr="00D96DF0">
          <w:rPr>
            <w:rStyle w:val="Hyperlink"/>
            <w:rFonts w:ascii="Arial" w:hAnsi="Arial" w:cs="Arial"/>
            <w:sz w:val="22"/>
            <w:szCs w:val="22"/>
          </w:rPr>
          <w:t>GOV.UK</w:t>
        </w:r>
      </w:hyperlink>
      <w:r w:rsidRPr="00D96DF0">
        <w:rPr>
          <w:rFonts w:ascii="Arial" w:hAnsi="Arial" w:cs="Arial"/>
          <w:sz w:val="22"/>
          <w:szCs w:val="22"/>
        </w:rPr>
        <w:t> – Loneliness, isolation and social connection</w:t>
      </w:r>
      <w:r w:rsidRPr="00D96DF0">
        <w:rPr>
          <w:rFonts w:ascii="Segoe UI Symbol" w:hAnsi="Segoe UI Symbol" w:cs="Segoe UI Symbol"/>
          <w:sz w:val="22"/>
          <w:szCs w:val="22"/>
        </w:rPr>
        <w:t>⁠</w:t>
      </w:r>
      <w:r w:rsidRPr="00D96DF0">
        <w:rPr>
          <w:rFonts w:ascii="Arial" w:hAnsi="Arial" w:cs="Arial"/>
          <w:sz w:val="22"/>
          <w:szCs w:val="22"/>
        </w:rPr>
        <w:t xml:space="preserve"> (Accessed: </w:t>
      </w:r>
      <w:r w:rsidR="001F29C3">
        <w:rPr>
          <w:rFonts w:ascii="Arial" w:hAnsi="Arial" w:cs="Arial"/>
          <w:sz w:val="22"/>
          <w:szCs w:val="22"/>
        </w:rPr>
        <w:t>2</w:t>
      </w:r>
      <w:r w:rsidRPr="00D96DF0">
        <w:rPr>
          <w:rFonts w:ascii="Arial" w:hAnsi="Arial" w:cs="Arial"/>
          <w:sz w:val="22"/>
          <w:szCs w:val="22"/>
        </w:rPr>
        <w:t xml:space="preserve"> August 2026).</w:t>
      </w:r>
    </w:p>
    <w:p w14:paraId="35540AA0" w14:textId="40F67FE8" w:rsidR="00D96DF0" w:rsidRDefault="00D96DF0" w:rsidP="00D96DF0">
      <w:pPr>
        <w:rPr>
          <w:rFonts w:ascii="Arial" w:hAnsi="Arial" w:cs="Arial"/>
          <w:sz w:val="22"/>
          <w:szCs w:val="22"/>
        </w:rPr>
      </w:pPr>
      <w:r w:rsidRPr="00D96DF0">
        <w:rPr>
          <w:rFonts w:ascii="Arial" w:hAnsi="Arial" w:cs="Arial"/>
          <w:sz w:val="22"/>
          <w:szCs w:val="22"/>
        </w:rPr>
        <w:t xml:space="preserve">Department for Education (DfE) (2023) </w:t>
      </w:r>
      <w:r w:rsidRPr="00D96DF0">
        <w:rPr>
          <w:rFonts w:ascii="Arial" w:hAnsi="Arial" w:cs="Arial"/>
          <w:i/>
          <w:iCs/>
          <w:sz w:val="22"/>
          <w:szCs w:val="22"/>
        </w:rPr>
        <w:t>Working Together to Safeguard Children</w:t>
      </w:r>
      <w:r w:rsidRPr="00D96DF0">
        <w:rPr>
          <w:rFonts w:ascii="Arial" w:hAnsi="Arial" w:cs="Arial"/>
          <w:sz w:val="22"/>
          <w:szCs w:val="22"/>
        </w:rPr>
        <w:t>. Available at: </w:t>
      </w:r>
      <w:hyperlink r:id="rId11" w:tgtFrame="_blank" w:history="1">
        <w:r w:rsidRPr="00D96DF0">
          <w:rPr>
            <w:rStyle w:val="Hyperlink"/>
            <w:rFonts w:ascii="Arial" w:hAnsi="Arial" w:cs="Arial"/>
            <w:sz w:val="22"/>
            <w:szCs w:val="22"/>
          </w:rPr>
          <w:t>GOV.UK</w:t>
        </w:r>
      </w:hyperlink>
      <w:r w:rsidRPr="00D96DF0">
        <w:rPr>
          <w:rFonts w:ascii="Arial" w:hAnsi="Arial" w:cs="Arial"/>
          <w:sz w:val="22"/>
          <w:szCs w:val="22"/>
        </w:rPr>
        <w:t> – Working Together to Safeguard Children</w:t>
      </w:r>
      <w:r w:rsidRPr="00D96DF0">
        <w:rPr>
          <w:rFonts w:ascii="Segoe UI Symbol" w:hAnsi="Segoe UI Symbol" w:cs="Segoe UI Symbol"/>
          <w:sz w:val="22"/>
          <w:szCs w:val="22"/>
        </w:rPr>
        <w:t>⁠</w:t>
      </w:r>
      <w:r w:rsidRPr="00D96DF0">
        <w:rPr>
          <w:rFonts w:ascii="Arial" w:hAnsi="Arial" w:cs="Arial"/>
          <w:sz w:val="22"/>
          <w:szCs w:val="22"/>
        </w:rPr>
        <w:t xml:space="preserve"> (Accessed: 7 August 2026).</w:t>
      </w:r>
    </w:p>
    <w:p w14:paraId="4572CFBF" w14:textId="77777777" w:rsidR="00737E47" w:rsidRDefault="00737E47" w:rsidP="00737E47">
      <w:pPr>
        <w:rPr>
          <w:rFonts w:ascii="Arial" w:hAnsi="Arial" w:cs="Arial"/>
          <w:sz w:val="22"/>
          <w:szCs w:val="22"/>
        </w:rPr>
      </w:pPr>
      <w:proofErr w:type="spellStart"/>
      <w:r w:rsidRPr="00D96DF0">
        <w:rPr>
          <w:rFonts w:ascii="Arial" w:hAnsi="Arial" w:cs="Arial"/>
          <w:sz w:val="22"/>
          <w:szCs w:val="22"/>
        </w:rPr>
        <w:t>Ewles</w:t>
      </w:r>
      <w:proofErr w:type="spellEnd"/>
      <w:r w:rsidRPr="00D96DF0">
        <w:rPr>
          <w:rFonts w:ascii="Arial" w:hAnsi="Arial" w:cs="Arial"/>
          <w:sz w:val="22"/>
          <w:szCs w:val="22"/>
        </w:rPr>
        <w:t xml:space="preserve">, L. and Simnett, I. (2003) </w:t>
      </w:r>
      <w:r w:rsidRPr="00D96DF0">
        <w:rPr>
          <w:rFonts w:ascii="Arial" w:hAnsi="Arial" w:cs="Arial"/>
          <w:i/>
          <w:iCs/>
          <w:sz w:val="22"/>
          <w:szCs w:val="22"/>
        </w:rPr>
        <w:t>Promoting Health: A Practical Guide</w:t>
      </w:r>
      <w:r w:rsidRPr="00D96DF0">
        <w:rPr>
          <w:rFonts w:ascii="Arial" w:hAnsi="Arial" w:cs="Arial"/>
          <w:sz w:val="22"/>
          <w:szCs w:val="22"/>
        </w:rPr>
        <w:t xml:space="preserve">. 5th </w:t>
      </w:r>
      <w:proofErr w:type="spellStart"/>
      <w:r w:rsidRPr="00D96DF0">
        <w:rPr>
          <w:rFonts w:ascii="Arial" w:hAnsi="Arial" w:cs="Arial"/>
          <w:sz w:val="22"/>
          <w:szCs w:val="22"/>
        </w:rPr>
        <w:t>edn</w:t>
      </w:r>
      <w:proofErr w:type="spellEnd"/>
      <w:r w:rsidRPr="00D96DF0">
        <w:rPr>
          <w:rFonts w:ascii="Arial" w:hAnsi="Arial" w:cs="Arial"/>
          <w:sz w:val="22"/>
          <w:szCs w:val="22"/>
        </w:rPr>
        <w:t xml:space="preserve">. Edinburgh: </w:t>
      </w:r>
      <w:proofErr w:type="spellStart"/>
      <w:r w:rsidRPr="00D96DF0">
        <w:rPr>
          <w:rFonts w:ascii="Arial" w:hAnsi="Arial" w:cs="Arial"/>
          <w:sz w:val="22"/>
          <w:szCs w:val="22"/>
        </w:rPr>
        <w:t>Baillière</w:t>
      </w:r>
      <w:proofErr w:type="spellEnd"/>
      <w:r w:rsidRPr="00D96DF0">
        <w:rPr>
          <w:rFonts w:ascii="Arial" w:hAnsi="Arial" w:cs="Arial"/>
          <w:sz w:val="22"/>
          <w:szCs w:val="22"/>
        </w:rPr>
        <w:t xml:space="preserve"> Tindall.</w:t>
      </w:r>
    </w:p>
    <w:p w14:paraId="577CD59E" w14:textId="2BAB9B2D" w:rsidR="00737E47" w:rsidRPr="00D96DF0" w:rsidRDefault="00737E47" w:rsidP="00737E47">
      <w:pPr>
        <w:rPr>
          <w:rFonts w:ascii="Arial" w:hAnsi="Arial" w:cs="Arial"/>
          <w:sz w:val="22"/>
          <w:szCs w:val="22"/>
        </w:rPr>
      </w:pPr>
      <w:r w:rsidRPr="00D96DF0">
        <w:rPr>
          <w:rFonts w:ascii="Arial" w:hAnsi="Arial" w:cs="Arial"/>
          <w:sz w:val="22"/>
          <w:szCs w:val="22"/>
        </w:rPr>
        <w:t xml:space="preserve">Information Commissioner's Office (ICO) (2026) </w:t>
      </w:r>
      <w:r w:rsidRPr="006A2D18">
        <w:rPr>
          <w:rFonts w:ascii="Arial" w:hAnsi="Arial" w:cs="Arial"/>
          <w:i/>
          <w:iCs/>
          <w:sz w:val="22"/>
          <w:szCs w:val="22"/>
        </w:rPr>
        <w:t>Age appropriate design: a code of practice for online services</w:t>
      </w:r>
      <w:r w:rsidRPr="00D96DF0">
        <w:rPr>
          <w:rFonts w:ascii="Arial" w:hAnsi="Arial" w:cs="Arial"/>
          <w:sz w:val="22"/>
          <w:szCs w:val="22"/>
        </w:rPr>
        <w:t>. Available at: ICO – Children's Code</w:t>
      </w:r>
      <w:r w:rsidRPr="00D96DF0">
        <w:rPr>
          <w:rFonts w:ascii="Segoe UI Symbol" w:hAnsi="Segoe UI Symbol" w:cs="Segoe UI Symbol"/>
          <w:sz w:val="22"/>
          <w:szCs w:val="22"/>
        </w:rPr>
        <w:t>⁠</w:t>
      </w:r>
      <w:r w:rsidRPr="00D96DF0">
        <w:rPr>
          <w:rFonts w:ascii="Arial" w:hAnsi="Arial" w:cs="Arial"/>
          <w:sz w:val="22"/>
          <w:szCs w:val="22"/>
        </w:rPr>
        <w:t xml:space="preserve"> (Accessed: 7 August 2026).</w:t>
      </w:r>
    </w:p>
    <w:p w14:paraId="60989D50" w14:textId="77777777" w:rsidR="00737E47" w:rsidRPr="00D96DF0" w:rsidRDefault="00737E47" w:rsidP="00737E47">
      <w:pPr>
        <w:rPr>
          <w:rFonts w:ascii="Arial" w:hAnsi="Arial" w:cs="Arial"/>
          <w:sz w:val="22"/>
          <w:szCs w:val="22"/>
        </w:rPr>
      </w:pPr>
      <w:r w:rsidRPr="00D96DF0">
        <w:rPr>
          <w:rFonts w:ascii="Arial" w:hAnsi="Arial" w:cs="Arial"/>
          <w:sz w:val="22"/>
          <w:szCs w:val="22"/>
        </w:rPr>
        <w:t xml:space="preserve">Jeffs, T. and Smith, M.K. (2010) </w:t>
      </w:r>
      <w:r w:rsidRPr="00D96DF0">
        <w:rPr>
          <w:rFonts w:ascii="Arial" w:hAnsi="Arial" w:cs="Arial"/>
          <w:i/>
          <w:iCs/>
          <w:sz w:val="22"/>
          <w:szCs w:val="22"/>
        </w:rPr>
        <w:t>Youth Work Practice</w:t>
      </w:r>
      <w:r w:rsidRPr="00D96DF0">
        <w:rPr>
          <w:rFonts w:ascii="Arial" w:hAnsi="Arial" w:cs="Arial"/>
          <w:sz w:val="22"/>
          <w:szCs w:val="22"/>
        </w:rPr>
        <w:t xml:space="preserve">. 2nd </w:t>
      </w:r>
      <w:proofErr w:type="spellStart"/>
      <w:r w:rsidRPr="00D96DF0">
        <w:rPr>
          <w:rFonts w:ascii="Arial" w:hAnsi="Arial" w:cs="Arial"/>
          <w:sz w:val="22"/>
          <w:szCs w:val="22"/>
        </w:rPr>
        <w:t>edn</w:t>
      </w:r>
      <w:proofErr w:type="spellEnd"/>
      <w:r w:rsidRPr="00D96DF0">
        <w:rPr>
          <w:rFonts w:ascii="Arial" w:hAnsi="Arial" w:cs="Arial"/>
          <w:sz w:val="22"/>
          <w:szCs w:val="22"/>
        </w:rPr>
        <w:t xml:space="preserve">. </w:t>
      </w:r>
      <w:proofErr w:type="spellStart"/>
      <w:r w:rsidRPr="00D96DF0">
        <w:rPr>
          <w:rFonts w:ascii="Arial" w:hAnsi="Arial" w:cs="Arial"/>
          <w:sz w:val="22"/>
          <w:szCs w:val="22"/>
        </w:rPr>
        <w:t>Houndmills</w:t>
      </w:r>
      <w:proofErr w:type="spellEnd"/>
      <w:r w:rsidRPr="00D96DF0">
        <w:rPr>
          <w:rFonts w:ascii="Arial" w:hAnsi="Arial" w:cs="Arial"/>
          <w:sz w:val="22"/>
          <w:szCs w:val="22"/>
        </w:rPr>
        <w:t>: Palgrave Macmillan.</w:t>
      </w:r>
    </w:p>
    <w:p w14:paraId="59D7F87A" w14:textId="77777777" w:rsidR="00737E47" w:rsidRPr="00D96DF0" w:rsidRDefault="00737E47" w:rsidP="00737E47">
      <w:pPr>
        <w:rPr>
          <w:rFonts w:ascii="Arial" w:hAnsi="Arial" w:cs="Arial"/>
          <w:sz w:val="22"/>
          <w:szCs w:val="22"/>
        </w:rPr>
      </w:pPr>
      <w:r w:rsidRPr="00D96DF0">
        <w:rPr>
          <w:rFonts w:ascii="Arial" w:hAnsi="Arial" w:cs="Arial"/>
          <w:sz w:val="22"/>
          <w:szCs w:val="22"/>
        </w:rPr>
        <w:t xml:space="preserve">Ledwith, M. (2011) </w:t>
      </w:r>
      <w:r w:rsidRPr="00D96DF0">
        <w:rPr>
          <w:rFonts w:ascii="Arial" w:hAnsi="Arial" w:cs="Arial"/>
          <w:i/>
          <w:iCs/>
          <w:sz w:val="22"/>
          <w:szCs w:val="22"/>
        </w:rPr>
        <w:t>Community Development: A Critical Approach</w:t>
      </w:r>
      <w:r w:rsidRPr="00D96DF0">
        <w:rPr>
          <w:rFonts w:ascii="Arial" w:hAnsi="Arial" w:cs="Arial"/>
          <w:sz w:val="22"/>
          <w:szCs w:val="22"/>
        </w:rPr>
        <w:t xml:space="preserve">. 2nd </w:t>
      </w:r>
      <w:proofErr w:type="spellStart"/>
      <w:r w:rsidRPr="00D96DF0">
        <w:rPr>
          <w:rFonts w:ascii="Arial" w:hAnsi="Arial" w:cs="Arial"/>
          <w:sz w:val="22"/>
          <w:szCs w:val="22"/>
        </w:rPr>
        <w:t>edn</w:t>
      </w:r>
      <w:proofErr w:type="spellEnd"/>
      <w:r w:rsidRPr="00D96DF0">
        <w:rPr>
          <w:rFonts w:ascii="Arial" w:hAnsi="Arial" w:cs="Arial"/>
          <w:sz w:val="22"/>
          <w:szCs w:val="22"/>
        </w:rPr>
        <w:t>. Bristol: Policy Press.</w:t>
      </w:r>
    </w:p>
    <w:p w14:paraId="508FC766" w14:textId="44AD2787" w:rsidR="00D96DF0" w:rsidRPr="00D96DF0" w:rsidRDefault="00D96DF0" w:rsidP="00D96DF0">
      <w:pPr>
        <w:rPr>
          <w:rFonts w:ascii="Arial" w:hAnsi="Arial" w:cs="Arial"/>
          <w:sz w:val="22"/>
          <w:szCs w:val="22"/>
        </w:rPr>
      </w:pPr>
      <w:r w:rsidRPr="00D96DF0">
        <w:rPr>
          <w:rFonts w:ascii="Arial" w:hAnsi="Arial" w:cs="Arial"/>
          <w:sz w:val="22"/>
          <w:szCs w:val="22"/>
        </w:rPr>
        <w:t xml:space="preserve">Mayor of London (2026) </w:t>
      </w:r>
      <w:r w:rsidRPr="006A2D18">
        <w:rPr>
          <w:rFonts w:ascii="Arial" w:hAnsi="Arial" w:cs="Arial"/>
          <w:i/>
          <w:iCs/>
          <w:sz w:val="22"/>
          <w:szCs w:val="22"/>
        </w:rPr>
        <w:t xml:space="preserve">The Mayor's investment in youth clubs. </w:t>
      </w:r>
      <w:r w:rsidRPr="00D96DF0">
        <w:rPr>
          <w:rFonts w:ascii="Arial" w:hAnsi="Arial" w:cs="Arial"/>
          <w:sz w:val="22"/>
          <w:szCs w:val="22"/>
        </w:rPr>
        <w:t>Available at: London City Hall – Mayor's investment in youth clubs</w:t>
      </w:r>
      <w:r w:rsidRPr="00D96DF0">
        <w:rPr>
          <w:rFonts w:ascii="Segoe UI Symbol" w:hAnsi="Segoe UI Symbol" w:cs="Segoe UI Symbol"/>
          <w:sz w:val="22"/>
          <w:szCs w:val="22"/>
        </w:rPr>
        <w:t>⁠</w:t>
      </w:r>
      <w:r w:rsidRPr="00D96DF0">
        <w:rPr>
          <w:rFonts w:ascii="Arial" w:hAnsi="Arial" w:cs="Arial"/>
          <w:sz w:val="22"/>
          <w:szCs w:val="22"/>
        </w:rPr>
        <w:t xml:space="preserve"> (Accessed: </w:t>
      </w:r>
      <w:r w:rsidR="001F29C3">
        <w:rPr>
          <w:rFonts w:ascii="Arial" w:hAnsi="Arial" w:cs="Arial"/>
          <w:sz w:val="22"/>
          <w:szCs w:val="22"/>
        </w:rPr>
        <w:t>3</w:t>
      </w:r>
      <w:r w:rsidRPr="00D96DF0">
        <w:rPr>
          <w:rFonts w:ascii="Arial" w:hAnsi="Arial" w:cs="Arial"/>
          <w:sz w:val="22"/>
          <w:szCs w:val="22"/>
        </w:rPr>
        <w:t xml:space="preserve"> August 2026).</w:t>
      </w:r>
    </w:p>
    <w:p w14:paraId="4BAC6E7E" w14:textId="77777777" w:rsidR="00D96DF0" w:rsidRPr="00D96DF0" w:rsidRDefault="00D96DF0" w:rsidP="00D96DF0">
      <w:pPr>
        <w:rPr>
          <w:b/>
          <w:bCs/>
        </w:rPr>
      </w:pPr>
    </w:p>
    <w:p w14:paraId="60C77BEA" w14:textId="77777777" w:rsidR="00D96DF0" w:rsidRDefault="00D96DF0"/>
    <w:sectPr w:rsidR="00D96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DF0"/>
    <w:rsid w:val="000E6BFA"/>
    <w:rsid w:val="001F29C3"/>
    <w:rsid w:val="003A6D68"/>
    <w:rsid w:val="00547E13"/>
    <w:rsid w:val="006A2D18"/>
    <w:rsid w:val="00737E47"/>
    <w:rsid w:val="00D96DF0"/>
    <w:rsid w:val="00DF1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66E38"/>
  <w15:chartTrackingRefBased/>
  <w15:docId w15:val="{B0AE98E6-063A-4AD9-A3AA-20CE8225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D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6D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6D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6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6D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6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6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6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6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D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6D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6D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6D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6D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6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6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6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6DF0"/>
    <w:rPr>
      <w:rFonts w:eastAsiaTheme="majorEastAsia" w:cstheme="majorBidi"/>
      <w:color w:val="272727" w:themeColor="text1" w:themeTint="D8"/>
    </w:rPr>
  </w:style>
  <w:style w:type="paragraph" w:styleId="Title">
    <w:name w:val="Title"/>
    <w:basedOn w:val="Normal"/>
    <w:next w:val="Normal"/>
    <w:link w:val="TitleChar"/>
    <w:uiPriority w:val="10"/>
    <w:qFormat/>
    <w:rsid w:val="00D96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6DF0"/>
    <w:pPr>
      <w:spacing w:before="160"/>
      <w:jc w:val="center"/>
    </w:pPr>
    <w:rPr>
      <w:i/>
      <w:iCs/>
      <w:color w:val="404040" w:themeColor="text1" w:themeTint="BF"/>
    </w:rPr>
  </w:style>
  <w:style w:type="character" w:customStyle="1" w:styleId="QuoteChar">
    <w:name w:val="Quote Char"/>
    <w:basedOn w:val="DefaultParagraphFont"/>
    <w:link w:val="Quote"/>
    <w:uiPriority w:val="29"/>
    <w:rsid w:val="00D96DF0"/>
    <w:rPr>
      <w:i/>
      <w:iCs/>
      <w:color w:val="404040" w:themeColor="text1" w:themeTint="BF"/>
    </w:rPr>
  </w:style>
  <w:style w:type="paragraph" w:styleId="ListParagraph">
    <w:name w:val="List Paragraph"/>
    <w:basedOn w:val="Normal"/>
    <w:uiPriority w:val="34"/>
    <w:qFormat/>
    <w:rsid w:val="00D96DF0"/>
    <w:pPr>
      <w:ind w:left="720"/>
      <w:contextualSpacing/>
    </w:pPr>
  </w:style>
  <w:style w:type="character" w:styleId="IntenseEmphasis">
    <w:name w:val="Intense Emphasis"/>
    <w:basedOn w:val="DefaultParagraphFont"/>
    <w:uiPriority w:val="21"/>
    <w:qFormat/>
    <w:rsid w:val="00D96DF0"/>
    <w:rPr>
      <w:i/>
      <w:iCs/>
      <w:color w:val="0F4761" w:themeColor="accent1" w:themeShade="BF"/>
    </w:rPr>
  </w:style>
  <w:style w:type="paragraph" w:styleId="IntenseQuote">
    <w:name w:val="Intense Quote"/>
    <w:basedOn w:val="Normal"/>
    <w:next w:val="Normal"/>
    <w:link w:val="IntenseQuoteChar"/>
    <w:uiPriority w:val="30"/>
    <w:qFormat/>
    <w:rsid w:val="00D96D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DF0"/>
    <w:rPr>
      <w:i/>
      <w:iCs/>
      <w:color w:val="0F4761" w:themeColor="accent1" w:themeShade="BF"/>
    </w:rPr>
  </w:style>
  <w:style w:type="character" w:styleId="IntenseReference">
    <w:name w:val="Intense Reference"/>
    <w:basedOn w:val="DefaultParagraphFont"/>
    <w:uiPriority w:val="32"/>
    <w:qFormat/>
    <w:rsid w:val="00D96DF0"/>
    <w:rPr>
      <w:b/>
      <w:bCs/>
      <w:smallCaps/>
      <w:color w:val="0F4761" w:themeColor="accent1" w:themeShade="BF"/>
      <w:spacing w:val="5"/>
    </w:rPr>
  </w:style>
  <w:style w:type="character" w:styleId="Hyperlink">
    <w:name w:val="Hyperlink"/>
    <w:basedOn w:val="DefaultParagraphFont"/>
    <w:uiPriority w:val="99"/>
    <w:unhideWhenUsed/>
    <w:rsid w:val="00D96DF0"/>
    <w:rPr>
      <w:color w:val="467886" w:themeColor="hyperlink"/>
      <w:u w:val="single"/>
    </w:rPr>
  </w:style>
  <w:style w:type="character" w:styleId="UnresolvedMention">
    <w:name w:val="Unresolved Mention"/>
    <w:basedOn w:val="DefaultParagraphFont"/>
    <w:uiPriority w:val="99"/>
    <w:semiHidden/>
    <w:unhideWhenUsed/>
    <w:rsid w:val="00D96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gov.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gov.uk/" TargetMode="External"/><Relationship Id="rId11" Type="http://schemas.openxmlformats.org/officeDocument/2006/relationships/hyperlink" Target="http://gov.uk/" TargetMode="External"/><Relationship Id="rId5" Type="http://schemas.openxmlformats.org/officeDocument/2006/relationships/image" Target="media/image2.png"/><Relationship Id="rId10" Type="http://schemas.openxmlformats.org/officeDocument/2006/relationships/hyperlink" Target="http://gov.uk/" TargetMode="External"/><Relationship Id="rId4" Type="http://schemas.openxmlformats.org/officeDocument/2006/relationships/image" Target="media/image1.png"/><Relationship Id="rId9"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7</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Elkin</dc:creator>
  <cp:keywords/>
  <dc:description/>
  <cp:lastModifiedBy>Samantha Rendall-Dillon (2431395)</cp:lastModifiedBy>
  <cp:revision>2</cp:revision>
  <dcterms:created xsi:type="dcterms:W3CDTF">2026-08-07T11:01:00Z</dcterms:created>
  <dcterms:modified xsi:type="dcterms:W3CDTF">2026-08-07T12:28:00Z</dcterms:modified>
</cp:coreProperties>
</file>