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2917"/>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90"/>
        <w:gridCol w:w="4038"/>
        <w:gridCol w:w="2166"/>
        <w:gridCol w:w="2601"/>
      </w:tblGrid>
      <w:tr w:rsidR="005D5D94" w:rsidRPr="005D5D94" w14:paraId="3EC0BB4E" w14:textId="77777777" w:rsidTr="00975661">
        <w:trPr>
          <w:trHeight w:val="510"/>
        </w:trPr>
        <w:tc>
          <w:tcPr>
            <w:tcW w:w="10695" w:type="dxa"/>
            <w:gridSpan w:val="4"/>
            <w:shd w:val="clear" w:color="auto" w:fill="C0C0C0"/>
          </w:tcPr>
          <w:p w14:paraId="3B837F8B" w14:textId="77777777" w:rsidR="005D5D94" w:rsidRPr="005D5D94" w:rsidRDefault="005D5D94" w:rsidP="00975661">
            <w:pPr>
              <w:spacing w:line="360" w:lineRule="auto"/>
              <w:rPr>
                <w:rFonts w:ascii="Arial" w:eastAsia="Times New Roman" w:hAnsi="Arial" w:cs="Arial"/>
                <w:bCs/>
                <w:sz w:val="24"/>
                <w:szCs w:val="24"/>
                <w:lang w:val="en-US"/>
              </w:rPr>
            </w:pPr>
            <w:r w:rsidRPr="005D5D94">
              <w:rPr>
                <w:rFonts w:ascii="Arial" w:eastAsia="Times New Roman" w:hAnsi="Arial" w:cs="Arial"/>
                <w:b/>
                <w:bCs/>
                <w:sz w:val="24"/>
                <w:szCs w:val="24"/>
                <w:lang w:val="en-US"/>
              </w:rPr>
              <w:t>LEVEL 4 ASSESSMENT SPECIFICATION</w:t>
            </w:r>
          </w:p>
        </w:tc>
      </w:tr>
      <w:tr w:rsidR="005D5D94" w:rsidRPr="005D5D94" w14:paraId="0C0E8B6E" w14:textId="77777777" w:rsidTr="00975661">
        <w:tblPrEx>
          <w:shd w:val="clear" w:color="auto" w:fill="auto"/>
          <w:tblLook w:val="0000" w:firstRow="0" w:lastRow="0" w:firstColumn="0" w:lastColumn="0" w:noHBand="0" w:noVBand="0"/>
        </w:tblPrEx>
        <w:trPr>
          <w:trHeight w:val="872"/>
        </w:trPr>
        <w:tc>
          <w:tcPr>
            <w:tcW w:w="1890" w:type="dxa"/>
            <w:shd w:val="pct15" w:color="auto" w:fill="auto"/>
          </w:tcPr>
          <w:p w14:paraId="02DE87F1"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Student name:</w:t>
            </w:r>
          </w:p>
        </w:tc>
        <w:tc>
          <w:tcPr>
            <w:tcW w:w="4038" w:type="dxa"/>
          </w:tcPr>
          <w:p w14:paraId="2E11CB8B" w14:textId="08BDD7AE" w:rsidR="005D5D94" w:rsidRPr="005D5D94" w:rsidRDefault="00975661" w:rsidP="00975661">
            <w:pPr>
              <w:spacing w:line="360" w:lineRule="auto"/>
              <w:rPr>
                <w:rFonts w:ascii="Arial" w:eastAsia="Times New Roman" w:hAnsi="Arial" w:cs="Arial"/>
                <w:b/>
                <w:sz w:val="24"/>
                <w:szCs w:val="24"/>
              </w:rPr>
            </w:pPr>
            <w:r>
              <w:rPr>
                <w:rFonts w:ascii="Arial" w:eastAsia="Times New Roman" w:hAnsi="Arial" w:cs="Arial"/>
                <w:b/>
                <w:sz w:val="24"/>
                <w:szCs w:val="24"/>
              </w:rPr>
              <w:t>Diana Georgeta Ariton</w:t>
            </w:r>
          </w:p>
        </w:tc>
        <w:tc>
          <w:tcPr>
            <w:tcW w:w="2166" w:type="dxa"/>
            <w:shd w:val="clear" w:color="auto" w:fill="D9D9D9"/>
          </w:tcPr>
          <w:p w14:paraId="7BBA66AA"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Student ID number:</w:t>
            </w:r>
          </w:p>
        </w:tc>
        <w:tc>
          <w:tcPr>
            <w:tcW w:w="2601" w:type="dxa"/>
          </w:tcPr>
          <w:p w14:paraId="3901906E" w14:textId="19878FCC" w:rsidR="005D5D94" w:rsidRPr="005D5D94" w:rsidRDefault="00975661" w:rsidP="00975661">
            <w:pPr>
              <w:spacing w:line="360" w:lineRule="auto"/>
              <w:rPr>
                <w:rFonts w:ascii="Arial" w:eastAsia="Times New Roman" w:hAnsi="Arial" w:cs="Arial"/>
                <w:b/>
                <w:sz w:val="24"/>
                <w:szCs w:val="24"/>
              </w:rPr>
            </w:pPr>
            <w:r w:rsidRPr="00975661">
              <w:rPr>
                <w:rFonts w:ascii="Arial" w:eastAsia="Times New Roman" w:hAnsi="Arial" w:cs="Arial"/>
                <w:b/>
                <w:sz w:val="24"/>
                <w:szCs w:val="24"/>
              </w:rPr>
              <w:t>2222495</w:t>
            </w:r>
          </w:p>
        </w:tc>
      </w:tr>
      <w:tr w:rsidR="005D5D94" w:rsidRPr="005D5D94" w14:paraId="3F07593B" w14:textId="77777777" w:rsidTr="00975661">
        <w:tblPrEx>
          <w:shd w:val="clear" w:color="auto" w:fill="auto"/>
          <w:tblLook w:val="0000" w:firstRow="0" w:lastRow="0" w:firstColumn="0" w:lastColumn="0" w:noHBand="0" w:noVBand="0"/>
        </w:tblPrEx>
        <w:trPr>
          <w:trHeight w:val="500"/>
        </w:trPr>
        <w:tc>
          <w:tcPr>
            <w:tcW w:w="1890" w:type="dxa"/>
            <w:shd w:val="pct15" w:color="auto" w:fill="auto"/>
          </w:tcPr>
          <w:p w14:paraId="2507A8AB"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Programme:</w:t>
            </w:r>
          </w:p>
        </w:tc>
        <w:tc>
          <w:tcPr>
            <w:tcW w:w="8805" w:type="dxa"/>
            <w:gridSpan w:val="3"/>
          </w:tcPr>
          <w:p w14:paraId="31DE7A52" w14:textId="1F318390"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BA International Hotel Management</w:t>
            </w:r>
          </w:p>
        </w:tc>
      </w:tr>
      <w:tr w:rsidR="005D5D94" w:rsidRPr="005D5D94" w14:paraId="02F092E6" w14:textId="77777777" w:rsidTr="00975661">
        <w:tblPrEx>
          <w:shd w:val="clear" w:color="auto" w:fill="auto"/>
          <w:tblLook w:val="0000" w:firstRow="0" w:lastRow="0" w:firstColumn="0" w:lastColumn="0" w:noHBand="0" w:noVBand="0"/>
        </w:tblPrEx>
        <w:trPr>
          <w:trHeight w:val="510"/>
        </w:trPr>
        <w:tc>
          <w:tcPr>
            <w:tcW w:w="1890" w:type="dxa"/>
            <w:shd w:val="pct15" w:color="auto" w:fill="auto"/>
          </w:tcPr>
          <w:p w14:paraId="17F7042D"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Module:</w:t>
            </w:r>
          </w:p>
        </w:tc>
        <w:tc>
          <w:tcPr>
            <w:tcW w:w="8805" w:type="dxa"/>
            <w:gridSpan w:val="3"/>
            <w:shd w:val="clear" w:color="auto" w:fill="auto"/>
          </w:tcPr>
          <w:p w14:paraId="7A6800B8" w14:textId="3C3C35B8"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Food &amp; Beverage Operations</w:t>
            </w:r>
          </w:p>
        </w:tc>
      </w:tr>
      <w:tr w:rsidR="005D5D94" w:rsidRPr="005D5D94" w14:paraId="747E351A" w14:textId="77777777" w:rsidTr="00975661">
        <w:tblPrEx>
          <w:shd w:val="clear" w:color="auto" w:fill="auto"/>
          <w:tblLook w:val="0000" w:firstRow="0" w:lastRow="0" w:firstColumn="0" w:lastColumn="0" w:noHBand="0" w:noVBand="0"/>
        </w:tblPrEx>
        <w:trPr>
          <w:trHeight w:val="1245"/>
        </w:trPr>
        <w:tc>
          <w:tcPr>
            <w:tcW w:w="1890" w:type="dxa"/>
            <w:shd w:val="pct15" w:color="auto" w:fill="auto"/>
          </w:tcPr>
          <w:p w14:paraId="6240455D"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Module code:</w:t>
            </w:r>
          </w:p>
        </w:tc>
        <w:tc>
          <w:tcPr>
            <w:tcW w:w="4038" w:type="dxa"/>
          </w:tcPr>
          <w:p w14:paraId="56B1E963" w14:textId="4B228D8B"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BMIH4002</w:t>
            </w:r>
          </w:p>
        </w:tc>
        <w:tc>
          <w:tcPr>
            <w:tcW w:w="2166" w:type="dxa"/>
            <w:shd w:val="clear" w:color="auto" w:fill="D9D9D9"/>
          </w:tcPr>
          <w:p w14:paraId="02535B54" w14:textId="77777777" w:rsidR="005D5D94" w:rsidRPr="005D5D94" w:rsidRDefault="005D5D94" w:rsidP="00975661">
            <w:pPr>
              <w:spacing w:line="360" w:lineRule="auto"/>
              <w:rPr>
                <w:rFonts w:ascii="Arial" w:eastAsia="Times New Roman" w:hAnsi="Arial" w:cs="Arial"/>
                <w:b/>
                <w:bCs/>
                <w:i/>
                <w:iCs/>
                <w:sz w:val="24"/>
                <w:szCs w:val="24"/>
              </w:rPr>
            </w:pPr>
            <w:r w:rsidRPr="005D5D94">
              <w:rPr>
                <w:rFonts w:ascii="Arial" w:eastAsia="Times New Roman" w:hAnsi="Arial" w:cs="Arial"/>
                <w:b/>
                <w:bCs/>
                <w:i/>
                <w:iCs/>
                <w:sz w:val="24"/>
                <w:szCs w:val="24"/>
              </w:rPr>
              <w:t>Contribution to Overall Module Assessment (%):</w:t>
            </w:r>
          </w:p>
        </w:tc>
        <w:tc>
          <w:tcPr>
            <w:tcW w:w="2601" w:type="dxa"/>
          </w:tcPr>
          <w:p w14:paraId="52E34941" w14:textId="079CE7F0"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25%</w:t>
            </w:r>
          </w:p>
        </w:tc>
      </w:tr>
      <w:tr w:rsidR="005D5D94" w:rsidRPr="005D5D94" w14:paraId="22C05F4E" w14:textId="77777777" w:rsidTr="00975661">
        <w:tblPrEx>
          <w:shd w:val="clear" w:color="auto" w:fill="auto"/>
          <w:tblLook w:val="0000" w:firstRow="0" w:lastRow="0" w:firstColumn="0" w:lastColumn="0" w:noHBand="0" w:noVBand="0"/>
        </w:tblPrEx>
        <w:trPr>
          <w:trHeight w:val="872"/>
        </w:trPr>
        <w:tc>
          <w:tcPr>
            <w:tcW w:w="1890" w:type="dxa"/>
            <w:shd w:val="pct15" w:color="auto" w:fill="auto"/>
          </w:tcPr>
          <w:p w14:paraId="28C82C45"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Lecturer:</w:t>
            </w:r>
          </w:p>
        </w:tc>
        <w:tc>
          <w:tcPr>
            <w:tcW w:w="4038" w:type="dxa"/>
          </w:tcPr>
          <w:p w14:paraId="2257166E" w14:textId="4F49ECCC"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Ffion Cumberpatch,</w:t>
            </w:r>
            <w:r w:rsidR="004E6C28">
              <w:rPr>
                <w:rFonts w:ascii="Arial" w:eastAsia="Times New Roman" w:hAnsi="Arial" w:cs="Arial"/>
                <w:b/>
                <w:sz w:val="24"/>
                <w:szCs w:val="24"/>
              </w:rPr>
              <w:t xml:space="preserve">  </w:t>
            </w:r>
            <w:r w:rsidRPr="005D5D94">
              <w:rPr>
                <w:rFonts w:ascii="Arial" w:eastAsia="Times New Roman" w:hAnsi="Arial" w:cs="Arial"/>
                <w:b/>
                <w:sz w:val="24"/>
                <w:szCs w:val="24"/>
              </w:rPr>
              <w:t>Muhammad Cassamo, Jaliya</w:t>
            </w:r>
            <w:r>
              <w:rPr>
                <w:rFonts w:ascii="Arial" w:eastAsia="Times New Roman" w:hAnsi="Arial" w:cs="Arial"/>
                <w:b/>
                <w:sz w:val="24"/>
                <w:szCs w:val="24"/>
              </w:rPr>
              <w:t xml:space="preserve"> </w:t>
            </w:r>
            <w:r w:rsidRPr="005D5D94">
              <w:rPr>
                <w:rFonts w:ascii="Arial" w:eastAsia="Times New Roman" w:hAnsi="Arial" w:cs="Arial"/>
                <w:b/>
                <w:sz w:val="24"/>
                <w:szCs w:val="24"/>
              </w:rPr>
              <w:t>De Silva</w:t>
            </w:r>
          </w:p>
        </w:tc>
        <w:tc>
          <w:tcPr>
            <w:tcW w:w="2166" w:type="dxa"/>
            <w:shd w:val="clear" w:color="auto" w:fill="D9D9D9"/>
          </w:tcPr>
          <w:p w14:paraId="020438C1"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Internal Verifier:</w:t>
            </w:r>
          </w:p>
        </w:tc>
        <w:tc>
          <w:tcPr>
            <w:tcW w:w="2601" w:type="dxa"/>
          </w:tcPr>
          <w:p w14:paraId="7701FFD4" w14:textId="17E754B1"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Charlotte Joyner</w:t>
            </w:r>
          </w:p>
        </w:tc>
      </w:tr>
      <w:tr w:rsidR="005D5D94" w:rsidRPr="005D5D94" w14:paraId="360F94A2" w14:textId="77777777" w:rsidTr="00975661">
        <w:tblPrEx>
          <w:shd w:val="clear" w:color="auto" w:fill="auto"/>
          <w:tblLook w:val="0000" w:firstRow="0" w:lastRow="0" w:firstColumn="0" w:lastColumn="0" w:noHBand="0" w:noVBand="0"/>
        </w:tblPrEx>
        <w:trPr>
          <w:trHeight w:val="1383"/>
        </w:trPr>
        <w:tc>
          <w:tcPr>
            <w:tcW w:w="1890" w:type="dxa"/>
            <w:shd w:val="pct15" w:color="auto" w:fill="auto"/>
          </w:tcPr>
          <w:p w14:paraId="4915047C"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Assignment Title:</w:t>
            </w:r>
          </w:p>
        </w:tc>
        <w:tc>
          <w:tcPr>
            <w:tcW w:w="4038" w:type="dxa"/>
          </w:tcPr>
          <w:p w14:paraId="5C0A8A17" w14:textId="413E2629"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Assignment 1 Student</w:t>
            </w:r>
            <w:r>
              <w:rPr>
                <w:rFonts w:ascii="Arial" w:eastAsia="Times New Roman" w:hAnsi="Arial" w:cs="Arial"/>
                <w:b/>
                <w:sz w:val="24"/>
                <w:szCs w:val="24"/>
              </w:rPr>
              <w:t xml:space="preserve"> </w:t>
            </w:r>
            <w:r w:rsidRPr="005D5D94">
              <w:rPr>
                <w:rFonts w:ascii="Arial" w:eastAsia="Times New Roman" w:hAnsi="Arial" w:cs="Arial"/>
                <w:b/>
                <w:sz w:val="24"/>
                <w:szCs w:val="24"/>
              </w:rPr>
              <w:t>Journal (750 Word Learning</w:t>
            </w:r>
          </w:p>
          <w:p w14:paraId="4659D805" w14:textId="788BC5F8"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Log)</w:t>
            </w:r>
          </w:p>
        </w:tc>
        <w:tc>
          <w:tcPr>
            <w:tcW w:w="2166" w:type="dxa"/>
            <w:shd w:val="pct15" w:color="auto" w:fill="auto"/>
          </w:tcPr>
          <w:p w14:paraId="7FC122E3"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Word count (or equivalent):</w:t>
            </w:r>
          </w:p>
        </w:tc>
        <w:tc>
          <w:tcPr>
            <w:tcW w:w="2601" w:type="dxa"/>
          </w:tcPr>
          <w:p w14:paraId="2F644DF6" w14:textId="43F26C2D"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750 Words (+/- 10%)</w:t>
            </w:r>
          </w:p>
        </w:tc>
      </w:tr>
      <w:tr w:rsidR="005D5D94" w:rsidRPr="005D5D94" w14:paraId="5191690D" w14:textId="77777777" w:rsidTr="00975661">
        <w:tblPrEx>
          <w:shd w:val="clear" w:color="auto" w:fill="auto"/>
          <w:tblLook w:val="0000" w:firstRow="0" w:lastRow="0" w:firstColumn="0" w:lastColumn="0" w:noHBand="0" w:noVBand="0"/>
        </w:tblPrEx>
        <w:trPr>
          <w:trHeight w:val="1607"/>
        </w:trPr>
        <w:tc>
          <w:tcPr>
            <w:tcW w:w="1890" w:type="dxa"/>
            <w:shd w:val="pct15" w:color="auto" w:fill="auto"/>
          </w:tcPr>
          <w:p w14:paraId="0EC5E285"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Submission deadline:</w:t>
            </w:r>
          </w:p>
        </w:tc>
        <w:tc>
          <w:tcPr>
            <w:tcW w:w="4038" w:type="dxa"/>
            <w:shd w:val="clear" w:color="auto" w:fill="auto"/>
          </w:tcPr>
          <w:p w14:paraId="2020CA05" w14:textId="6DDD4CC4"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Friday 19th of May</w:t>
            </w:r>
          </w:p>
        </w:tc>
        <w:tc>
          <w:tcPr>
            <w:tcW w:w="2166" w:type="dxa"/>
            <w:shd w:val="pct15" w:color="auto" w:fill="auto"/>
          </w:tcPr>
          <w:p w14:paraId="24F2E52E" w14:textId="77777777"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Return date of provisional marks &amp; written feedback:</w:t>
            </w:r>
          </w:p>
        </w:tc>
        <w:tc>
          <w:tcPr>
            <w:tcW w:w="2601" w:type="dxa"/>
          </w:tcPr>
          <w:p w14:paraId="0C3B1496" w14:textId="054A16FF" w:rsidR="005D5D94" w:rsidRPr="005D5D94" w:rsidRDefault="005D5D94" w:rsidP="00975661">
            <w:pPr>
              <w:spacing w:line="360" w:lineRule="auto"/>
              <w:rPr>
                <w:rFonts w:ascii="Arial" w:eastAsia="Times New Roman" w:hAnsi="Arial" w:cs="Arial"/>
                <w:b/>
                <w:sz w:val="24"/>
                <w:szCs w:val="24"/>
              </w:rPr>
            </w:pPr>
            <w:r w:rsidRPr="005D5D94">
              <w:rPr>
                <w:rFonts w:ascii="Arial" w:eastAsia="Times New Roman" w:hAnsi="Arial" w:cs="Arial"/>
                <w:b/>
                <w:sz w:val="24"/>
                <w:szCs w:val="24"/>
              </w:rPr>
              <w:t>Friday 16th of June 23.59 2023</w:t>
            </w:r>
          </w:p>
        </w:tc>
      </w:tr>
      <w:tr w:rsidR="00975661" w:rsidRPr="005D5D94" w14:paraId="1B2A3B10" w14:textId="77777777" w:rsidTr="00975661">
        <w:tblPrEx>
          <w:shd w:val="clear" w:color="auto" w:fill="auto"/>
          <w:tblLook w:val="0000" w:firstRow="0" w:lastRow="0" w:firstColumn="0" w:lastColumn="0" w:noHBand="0" w:noVBand="0"/>
        </w:tblPrEx>
        <w:trPr>
          <w:trHeight w:val="510"/>
        </w:trPr>
        <w:tc>
          <w:tcPr>
            <w:tcW w:w="1890" w:type="dxa"/>
            <w:shd w:val="pct15" w:color="auto" w:fill="auto"/>
          </w:tcPr>
          <w:p w14:paraId="1A87B555" w14:textId="198BFAF5" w:rsidR="00975661" w:rsidRPr="005D5D94" w:rsidRDefault="00975661" w:rsidP="00975661">
            <w:pPr>
              <w:spacing w:line="360" w:lineRule="auto"/>
              <w:rPr>
                <w:rFonts w:ascii="Arial" w:eastAsia="Times New Roman" w:hAnsi="Arial" w:cs="Arial"/>
                <w:b/>
                <w:sz w:val="24"/>
                <w:szCs w:val="24"/>
              </w:rPr>
            </w:pPr>
            <w:r>
              <w:rPr>
                <w:rFonts w:ascii="Arial" w:eastAsia="Times New Roman" w:hAnsi="Arial" w:cs="Arial"/>
                <w:b/>
                <w:sz w:val="24"/>
                <w:szCs w:val="24"/>
              </w:rPr>
              <w:t>Word  count</w:t>
            </w:r>
          </w:p>
        </w:tc>
        <w:tc>
          <w:tcPr>
            <w:tcW w:w="4038" w:type="dxa"/>
            <w:shd w:val="clear" w:color="auto" w:fill="auto"/>
          </w:tcPr>
          <w:p w14:paraId="63444941" w14:textId="5C4FFC2C" w:rsidR="00975661" w:rsidRPr="005D5D94" w:rsidRDefault="00EE311A" w:rsidP="00975661">
            <w:pPr>
              <w:spacing w:line="360" w:lineRule="auto"/>
              <w:rPr>
                <w:rFonts w:ascii="Arial" w:eastAsia="Times New Roman" w:hAnsi="Arial" w:cs="Arial"/>
                <w:b/>
                <w:sz w:val="24"/>
                <w:szCs w:val="24"/>
              </w:rPr>
            </w:pPr>
            <w:r>
              <w:rPr>
                <w:rFonts w:ascii="Arial" w:eastAsia="Times New Roman" w:hAnsi="Arial" w:cs="Arial"/>
                <w:b/>
                <w:sz w:val="24"/>
                <w:szCs w:val="24"/>
              </w:rPr>
              <w:t>6</w:t>
            </w:r>
            <w:r w:rsidR="005A107C">
              <w:rPr>
                <w:rFonts w:ascii="Arial" w:eastAsia="Times New Roman" w:hAnsi="Arial" w:cs="Arial"/>
                <w:b/>
                <w:sz w:val="24"/>
                <w:szCs w:val="24"/>
              </w:rPr>
              <w:t>63</w:t>
            </w:r>
          </w:p>
        </w:tc>
        <w:tc>
          <w:tcPr>
            <w:tcW w:w="2166" w:type="dxa"/>
            <w:shd w:val="pct15" w:color="auto" w:fill="auto"/>
          </w:tcPr>
          <w:p w14:paraId="4DBB387A" w14:textId="5B475963" w:rsidR="00975661" w:rsidRPr="005D5D94" w:rsidRDefault="00975661" w:rsidP="00975661">
            <w:pPr>
              <w:spacing w:line="360" w:lineRule="auto"/>
              <w:rPr>
                <w:rFonts w:ascii="Arial" w:eastAsia="Times New Roman" w:hAnsi="Arial" w:cs="Arial"/>
                <w:b/>
                <w:sz w:val="24"/>
                <w:szCs w:val="24"/>
              </w:rPr>
            </w:pPr>
            <w:r>
              <w:rPr>
                <w:rFonts w:ascii="Arial" w:eastAsia="Times New Roman" w:hAnsi="Arial" w:cs="Arial"/>
                <w:b/>
                <w:sz w:val="24"/>
                <w:szCs w:val="24"/>
              </w:rPr>
              <w:t>Date:</w:t>
            </w:r>
          </w:p>
        </w:tc>
        <w:tc>
          <w:tcPr>
            <w:tcW w:w="2601" w:type="dxa"/>
          </w:tcPr>
          <w:p w14:paraId="22726F72" w14:textId="678DCA09" w:rsidR="00975661" w:rsidRPr="005D5D94" w:rsidRDefault="00EE311A" w:rsidP="00975661">
            <w:pPr>
              <w:spacing w:line="360" w:lineRule="auto"/>
              <w:rPr>
                <w:rFonts w:ascii="Arial" w:eastAsia="Times New Roman" w:hAnsi="Arial" w:cs="Arial"/>
                <w:b/>
                <w:sz w:val="24"/>
                <w:szCs w:val="24"/>
              </w:rPr>
            </w:pPr>
            <w:r>
              <w:rPr>
                <w:rFonts w:ascii="Arial" w:eastAsia="Times New Roman" w:hAnsi="Arial" w:cs="Arial"/>
                <w:b/>
                <w:sz w:val="24"/>
                <w:szCs w:val="24"/>
              </w:rPr>
              <w:t>16.05.2023</w:t>
            </w:r>
          </w:p>
        </w:tc>
      </w:tr>
    </w:tbl>
    <w:p w14:paraId="3EAF87B3" w14:textId="0858EB4A" w:rsidR="00975661" w:rsidRDefault="00975661" w:rsidP="00A8015B">
      <w:pPr>
        <w:spacing w:line="360" w:lineRule="auto"/>
        <w:rPr>
          <w:rFonts w:ascii="Arial" w:eastAsia="Times New Roman" w:hAnsi="Arial" w:cs="Arial"/>
          <w:sz w:val="24"/>
          <w:szCs w:val="24"/>
        </w:rPr>
      </w:pPr>
      <w:r w:rsidRPr="00975661">
        <w:rPr>
          <w:rFonts w:ascii="Arial" w:eastAsia="Times New Roman" w:hAnsi="Arial" w:cs="Arial"/>
          <w:sz w:val="24"/>
          <w:szCs w:val="24"/>
        </w:rPr>
        <w:drawing>
          <wp:inline distT="0" distB="0" distL="0" distR="0" wp14:anchorId="02789FE9" wp14:editId="14A6D447">
            <wp:extent cx="4267200" cy="853440"/>
            <wp:effectExtent l="0" t="0" r="0" b="3810"/>
            <wp:docPr id="1" name="Picture 1"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67200" cy="853440"/>
                    </a:xfrm>
                    <a:prstGeom prst="rect">
                      <a:avLst/>
                    </a:prstGeom>
                    <a:noFill/>
                    <a:ln>
                      <a:noFill/>
                    </a:ln>
                  </pic:spPr>
                </pic:pic>
              </a:graphicData>
            </a:graphic>
          </wp:inline>
        </w:drawing>
      </w:r>
      <w:r w:rsidR="00486DE7">
        <w:rPr>
          <w:rFonts w:ascii="Arial" w:eastAsia="Times New Roman" w:hAnsi="Arial" w:cs="Arial"/>
          <w:sz w:val="24"/>
          <w:szCs w:val="24"/>
        </w:rPr>
        <w:t xml:space="preserve">  </w:t>
      </w:r>
    </w:p>
    <w:p w14:paraId="78666771" w14:textId="77777777" w:rsidR="00975661" w:rsidRDefault="00975661" w:rsidP="00A8015B">
      <w:pPr>
        <w:spacing w:line="360" w:lineRule="auto"/>
        <w:rPr>
          <w:rFonts w:ascii="Arial" w:eastAsia="Times New Roman" w:hAnsi="Arial" w:cs="Arial"/>
          <w:sz w:val="24"/>
          <w:szCs w:val="24"/>
        </w:rPr>
      </w:pPr>
    </w:p>
    <w:p w14:paraId="7935DD24" w14:textId="77777777" w:rsidR="00975661" w:rsidRDefault="00975661" w:rsidP="00A8015B">
      <w:pPr>
        <w:spacing w:line="360" w:lineRule="auto"/>
        <w:rPr>
          <w:rFonts w:ascii="Arial" w:eastAsia="Times New Roman" w:hAnsi="Arial" w:cs="Arial"/>
          <w:sz w:val="24"/>
          <w:szCs w:val="24"/>
        </w:rPr>
      </w:pPr>
    </w:p>
    <w:p w14:paraId="6492E680" w14:textId="77777777" w:rsidR="00975661" w:rsidRDefault="00975661" w:rsidP="00A8015B">
      <w:pPr>
        <w:spacing w:line="360" w:lineRule="auto"/>
        <w:rPr>
          <w:rFonts w:ascii="Arial" w:eastAsia="Times New Roman" w:hAnsi="Arial" w:cs="Arial"/>
          <w:sz w:val="24"/>
          <w:szCs w:val="24"/>
        </w:rPr>
      </w:pPr>
    </w:p>
    <w:p w14:paraId="3E645E82" w14:textId="4F1F0BF8" w:rsidR="00975661" w:rsidRDefault="00975661" w:rsidP="00A8015B">
      <w:pPr>
        <w:spacing w:line="360" w:lineRule="auto"/>
        <w:rPr>
          <w:rFonts w:ascii="Arial" w:eastAsia="Times New Roman" w:hAnsi="Arial" w:cs="Arial"/>
          <w:sz w:val="24"/>
          <w:szCs w:val="24"/>
        </w:rPr>
      </w:pPr>
    </w:p>
    <w:p w14:paraId="602DFC85" w14:textId="2A273F2E" w:rsidR="004E6C28" w:rsidRDefault="00A8015B" w:rsidP="00A8015B">
      <w:pPr>
        <w:spacing w:line="360" w:lineRule="auto"/>
        <w:rPr>
          <w:rFonts w:ascii="Arial" w:eastAsia="Times New Roman" w:hAnsi="Arial" w:cs="Arial"/>
          <w:sz w:val="24"/>
          <w:szCs w:val="24"/>
        </w:rPr>
      </w:pPr>
      <w:r w:rsidRPr="00A8015B">
        <w:rPr>
          <w:rFonts w:ascii="Arial" w:eastAsia="Times New Roman" w:hAnsi="Arial" w:cs="Arial"/>
          <w:sz w:val="24"/>
          <w:szCs w:val="24"/>
        </w:rPr>
        <w:br/>
      </w:r>
      <w:r w:rsidRPr="00A8015B">
        <w:rPr>
          <w:rFonts w:ascii="Arial" w:eastAsia="Times New Roman" w:hAnsi="Arial" w:cs="Arial"/>
          <w:sz w:val="24"/>
          <w:szCs w:val="24"/>
        </w:rPr>
        <w:br/>
      </w:r>
    </w:p>
    <w:p w14:paraId="534780DC" w14:textId="77777777" w:rsidR="004E6C28" w:rsidRDefault="004E6C28" w:rsidP="00A8015B">
      <w:pPr>
        <w:spacing w:line="360" w:lineRule="auto"/>
        <w:rPr>
          <w:rFonts w:ascii="Arial" w:eastAsia="Times New Roman" w:hAnsi="Arial" w:cs="Arial"/>
          <w:sz w:val="24"/>
          <w:szCs w:val="24"/>
        </w:rPr>
      </w:pPr>
    </w:p>
    <w:p w14:paraId="766F80E0" w14:textId="3ABDF2C7" w:rsidR="004E6C28" w:rsidRPr="004E6C28" w:rsidRDefault="004E6C28" w:rsidP="00A8015B">
      <w:pPr>
        <w:spacing w:line="360" w:lineRule="auto"/>
        <w:rPr>
          <w:rFonts w:ascii="Arial" w:eastAsia="Times New Roman" w:hAnsi="Arial" w:cs="Arial"/>
          <w:b/>
          <w:bCs/>
          <w:sz w:val="32"/>
          <w:szCs w:val="32"/>
        </w:rPr>
      </w:pPr>
      <w:r w:rsidRPr="004E6C28">
        <w:rPr>
          <w:rFonts w:ascii="Arial" w:eastAsia="Times New Roman" w:hAnsi="Arial" w:cs="Arial"/>
          <w:b/>
          <w:bCs/>
          <w:sz w:val="32"/>
          <w:szCs w:val="32"/>
        </w:rPr>
        <w:t>Does the required skill set of a Food &amp; Beverage employee change, based on the type of business and the type of service that is offered?</w:t>
      </w:r>
    </w:p>
    <w:p w14:paraId="34B8DFD7" w14:textId="77777777" w:rsidR="004E6C28" w:rsidRDefault="004E6C28" w:rsidP="00A8015B">
      <w:pPr>
        <w:spacing w:line="360" w:lineRule="auto"/>
        <w:rPr>
          <w:rFonts w:ascii="Arial" w:eastAsia="Times New Roman" w:hAnsi="Arial" w:cs="Arial"/>
          <w:sz w:val="24"/>
          <w:szCs w:val="24"/>
        </w:rPr>
      </w:pPr>
    </w:p>
    <w:p w14:paraId="6BD25140" w14:textId="77777777" w:rsidR="004E6C28" w:rsidRDefault="004E6C28" w:rsidP="00A8015B">
      <w:pPr>
        <w:spacing w:line="360" w:lineRule="auto"/>
        <w:rPr>
          <w:rFonts w:ascii="Arial" w:eastAsia="Times New Roman" w:hAnsi="Arial" w:cs="Arial"/>
          <w:sz w:val="24"/>
          <w:szCs w:val="24"/>
        </w:rPr>
      </w:pPr>
    </w:p>
    <w:p w14:paraId="27A35F5F" w14:textId="77777777" w:rsidR="004E6C28" w:rsidRDefault="004E6C28" w:rsidP="00A8015B">
      <w:pPr>
        <w:spacing w:line="360" w:lineRule="auto"/>
        <w:rPr>
          <w:rFonts w:ascii="Arial" w:eastAsia="Times New Roman" w:hAnsi="Arial" w:cs="Arial"/>
          <w:sz w:val="24"/>
          <w:szCs w:val="24"/>
        </w:rPr>
      </w:pPr>
    </w:p>
    <w:p w14:paraId="1572F0D2" w14:textId="77777777" w:rsidR="004E6C28" w:rsidRDefault="004E6C28" w:rsidP="00A8015B">
      <w:pPr>
        <w:spacing w:line="360" w:lineRule="auto"/>
        <w:rPr>
          <w:rFonts w:ascii="Arial" w:eastAsia="Times New Roman" w:hAnsi="Arial" w:cs="Arial"/>
          <w:sz w:val="24"/>
          <w:szCs w:val="24"/>
        </w:rPr>
      </w:pPr>
    </w:p>
    <w:p w14:paraId="4BF1F545" w14:textId="77777777" w:rsidR="004E6C28" w:rsidRDefault="004E6C28" w:rsidP="00A8015B">
      <w:pPr>
        <w:spacing w:line="360" w:lineRule="auto"/>
        <w:rPr>
          <w:rFonts w:ascii="Arial" w:eastAsia="Times New Roman" w:hAnsi="Arial" w:cs="Arial"/>
          <w:sz w:val="24"/>
          <w:szCs w:val="24"/>
        </w:rPr>
      </w:pPr>
    </w:p>
    <w:p w14:paraId="729ED70D" w14:textId="77777777" w:rsidR="004E6C28" w:rsidRDefault="004E6C28" w:rsidP="00A8015B">
      <w:pPr>
        <w:spacing w:line="360" w:lineRule="auto"/>
        <w:rPr>
          <w:rFonts w:ascii="Arial" w:eastAsia="Times New Roman" w:hAnsi="Arial" w:cs="Arial"/>
          <w:sz w:val="24"/>
          <w:szCs w:val="24"/>
        </w:rPr>
      </w:pPr>
    </w:p>
    <w:p w14:paraId="7468DF4C" w14:textId="00DE3840" w:rsidR="00155E41" w:rsidRDefault="00A8015B" w:rsidP="005A107C">
      <w:pPr>
        <w:spacing w:line="360" w:lineRule="auto"/>
        <w:rPr>
          <w:rFonts w:ascii="Arial" w:eastAsia="Times New Roman" w:hAnsi="Arial" w:cs="Arial"/>
          <w:sz w:val="24"/>
          <w:szCs w:val="24"/>
        </w:rPr>
      </w:pPr>
      <w:r w:rsidRPr="00A8015B">
        <w:rPr>
          <w:rFonts w:ascii="Arial" w:eastAsia="Times New Roman" w:hAnsi="Arial" w:cs="Arial"/>
          <w:sz w:val="24"/>
          <w:szCs w:val="24"/>
        </w:rPr>
        <w:t>The process of engaging in reflective practices serves as a valuable tool in cultivating the abilities of students through ongoing evaluation and practical experiences.</w:t>
      </w:r>
      <w:r w:rsidR="007F5375" w:rsidRPr="007F5375">
        <w:t xml:space="preserve"> </w:t>
      </w:r>
      <w:bookmarkStart w:id="0" w:name="_Hlk135162881"/>
      <w:r w:rsidR="007F5375" w:rsidRPr="007F5375">
        <w:rPr>
          <w:rFonts w:ascii="Arial" w:eastAsia="Times New Roman" w:hAnsi="Arial" w:cs="Arial"/>
          <w:sz w:val="24"/>
          <w:szCs w:val="24"/>
        </w:rPr>
        <w:t>(Helyer, 2015)</w:t>
      </w:r>
      <w:r w:rsidRPr="00A8015B">
        <w:rPr>
          <w:rFonts w:ascii="Arial" w:eastAsia="Times New Roman" w:hAnsi="Arial" w:cs="Arial"/>
          <w:sz w:val="24"/>
          <w:szCs w:val="24"/>
        </w:rPr>
        <w:t xml:space="preserve"> </w:t>
      </w:r>
      <w:bookmarkEnd w:id="0"/>
      <w:r w:rsidRPr="00A8015B">
        <w:rPr>
          <w:rFonts w:ascii="Arial" w:eastAsia="Times New Roman" w:hAnsi="Arial" w:cs="Arial"/>
          <w:sz w:val="24"/>
          <w:szCs w:val="24"/>
        </w:rPr>
        <w:t>The focus of this course was food and beverage operations</w:t>
      </w:r>
      <w:r w:rsidR="006516B3">
        <w:rPr>
          <w:rFonts w:ascii="Arial" w:eastAsia="Times New Roman" w:hAnsi="Arial" w:cs="Arial"/>
          <w:sz w:val="24"/>
          <w:szCs w:val="24"/>
        </w:rPr>
        <w:t xml:space="preserve"> in the Hospitality Industry. </w:t>
      </w:r>
      <w:r w:rsidR="0003759F" w:rsidRPr="0003759F">
        <w:rPr>
          <w:rFonts w:ascii="Arial" w:eastAsia="Times New Roman" w:hAnsi="Arial" w:cs="Arial"/>
          <w:sz w:val="24"/>
          <w:szCs w:val="24"/>
        </w:rPr>
        <w:t xml:space="preserve">Throughout my educational journey, I have </w:t>
      </w:r>
      <w:r w:rsidR="0003759F" w:rsidRPr="0003759F">
        <w:rPr>
          <w:rFonts w:ascii="Arial" w:eastAsia="Times New Roman" w:hAnsi="Arial" w:cs="Arial"/>
          <w:sz w:val="24"/>
          <w:szCs w:val="24"/>
        </w:rPr>
        <w:t>boarded</w:t>
      </w:r>
      <w:r w:rsidR="0003759F" w:rsidRPr="0003759F">
        <w:rPr>
          <w:rFonts w:ascii="Arial" w:eastAsia="Times New Roman" w:hAnsi="Arial" w:cs="Arial"/>
          <w:sz w:val="24"/>
          <w:szCs w:val="24"/>
        </w:rPr>
        <w:t xml:space="preserve"> on a </w:t>
      </w:r>
      <w:r w:rsidR="0003759F" w:rsidRPr="0003759F">
        <w:rPr>
          <w:rFonts w:ascii="Arial" w:eastAsia="Times New Roman" w:hAnsi="Arial" w:cs="Arial"/>
          <w:sz w:val="24"/>
          <w:szCs w:val="24"/>
        </w:rPr>
        <w:t>reflective</w:t>
      </w:r>
      <w:r w:rsidR="0003759F" w:rsidRPr="0003759F">
        <w:rPr>
          <w:rFonts w:ascii="Arial" w:eastAsia="Times New Roman" w:hAnsi="Arial" w:cs="Arial"/>
          <w:sz w:val="24"/>
          <w:szCs w:val="24"/>
        </w:rPr>
        <w:t xml:space="preserve"> exploration of the </w:t>
      </w:r>
      <w:r w:rsidR="0003759F" w:rsidRPr="0003759F">
        <w:rPr>
          <w:rFonts w:ascii="Arial" w:eastAsia="Times New Roman" w:hAnsi="Arial" w:cs="Arial"/>
          <w:sz w:val="24"/>
          <w:szCs w:val="24"/>
        </w:rPr>
        <w:t>complex</w:t>
      </w:r>
      <w:r w:rsidR="0003759F" w:rsidRPr="0003759F">
        <w:rPr>
          <w:rFonts w:ascii="Arial" w:eastAsia="Times New Roman" w:hAnsi="Arial" w:cs="Arial"/>
          <w:sz w:val="24"/>
          <w:szCs w:val="24"/>
        </w:rPr>
        <w:t xml:space="preserve"> </w:t>
      </w:r>
      <w:r w:rsidR="0003759F" w:rsidRPr="0003759F">
        <w:rPr>
          <w:rFonts w:ascii="Arial" w:eastAsia="Times New Roman" w:hAnsi="Arial" w:cs="Arial"/>
          <w:sz w:val="24"/>
          <w:szCs w:val="24"/>
        </w:rPr>
        <w:t>sphere</w:t>
      </w:r>
      <w:r w:rsidR="0003759F" w:rsidRPr="0003759F">
        <w:rPr>
          <w:rFonts w:ascii="Arial" w:eastAsia="Times New Roman" w:hAnsi="Arial" w:cs="Arial"/>
          <w:sz w:val="24"/>
          <w:szCs w:val="24"/>
        </w:rPr>
        <w:t xml:space="preserve"> of food and beverage operations, enabling me to acquire a comprehensive understanding of its diverse </w:t>
      </w:r>
      <w:r w:rsidR="0003759F" w:rsidRPr="0003759F">
        <w:rPr>
          <w:rFonts w:ascii="Arial" w:eastAsia="Times New Roman" w:hAnsi="Arial" w:cs="Arial"/>
          <w:sz w:val="24"/>
          <w:szCs w:val="24"/>
        </w:rPr>
        <w:t>aspects</w:t>
      </w:r>
      <w:r w:rsidR="0003759F" w:rsidRPr="0003759F">
        <w:rPr>
          <w:rFonts w:ascii="Arial" w:eastAsia="Times New Roman" w:hAnsi="Arial" w:cs="Arial"/>
          <w:sz w:val="24"/>
          <w:szCs w:val="24"/>
        </w:rPr>
        <w:t xml:space="preserve">. </w:t>
      </w:r>
      <w:r w:rsidR="00897214" w:rsidRPr="00897214">
        <w:rPr>
          <w:rFonts w:ascii="Arial" w:eastAsia="Times New Roman" w:hAnsi="Arial" w:cs="Arial"/>
          <w:sz w:val="24"/>
          <w:szCs w:val="24"/>
        </w:rPr>
        <w:t xml:space="preserve">Cousins et al., </w:t>
      </w:r>
      <w:r w:rsidR="00897214">
        <w:rPr>
          <w:rFonts w:ascii="Arial" w:eastAsia="Times New Roman" w:hAnsi="Arial" w:cs="Arial"/>
          <w:sz w:val="24"/>
          <w:szCs w:val="24"/>
        </w:rPr>
        <w:t>(</w:t>
      </w:r>
      <w:r w:rsidR="00897214" w:rsidRPr="00897214">
        <w:rPr>
          <w:rFonts w:ascii="Arial" w:eastAsia="Times New Roman" w:hAnsi="Arial" w:cs="Arial"/>
          <w:sz w:val="24"/>
          <w:szCs w:val="24"/>
        </w:rPr>
        <w:t>201</w:t>
      </w:r>
      <w:r w:rsidR="00897214">
        <w:rPr>
          <w:rFonts w:ascii="Arial" w:eastAsia="Times New Roman" w:hAnsi="Arial" w:cs="Arial"/>
          <w:sz w:val="24"/>
          <w:szCs w:val="24"/>
        </w:rPr>
        <w:t xml:space="preserve">9) states that </w:t>
      </w:r>
      <w:r w:rsidR="00897214" w:rsidRPr="0003759F">
        <w:rPr>
          <w:rFonts w:ascii="Arial" w:eastAsia="Times New Roman" w:hAnsi="Arial" w:cs="Arial"/>
          <w:sz w:val="24"/>
          <w:szCs w:val="24"/>
        </w:rPr>
        <w:t>engaging</w:t>
      </w:r>
      <w:r w:rsidR="0003759F" w:rsidRPr="0003759F">
        <w:rPr>
          <w:rFonts w:ascii="Arial" w:eastAsia="Times New Roman" w:hAnsi="Arial" w:cs="Arial"/>
          <w:sz w:val="24"/>
          <w:szCs w:val="24"/>
        </w:rPr>
        <w:t xml:space="preserve"> with a </w:t>
      </w:r>
      <w:r w:rsidR="0003759F" w:rsidRPr="0003759F">
        <w:rPr>
          <w:rFonts w:ascii="Arial" w:eastAsia="Times New Roman" w:hAnsi="Arial" w:cs="Arial"/>
          <w:sz w:val="24"/>
          <w:szCs w:val="24"/>
        </w:rPr>
        <w:t>multitude</w:t>
      </w:r>
      <w:r w:rsidR="0003759F" w:rsidRPr="0003759F">
        <w:rPr>
          <w:rFonts w:ascii="Arial" w:eastAsia="Times New Roman" w:hAnsi="Arial" w:cs="Arial"/>
          <w:sz w:val="24"/>
          <w:szCs w:val="24"/>
        </w:rPr>
        <w:t xml:space="preserve"> of theoretical frameworks and pertinent business models</w:t>
      </w:r>
      <w:r w:rsidR="00897214">
        <w:rPr>
          <w:rFonts w:ascii="Arial" w:eastAsia="Times New Roman" w:hAnsi="Arial" w:cs="Arial"/>
          <w:sz w:val="24"/>
          <w:szCs w:val="24"/>
        </w:rPr>
        <w:t xml:space="preserve"> used in the Hospitality </w:t>
      </w:r>
      <w:r w:rsidR="005A107C">
        <w:rPr>
          <w:rFonts w:ascii="Arial" w:eastAsia="Times New Roman" w:hAnsi="Arial" w:cs="Arial"/>
          <w:sz w:val="24"/>
          <w:szCs w:val="24"/>
        </w:rPr>
        <w:t xml:space="preserve">service will shape skills and abilities. </w:t>
      </w:r>
      <w:r w:rsidR="0003759F" w:rsidRPr="0003759F">
        <w:rPr>
          <w:rFonts w:ascii="Arial" w:eastAsia="Times New Roman" w:hAnsi="Arial" w:cs="Arial"/>
          <w:sz w:val="24"/>
          <w:szCs w:val="24"/>
        </w:rPr>
        <w:t xml:space="preserve"> </w:t>
      </w:r>
      <w:r w:rsidR="0003759F" w:rsidRPr="0003759F">
        <w:rPr>
          <w:rFonts w:ascii="Arial" w:eastAsia="Times New Roman" w:hAnsi="Arial" w:cs="Arial"/>
          <w:sz w:val="24"/>
          <w:szCs w:val="24"/>
        </w:rPr>
        <w:t>I have had the opportunity to expand my knowledge and hone my skills in this domain.</w:t>
      </w:r>
      <w:r w:rsidR="0003759F" w:rsidRPr="0003759F">
        <w:rPr>
          <w:rFonts w:ascii="Arial" w:eastAsia="Times New Roman" w:hAnsi="Arial" w:cs="Arial"/>
          <w:sz w:val="24"/>
          <w:szCs w:val="24"/>
        </w:rPr>
        <w:t xml:space="preserve"> </w:t>
      </w:r>
      <w:r w:rsidRPr="00A8015B">
        <w:rPr>
          <w:rFonts w:ascii="Arial" w:eastAsia="Times New Roman" w:hAnsi="Arial" w:cs="Arial"/>
          <w:sz w:val="24"/>
          <w:szCs w:val="24"/>
        </w:rPr>
        <w:t xml:space="preserve">In this learning log, I will expound upon my experience and insights garnered during each </w:t>
      </w:r>
      <w:r w:rsidR="006516B3" w:rsidRPr="00A8015B">
        <w:rPr>
          <w:rFonts w:ascii="Arial" w:eastAsia="Times New Roman" w:hAnsi="Arial" w:cs="Arial"/>
          <w:sz w:val="24"/>
          <w:szCs w:val="24"/>
        </w:rPr>
        <w:t>module.</w:t>
      </w:r>
      <w:r w:rsidR="006516B3">
        <w:rPr>
          <w:rFonts w:ascii="Arial" w:eastAsia="Times New Roman" w:hAnsi="Arial" w:cs="Arial"/>
          <w:sz w:val="24"/>
          <w:szCs w:val="24"/>
        </w:rPr>
        <w:t xml:space="preserve"> Reflective </w:t>
      </w:r>
      <w:r w:rsidR="00155E41">
        <w:rPr>
          <w:rFonts w:ascii="Arial" w:eastAsia="Times New Roman" w:hAnsi="Arial" w:cs="Arial"/>
          <w:sz w:val="24"/>
          <w:szCs w:val="24"/>
        </w:rPr>
        <w:t>understanding</w:t>
      </w:r>
      <w:r w:rsidR="006516B3">
        <w:rPr>
          <w:rFonts w:ascii="Arial" w:eastAsia="Times New Roman" w:hAnsi="Arial" w:cs="Arial"/>
          <w:sz w:val="24"/>
          <w:szCs w:val="24"/>
        </w:rPr>
        <w:t xml:space="preserve"> can </w:t>
      </w:r>
      <w:r w:rsidR="00155E41">
        <w:rPr>
          <w:rFonts w:ascii="Arial" w:eastAsia="Times New Roman" w:hAnsi="Arial" w:cs="Arial"/>
          <w:sz w:val="24"/>
          <w:szCs w:val="24"/>
        </w:rPr>
        <w:t xml:space="preserve">be </w:t>
      </w:r>
      <w:r w:rsidR="006516B3">
        <w:rPr>
          <w:rFonts w:ascii="Arial" w:eastAsia="Times New Roman" w:hAnsi="Arial" w:cs="Arial"/>
          <w:sz w:val="24"/>
          <w:szCs w:val="24"/>
        </w:rPr>
        <w:t>use</w:t>
      </w:r>
      <w:r w:rsidR="00155E41">
        <w:rPr>
          <w:rFonts w:ascii="Arial" w:eastAsia="Times New Roman" w:hAnsi="Arial" w:cs="Arial"/>
          <w:sz w:val="24"/>
          <w:szCs w:val="24"/>
        </w:rPr>
        <w:t>d</w:t>
      </w:r>
      <w:r w:rsidR="006516B3">
        <w:rPr>
          <w:rFonts w:ascii="Arial" w:eastAsia="Times New Roman" w:hAnsi="Arial" w:cs="Arial"/>
          <w:sz w:val="24"/>
          <w:szCs w:val="24"/>
        </w:rPr>
        <w:t xml:space="preserve"> </w:t>
      </w:r>
      <w:r w:rsidR="00155E41">
        <w:rPr>
          <w:rFonts w:ascii="Arial" w:eastAsia="Times New Roman" w:hAnsi="Arial" w:cs="Arial"/>
          <w:sz w:val="24"/>
          <w:szCs w:val="24"/>
        </w:rPr>
        <w:t xml:space="preserve">as </w:t>
      </w:r>
      <w:r w:rsidR="006516B3">
        <w:rPr>
          <w:rFonts w:ascii="Arial" w:eastAsia="Times New Roman" w:hAnsi="Arial" w:cs="Arial"/>
          <w:sz w:val="24"/>
          <w:szCs w:val="24"/>
        </w:rPr>
        <w:t>conversion of experience into</w:t>
      </w:r>
      <w:r w:rsidR="00155E41">
        <w:rPr>
          <w:rFonts w:ascii="Arial" w:eastAsia="Times New Roman" w:hAnsi="Arial" w:cs="Arial"/>
          <w:sz w:val="24"/>
          <w:szCs w:val="24"/>
        </w:rPr>
        <w:t xml:space="preserve"> learning of how to act differently in the same given situation.</w:t>
      </w:r>
      <w:r w:rsidR="00897214" w:rsidRPr="00897214">
        <w:rPr>
          <w:rFonts w:ascii="Arial" w:eastAsia="Times New Roman" w:hAnsi="Arial" w:cs="Arial"/>
          <w:sz w:val="24"/>
          <w:szCs w:val="24"/>
        </w:rPr>
        <w:t xml:space="preserve"> </w:t>
      </w:r>
      <w:r w:rsidR="00897214" w:rsidRPr="00897214">
        <w:rPr>
          <w:rFonts w:ascii="Arial" w:eastAsia="Times New Roman" w:hAnsi="Arial" w:cs="Arial"/>
          <w:sz w:val="24"/>
          <w:szCs w:val="24"/>
        </w:rPr>
        <w:t>(Helyer, 2015)</w:t>
      </w:r>
      <w:r w:rsidRPr="00A8015B">
        <w:rPr>
          <w:rFonts w:ascii="Arial" w:eastAsia="Times New Roman" w:hAnsi="Arial" w:cs="Arial"/>
          <w:sz w:val="24"/>
          <w:szCs w:val="24"/>
        </w:rPr>
        <w:br/>
      </w:r>
    </w:p>
    <w:p w14:paraId="65E80708" w14:textId="77777777" w:rsidR="005A107C" w:rsidRDefault="005A107C" w:rsidP="005A107C">
      <w:pPr>
        <w:spacing w:line="360" w:lineRule="auto"/>
        <w:rPr>
          <w:rFonts w:ascii="Arial" w:eastAsia="Times New Roman" w:hAnsi="Arial" w:cs="Arial"/>
          <w:sz w:val="24"/>
          <w:szCs w:val="24"/>
        </w:rPr>
      </w:pPr>
      <w:r>
        <w:rPr>
          <w:rFonts w:ascii="Arial" w:eastAsia="Times New Roman" w:hAnsi="Arial" w:cs="Arial"/>
          <w:sz w:val="24"/>
          <w:szCs w:val="24"/>
        </w:rPr>
        <w:t xml:space="preserve">This reflective journal covers my first four weeks in the hospitality field and will aim to describe my experience through the process of reflection </w:t>
      </w:r>
    </w:p>
    <w:p w14:paraId="5AD1B253" w14:textId="041CF4CD" w:rsidR="00155E41" w:rsidRDefault="005A107C" w:rsidP="005A107C">
      <w:pPr>
        <w:spacing w:line="360" w:lineRule="auto"/>
        <w:rPr>
          <w:rFonts w:ascii="Arial" w:eastAsia="Times New Roman" w:hAnsi="Arial" w:cs="Arial"/>
          <w:sz w:val="24"/>
          <w:szCs w:val="24"/>
        </w:rPr>
      </w:pPr>
      <w:r>
        <w:rPr>
          <w:rFonts w:ascii="Arial" w:eastAsia="Times New Roman" w:hAnsi="Arial" w:cs="Arial"/>
          <w:sz w:val="24"/>
          <w:szCs w:val="24"/>
        </w:rPr>
        <w:t>Week</w:t>
      </w:r>
      <w:r w:rsidR="00F96CF3">
        <w:rPr>
          <w:rFonts w:ascii="Arial" w:eastAsia="Times New Roman" w:hAnsi="Arial" w:cs="Arial"/>
          <w:sz w:val="24"/>
          <w:szCs w:val="24"/>
        </w:rPr>
        <w:t xml:space="preserve"> </w:t>
      </w:r>
      <w:r w:rsidR="00155E41">
        <w:rPr>
          <w:rFonts w:ascii="Arial" w:eastAsia="Times New Roman" w:hAnsi="Arial" w:cs="Arial"/>
          <w:sz w:val="24"/>
          <w:szCs w:val="24"/>
        </w:rPr>
        <w:t>one</w:t>
      </w:r>
      <w:r w:rsidR="00A8015B" w:rsidRPr="00A8015B">
        <w:rPr>
          <w:rFonts w:ascii="Arial" w:eastAsia="Times New Roman" w:hAnsi="Arial" w:cs="Arial"/>
          <w:sz w:val="24"/>
          <w:szCs w:val="24"/>
        </w:rPr>
        <w:br/>
      </w:r>
      <w:r w:rsidR="00155E41" w:rsidRPr="00A8015B">
        <w:rPr>
          <w:rFonts w:ascii="Arial" w:eastAsia="Times New Roman" w:hAnsi="Arial" w:cs="Arial"/>
          <w:sz w:val="24"/>
          <w:szCs w:val="24"/>
        </w:rPr>
        <w:t>Throughout</w:t>
      </w:r>
      <w:r w:rsidR="00A8015B" w:rsidRPr="00A8015B">
        <w:rPr>
          <w:rFonts w:ascii="Arial" w:eastAsia="Times New Roman" w:hAnsi="Arial" w:cs="Arial"/>
          <w:sz w:val="24"/>
          <w:szCs w:val="24"/>
        </w:rPr>
        <w:t xml:space="preserve"> the first week, I was in</w:t>
      </w:r>
      <w:r w:rsidR="00155E41">
        <w:rPr>
          <w:rFonts w:ascii="Arial" w:eastAsia="Times New Roman" w:hAnsi="Arial" w:cs="Arial"/>
          <w:sz w:val="24"/>
          <w:szCs w:val="24"/>
        </w:rPr>
        <w:t>ducted</w:t>
      </w:r>
      <w:r w:rsidR="00A8015B" w:rsidRPr="00A8015B">
        <w:rPr>
          <w:rFonts w:ascii="Arial" w:eastAsia="Times New Roman" w:hAnsi="Arial" w:cs="Arial"/>
          <w:sz w:val="24"/>
          <w:szCs w:val="24"/>
        </w:rPr>
        <w:t xml:space="preserve"> to the course content and provided with guidance on the subject matter. </w:t>
      </w:r>
      <w:r w:rsidR="00155E41">
        <w:rPr>
          <w:rFonts w:ascii="Arial" w:eastAsia="Times New Roman" w:hAnsi="Arial" w:cs="Arial"/>
          <w:sz w:val="24"/>
          <w:szCs w:val="24"/>
        </w:rPr>
        <w:t>Our</w:t>
      </w:r>
      <w:r w:rsidR="00A8015B" w:rsidRPr="00A8015B">
        <w:rPr>
          <w:rFonts w:ascii="Arial" w:eastAsia="Times New Roman" w:hAnsi="Arial" w:cs="Arial"/>
          <w:sz w:val="24"/>
          <w:szCs w:val="24"/>
        </w:rPr>
        <w:t xml:space="preserve"> module leader acquainted us with assessment methodologies and grading criteria throughout the module</w:t>
      </w:r>
      <w:r w:rsidR="00C02866">
        <w:rPr>
          <w:rFonts w:ascii="Arial" w:eastAsia="Times New Roman" w:hAnsi="Arial" w:cs="Arial"/>
          <w:sz w:val="24"/>
          <w:szCs w:val="24"/>
        </w:rPr>
        <w:t xml:space="preserve">. </w:t>
      </w:r>
      <w:r w:rsidR="00A8015B" w:rsidRPr="00A8015B">
        <w:rPr>
          <w:rFonts w:ascii="Arial" w:eastAsia="Times New Roman" w:hAnsi="Arial" w:cs="Arial"/>
          <w:sz w:val="24"/>
          <w:szCs w:val="24"/>
        </w:rPr>
        <w:t xml:space="preserve">The initial week </w:t>
      </w:r>
      <w:r w:rsidR="004E6C28" w:rsidRPr="00A8015B">
        <w:rPr>
          <w:rFonts w:ascii="Arial" w:eastAsia="Times New Roman" w:hAnsi="Arial" w:cs="Arial"/>
          <w:sz w:val="24"/>
          <w:szCs w:val="24"/>
        </w:rPr>
        <w:t>centred</w:t>
      </w:r>
      <w:r w:rsidR="00A8015B" w:rsidRPr="00A8015B">
        <w:rPr>
          <w:rFonts w:ascii="Arial" w:eastAsia="Times New Roman" w:hAnsi="Arial" w:cs="Arial"/>
          <w:sz w:val="24"/>
          <w:szCs w:val="24"/>
        </w:rPr>
        <w:t xml:space="preserve"> upon familiarizing ourselves with novel concepts and comprehending the objectives of the course. As the course commenced, we proceeded to learn about the fundamentals of food and beverage operations</w:t>
      </w:r>
      <w:r w:rsidR="00155E41">
        <w:rPr>
          <w:rFonts w:ascii="Arial" w:eastAsia="Times New Roman" w:hAnsi="Arial" w:cs="Arial"/>
          <w:sz w:val="24"/>
          <w:szCs w:val="24"/>
        </w:rPr>
        <w:t xml:space="preserve"> and the significant role they play in the hotels and restaurants industry.</w:t>
      </w:r>
      <w:r w:rsidR="00A66680" w:rsidRPr="00A66680">
        <w:t xml:space="preserve"> </w:t>
      </w:r>
      <w:r w:rsidR="00A66680" w:rsidRPr="00A66680">
        <w:rPr>
          <w:rFonts w:ascii="Arial" w:eastAsia="Times New Roman" w:hAnsi="Arial" w:cs="Arial"/>
          <w:sz w:val="24"/>
          <w:szCs w:val="24"/>
        </w:rPr>
        <w:t>(Foskett et al., 2021)</w:t>
      </w:r>
    </w:p>
    <w:p w14:paraId="22EC1151" w14:textId="64E7D29C" w:rsidR="00155E41" w:rsidRDefault="00155E41" w:rsidP="005A107C">
      <w:pPr>
        <w:spacing w:line="360" w:lineRule="auto"/>
        <w:rPr>
          <w:rFonts w:ascii="Arial" w:eastAsia="Times New Roman" w:hAnsi="Arial" w:cs="Arial"/>
          <w:sz w:val="24"/>
          <w:szCs w:val="24"/>
        </w:rPr>
      </w:pPr>
      <w:r>
        <w:rPr>
          <w:rFonts w:ascii="Arial" w:eastAsia="Times New Roman" w:hAnsi="Arial" w:cs="Arial"/>
          <w:sz w:val="24"/>
          <w:szCs w:val="24"/>
        </w:rPr>
        <w:t>W</w:t>
      </w:r>
      <w:r w:rsidR="00A8015B" w:rsidRPr="00A8015B">
        <w:rPr>
          <w:rFonts w:ascii="Arial" w:eastAsia="Times New Roman" w:hAnsi="Arial" w:cs="Arial"/>
          <w:sz w:val="24"/>
          <w:szCs w:val="24"/>
        </w:rPr>
        <w:t xml:space="preserve">eek two. </w:t>
      </w:r>
    </w:p>
    <w:p w14:paraId="30E4CC45" w14:textId="3F94803B" w:rsidR="00551EEA" w:rsidRPr="0003759F" w:rsidRDefault="00A8015B" w:rsidP="005A107C">
      <w:pPr>
        <w:spacing w:line="360" w:lineRule="auto"/>
        <w:rPr>
          <w:rFonts w:ascii="Arial" w:eastAsia="Times New Roman" w:hAnsi="Arial" w:cs="Arial"/>
          <w:sz w:val="24"/>
          <w:szCs w:val="24"/>
        </w:rPr>
      </w:pPr>
      <w:r w:rsidRPr="00A8015B">
        <w:rPr>
          <w:rFonts w:ascii="Arial" w:eastAsia="Times New Roman" w:hAnsi="Arial" w:cs="Arial"/>
          <w:sz w:val="24"/>
          <w:szCs w:val="24"/>
        </w:rPr>
        <w:t xml:space="preserve">This period was particularly </w:t>
      </w:r>
      <w:r w:rsidR="00A66680" w:rsidRPr="00A8015B">
        <w:rPr>
          <w:rFonts w:ascii="Arial" w:eastAsia="Times New Roman" w:hAnsi="Arial" w:cs="Arial"/>
          <w:sz w:val="24"/>
          <w:szCs w:val="24"/>
        </w:rPr>
        <w:t>informative</w:t>
      </w:r>
      <w:r w:rsidRPr="00A8015B">
        <w:rPr>
          <w:rFonts w:ascii="Arial" w:eastAsia="Times New Roman" w:hAnsi="Arial" w:cs="Arial"/>
          <w:sz w:val="24"/>
          <w:szCs w:val="24"/>
        </w:rPr>
        <w:t xml:space="preserve"> as I developed an understanding of both front- and back-of-house operations. The front-of-house encompasses visible areas frequented by customers, while back-of-house refers to regions not observable by patrons</w:t>
      </w:r>
      <w:r w:rsidR="00C02866">
        <w:rPr>
          <w:rFonts w:ascii="Arial" w:eastAsia="Times New Roman" w:hAnsi="Arial" w:cs="Arial"/>
          <w:sz w:val="24"/>
          <w:szCs w:val="24"/>
        </w:rPr>
        <w:t xml:space="preserve">. </w:t>
      </w:r>
      <w:r w:rsidRPr="00A8015B">
        <w:rPr>
          <w:rFonts w:ascii="Arial" w:eastAsia="Times New Roman" w:hAnsi="Arial" w:cs="Arial"/>
          <w:sz w:val="24"/>
          <w:szCs w:val="24"/>
        </w:rPr>
        <w:t>Gaining insight into these processes was instrumental in recognizing that an effectively designed front-of-house area is critical for generating increased clientele, as it should cater to various types of restaurants with specific purposes.</w:t>
      </w:r>
      <w:r w:rsidR="00C02866" w:rsidRPr="00C02866">
        <w:rPr>
          <w:rFonts w:ascii="Arial" w:eastAsia="Times New Roman" w:hAnsi="Arial" w:cs="Arial"/>
          <w:sz w:val="24"/>
          <w:szCs w:val="24"/>
        </w:rPr>
        <w:t xml:space="preserve"> </w:t>
      </w:r>
      <w:r w:rsidR="00C02866" w:rsidRPr="00C02866">
        <w:rPr>
          <w:rFonts w:ascii="Arial" w:eastAsia="Times New Roman" w:hAnsi="Arial" w:cs="Arial"/>
          <w:sz w:val="24"/>
          <w:szCs w:val="24"/>
        </w:rPr>
        <w:t>(Patiar et al., 2020).</w:t>
      </w:r>
      <w:r w:rsidR="00A66680">
        <w:rPr>
          <w:rFonts w:ascii="Arial" w:eastAsia="Times New Roman" w:hAnsi="Arial" w:cs="Arial"/>
          <w:sz w:val="24"/>
          <w:szCs w:val="24"/>
        </w:rPr>
        <w:t xml:space="preserve">  </w:t>
      </w:r>
      <w:r w:rsidRPr="00A8015B">
        <w:rPr>
          <w:rFonts w:ascii="Arial" w:eastAsia="Times New Roman" w:hAnsi="Arial" w:cs="Arial"/>
          <w:sz w:val="24"/>
          <w:szCs w:val="24"/>
        </w:rPr>
        <w:t xml:space="preserve">Furthermore, I discerned that restaurant employees bear responsibility for comprehending customer needs, which may encompass economic, physiological, psychological, or social aspects. Proper training is crucial in enabling employees to address these needs effectively </w:t>
      </w:r>
      <w:r w:rsidR="00C02866" w:rsidRPr="00C02866">
        <w:rPr>
          <w:rFonts w:ascii="Arial" w:eastAsia="Times New Roman" w:hAnsi="Arial" w:cs="Arial"/>
          <w:sz w:val="24"/>
          <w:szCs w:val="24"/>
        </w:rPr>
        <w:t>(Andrews &amp; Russell, 2012)</w:t>
      </w:r>
      <w:r w:rsidR="00C02866" w:rsidRPr="00C02866">
        <w:rPr>
          <w:rFonts w:ascii="Arial" w:eastAsia="Times New Roman" w:hAnsi="Arial" w:cs="Arial"/>
          <w:sz w:val="24"/>
          <w:szCs w:val="24"/>
        </w:rPr>
        <w:t xml:space="preserve"> </w:t>
      </w:r>
      <w:r w:rsidRPr="00A8015B">
        <w:rPr>
          <w:rFonts w:ascii="Arial" w:eastAsia="Times New Roman" w:hAnsi="Arial" w:cs="Arial"/>
          <w:sz w:val="24"/>
          <w:szCs w:val="24"/>
        </w:rPr>
        <w:t>Additionally, my education concentrated on different marketing techniques for restaurants and employee management strategies.</w:t>
      </w:r>
      <w:r w:rsidRPr="00A8015B">
        <w:rPr>
          <w:rFonts w:ascii="Arial" w:eastAsia="Times New Roman" w:hAnsi="Arial" w:cs="Arial"/>
          <w:sz w:val="24"/>
          <w:szCs w:val="24"/>
        </w:rPr>
        <w:br/>
      </w:r>
      <w:r w:rsidR="00A66680">
        <w:rPr>
          <w:rFonts w:ascii="Arial" w:eastAsia="Times New Roman" w:hAnsi="Arial" w:cs="Arial"/>
          <w:sz w:val="24"/>
          <w:szCs w:val="24"/>
        </w:rPr>
        <w:t xml:space="preserve">Week three </w:t>
      </w:r>
      <w:r w:rsidRPr="00A8015B">
        <w:rPr>
          <w:rFonts w:ascii="Arial" w:eastAsia="Times New Roman" w:hAnsi="Arial" w:cs="Arial"/>
          <w:sz w:val="24"/>
          <w:szCs w:val="24"/>
        </w:rPr>
        <w:br/>
        <w:t xml:space="preserve">In the third week of the course, we discussed vital topics such as licensing procedures and various service offerings within the industry. Adherence to pertinent health and food regulations is essential for restaurants; thus, licensing processes are </w:t>
      </w:r>
      <w:r w:rsidRPr="00A8015B">
        <w:rPr>
          <w:rFonts w:ascii="Arial" w:eastAsia="Times New Roman" w:hAnsi="Arial" w:cs="Arial"/>
          <w:sz w:val="24"/>
          <w:szCs w:val="24"/>
        </w:rPr>
        <w:lastRenderedPageBreak/>
        <w:t xml:space="preserve">tailored to diverse types of establishments </w:t>
      </w:r>
      <w:r w:rsidR="00B213BC" w:rsidRPr="00B213BC">
        <w:rPr>
          <w:rFonts w:ascii="Arial" w:eastAsia="Times New Roman" w:hAnsi="Arial" w:cs="Arial"/>
          <w:sz w:val="24"/>
          <w:szCs w:val="24"/>
        </w:rPr>
        <w:t>(Xu et al., 2022)</w:t>
      </w:r>
      <w:r w:rsidR="00B213BC">
        <w:rPr>
          <w:rFonts w:ascii="Arial" w:eastAsia="Times New Roman" w:hAnsi="Arial" w:cs="Arial"/>
          <w:sz w:val="24"/>
          <w:szCs w:val="24"/>
        </w:rPr>
        <w:t xml:space="preserve"> </w:t>
      </w:r>
      <w:r w:rsidRPr="00A8015B">
        <w:rPr>
          <w:rFonts w:ascii="Arial" w:eastAsia="Times New Roman" w:hAnsi="Arial" w:cs="Arial"/>
          <w:sz w:val="24"/>
          <w:szCs w:val="24"/>
        </w:rPr>
        <w:t>This further illuminated the significance of exceptional service and well-trained staff in cultivating an appealing restaurant atmosphere.</w:t>
      </w:r>
      <w:r w:rsidR="00A66680" w:rsidRPr="00A66680">
        <w:t xml:space="preserve"> </w:t>
      </w:r>
      <w:r w:rsidR="00A66680" w:rsidRPr="00A66680">
        <w:rPr>
          <w:rFonts w:ascii="Arial" w:eastAsia="Times New Roman" w:hAnsi="Arial" w:cs="Arial"/>
          <w:sz w:val="24"/>
          <w:szCs w:val="24"/>
        </w:rPr>
        <w:t xml:space="preserve">Undoubtedly, the importance of exceptional service and proficient employees in creating an enticing restaurant ambiance is paramount. In numerous aspects, the personnel represent the restaurant's image and hold a crucial responsibility in </w:t>
      </w:r>
      <w:proofErr w:type="spellStart"/>
      <w:r w:rsidR="00A66680" w:rsidRPr="00A66680">
        <w:rPr>
          <w:rFonts w:ascii="Arial" w:eastAsia="Times New Roman" w:hAnsi="Arial" w:cs="Arial"/>
          <w:sz w:val="24"/>
          <w:szCs w:val="24"/>
        </w:rPr>
        <w:t>molding</w:t>
      </w:r>
      <w:proofErr w:type="spellEnd"/>
      <w:r w:rsidR="00A66680" w:rsidRPr="00A66680">
        <w:rPr>
          <w:rFonts w:ascii="Arial" w:eastAsia="Times New Roman" w:hAnsi="Arial" w:cs="Arial"/>
          <w:sz w:val="24"/>
          <w:szCs w:val="24"/>
        </w:rPr>
        <w:t xml:space="preserve"> the patron's experience</w:t>
      </w:r>
      <w:r w:rsidR="0003759F">
        <w:rPr>
          <w:rFonts w:ascii="Arial" w:eastAsia="Times New Roman" w:hAnsi="Arial" w:cs="Arial"/>
          <w:sz w:val="24"/>
          <w:szCs w:val="24"/>
        </w:rPr>
        <w:t xml:space="preserve">. </w:t>
      </w:r>
      <w:r w:rsidR="00A66680" w:rsidRPr="00A66680">
        <w:rPr>
          <w:rFonts w:ascii="Arial" w:eastAsia="Times New Roman" w:hAnsi="Arial" w:cs="Arial"/>
          <w:sz w:val="24"/>
          <w:szCs w:val="24"/>
        </w:rPr>
        <w:t>As soon as a client enters a restaurant, they commence developing opinions. The welcome they encounter, the tidiness of the surroundings, and the attentiveness of the employees collectively contribute to this primary perception.</w:t>
      </w:r>
      <w:r w:rsidRPr="00A8015B">
        <w:rPr>
          <w:rFonts w:ascii="Arial" w:eastAsia="Times New Roman" w:hAnsi="Arial" w:cs="Arial"/>
          <w:sz w:val="24"/>
          <w:szCs w:val="24"/>
        </w:rPr>
        <w:br/>
      </w:r>
      <w:r w:rsidRPr="00A8015B">
        <w:rPr>
          <w:rFonts w:ascii="Arial" w:eastAsia="Times New Roman" w:hAnsi="Arial" w:cs="Arial"/>
          <w:sz w:val="24"/>
          <w:szCs w:val="24"/>
        </w:rPr>
        <w:br/>
      </w:r>
      <w:r w:rsidR="004A60E3" w:rsidRPr="004A60E3">
        <w:rPr>
          <w:rFonts w:ascii="Arial" w:hAnsi="Arial" w:cs="Arial"/>
          <w:sz w:val="24"/>
          <w:szCs w:val="24"/>
        </w:rPr>
        <w:t xml:space="preserve">During the fourth week, I delved into the topic of menus. The </w:t>
      </w:r>
      <w:r w:rsidR="004A60E3" w:rsidRPr="004A60E3">
        <w:rPr>
          <w:rFonts w:ascii="Arial" w:hAnsi="Arial" w:cs="Arial"/>
          <w:sz w:val="24"/>
          <w:szCs w:val="24"/>
        </w:rPr>
        <w:t>range</w:t>
      </w:r>
      <w:r w:rsidR="004A60E3" w:rsidRPr="004A60E3">
        <w:rPr>
          <w:rFonts w:ascii="Arial" w:hAnsi="Arial" w:cs="Arial"/>
          <w:sz w:val="24"/>
          <w:szCs w:val="24"/>
        </w:rPr>
        <w:t xml:space="preserve"> of </w:t>
      </w:r>
      <w:r w:rsidR="006516B3" w:rsidRPr="004A60E3">
        <w:rPr>
          <w:rFonts w:ascii="Arial" w:hAnsi="Arial" w:cs="Arial"/>
          <w:sz w:val="24"/>
          <w:szCs w:val="24"/>
        </w:rPr>
        <w:t>an</w:t>
      </w:r>
      <w:r w:rsidR="004A60E3" w:rsidRPr="004A60E3">
        <w:rPr>
          <w:rFonts w:ascii="Arial" w:hAnsi="Arial" w:cs="Arial"/>
          <w:sz w:val="24"/>
          <w:szCs w:val="24"/>
        </w:rPr>
        <w:t xml:space="preserve"> </w:t>
      </w:r>
      <w:r w:rsidR="004A60E3" w:rsidRPr="004A60E3">
        <w:rPr>
          <w:rFonts w:ascii="Arial" w:hAnsi="Arial" w:cs="Arial"/>
          <w:sz w:val="24"/>
          <w:szCs w:val="24"/>
        </w:rPr>
        <w:t>appropriate</w:t>
      </w:r>
      <w:r w:rsidR="004A60E3" w:rsidRPr="004A60E3">
        <w:rPr>
          <w:rFonts w:ascii="Arial" w:hAnsi="Arial" w:cs="Arial"/>
          <w:sz w:val="24"/>
          <w:szCs w:val="24"/>
        </w:rPr>
        <w:t xml:space="preserve"> menu</w:t>
      </w:r>
      <w:r w:rsidR="004A60E3">
        <w:rPr>
          <w:rFonts w:ascii="Arial" w:hAnsi="Arial" w:cs="Arial"/>
          <w:sz w:val="24"/>
          <w:szCs w:val="24"/>
        </w:rPr>
        <w:t>s</w:t>
      </w:r>
      <w:r w:rsidR="004A60E3" w:rsidRPr="004A60E3">
        <w:rPr>
          <w:rFonts w:ascii="Arial" w:hAnsi="Arial" w:cs="Arial"/>
          <w:sz w:val="24"/>
          <w:szCs w:val="24"/>
        </w:rPr>
        <w:t xml:space="preserve"> is a crucial aspect of the</w:t>
      </w:r>
      <w:r w:rsidR="004A60E3">
        <w:rPr>
          <w:rFonts w:ascii="Arial" w:hAnsi="Arial" w:cs="Arial"/>
          <w:sz w:val="24"/>
          <w:szCs w:val="24"/>
        </w:rPr>
        <w:t xml:space="preserve"> hospitality</w:t>
      </w:r>
      <w:r w:rsidR="004A60E3" w:rsidRPr="004A60E3">
        <w:rPr>
          <w:rFonts w:ascii="Arial" w:hAnsi="Arial" w:cs="Arial"/>
          <w:sz w:val="24"/>
          <w:szCs w:val="24"/>
        </w:rPr>
        <w:t xml:space="preserve"> industry, as it should cater to the tastes of the </w:t>
      </w:r>
      <w:r w:rsidR="004A60E3" w:rsidRPr="004A60E3">
        <w:rPr>
          <w:rFonts w:ascii="Arial" w:hAnsi="Arial" w:cs="Arial"/>
          <w:sz w:val="24"/>
          <w:szCs w:val="24"/>
        </w:rPr>
        <w:t>customers</w:t>
      </w:r>
      <w:r w:rsidR="004A60E3" w:rsidRPr="004A60E3">
        <w:rPr>
          <w:rFonts w:ascii="Arial" w:hAnsi="Arial" w:cs="Arial"/>
          <w:sz w:val="24"/>
          <w:szCs w:val="24"/>
        </w:rPr>
        <w:t xml:space="preserve">. Seasonal menus are designed with psychological factors in mind, enhancing a restaurant's performance (Chowdhury et al., 2020). For instance, restaurants offering fast food and fries primarily target younger demographics and students </w:t>
      </w:r>
      <w:r w:rsidR="004A60E3">
        <w:rPr>
          <w:rFonts w:ascii="Arial" w:hAnsi="Arial" w:cs="Arial"/>
          <w:sz w:val="24"/>
          <w:szCs w:val="24"/>
        </w:rPr>
        <w:t>(</w:t>
      </w:r>
      <w:r w:rsidR="004A60E3" w:rsidRPr="004A60E3">
        <w:rPr>
          <w:rFonts w:ascii="Arial" w:hAnsi="Arial" w:cs="Arial"/>
          <w:sz w:val="24"/>
          <w:szCs w:val="24"/>
        </w:rPr>
        <w:t>Zutshi,</w:t>
      </w:r>
      <w:r w:rsidR="004A60E3">
        <w:rPr>
          <w:rFonts w:ascii="Arial" w:hAnsi="Arial" w:cs="Arial"/>
          <w:sz w:val="24"/>
          <w:szCs w:val="24"/>
        </w:rPr>
        <w:t xml:space="preserve"> </w:t>
      </w:r>
      <w:r w:rsidR="004A60E3" w:rsidRPr="004A60E3">
        <w:rPr>
          <w:rFonts w:ascii="Arial" w:hAnsi="Arial" w:cs="Arial"/>
          <w:sz w:val="24"/>
          <w:szCs w:val="24"/>
        </w:rPr>
        <w:t xml:space="preserve">2019) </w:t>
      </w:r>
      <w:r w:rsidR="004A60E3">
        <w:rPr>
          <w:rFonts w:ascii="Arial" w:hAnsi="Arial" w:cs="Arial"/>
          <w:sz w:val="24"/>
          <w:szCs w:val="24"/>
        </w:rPr>
        <w:t xml:space="preserve"> </w:t>
      </w:r>
      <w:r w:rsidR="004A60E3" w:rsidRPr="004A60E3">
        <w:rPr>
          <w:rFonts w:ascii="Arial" w:hAnsi="Arial" w:cs="Arial"/>
          <w:sz w:val="24"/>
          <w:szCs w:val="24"/>
        </w:rPr>
        <w:t>Factors such as location and menu selection play significant roles in determining a restaurant's pricing strategy. Therefore, these establishments must consider both the financial and psychological needs of their target audience while designing their menus. Reflecting upon my experiences, I have encountered higher-priced establishments. . Conversely, I have also</w:t>
      </w:r>
      <w:r w:rsidR="004A60E3" w:rsidRPr="004A60E3">
        <w:rPr>
          <w:rFonts w:ascii="Arial" w:hAnsi="Arial" w:cs="Arial"/>
          <w:sz w:val="24"/>
          <w:szCs w:val="24"/>
        </w:rPr>
        <w:t xml:space="preserve"> </w:t>
      </w:r>
      <w:r w:rsidR="004A60E3" w:rsidRPr="004A60E3">
        <w:rPr>
          <w:rFonts w:ascii="Arial" w:hAnsi="Arial" w:cs="Arial"/>
          <w:sz w:val="24"/>
          <w:szCs w:val="24"/>
        </w:rPr>
        <w:t>encountered restaurants with affordable pricing, particularly those catering to students</w:t>
      </w:r>
      <w:r w:rsidR="004A60E3">
        <w:rPr>
          <w:rFonts w:ascii="Arial" w:hAnsi="Arial" w:cs="Arial"/>
          <w:sz w:val="24"/>
          <w:szCs w:val="24"/>
        </w:rPr>
        <w:t>.</w:t>
      </w:r>
      <w:r w:rsidR="004A60E3" w:rsidRPr="004A60E3">
        <w:rPr>
          <w:rFonts w:ascii="Arial" w:hAnsi="Arial" w:cs="Arial"/>
          <w:sz w:val="24"/>
          <w:szCs w:val="24"/>
        </w:rPr>
        <w:t xml:space="preserve"> Ultimately, most restaurants design their physical spaces and select locations with their target customer segments in mind.</w:t>
      </w:r>
    </w:p>
    <w:p w14:paraId="112A9782" w14:textId="77777777" w:rsidR="00CA7CB3" w:rsidRPr="00CA7CB3" w:rsidRDefault="00CA7CB3" w:rsidP="005A107C">
      <w:pPr>
        <w:spacing w:line="360" w:lineRule="auto"/>
        <w:rPr>
          <w:rFonts w:ascii="Arial" w:hAnsi="Arial" w:cs="Arial"/>
          <w:sz w:val="24"/>
          <w:szCs w:val="24"/>
        </w:rPr>
      </w:pPr>
    </w:p>
    <w:p w14:paraId="53331D91" w14:textId="77777777" w:rsidR="00CA7CB3" w:rsidRPr="00CA7CB3" w:rsidRDefault="00CA7CB3" w:rsidP="00CA7CB3">
      <w:pPr>
        <w:rPr>
          <w:rFonts w:ascii="Arial" w:hAnsi="Arial" w:cs="Arial"/>
          <w:sz w:val="24"/>
          <w:szCs w:val="24"/>
        </w:rPr>
      </w:pPr>
    </w:p>
    <w:p w14:paraId="4ECDD91C" w14:textId="77777777" w:rsidR="00CA7CB3" w:rsidRPr="00CA7CB3" w:rsidRDefault="00CA7CB3" w:rsidP="00CA7CB3">
      <w:pPr>
        <w:rPr>
          <w:rFonts w:ascii="Arial" w:hAnsi="Arial" w:cs="Arial"/>
          <w:sz w:val="24"/>
          <w:szCs w:val="24"/>
        </w:rPr>
      </w:pPr>
    </w:p>
    <w:p w14:paraId="3AC66023" w14:textId="77777777" w:rsidR="00CA7CB3" w:rsidRPr="00CA7CB3" w:rsidRDefault="00CA7CB3" w:rsidP="00CA7CB3">
      <w:pPr>
        <w:rPr>
          <w:rFonts w:ascii="Arial" w:hAnsi="Arial" w:cs="Arial"/>
          <w:sz w:val="24"/>
          <w:szCs w:val="24"/>
        </w:rPr>
      </w:pPr>
    </w:p>
    <w:p w14:paraId="5B3C6D60" w14:textId="77777777" w:rsidR="00CA7CB3" w:rsidRPr="00CA7CB3" w:rsidRDefault="00CA7CB3" w:rsidP="00CA7CB3">
      <w:pPr>
        <w:rPr>
          <w:rFonts w:ascii="Arial" w:hAnsi="Arial" w:cs="Arial"/>
          <w:sz w:val="24"/>
          <w:szCs w:val="24"/>
        </w:rPr>
      </w:pPr>
    </w:p>
    <w:p w14:paraId="15466C76" w14:textId="77777777" w:rsidR="00CA7CB3" w:rsidRPr="00CA7CB3" w:rsidRDefault="00CA7CB3" w:rsidP="00CA7CB3">
      <w:pPr>
        <w:rPr>
          <w:rFonts w:ascii="Arial" w:hAnsi="Arial" w:cs="Arial"/>
          <w:sz w:val="24"/>
          <w:szCs w:val="24"/>
        </w:rPr>
      </w:pPr>
    </w:p>
    <w:p w14:paraId="7E653F46" w14:textId="77777777" w:rsidR="004A60E3" w:rsidRDefault="004A60E3" w:rsidP="00C02866">
      <w:pPr>
        <w:spacing w:line="360" w:lineRule="auto"/>
        <w:rPr>
          <w:rFonts w:ascii="Arial" w:hAnsi="Arial" w:cs="Arial"/>
          <w:sz w:val="24"/>
          <w:szCs w:val="24"/>
        </w:rPr>
      </w:pPr>
    </w:p>
    <w:p w14:paraId="69C4C0A2" w14:textId="77777777" w:rsidR="004A60E3" w:rsidRPr="00C02866" w:rsidRDefault="004A60E3" w:rsidP="00C02866">
      <w:pPr>
        <w:spacing w:line="360" w:lineRule="auto"/>
        <w:rPr>
          <w:rFonts w:ascii="Arial" w:hAnsi="Arial" w:cs="Arial"/>
          <w:sz w:val="24"/>
          <w:szCs w:val="24"/>
        </w:rPr>
      </w:pPr>
    </w:p>
    <w:p w14:paraId="630BB498" w14:textId="77777777" w:rsidR="005A107C" w:rsidRDefault="005A107C" w:rsidP="00C02866">
      <w:pPr>
        <w:spacing w:line="360" w:lineRule="auto"/>
        <w:rPr>
          <w:rFonts w:ascii="Arial" w:hAnsi="Arial" w:cs="Arial"/>
          <w:sz w:val="24"/>
          <w:szCs w:val="24"/>
        </w:rPr>
      </w:pPr>
    </w:p>
    <w:p w14:paraId="77BE024E" w14:textId="77777777" w:rsidR="005A107C" w:rsidRDefault="005A107C" w:rsidP="00C02866">
      <w:pPr>
        <w:spacing w:line="360" w:lineRule="auto"/>
        <w:rPr>
          <w:rFonts w:ascii="Arial" w:hAnsi="Arial" w:cs="Arial"/>
          <w:sz w:val="24"/>
          <w:szCs w:val="24"/>
        </w:rPr>
      </w:pPr>
    </w:p>
    <w:p w14:paraId="645F1ED9" w14:textId="77777777" w:rsidR="005A107C" w:rsidRDefault="005A107C" w:rsidP="00C02866">
      <w:pPr>
        <w:spacing w:line="360" w:lineRule="auto"/>
        <w:rPr>
          <w:rFonts w:ascii="Arial" w:hAnsi="Arial" w:cs="Arial"/>
          <w:sz w:val="24"/>
          <w:szCs w:val="24"/>
        </w:rPr>
      </w:pPr>
    </w:p>
    <w:p w14:paraId="21C05CC5" w14:textId="77777777" w:rsidR="005A107C" w:rsidRDefault="005A107C" w:rsidP="00C02866">
      <w:pPr>
        <w:spacing w:line="360" w:lineRule="auto"/>
        <w:rPr>
          <w:rFonts w:ascii="Arial" w:hAnsi="Arial" w:cs="Arial"/>
          <w:sz w:val="24"/>
          <w:szCs w:val="24"/>
        </w:rPr>
      </w:pPr>
    </w:p>
    <w:p w14:paraId="66FD3B16" w14:textId="77777777" w:rsidR="005A107C" w:rsidRDefault="005A107C" w:rsidP="00C02866">
      <w:pPr>
        <w:spacing w:line="360" w:lineRule="auto"/>
        <w:rPr>
          <w:rFonts w:ascii="Arial" w:hAnsi="Arial" w:cs="Arial"/>
          <w:sz w:val="24"/>
          <w:szCs w:val="24"/>
        </w:rPr>
      </w:pPr>
    </w:p>
    <w:p w14:paraId="3000D1FA" w14:textId="77777777" w:rsidR="005A107C" w:rsidRDefault="005A107C" w:rsidP="00C02866">
      <w:pPr>
        <w:spacing w:line="360" w:lineRule="auto"/>
        <w:rPr>
          <w:rFonts w:ascii="Arial" w:hAnsi="Arial" w:cs="Arial"/>
          <w:sz w:val="24"/>
          <w:szCs w:val="24"/>
        </w:rPr>
      </w:pPr>
    </w:p>
    <w:p w14:paraId="5761F846" w14:textId="1BD0B01C" w:rsidR="00CA7CB3" w:rsidRPr="00C02866" w:rsidRDefault="00CA7CB3" w:rsidP="00C02866">
      <w:pPr>
        <w:spacing w:line="360" w:lineRule="auto"/>
        <w:rPr>
          <w:rFonts w:ascii="Arial" w:hAnsi="Arial" w:cs="Arial"/>
          <w:sz w:val="24"/>
          <w:szCs w:val="24"/>
        </w:rPr>
      </w:pPr>
      <w:r w:rsidRPr="00C02866">
        <w:rPr>
          <w:rFonts w:ascii="Arial" w:hAnsi="Arial" w:cs="Arial"/>
          <w:sz w:val="24"/>
          <w:szCs w:val="24"/>
        </w:rPr>
        <w:t>References:</w:t>
      </w:r>
    </w:p>
    <w:p w14:paraId="7C105543" w14:textId="77777777" w:rsidR="00B213BC" w:rsidRDefault="00C02866" w:rsidP="00B213BC">
      <w:pPr>
        <w:pStyle w:val="NormalWeb"/>
        <w:spacing w:line="360" w:lineRule="auto"/>
        <w:ind w:left="567" w:hanging="567"/>
        <w:rPr>
          <w:rFonts w:ascii="Arial" w:hAnsi="Arial" w:cs="Arial"/>
        </w:rPr>
      </w:pPr>
      <w:r w:rsidRPr="00C02866">
        <w:rPr>
          <w:rFonts w:ascii="Arial" w:hAnsi="Arial" w:cs="Arial"/>
        </w:rPr>
        <w:t xml:space="preserve">Andrews, G. and Russell, M. (2012) ‘Employability Skills Development: Strategy, evaluation and impact’, </w:t>
      </w:r>
      <w:r w:rsidRPr="00C02866">
        <w:rPr>
          <w:rFonts w:ascii="Arial" w:hAnsi="Arial" w:cs="Arial"/>
          <w:i/>
          <w:iCs/>
        </w:rPr>
        <w:t>Higher Education, Skills and Work-Based Learning</w:t>
      </w:r>
      <w:r w:rsidRPr="00C02866">
        <w:rPr>
          <w:rFonts w:ascii="Arial" w:hAnsi="Arial" w:cs="Arial"/>
        </w:rPr>
        <w:t xml:space="preserve">, 2(1), pp. 33–44. doi:10.1108/20423891211197721. </w:t>
      </w:r>
    </w:p>
    <w:p w14:paraId="27F49372" w14:textId="791C2C6D" w:rsidR="004A60E3" w:rsidRPr="004A60E3" w:rsidRDefault="004A60E3" w:rsidP="004A60E3">
      <w:pPr>
        <w:spacing w:after="0" w:line="360" w:lineRule="auto"/>
        <w:ind w:left="720" w:hanging="720"/>
        <w:jc w:val="both"/>
        <w:rPr>
          <w:rFonts w:ascii="Arial" w:eastAsia="Times New Roman" w:hAnsi="Arial" w:cs="Arial"/>
          <w:kern w:val="0"/>
          <w:sz w:val="24"/>
          <w:szCs w:val="24"/>
          <w:lang w:eastAsia="en-GB"/>
          <w14:ligatures w14:val="none"/>
        </w:rPr>
      </w:pPr>
      <w:r w:rsidRPr="004A60E3">
        <w:rPr>
          <w:rFonts w:ascii="Arial" w:eastAsia="Times New Roman" w:hAnsi="Arial" w:cs="Arial"/>
          <w:kern w:val="0"/>
          <w:sz w:val="24"/>
          <w:szCs w:val="24"/>
          <w:lang w:eastAsia="en-GB"/>
          <w14:ligatures w14:val="none"/>
        </w:rPr>
        <w:t xml:space="preserve">Chowdhury, M.T., Sarkar, A., Paul, S.K. </w:t>
      </w:r>
      <w:r w:rsidR="00A66680">
        <w:rPr>
          <w:rFonts w:ascii="Arial" w:eastAsia="Times New Roman" w:hAnsi="Arial" w:cs="Arial"/>
          <w:kern w:val="0"/>
          <w:sz w:val="24"/>
          <w:szCs w:val="24"/>
          <w:lang w:eastAsia="en-GB"/>
          <w14:ligatures w14:val="none"/>
        </w:rPr>
        <w:t>a</w:t>
      </w:r>
      <w:r w:rsidRPr="004A60E3">
        <w:rPr>
          <w:rFonts w:ascii="Arial" w:eastAsia="Times New Roman" w:hAnsi="Arial" w:cs="Arial"/>
          <w:kern w:val="0"/>
          <w:sz w:val="24"/>
          <w:szCs w:val="24"/>
          <w:lang w:eastAsia="en-GB"/>
          <w14:ligatures w14:val="none"/>
        </w:rPr>
        <w:t>nd Moktadir, M.A., (2020). A case study on strategies to deal with the impacts of</w:t>
      </w:r>
      <w:r w:rsidR="00A66680">
        <w:rPr>
          <w:rFonts w:ascii="Arial" w:eastAsia="Times New Roman" w:hAnsi="Arial" w:cs="Arial"/>
          <w:kern w:val="0"/>
          <w:sz w:val="24"/>
          <w:szCs w:val="24"/>
          <w:lang w:eastAsia="en-GB"/>
          <w14:ligatures w14:val="none"/>
        </w:rPr>
        <w:t xml:space="preserve"> </w:t>
      </w:r>
      <w:r w:rsidRPr="004A60E3">
        <w:rPr>
          <w:rFonts w:ascii="Arial" w:eastAsia="Times New Roman" w:hAnsi="Arial" w:cs="Arial"/>
          <w:kern w:val="0"/>
          <w:sz w:val="24"/>
          <w:szCs w:val="24"/>
          <w:lang w:eastAsia="en-GB"/>
          <w14:ligatures w14:val="none"/>
        </w:rPr>
        <w:t xml:space="preserve">COVID-19 pandemic in the food and beverage industry. </w:t>
      </w:r>
      <w:r w:rsidRPr="004A60E3">
        <w:rPr>
          <w:rFonts w:ascii="Arial" w:eastAsia="Times New Roman" w:hAnsi="Arial" w:cs="Arial"/>
          <w:i/>
          <w:iCs/>
          <w:kern w:val="0"/>
          <w:sz w:val="24"/>
          <w:szCs w:val="24"/>
          <w:lang w:eastAsia="en-GB"/>
          <w14:ligatures w14:val="none"/>
        </w:rPr>
        <w:t>Operations Management Research</w:t>
      </w:r>
      <w:r w:rsidRPr="004A60E3">
        <w:rPr>
          <w:rFonts w:ascii="Arial" w:eastAsia="Times New Roman" w:hAnsi="Arial" w:cs="Arial"/>
          <w:kern w:val="0"/>
          <w:sz w:val="24"/>
          <w:szCs w:val="24"/>
          <w:lang w:eastAsia="en-GB"/>
          <w14:ligatures w14:val="none"/>
        </w:rPr>
        <w:t>, pp.1-13</w:t>
      </w:r>
      <w:r w:rsidR="00A66680">
        <w:rPr>
          <w:rFonts w:ascii="Arial" w:eastAsia="Times New Roman" w:hAnsi="Arial" w:cs="Arial"/>
          <w:kern w:val="0"/>
          <w:sz w:val="24"/>
          <w:szCs w:val="24"/>
          <w:lang w:eastAsia="en-GB"/>
          <w14:ligatures w14:val="none"/>
        </w:rPr>
        <w:t>.</w:t>
      </w:r>
    </w:p>
    <w:p w14:paraId="64691777" w14:textId="2491BEB6" w:rsidR="00F96CF3" w:rsidRDefault="00B213BC" w:rsidP="00F96CF3">
      <w:pPr>
        <w:pStyle w:val="NormalWeb"/>
        <w:spacing w:line="360" w:lineRule="auto"/>
        <w:ind w:left="567" w:hanging="567"/>
        <w:rPr>
          <w:rFonts w:ascii="Arial" w:hAnsi="Arial" w:cs="Arial"/>
        </w:rPr>
      </w:pPr>
      <w:r w:rsidRPr="00B213BC">
        <w:rPr>
          <w:rFonts w:ascii="Arial" w:hAnsi="Arial" w:cs="Arial"/>
        </w:rPr>
        <w:t xml:space="preserve">Cousins, J. </w:t>
      </w:r>
      <w:r w:rsidRPr="00B213BC">
        <w:rPr>
          <w:rFonts w:ascii="Arial" w:hAnsi="Arial" w:cs="Arial"/>
          <w:i/>
          <w:iCs/>
        </w:rPr>
        <w:t>et al.</w:t>
      </w:r>
      <w:r w:rsidRPr="00B213BC">
        <w:rPr>
          <w:rFonts w:ascii="Arial" w:hAnsi="Arial" w:cs="Arial"/>
        </w:rPr>
        <w:t xml:space="preserve"> (2019) ‘Food and beverage operations and Management’, </w:t>
      </w:r>
      <w:r w:rsidRPr="00B213BC">
        <w:rPr>
          <w:rFonts w:ascii="Arial" w:hAnsi="Arial" w:cs="Arial"/>
          <w:i/>
          <w:iCs/>
        </w:rPr>
        <w:t>Food and Beverage Management 5</w:t>
      </w:r>
      <w:r w:rsidR="00D00007" w:rsidRPr="00D00007">
        <w:rPr>
          <w:rFonts w:ascii="Arial" w:hAnsi="Arial" w:cs="Arial"/>
        </w:rPr>
        <w:t>th ed. London: Hodder Education Group.**</w:t>
      </w:r>
      <w:r w:rsidR="00D00007" w:rsidRPr="00D00007">
        <w:rPr>
          <w:rFonts w:ascii="Arial" w:hAnsi="Arial" w:cs="Arial"/>
        </w:rPr>
        <w:t xml:space="preserve"> </w:t>
      </w:r>
      <w:r w:rsidRPr="00B213BC">
        <w:rPr>
          <w:rFonts w:ascii="Arial" w:hAnsi="Arial" w:cs="Arial"/>
        </w:rPr>
        <w:t xml:space="preserve">[Preprint]. doi:10.23912/9781911635109-4143. </w:t>
      </w:r>
    </w:p>
    <w:p w14:paraId="4B08C236" w14:textId="0AC0B3E5" w:rsidR="00B213BC" w:rsidRPr="00C02866" w:rsidRDefault="00D00007" w:rsidP="004A60E3">
      <w:pPr>
        <w:pStyle w:val="NormalWeb"/>
        <w:spacing w:line="360" w:lineRule="auto"/>
        <w:ind w:left="567" w:hanging="567"/>
        <w:rPr>
          <w:rFonts w:ascii="Arial" w:hAnsi="Arial" w:cs="Arial"/>
        </w:rPr>
      </w:pPr>
      <w:r w:rsidRPr="00D00007">
        <w:rPr>
          <w:rFonts w:ascii="Arial" w:hAnsi="Arial" w:cs="Arial"/>
        </w:rPr>
        <w:t xml:space="preserve">Foskett, D., Paskins, P. and Pennington, A. (2021) The theory of hospitality and catering, 14th edition, Google Books. Available at: </w:t>
      </w:r>
      <w:hyperlink r:id="rId5" w:history="1">
        <w:r w:rsidRPr="00593741">
          <w:rPr>
            <w:rStyle w:val="Hyperlink"/>
            <w:rFonts w:ascii="Arial" w:hAnsi="Arial" w:cs="Arial"/>
          </w:rPr>
          <w:t>https://books.google.com/books/about/The_Theory_of_Hospitality_and_Catering_1.html?id=RjIIzgEACAAJ</w:t>
        </w:r>
      </w:hyperlink>
      <w:r>
        <w:rPr>
          <w:rFonts w:ascii="Arial" w:hAnsi="Arial" w:cs="Arial"/>
        </w:rPr>
        <w:t xml:space="preserve"> </w:t>
      </w:r>
      <w:r w:rsidRPr="00D00007">
        <w:rPr>
          <w:rFonts w:ascii="Arial" w:hAnsi="Arial" w:cs="Arial"/>
        </w:rPr>
        <w:t>(Accessed: 11 May 2023).</w:t>
      </w:r>
    </w:p>
    <w:p w14:paraId="5A4CF003" w14:textId="3C1EF599" w:rsidR="00F96CF3" w:rsidRPr="00C02866" w:rsidRDefault="00CA7CB3" w:rsidP="004A60E3">
      <w:pPr>
        <w:pStyle w:val="NormalWeb"/>
        <w:spacing w:line="360" w:lineRule="auto"/>
        <w:ind w:left="567" w:hanging="567"/>
        <w:rPr>
          <w:rFonts w:ascii="Arial" w:hAnsi="Arial" w:cs="Arial"/>
        </w:rPr>
      </w:pPr>
      <w:r w:rsidRPr="00C02866">
        <w:rPr>
          <w:rFonts w:ascii="Arial" w:hAnsi="Arial" w:cs="Arial"/>
        </w:rPr>
        <w:t xml:space="preserve">Helyer, R. (2015) ‘Learning through reflection: The critical role of reflection in work-based learning (WBL)’, </w:t>
      </w:r>
      <w:r w:rsidRPr="00C02866">
        <w:rPr>
          <w:rFonts w:ascii="Arial" w:hAnsi="Arial" w:cs="Arial"/>
          <w:i/>
          <w:iCs/>
        </w:rPr>
        <w:t>Journal of Work-Applied Management</w:t>
      </w:r>
      <w:r w:rsidRPr="00C02866">
        <w:rPr>
          <w:rFonts w:ascii="Arial" w:hAnsi="Arial" w:cs="Arial"/>
        </w:rPr>
        <w:t xml:space="preserve">, 7(1), pp. 15–27. doi:10.1108/jwam-10-2015-003. </w:t>
      </w:r>
    </w:p>
    <w:p w14:paraId="13AC880F" w14:textId="77777777" w:rsidR="00B213BC" w:rsidRDefault="00C02866" w:rsidP="00B213BC">
      <w:pPr>
        <w:pStyle w:val="NormalWeb"/>
        <w:spacing w:line="360" w:lineRule="auto"/>
        <w:ind w:left="567" w:hanging="567"/>
      </w:pPr>
      <w:r w:rsidRPr="00C02866">
        <w:rPr>
          <w:rFonts w:ascii="Arial" w:hAnsi="Arial" w:cs="Arial"/>
        </w:rPr>
        <w:t>Patiar, A. et al. (2020) ‘Hospitality students’ acquisition of knowledge and skills through a virtual field trip experience’, Journal of Hospitality &amp;amp; Tourism Education, 33(1), pp. 14–28. doi:10.1080/10963758.2020.1726768.</w:t>
      </w:r>
      <w:r w:rsidR="00B213BC" w:rsidRPr="00B213BC">
        <w:t xml:space="preserve"> </w:t>
      </w:r>
    </w:p>
    <w:p w14:paraId="43951012" w14:textId="17683456" w:rsidR="00B213BC" w:rsidRDefault="00B213BC" w:rsidP="00B213BC">
      <w:pPr>
        <w:pStyle w:val="NormalWeb"/>
        <w:spacing w:line="360" w:lineRule="auto"/>
        <w:ind w:left="567" w:hanging="567"/>
        <w:rPr>
          <w:rFonts w:ascii="Arial" w:hAnsi="Arial" w:cs="Arial"/>
        </w:rPr>
      </w:pPr>
      <w:r w:rsidRPr="00B213BC">
        <w:rPr>
          <w:rFonts w:ascii="Arial" w:hAnsi="Arial" w:cs="Arial"/>
        </w:rPr>
        <w:t xml:space="preserve">Xu, J. (Bill) </w:t>
      </w:r>
      <w:r w:rsidRPr="00B213BC">
        <w:rPr>
          <w:rFonts w:ascii="Arial" w:hAnsi="Arial" w:cs="Arial"/>
          <w:i/>
          <w:iCs/>
        </w:rPr>
        <w:t>et al.</w:t>
      </w:r>
      <w:r w:rsidRPr="00B213BC">
        <w:rPr>
          <w:rFonts w:ascii="Arial" w:hAnsi="Arial" w:cs="Arial"/>
        </w:rPr>
        <w:t xml:space="preserve"> (2022) ‘Hospitality and tourism higher education in the post-COVID ERA: Is it time to change?’, </w:t>
      </w:r>
      <w:r w:rsidRPr="00B213BC">
        <w:rPr>
          <w:rFonts w:ascii="Arial" w:hAnsi="Arial" w:cs="Arial"/>
          <w:i/>
          <w:iCs/>
        </w:rPr>
        <w:t>Journal of Hospitality &amp; Tourism Education</w:t>
      </w:r>
      <w:r w:rsidRPr="00B213BC">
        <w:rPr>
          <w:rFonts w:ascii="Arial" w:hAnsi="Arial" w:cs="Arial"/>
        </w:rPr>
        <w:t xml:space="preserve">, 34(4), pp. 278–290. doi:10.1080/10963758.2022.2056044. </w:t>
      </w:r>
    </w:p>
    <w:p w14:paraId="62042BB7" w14:textId="3EBFE6AE" w:rsidR="00F96CF3" w:rsidRPr="00B213BC" w:rsidRDefault="00F96CF3" w:rsidP="00F96CF3">
      <w:pPr>
        <w:pStyle w:val="NormalWeb"/>
        <w:spacing w:line="360" w:lineRule="auto"/>
        <w:ind w:left="567" w:hanging="567"/>
        <w:rPr>
          <w:rFonts w:ascii="Arial" w:hAnsi="Arial" w:cs="Arial"/>
        </w:rPr>
      </w:pPr>
      <w:bookmarkStart w:id="1" w:name="_Hlk135155108"/>
      <w:r w:rsidRPr="00F96CF3">
        <w:rPr>
          <w:rFonts w:ascii="Arial" w:hAnsi="Arial" w:cs="Arial"/>
        </w:rPr>
        <w:t xml:space="preserve">Zutshi, A. (2019) </w:t>
      </w:r>
      <w:bookmarkEnd w:id="1"/>
      <w:r w:rsidRPr="00F96CF3">
        <w:rPr>
          <w:rFonts w:ascii="Arial" w:hAnsi="Arial" w:cs="Arial"/>
        </w:rPr>
        <w:t>‘How to develop well-informed and assured teams to embed food safety compliance in the</w:t>
      </w:r>
      <w:r>
        <w:rPr>
          <w:rFonts w:ascii="Arial" w:hAnsi="Arial" w:cs="Arial"/>
        </w:rPr>
        <w:t xml:space="preserve"> </w:t>
      </w:r>
      <w:r w:rsidRPr="00F96CF3">
        <w:rPr>
          <w:rFonts w:ascii="Arial" w:hAnsi="Arial" w:cs="Arial"/>
        </w:rPr>
        <w:t>UK catering and hospitality industry’, Perspectives in Public Health, 139(6), pp. 294–295.*</w:t>
      </w:r>
    </w:p>
    <w:p w14:paraId="2F4A2E32" w14:textId="48965D6D" w:rsidR="00C02866" w:rsidRPr="00C02866" w:rsidRDefault="00C02866" w:rsidP="00C02866">
      <w:pPr>
        <w:pStyle w:val="NormalWeb"/>
        <w:spacing w:line="360" w:lineRule="auto"/>
        <w:ind w:left="567" w:hanging="567"/>
        <w:rPr>
          <w:rFonts w:ascii="Arial" w:hAnsi="Arial" w:cs="Arial"/>
        </w:rPr>
      </w:pPr>
    </w:p>
    <w:sectPr w:rsidR="00C02866" w:rsidRPr="00C028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15B"/>
    <w:rsid w:val="00001404"/>
    <w:rsid w:val="0003759F"/>
    <w:rsid w:val="00155E41"/>
    <w:rsid w:val="00486DE7"/>
    <w:rsid w:val="004A60E3"/>
    <w:rsid w:val="004E6C28"/>
    <w:rsid w:val="00551EEA"/>
    <w:rsid w:val="005A107C"/>
    <w:rsid w:val="005D5D94"/>
    <w:rsid w:val="006516B3"/>
    <w:rsid w:val="007F5375"/>
    <w:rsid w:val="00897214"/>
    <w:rsid w:val="00975661"/>
    <w:rsid w:val="00A00E3B"/>
    <w:rsid w:val="00A37E8C"/>
    <w:rsid w:val="00A66680"/>
    <w:rsid w:val="00A8015B"/>
    <w:rsid w:val="00B213BC"/>
    <w:rsid w:val="00B407F9"/>
    <w:rsid w:val="00C02866"/>
    <w:rsid w:val="00CA7CB3"/>
    <w:rsid w:val="00CB63E5"/>
    <w:rsid w:val="00D00007"/>
    <w:rsid w:val="00E433E7"/>
    <w:rsid w:val="00EE311A"/>
    <w:rsid w:val="00F9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CA507"/>
  <w15:docId w15:val="{A4F26F21-B9A5-4AD4-92A5-7C3523233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7C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213BC"/>
    <w:rPr>
      <w:color w:val="0563C1" w:themeColor="hyperlink"/>
      <w:u w:val="single"/>
    </w:rPr>
  </w:style>
  <w:style w:type="character" w:styleId="UnresolvedMention">
    <w:name w:val="Unresolved Mention"/>
    <w:basedOn w:val="DefaultParagraphFont"/>
    <w:uiPriority w:val="99"/>
    <w:semiHidden/>
    <w:unhideWhenUsed/>
    <w:rsid w:val="00B213BC"/>
    <w:rPr>
      <w:color w:val="605E5C"/>
      <w:shd w:val="clear" w:color="auto" w:fill="E1DFDD"/>
    </w:rPr>
  </w:style>
  <w:style w:type="character" w:styleId="FollowedHyperlink">
    <w:name w:val="FollowedHyperlink"/>
    <w:basedOn w:val="DefaultParagraphFont"/>
    <w:uiPriority w:val="99"/>
    <w:semiHidden/>
    <w:unhideWhenUsed/>
    <w:rsid w:val="00D000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73181">
      <w:bodyDiv w:val="1"/>
      <w:marLeft w:val="0"/>
      <w:marRight w:val="0"/>
      <w:marTop w:val="0"/>
      <w:marBottom w:val="0"/>
      <w:divBdr>
        <w:top w:val="none" w:sz="0" w:space="0" w:color="auto"/>
        <w:left w:val="none" w:sz="0" w:space="0" w:color="auto"/>
        <w:bottom w:val="none" w:sz="0" w:space="0" w:color="auto"/>
        <w:right w:val="none" w:sz="0" w:space="0" w:color="auto"/>
      </w:divBdr>
    </w:div>
    <w:div w:id="227615642">
      <w:bodyDiv w:val="1"/>
      <w:marLeft w:val="0"/>
      <w:marRight w:val="0"/>
      <w:marTop w:val="0"/>
      <w:marBottom w:val="0"/>
      <w:divBdr>
        <w:top w:val="none" w:sz="0" w:space="0" w:color="auto"/>
        <w:left w:val="none" w:sz="0" w:space="0" w:color="auto"/>
        <w:bottom w:val="none" w:sz="0" w:space="0" w:color="auto"/>
        <w:right w:val="none" w:sz="0" w:space="0" w:color="auto"/>
      </w:divBdr>
    </w:div>
    <w:div w:id="791752792">
      <w:bodyDiv w:val="1"/>
      <w:marLeft w:val="0"/>
      <w:marRight w:val="0"/>
      <w:marTop w:val="0"/>
      <w:marBottom w:val="0"/>
      <w:divBdr>
        <w:top w:val="none" w:sz="0" w:space="0" w:color="auto"/>
        <w:left w:val="none" w:sz="0" w:space="0" w:color="auto"/>
        <w:bottom w:val="none" w:sz="0" w:space="0" w:color="auto"/>
        <w:right w:val="none" w:sz="0" w:space="0" w:color="auto"/>
      </w:divBdr>
    </w:div>
    <w:div w:id="855658047">
      <w:bodyDiv w:val="1"/>
      <w:marLeft w:val="0"/>
      <w:marRight w:val="0"/>
      <w:marTop w:val="0"/>
      <w:marBottom w:val="0"/>
      <w:divBdr>
        <w:top w:val="none" w:sz="0" w:space="0" w:color="auto"/>
        <w:left w:val="none" w:sz="0" w:space="0" w:color="auto"/>
        <w:bottom w:val="none" w:sz="0" w:space="0" w:color="auto"/>
        <w:right w:val="none" w:sz="0" w:space="0" w:color="auto"/>
      </w:divBdr>
    </w:div>
    <w:div w:id="15811357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ooks.google.com/books/about/The_Theory_of_Hospitality_and_Catering_1.html?id=RjIIzgEACAAJ" TargetMode="External"/><Relationship Id="rId4"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ariton</dc:creator>
  <cp:keywords/>
  <dc:description/>
  <cp:lastModifiedBy>george ariton</cp:lastModifiedBy>
  <cp:revision>2</cp:revision>
  <dcterms:created xsi:type="dcterms:W3CDTF">2023-05-16T20:06:00Z</dcterms:created>
  <dcterms:modified xsi:type="dcterms:W3CDTF">2023-05-16T20:06:00Z</dcterms:modified>
</cp:coreProperties>
</file>