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E7E8CF" wp14:paraId="1F13BFE6" wp14:textId="22B0F2E7">
      <w:pPr>
        <w:pStyle w:val="Normal"/>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EA770F5" wp14:textId="4453F6E1">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57B07BCB">
        <w:drawing>
          <wp:inline xmlns:wp14="http://schemas.microsoft.com/office/word/2010/wordprocessingDrawing" wp14:editId="52753D06" wp14:anchorId="3958942E">
            <wp:extent cx="2295525" cy="885825"/>
            <wp:effectExtent l="0" t="0" r="0" b="0"/>
            <wp:docPr id="16073523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7352303" name="Picture 1607352303"/>
                    <pic:cNvPicPr/>
                  </pic:nvPicPr>
                  <pic:blipFill>
                    <a:blip xmlns:r="http://schemas.openxmlformats.org/officeDocument/2006/relationships" r:embed="rId189678128">
                      <a:extLst>
                        <a:ext uri="{28A0092B-C50C-407E-A947-70E740481C1C}">
                          <a14:useLocalDpi xmlns:a14="http://schemas.microsoft.com/office/drawing/2010/main"/>
                        </a:ext>
                      </a:extLst>
                    </a:blip>
                    <a:stretch>
                      <a:fillRect/>
                    </a:stretch>
                  </pic:blipFill>
                  <pic:spPr>
                    <a:xfrm>
                      <a:off x="0" y="0"/>
                      <a:ext cx="2295525" cy="885825"/>
                    </a:xfrm>
                    <a:prstGeom prst="rect">
                      <a:avLst/>
                    </a:prstGeom>
                  </pic:spPr>
                </pic:pic>
              </a:graphicData>
            </a:graphic>
          </wp:inline>
        </w:drawing>
      </w:r>
    </w:p>
    <w:p xmlns:wp14="http://schemas.microsoft.com/office/word/2010/wordml" w:rsidP="63E7E8CF" wp14:paraId="0CAA4D2B" wp14:textId="142642B1">
      <w:pPr>
        <w:spacing w:before="0" w:beforeAutospacing="off" w:after="160" w:afterAutospacing="off"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 xml:space="preserve"> </w:t>
      </w:r>
    </w:p>
    <w:p xmlns:wp14="http://schemas.microsoft.com/office/word/2010/wordml" w:rsidP="63E7E8CF" wp14:paraId="6F7DFC85" wp14:textId="1A7E4098">
      <w:pPr>
        <w:pStyle w:val="Normal"/>
        <w:spacing w:before="0" w:beforeAutospacing="off" w:after="160" w:afterAutospacing="off" w:line="360" w:lineRule="auto"/>
        <w:jc w:val="center"/>
      </w:pP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GB"/>
        </w:rPr>
        <w:t xml:space="preserve">LCBB5012 </w:t>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Principles of Human Resource Management</w:t>
      </w:r>
      <w:r>
        <w:br/>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Component 1: Practical:</w:t>
      </w:r>
      <w:r w:rsidRPr="63E7E8CF" w:rsidR="51C4E0A7">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 xml:space="preserve"> Job description </w:t>
      </w:r>
      <w:r>
        <w:br/>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Academic Interview for HR</w:t>
      </w:r>
      <w:r w:rsidRPr="63E7E8CF" w:rsidR="55B3C4AC">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 xml:space="preserve"> </w:t>
      </w:r>
      <w:r w:rsidRPr="63E7E8CF" w:rsidR="10D10F08">
        <w:rPr>
          <w:rFonts w:ascii="Arial" w:hAnsi="Arial" w:eastAsia="Arial" w:cs="Arial"/>
          <w:b w:val="1"/>
          <w:bCs w:val="1"/>
          <w:i w:val="0"/>
          <w:iCs w:val="0"/>
          <w:caps w:val="0"/>
          <w:smallCaps w:val="0"/>
          <w:strike w:val="0"/>
          <w:dstrike w:val="0"/>
          <w:noProof w:val="0"/>
          <w:color w:val="262626" w:themeColor="text1" w:themeTint="D9" w:themeShade="FF"/>
          <w:sz w:val="24"/>
          <w:szCs w:val="24"/>
          <w:u w:val="none"/>
          <w:lang w:val="en-US"/>
        </w:rPr>
        <w:t>Processes</w:t>
      </w:r>
    </w:p>
    <w:p xmlns:wp14="http://schemas.microsoft.com/office/word/2010/wordml" w:rsidP="63E7E8CF" wp14:paraId="50F73FD4" wp14:textId="779F06CE">
      <w:pPr>
        <w:spacing w:before="0" w:beforeAutospacing="off" w:after="16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 xml:space="preserve"> </w:t>
      </w:r>
    </w:p>
    <w:p xmlns:wp14="http://schemas.microsoft.com/office/word/2010/wordml" w:rsidP="63E7E8CF" wp14:paraId="06969FA7" wp14:textId="0066B0C9">
      <w:pPr>
        <w:spacing w:before="0" w:beforeAutospacing="off" w:after="16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63E7E8CF" w:rsidR="57B07BCB">
        <w:rPr>
          <w:rFonts w:ascii="Arial" w:hAnsi="Arial" w:eastAsia="Arial" w:cs="Arial"/>
          <w:b w:val="0"/>
          <w:bCs w:val="0"/>
          <w:i w:val="0"/>
          <w:iCs w:val="0"/>
          <w:caps w:val="0"/>
          <w:smallCaps w:val="0"/>
          <w:noProof w:val="0"/>
          <w:color w:val="000000" w:themeColor="text1" w:themeTint="FF" w:themeShade="FF"/>
          <w:sz w:val="24"/>
          <w:szCs w:val="24"/>
          <w:lang w:val="en-IN"/>
        </w:rPr>
        <w:t xml:space="preserve"> </w:t>
      </w:r>
    </w:p>
    <w:p xmlns:wp14="http://schemas.microsoft.com/office/word/2010/wordml" w:rsidP="63E7E8CF" wp14:paraId="7ABF3C83" wp14:textId="58F5FC15">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Student Name: Radu Apostoaiei</w:t>
      </w:r>
    </w:p>
    <w:p xmlns:wp14="http://schemas.microsoft.com/office/word/2010/wordml" w:rsidP="63E7E8CF" wp14:paraId="7300561F" wp14:textId="779D9B67">
      <w:pPr>
        <w:spacing w:before="0" w:beforeAutospacing="off" w:after="16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Student ID: 2238836</w:t>
      </w:r>
    </w:p>
    <w:p xmlns:wp14="http://schemas.microsoft.com/office/word/2010/wordml" w:rsidP="63E7E8CF" wp14:paraId="77D8B0B3" wp14:textId="6054EFF5">
      <w:pPr>
        <w:pStyle w:val="Normal"/>
        <w:spacing w:before="0" w:beforeAutospacing="off" w:after="160" w:afterAutospacing="off" w:line="360" w:lineRule="auto"/>
        <w:jc w:val="center"/>
        <w:rPr>
          <w:rFonts w:ascii="Arial" w:hAnsi="Arial" w:eastAsia="Arial" w:cs="Arial"/>
          <w:noProof w:val="0"/>
          <w:sz w:val="24"/>
          <w:szCs w:val="24"/>
          <w:lang w:val="en-IN"/>
        </w:rPr>
      </w:pP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Lect</w:t>
      </w:r>
      <w:r w:rsidRPr="63E7E8CF" w:rsidR="57B07BCB">
        <w:rPr>
          <w:rFonts w:ascii="Arial" w:hAnsi="Arial" w:eastAsia="Arial" w:cs="Arial"/>
          <w:b w:val="1"/>
          <w:bCs w:val="1"/>
          <w:i w:val="0"/>
          <w:iCs w:val="0"/>
          <w:caps w:val="0"/>
          <w:smallCaps w:val="0"/>
          <w:noProof w:val="0"/>
          <w:color w:val="000000" w:themeColor="text1" w:themeTint="FF" w:themeShade="FF"/>
          <w:sz w:val="24"/>
          <w:szCs w:val="24"/>
          <w:lang w:val="en-IN"/>
        </w:rPr>
        <w:t xml:space="preserve">urer: </w:t>
      </w:r>
      <w:r w:rsidRPr="63E7E8CF" w:rsidR="33CAEFF9">
        <w:rPr>
          <w:rFonts w:ascii="Arial" w:hAnsi="Arial" w:eastAsia="Arial" w:cs="Arial"/>
          <w:b w:val="1"/>
          <w:bCs w:val="1"/>
          <w:i w:val="0"/>
          <w:iCs w:val="0"/>
          <w:caps w:val="0"/>
          <w:smallCaps w:val="0"/>
          <w:noProof w:val="0"/>
          <w:color w:val="242130"/>
          <w:sz w:val="24"/>
          <w:szCs w:val="24"/>
          <w:lang w:val="en-IN"/>
        </w:rPr>
        <w:t>Nassir Ibrahim</w:t>
      </w:r>
    </w:p>
    <w:p xmlns:wp14="http://schemas.microsoft.com/office/word/2010/wordml" w:rsidP="63E7E8CF" wp14:paraId="12ED3E44" wp14:textId="0830371A">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590CDCAB" wp14:textId="5AA9A8A4">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3AC8505F" wp14:textId="2A27B1BE">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5FF5CC8" wp14:textId="4B3311C2">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F6AB939" wp14:textId="01A32A63">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716C69BA" wp14:textId="479B2F7A">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96AFCFF" wp14:textId="7803FF93">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6E46CB67" wp14:textId="7B1E3EAE">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6A372D7" wp14:textId="7E899757">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440437BD" wp14:textId="07F754D1">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6BF7C5D5" wp14:textId="11F00456">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229AF87" wp14:textId="6F261A98">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13EC7DEE" wp14:textId="38521A42">
      <w:pPr>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96E8B28" wp14:textId="6B2E4229">
      <w:pPr>
        <w:pStyle w:val="Normal"/>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0EED8502" wp14:textId="60A07FE9">
      <w:pPr>
        <w:pStyle w:val="Normal"/>
        <w:spacing w:after="40" w:afterAutospacing="off" w:line="360" w:lineRule="auto"/>
        <w:jc w:val="center"/>
        <w:rPr>
          <w:rFonts w:ascii="Arial" w:hAnsi="Arial" w:eastAsia="Arial" w:cs="Arial"/>
          <w:noProof w:val="0"/>
          <w:sz w:val="24"/>
          <w:szCs w:val="24"/>
          <w:lang w:val="en-GB"/>
        </w:rPr>
      </w:pPr>
    </w:p>
    <w:p xmlns:wp14="http://schemas.microsoft.com/office/word/2010/wordml" w:rsidP="63E7E8CF" wp14:paraId="6EEB06DD" wp14:textId="212C87D3">
      <w:pPr>
        <w:spacing w:after="40" w:afterAutospacing="off" w:line="360" w:lineRule="auto"/>
        <w:jc w:val="center"/>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Job Description</w:t>
      </w:r>
    </w:p>
    <w:p xmlns:wp14="http://schemas.microsoft.com/office/word/2010/wordml" w:rsidP="63E7E8CF" wp14:paraId="2BE21F70" wp14:textId="415D3A87">
      <w:pPr>
        <w:spacing w:after="30" w:afterAutospacing="off" w:line="360" w:lineRule="auto"/>
        <w:jc w:val="center"/>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Innovation Support Officer</w:t>
      </w:r>
    </w:p>
    <w:p xmlns:wp14="http://schemas.microsoft.com/office/word/2010/wordml" w:rsidP="63E7E8CF" wp14:paraId="25A4D685" wp14:textId="47ABBBA7">
      <w:pPr>
        <w:spacing w:after="240" w:afterAutospacing="off" w:line="360" w:lineRule="auto"/>
        <w:jc w:val="center"/>
        <w:rPr>
          <w:rFonts w:ascii="Arial" w:hAnsi="Arial" w:eastAsia="Arial" w:cs="Arial"/>
          <w:i w:val="1"/>
          <w:iCs w:val="1"/>
          <w:noProof w:val="0"/>
          <w:sz w:val="24"/>
          <w:szCs w:val="24"/>
          <w:lang w:val="en-GB"/>
        </w:rPr>
      </w:pPr>
      <w:r w:rsidRPr="63E7E8CF" w:rsidR="41B0CEB8">
        <w:rPr>
          <w:rFonts w:ascii="Arial" w:hAnsi="Arial" w:eastAsia="Arial" w:cs="Arial"/>
          <w:i w:val="1"/>
          <w:iCs w:val="1"/>
          <w:noProof w:val="0"/>
          <w:sz w:val="24"/>
          <w:szCs w:val="24"/>
          <w:lang w:val="en-GB"/>
        </w:rPr>
        <w:t>UWTSD Student Union</w:t>
      </w:r>
    </w:p>
    <w:p xmlns:wp14="http://schemas.microsoft.com/office/word/2010/wordml" w:rsidP="63E7E8CF" wp14:paraId="645E3944" wp14:textId="119F8447">
      <w:pPr>
        <w:spacing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335635EC" wp14:textId="0AE59CEE">
      <w:pPr>
        <w:spacing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40DCFEF2" wp14:textId="10289D8E">
      <w:pPr>
        <w:spacing w:line="360" w:lineRule="auto"/>
        <w:ind w:firstLine="720"/>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Purpose and Context</w:t>
      </w:r>
    </w:p>
    <w:p xmlns:wp14="http://schemas.microsoft.com/office/word/2010/wordml" w:rsidP="63E7E8CF" wp14:paraId="77EBA40B" wp14:textId="52C1D113">
      <w:pPr>
        <w:spacing w:line="360" w:lineRule="auto"/>
        <w:ind w:firstLine="720"/>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Higher education membership organisations are going through a digital transformation. Routine tasks that staff would previously do are now being automated, such as cash machines replacing tellers, and self-service terminals replacing the reception desk (Tsiskaridze, Reinhold and Jarvis, 2023). The pressure also affects student unions, as their members are digital natives who demand up-to-the-minute services and want these services to continually improve. No longer will there be anyone recruited for stability alone and it is necessary that organisations have people who </w:t>
      </w:r>
      <w:r w:rsidRPr="63E7E8CF" w:rsidR="41B0CEB8">
        <w:rPr>
          <w:rFonts w:ascii="Arial" w:hAnsi="Arial" w:eastAsia="Arial" w:cs="Arial"/>
          <w:noProof w:val="0"/>
          <w:sz w:val="24"/>
          <w:szCs w:val="24"/>
          <w:lang w:val="en-GB"/>
        </w:rPr>
        <w:t>can</w:t>
      </w:r>
      <w:r w:rsidRPr="63E7E8CF" w:rsidR="41B0CEB8">
        <w:rPr>
          <w:rFonts w:ascii="Arial" w:hAnsi="Arial" w:eastAsia="Arial" w:cs="Arial"/>
          <w:noProof w:val="0"/>
          <w:sz w:val="24"/>
          <w:szCs w:val="24"/>
          <w:lang w:val="en-GB"/>
        </w:rPr>
        <w:t xml:space="preserve"> create, test and embed </w:t>
      </w:r>
      <w:r w:rsidRPr="63E7E8CF" w:rsidR="41B0CEB8">
        <w:rPr>
          <w:rFonts w:ascii="Arial" w:hAnsi="Arial" w:eastAsia="Arial" w:cs="Arial"/>
          <w:noProof w:val="0"/>
          <w:sz w:val="24"/>
          <w:szCs w:val="24"/>
          <w:lang w:val="en-GB"/>
        </w:rPr>
        <w:t>new ideas</w:t>
      </w:r>
      <w:r w:rsidRPr="63E7E8CF" w:rsidR="41B0CEB8">
        <w:rPr>
          <w:rFonts w:ascii="Arial" w:hAnsi="Arial" w:eastAsia="Arial" w:cs="Arial"/>
          <w:noProof w:val="0"/>
          <w:sz w:val="24"/>
          <w:szCs w:val="24"/>
          <w:lang w:val="en-GB"/>
        </w:rPr>
        <w:t xml:space="preserve"> (Lenart-</w:t>
      </w:r>
      <w:r w:rsidRPr="63E7E8CF" w:rsidR="41B0CEB8">
        <w:rPr>
          <w:rFonts w:ascii="Arial" w:hAnsi="Arial" w:eastAsia="Arial" w:cs="Arial"/>
          <w:noProof w:val="0"/>
          <w:sz w:val="24"/>
          <w:szCs w:val="24"/>
          <w:lang w:val="en-GB"/>
        </w:rPr>
        <w:t>Gansiniec</w:t>
      </w:r>
      <w:r w:rsidRPr="63E7E8CF" w:rsidR="41B0CEB8">
        <w:rPr>
          <w:rFonts w:ascii="Arial" w:hAnsi="Arial" w:eastAsia="Arial" w:cs="Arial"/>
          <w:noProof w:val="0"/>
          <w:sz w:val="24"/>
          <w:szCs w:val="24"/>
          <w:lang w:val="en-GB"/>
        </w:rPr>
        <w:t>, Sypniewska and Chen, 2023). The Innovation Support Officer role addresses this in the following ways: they are part of a defined role within Student Union’s UWTSD, with creativity and structured experimentation at its core.</w:t>
      </w:r>
    </w:p>
    <w:p xmlns:wp14="http://schemas.microsoft.com/office/word/2010/wordml" w:rsidP="63E7E8CF" wp14:paraId="5E8104CA" wp14:textId="1050561F">
      <w:pPr>
        <w:spacing w:line="360" w:lineRule="auto"/>
        <w:ind w:firstLine="720"/>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Innovation &amp; Creativity Foundations</w:t>
      </w:r>
    </w:p>
    <w:p xmlns:wp14="http://schemas.microsoft.com/office/word/2010/wordml" w:rsidP="63E7E8CF" wp14:paraId="193EBD97" wp14:textId="3DFFA5CC">
      <w:pPr>
        <w:spacing w:line="360" w:lineRule="auto"/>
        <w:ind w:firstLine="720"/>
        <w:jc w:val="both"/>
      </w:pPr>
      <w:r w:rsidRPr="63E7E8CF" w:rsidR="41B0CEB8">
        <w:rPr>
          <w:rFonts w:ascii="Arial" w:hAnsi="Arial" w:eastAsia="Arial" w:cs="Arial"/>
          <w:noProof w:val="0"/>
          <w:sz w:val="24"/>
          <w:szCs w:val="24"/>
          <w:lang w:val="en-GB"/>
        </w:rPr>
        <w:t xml:space="preserve">Creativity provides the cognitive foundation for innovation, which refers to the conscious creation and </w:t>
      </w:r>
      <w:r w:rsidRPr="63E7E8CF" w:rsidR="41B0CEB8">
        <w:rPr>
          <w:rFonts w:ascii="Arial" w:hAnsi="Arial" w:eastAsia="Arial" w:cs="Arial"/>
          <w:noProof w:val="0"/>
          <w:sz w:val="24"/>
          <w:szCs w:val="24"/>
          <w:lang w:val="en-GB"/>
        </w:rPr>
        <w:t>utilization</w:t>
      </w:r>
      <w:r w:rsidRPr="63E7E8CF" w:rsidR="41B0CEB8">
        <w:rPr>
          <w:rFonts w:ascii="Arial" w:hAnsi="Arial" w:eastAsia="Arial" w:cs="Arial"/>
          <w:noProof w:val="0"/>
          <w:sz w:val="24"/>
          <w:szCs w:val="24"/>
          <w:lang w:val="en-GB"/>
        </w:rPr>
        <w:t xml:space="preserve"> of </w:t>
      </w:r>
      <w:r w:rsidRPr="63E7E8CF" w:rsidR="41B0CEB8">
        <w:rPr>
          <w:rFonts w:ascii="Arial" w:hAnsi="Arial" w:eastAsia="Arial" w:cs="Arial"/>
          <w:noProof w:val="0"/>
          <w:sz w:val="24"/>
          <w:szCs w:val="24"/>
          <w:lang w:val="en-GB"/>
        </w:rPr>
        <w:t>new ideas</w:t>
      </w:r>
      <w:r w:rsidRPr="63E7E8CF" w:rsidR="41B0CEB8">
        <w:rPr>
          <w:rFonts w:ascii="Arial" w:hAnsi="Arial" w:eastAsia="Arial" w:cs="Arial"/>
          <w:noProof w:val="0"/>
          <w:sz w:val="24"/>
          <w:szCs w:val="24"/>
          <w:lang w:val="en-GB"/>
        </w:rPr>
        <w:t xml:space="preserve">, </w:t>
      </w:r>
      <w:r w:rsidRPr="63E7E8CF" w:rsidR="41B0CEB8">
        <w:rPr>
          <w:rFonts w:ascii="Arial" w:hAnsi="Arial" w:eastAsia="Arial" w:cs="Arial"/>
          <w:noProof w:val="0"/>
          <w:sz w:val="24"/>
          <w:szCs w:val="24"/>
          <w:lang w:val="en-GB"/>
        </w:rPr>
        <w:t>processes</w:t>
      </w:r>
      <w:r w:rsidRPr="63E7E8CF" w:rsidR="41B0CEB8">
        <w:rPr>
          <w:rFonts w:ascii="Arial" w:hAnsi="Arial" w:eastAsia="Arial" w:cs="Arial"/>
          <w:noProof w:val="0"/>
          <w:sz w:val="24"/>
          <w:szCs w:val="24"/>
          <w:lang w:val="en-GB"/>
        </w:rPr>
        <w:t xml:space="preserve"> and services for improved organizational outcomes in institutional contexts (Barua et al., 2024). The three stages of developing innovative work behaviour are idea generation, idea promotion, and idea realisation, which require </w:t>
      </w:r>
      <w:r w:rsidRPr="63E7E8CF" w:rsidR="41B0CEB8">
        <w:rPr>
          <w:rFonts w:ascii="Arial" w:hAnsi="Arial" w:eastAsia="Arial" w:cs="Arial"/>
          <w:noProof w:val="0"/>
          <w:sz w:val="24"/>
          <w:szCs w:val="24"/>
          <w:lang w:val="en-GB"/>
        </w:rPr>
        <w:t>different kinds</w:t>
      </w:r>
      <w:r w:rsidRPr="63E7E8CF" w:rsidR="41B0CEB8">
        <w:rPr>
          <w:rFonts w:ascii="Arial" w:hAnsi="Arial" w:eastAsia="Arial" w:cs="Arial"/>
          <w:noProof w:val="0"/>
          <w:sz w:val="24"/>
          <w:szCs w:val="24"/>
          <w:lang w:val="en-GB"/>
        </w:rPr>
        <w:t xml:space="preserve"> of supports from the employing body (Jishnu and Hareendrakumar, 2024). A job description based on these concepts is more than a list of tasks and refocuses the job as a means of </w:t>
      </w:r>
      <w:r w:rsidRPr="63E7E8CF" w:rsidR="1346A11D">
        <w:rPr>
          <w:rFonts w:ascii="Arial" w:hAnsi="Arial" w:eastAsia="Arial" w:cs="Arial"/>
          <w:noProof w:val="0"/>
          <w:sz w:val="24"/>
          <w:szCs w:val="24"/>
          <w:lang w:val="en-GB"/>
        </w:rPr>
        <w:t>never-ending</w:t>
      </w:r>
      <w:r w:rsidRPr="63E7E8CF" w:rsidR="41B0CEB8">
        <w:rPr>
          <w:rFonts w:ascii="Arial" w:hAnsi="Arial" w:eastAsia="Arial" w:cs="Arial"/>
          <w:noProof w:val="0"/>
          <w:sz w:val="24"/>
          <w:szCs w:val="24"/>
          <w:lang w:val="en-GB"/>
        </w:rPr>
        <w:t xml:space="preserve"> service improvement. By designing the role in this manner, it communicates clearly to applicants what they are expected to do and what they are not expected to do, preventing the job role from becoming a drift to administrative work.</w:t>
      </w:r>
    </w:p>
    <w:p xmlns:wp14="http://schemas.microsoft.com/office/word/2010/wordml" w:rsidP="63E7E8CF" wp14:paraId="7483174D" wp14:textId="6CFBFC08">
      <w:pPr>
        <w:spacing w:line="360" w:lineRule="auto"/>
        <w:ind w:firstLine="720"/>
        <w:jc w:val="both"/>
        <w:rPr>
          <w:rFonts w:ascii="Arial" w:hAnsi="Arial" w:eastAsia="Arial" w:cs="Arial"/>
          <w:noProof w:val="0"/>
          <w:sz w:val="24"/>
          <w:szCs w:val="24"/>
          <w:lang w:val="en-GB"/>
        </w:rPr>
      </w:pPr>
    </w:p>
    <w:p xmlns:wp14="http://schemas.microsoft.com/office/word/2010/wordml" w:rsidP="63E7E8CF" wp14:paraId="1A2A109C" wp14:textId="3EAA7744">
      <w:pPr>
        <w:spacing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7DB73A07" wp14:textId="1DC703A5">
      <w:pPr>
        <w:pStyle w:val="Normal"/>
        <w:rPr>
          <w:rFonts w:ascii="Arial" w:hAnsi="Arial" w:eastAsia="Arial" w:cs="Arial"/>
          <w:noProof w:val="0"/>
          <w:sz w:val="24"/>
          <w:szCs w:val="24"/>
          <w:lang w:val="en-US"/>
        </w:rPr>
      </w:pPr>
      <w:r w:rsidRPr="63E7E8CF" w:rsidR="41B0CEB8">
        <w:rPr>
          <w:noProof w:val="0"/>
          <w:lang w:val="en-US"/>
        </w:rPr>
        <w:t>Job Description</w:t>
      </w:r>
    </w:p>
    <w:tbl>
      <w:tblPr>
        <w:tblStyle w:val="TableNormal"/>
        <w:bidiVisual w:val="0"/>
        <w:tblW w:w="0" w:type="auto"/>
        <w:tblLook w:val="06A0" w:firstRow="1" w:lastRow="0" w:firstColumn="1" w:lastColumn="0" w:noHBand="1" w:noVBand="1"/>
      </w:tblPr>
      <w:tblGrid>
        <w:gridCol w:w="2700"/>
        <w:gridCol w:w="6660"/>
      </w:tblGrid>
      <w:tr w:rsidR="63E7E8CF" w:rsidTr="63E7E8CF" w14:paraId="4F525BF9">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0E776624" w14:textId="1059CBB5">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Job Title</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419179FE" w14:textId="1C5BC02A">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Innovation Support Officer</w:t>
            </w:r>
          </w:p>
        </w:tc>
      </w:tr>
      <w:tr w:rsidR="63E7E8CF" w:rsidTr="63E7E8CF" w14:paraId="62387963">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79A5675A" w14:textId="625DB88F">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Reports To</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0368139A" w14:textId="1E47FD7D">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Student Union Chief Executive</w:t>
            </w:r>
          </w:p>
        </w:tc>
      </w:tr>
      <w:tr w:rsidR="63E7E8CF" w:rsidTr="63E7E8CF" w14:paraId="00ACFE9D">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732FFD14" w14:textId="1E6B5B85">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Grade and Contract</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4A47D8AE" w14:textId="3C264C0B">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Grade 6, fixed term of three years, subject to annual review</w:t>
            </w:r>
          </w:p>
        </w:tc>
      </w:tr>
      <w:tr w:rsidR="63E7E8CF" w:rsidTr="63E7E8CF" w14:paraId="2FEC6FDA">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5EF87624" w14:textId="4EE4AAC4">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Main Purpose</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1140044C" w14:textId="19E1240A">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Design, pilot, and evaluate innovative member services and engagement initiatives across the Student Union.</w:t>
            </w:r>
          </w:p>
        </w:tc>
      </w:tr>
      <w:tr w:rsidR="63E7E8CF" w:rsidTr="63E7E8CF" w14:paraId="01944B99">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015E3C8B" w14:textId="2FBF910D">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Key Duties</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6CC87D03" w14:textId="7623B3DD">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Conduct user research with members to identify unmet needs and service gaps.</w:t>
            </w:r>
          </w:p>
          <w:p w:rsidR="63E7E8CF" w:rsidP="63E7E8CF" w:rsidRDefault="63E7E8CF" w14:paraId="67407E30" w14:textId="4CF85446">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Facilitate ideation workshops with students and staff to generate candidate solutions.</w:t>
            </w:r>
          </w:p>
          <w:p w:rsidR="63E7E8CF" w:rsidP="63E7E8CF" w:rsidRDefault="63E7E8CF" w14:paraId="606745F3" w14:textId="6DBF2073">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 xml:space="preserve">Build </w:t>
            </w:r>
            <w:r w:rsidRPr="63E7E8CF" w:rsidR="6B74278C">
              <w:rPr>
                <w:rFonts w:ascii="Arial" w:hAnsi="Arial" w:eastAsia="Arial" w:cs="Arial"/>
                <w:sz w:val="24"/>
                <w:szCs w:val="24"/>
              </w:rPr>
              <w:t>low-cost</w:t>
            </w:r>
            <w:r w:rsidRPr="63E7E8CF" w:rsidR="63E7E8CF">
              <w:rPr>
                <w:rFonts w:ascii="Arial" w:hAnsi="Arial" w:eastAsia="Arial" w:cs="Arial"/>
                <w:sz w:val="24"/>
                <w:szCs w:val="24"/>
              </w:rPr>
              <w:t xml:space="preserve"> prototypes and run structured pilots of new services and engagement activities.</w:t>
            </w:r>
          </w:p>
          <w:p w:rsidR="63E7E8CF" w:rsidP="63E7E8CF" w:rsidRDefault="63E7E8CF" w14:paraId="36CFB958" w14:textId="132F579C">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Evaluate pilot results against agreed measures and report findings to leadership.</w:t>
            </w:r>
          </w:p>
          <w:p w:rsidR="63E7E8CF" w:rsidP="63E7E8CF" w:rsidRDefault="63E7E8CF" w14:paraId="1607D1BB" w14:textId="32BF4C1F">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Disseminate learning across the Union and partner networks to spread good practice.</w:t>
            </w:r>
          </w:p>
          <w:p w:rsidR="63E7E8CF" w:rsidP="63E7E8CF" w:rsidRDefault="63E7E8CF" w14:paraId="7F8DC282" w14:textId="1E3E21F9">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Contribute to the annual innovation report and the strategic planning cycle.</w:t>
            </w:r>
          </w:p>
        </w:tc>
      </w:tr>
      <w:tr w:rsidR="63E7E8CF" w:rsidTr="63E7E8CF" w14:paraId="16AAC666">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157B9BD5" w14:textId="02BF541A">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Working Relationships</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6D37A169" w14:textId="007E8DA9">
            <w:pPr>
              <w:spacing w:before="0" w:beforeAutospacing="off" w:after="0" w:afterAutospacing="off" w:line="360" w:lineRule="auto"/>
              <w:rPr>
                <w:rFonts w:ascii="Arial" w:hAnsi="Arial" w:eastAsia="Arial" w:cs="Arial"/>
                <w:sz w:val="24"/>
                <w:szCs w:val="24"/>
              </w:rPr>
            </w:pPr>
            <w:r w:rsidRPr="63E7E8CF" w:rsidR="63E7E8CF">
              <w:rPr>
                <w:rFonts w:ascii="Arial" w:hAnsi="Arial" w:eastAsia="Arial" w:cs="Arial"/>
                <w:sz w:val="24"/>
                <w:szCs w:val="24"/>
              </w:rPr>
              <w:t>Academic schools, student representatives, professional services, and external innovation partners.</w:t>
            </w:r>
          </w:p>
        </w:tc>
      </w:tr>
      <w:tr w:rsidR="63E7E8CF" w:rsidTr="63E7E8CF" w14:paraId="6491E89F">
        <w:trPr>
          <w:trHeight w:val="300"/>
        </w:trPr>
        <w:tc>
          <w:tcPr>
            <w:tcW w:w="2700" w:type="dxa"/>
            <w:tcBorders>
              <w:top w:val="single" w:color="9DB0CE" w:sz="8"/>
              <w:left w:val="single" w:color="9DB0CE" w:sz="8"/>
              <w:bottom w:val="single" w:color="9DB0CE" w:sz="8"/>
              <w:right w:val="single" w:color="9DB0CE" w:sz="8"/>
            </w:tcBorders>
            <w:shd w:val="clear" w:color="auto" w:fill="D6E0F0"/>
            <w:tcMar>
              <w:top w:w="90" w:type="dxa"/>
              <w:left w:w="130" w:type="dxa"/>
              <w:bottom w:w="90" w:type="dxa"/>
              <w:right w:w="130" w:type="dxa"/>
            </w:tcMar>
            <w:vAlign w:val="top"/>
          </w:tcPr>
          <w:p w:rsidR="63E7E8CF" w:rsidP="63E7E8CF" w:rsidRDefault="63E7E8CF" w14:paraId="20198ADF" w14:textId="38D3ADEB">
            <w:pPr>
              <w:spacing w:before="0" w:beforeAutospacing="off" w:after="0" w:afterAutospacing="off" w:line="360" w:lineRule="auto"/>
              <w:rPr>
                <w:rFonts w:ascii="Arial" w:hAnsi="Arial" w:eastAsia="Arial" w:cs="Arial"/>
                <w:color w:val="000000" w:themeColor="text1" w:themeTint="FF" w:themeShade="FF"/>
                <w:sz w:val="24"/>
                <w:szCs w:val="24"/>
              </w:rPr>
            </w:pPr>
            <w:r w:rsidRPr="63E7E8CF" w:rsidR="63E7E8CF">
              <w:rPr>
                <w:rFonts w:ascii="Arial" w:hAnsi="Arial" w:eastAsia="Arial" w:cs="Arial"/>
                <w:color w:val="000000" w:themeColor="text1" w:themeTint="FF" w:themeShade="FF"/>
                <w:sz w:val="24"/>
                <w:szCs w:val="24"/>
              </w:rPr>
              <w:t>Performance Indicators</w:t>
            </w:r>
          </w:p>
        </w:tc>
        <w:tc>
          <w:tcPr>
            <w:tcW w:w="6660" w:type="dxa"/>
            <w:tcBorders>
              <w:top w:val="single" w:color="9DB0CE" w:sz="8"/>
              <w:left w:val="single" w:color="9DB0CE" w:sz="8"/>
              <w:bottom w:val="single" w:color="9DB0CE" w:sz="8"/>
              <w:right w:val="single" w:color="9DB0CE" w:sz="8"/>
            </w:tcBorders>
            <w:tcMar>
              <w:top w:w="90" w:type="dxa"/>
              <w:left w:w="130" w:type="dxa"/>
              <w:bottom w:w="90" w:type="dxa"/>
              <w:right w:w="130" w:type="dxa"/>
            </w:tcMar>
            <w:vAlign w:val="top"/>
          </w:tcPr>
          <w:p w:rsidR="63E7E8CF" w:rsidP="63E7E8CF" w:rsidRDefault="63E7E8CF" w14:paraId="068D6C6A" w14:textId="2A9CA936">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Improved member engagement metrics across priority services.</w:t>
            </w:r>
          </w:p>
          <w:p w:rsidR="63E7E8CF" w:rsidP="63E7E8CF" w:rsidRDefault="63E7E8CF" w14:paraId="07FF1E81" w14:textId="6988D0DC">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Completion of pilot projects within agreed timelines.</w:t>
            </w:r>
          </w:p>
          <w:p w:rsidR="63E7E8CF" w:rsidP="63E7E8CF" w:rsidRDefault="63E7E8CF" w14:paraId="47F0FA9B" w14:textId="7A4BD77B">
            <w:pPr>
              <w:pStyle w:val="ListParagraph"/>
              <w:numPr>
                <w:ilvl w:val="0"/>
                <w:numId w:val="1"/>
              </w:numPr>
              <w:spacing w:after="50" w:afterAutospacing="off" w:line="360" w:lineRule="auto"/>
              <w:ind w:left="360" w:right="0" w:hanging="260"/>
              <w:rPr>
                <w:rFonts w:ascii="Arial" w:hAnsi="Arial" w:eastAsia="Arial" w:cs="Arial"/>
                <w:sz w:val="24"/>
                <w:szCs w:val="24"/>
              </w:rPr>
            </w:pPr>
            <w:r w:rsidRPr="63E7E8CF" w:rsidR="63E7E8CF">
              <w:rPr>
                <w:rFonts w:ascii="Arial" w:hAnsi="Arial" w:eastAsia="Arial" w:cs="Arial"/>
                <w:sz w:val="24"/>
                <w:szCs w:val="24"/>
              </w:rPr>
              <w:t>Contribution to the annual innovation report and adoption of tested ideas.</w:t>
            </w:r>
          </w:p>
        </w:tc>
      </w:tr>
    </w:tbl>
    <w:p xmlns:wp14="http://schemas.microsoft.com/office/word/2010/wordml" w:rsidP="63E7E8CF" wp14:paraId="6FF936E3" wp14:textId="08637F24">
      <w:pPr>
        <w:bidi w:val="0"/>
        <w:spacing w:after="120" w:afterAutospacing="off" w:line="360" w:lineRule="auto"/>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 </w:t>
      </w:r>
    </w:p>
    <w:p xmlns:wp14="http://schemas.microsoft.com/office/word/2010/wordml" w:rsidP="63E7E8CF" wp14:paraId="739D99E6" wp14:textId="017A35D7">
      <w:pPr>
        <w:pStyle w:val="Normal"/>
        <w:bidi w:val="0"/>
        <w:ind w:firstLine="720"/>
        <w:rPr>
          <w:noProof w:val="0"/>
          <w:lang w:val="en-US"/>
        </w:rPr>
      </w:pPr>
    </w:p>
    <w:p xmlns:wp14="http://schemas.microsoft.com/office/word/2010/wordml" w:rsidP="63E7E8CF" wp14:paraId="62C3CE8D" wp14:textId="7D52C9DC">
      <w:pPr>
        <w:pStyle w:val="Normal"/>
        <w:bidi w:val="0"/>
        <w:ind w:firstLine="720"/>
        <w:rPr>
          <w:noProof w:val="0"/>
          <w:lang w:val="en-US"/>
        </w:rPr>
      </w:pPr>
    </w:p>
    <w:p xmlns:wp14="http://schemas.microsoft.com/office/word/2010/wordml" w:rsidP="63E7E8CF" wp14:paraId="3A894458" wp14:textId="002B9FDF">
      <w:pPr>
        <w:pStyle w:val="Normal"/>
        <w:bidi w:val="0"/>
        <w:ind w:firstLine="720"/>
        <w:rPr>
          <w:noProof w:val="0"/>
          <w:lang w:val="en-US"/>
        </w:rPr>
      </w:pPr>
    </w:p>
    <w:p xmlns:wp14="http://schemas.microsoft.com/office/word/2010/wordml" w:rsidP="63E7E8CF" wp14:paraId="15849240" wp14:textId="0040E4A5">
      <w:pPr>
        <w:pStyle w:val="Normal"/>
        <w:bidi w:val="0"/>
        <w:ind w:firstLine="720"/>
        <w:rPr>
          <w:rFonts w:ascii="Arial" w:hAnsi="Arial" w:eastAsia="Arial" w:cs="Arial"/>
          <w:noProof w:val="0"/>
          <w:sz w:val="24"/>
          <w:szCs w:val="24"/>
          <w:lang w:val="en-US"/>
        </w:rPr>
      </w:pPr>
      <w:r w:rsidRPr="63E7E8CF" w:rsidR="41B0CEB8">
        <w:rPr>
          <w:noProof w:val="0"/>
          <w:lang w:val="en-US"/>
        </w:rPr>
        <w:t>How Innovation Shapes the Job Description</w:t>
      </w:r>
    </w:p>
    <w:p xmlns:wp14="http://schemas.microsoft.com/office/word/2010/wordml" w:rsidP="63E7E8CF" wp14:paraId="39755ED1" wp14:textId="03741FA3">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The main purpose statement is very much focused on design, pilot and evaluation activity, not routine delivery, which means it aligns with human resource practice-led innovation, and limits the risk of under operational pressure of role erosion (Lenart-</w:t>
      </w:r>
      <w:r w:rsidRPr="63E7E8CF" w:rsidR="41B0CEB8">
        <w:rPr>
          <w:rFonts w:ascii="Arial" w:hAnsi="Arial" w:eastAsia="Arial" w:cs="Arial"/>
          <w:noProof w:val="0"/>
          <w:sz w:val="24"/>
          <w:szCs w:val="24"/>
          <w:lang w:val="en-US"/>
        </w:rPr>
        <w:t>Gansiniec</w:t>
      </w:r>
      <w:r w:rsidRPr="63E7E8CF" w:rsidR="41B0CEB8">
        <w:rPr>
          <w:rFonts w:ascii="Arial" w:hAnsi="Arial" w:eastAsia="Arial" w:cs="Arial"/>
          <w:noProof w:val="0"/>
          <w:sz w:val="24"/>
          <w:szCs w:val="24"/>
          <w:lang w:val="en-US"/>
        </w:rPr>
        <w:t xml:space="preserve">, Sypniewska and Chen, 2023). As </w:t>
      </w:r>
      <w:r w:rsidRPr="63E7E8CF" w:rsidR="41B0CEB8">
        <w:rPr>
          <w:rFonts w:ascii="Arial" w:hAnsi="Arial" w:eastAsia="Arial" w:cs="Arial"/>
          <w:noProof w:val="0"/>
          <w:sz w:val="24"/>
          <w:szCs w:val="24"/>
          <w:lang w:val="en-US"/>
        </w:rPr>
        <w:t>stated</w:t>
      </w:r>
      <w:r w:rsidRPr="63E7E8CF" w:rsidR="41B0CEB8">
        <w:rPr>
          <w:rFonts w:ascii="Arial" w:hAnsi="Arial" w:eastAsia="Arial" w:cs="Arial"/>
          <w:noProof w:val="0"/>
          <w:sz w:val="24"/>
          <w:szCs w:val="24"/>
          <w:lang w:val="en-US"/>
        </w:rPr>
        <w:t xml:space="preserve"> by Jishnu and Hareendrakumar (2024), the key activities mentioned in the document align with the three phases of innovative work </w:t>
      </w:r>
      <w:r w:rsidRPr="63E7E8CF" w:rsidR="41B0CEB8">
        <w:rPr>
          <w:rFonts w:ascii="Arial" w:hAnsi="Arial" w:eastAsia="Arial" w:cs="Arial"/>
          <w:noProof w:val="0"/>
          <w:sz w:val="24"/>
          <w:szCs w:val="24"/>
          <w:lang w:val="en-US"/>
        </w:rPr>
        <w:t>behaviour</w:t>
      </w:r>
      <w:r w:rsidRPr="63E7E8CF" w:rsidR="41B0CEB8">
        <w:rPr>
          <w:rFonts w:ascii="Arial" w:hAnsi="Arial" w:eastAsia="Arial" w:cs="Arial"/>
          <w:noProof w:val="0"/>
          <w:sz w:val="24"/>
          <w:szCs w:val="24"/>
          <w:lang w:val="en-US"/>
        </w:rPr>
        <w:t xml:space="preserve">, which are user research, ideation workshops, prototyping, and dissemination. Giving </w:t>
      </w:r>
      <w:r w:rsidRPr="63E7E8CF" w:rsidR="71773CB8">
        <w:rPr>
          <w:rFonts w:ascii="Arial" w:hAnsi="Arial" w:eastAsia="Arial" w:cs="Arial"/>
          <w:noProof w:val="0"/>
          <w:sz w:val="24"/>
          <w:szCs w:val="24"/>
          <w:lang w:val="en-US"/>
        </w:rPr>
        <w:t>these names</w:t>
      </w:r>
      <w:r w:rsidRPr="63E7E8CF" w:rsidR="41B0CEB8">
        <w:rPr>
          <w:rFonts w:ascii="Arial" w:hAnsi="Arial" w:eastAsia="Arial" w:cs="Arial"/>
          <w:noProof w:val="0"/>
          <w:sz w:val="24"/>
          <w:szCs w:val="24"/>
          <w:lang w:val="en-US"/>
        </w:rPr>
        <w:t xml:space="preserve"> will also help the recruitment </w:t>
      </w:r>
      <w:r w:rsidRPr="63E7E8CF" w:rsidR="4076538F">
        <w:rPr>
          <w:rFonts w:ascii="Arial" w:hAnsi="Arial" w:eastAsia="Arial" w:cs="Arial"/>
          <w:noProof w:val="0"/>
          <w:sz w:val="24"/>
          <w:szCs w:val="24"/>
          <w:lang w:val="en-US"/>
        </w:rPr>
        <w:t>panel</w:t>
      </w:r>
      <w:r w:rsidRPr="63E7E8CF" w:rsidR="41B0CEB8">
        <w:rPr>
          <w:rFonts w:ascii="Arial" w:hAnsi="Arial" w:eastAsia="Arial" w:cs="Arial"/>
          <w:noProof w:val="0"/>
          <w:sz w:val="24"/>
          <w:szCs w:val="24"/>
          <w:lang w:val="en-US"/>
        </w:rPr>
        <w:t xml:space="preserve"> arrive at a </w:t>
      </w:r>
      <w:r w:rsidRPr="63E7E8CF" w:rsidR="239E0988">
        <w:rPr>
          <w:rFonts w:ascii="Arial" w:hAnsi="Arial" w:eastAsia="Arial" w:cs="Arial"/>
          <w:noProof w:val="0"/>
          <w:sz w:val="24"/>
          <w:szCs w:val="24"/>
          <w:lang w:val="en-US"/>
        </w:rPr>
        <w:t>measurable criterion</w:t>
      </w:r>
      <w:r w:rsidRPr="63E7E8CF" w:rsidR="41B0CEB8">
        <w:rPr>
          <w:rFonts w:ascii="Arial" w:hAnsi="Arial" w:eastAsia="Arial" w:cs="Arial"/>
          <w:noProof w:val="0"/>
          <w:sz w:val="24"/>
          <w:szCs w:val="24"/>
          <w:lang w:val="en-US"/>
        </w:rPr>
        <w:t xml:space="preserve"> for further short listing and designing of the interview.</w:t>
      </w:r>
    </w:p>
    <w:p xmlns:wp14="http://schemas.microsoft.com/office/word/2010/wordml" w:rsidP="63E7E8CF" wp14:paraId="2F9A5CEA" wp14:textId="092E0252">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Working relationships are different people from across academic schools, student representatives, professional services, and external innovation partners as creative output relies on exchange of knowledge between multiple parties (Barua et al., 2024). Creative performance is also influenced by physical and organisational conditions, so the role does not have to result in a permanent workplace, but in a connection to a diverse collaboration space and network (Lucius and Damberg, 2024). This amount of contact provides the variety of stimulus necessary for new ideas for services to be based on.</w:t>
      </w:r>
    </w:p>
    <w:p xmlns:wp14="http://schemas.microsoft.com/office/word/2010/wordml" w:rsidP="63E7E8CF" wp14:paraId="5DB17C9C" wp14:textId="649427E5">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Performance indicators tie the role to member engagement data and project completion of pilots, ensuring the role is held accountable for measurable results but ensuring space for experimentation at the </w:t>
      </w:r>
      <w:r w:rsidRPr="63E7E8CF" w:rsidR="41B0CEB8">
        <w:rPr>
          <w:rFonts w:ascii="Arial" w:hAnsi="Arial" w:eastAsia="Arial" w:cs="Arial"/>
          <w:noProof w:val="0"/>
          <w:sz w:val="24"/>
          <w:szCs w:val="24"/>
          <w:lang w:val="en-US"/>
        </w:rPr>
        <w:t>early stages</w:t>
      </w:r>
      <w:r w:rsidRPr="63E7E8CF" w:rsidR="41B0CEB8">
        <w:rPr>
          <w:rFonts w:ascii="Arial" w:hAnsi="Arial" w:eastAsia="Arial" w:cs="Arial"/>
          <w:noProof w:val="0"/>
          <w:sz w:val="24"/>
          <w:szCs w:val="24"/>
          <w:lang w:val="en-US"/>
        </w:rPr>
        <w:t xml:space="preserve"> of pilots when traditional output is minimal (Marwan and </w:t>
      </w:r>
      <w:r w:rsidRPr="63E7E8CF" w:rsidR="41B0CEB8">
        <w:rPr>
          <w:rFonts w:ascii="Arial" w:hAnsi="Arial" w:eastAsia="Arial" w:cs="Arial"/>
          <w:noProof w:val="0"/>
          <w:sz w:val="24"/>
          <w:szCs w:val="24"/>
          <w:lang w:val="en-US"/>
        </w:rPr>
        <w:t>Alhadar</w:t>
      </w:r>
      <w:r w:rsidRPr="63E7E8CF" w:rsidR="41B0CEB8">
        <w:rPr>
          <w:rFonts w:ascii="Arial" w:hAnsi="Arial" w:eastAsia="Arial" w:cs="Arial"/>
          <w:noProof w:val="0"/>
          <w:sz w:val="24"/>
          <w:szCs w:val="24"/>
          <w:lang w:val="en-US"/>
        </w:rPr>
        <w:t xml:space="preserve">, 2024). Putting indicators in this shape makes it less harmful towards the prevailing trial and error that is a principle of being innovative. The grade and fixed term structure </w:t>
      </w:r>
      <w:r w:rsidRPr="63E7E8CF" w:rsidR="41B0CEB8">
        <w:rPr>
          <w:rFonts w:ascii="Arial" w:hAnsi="Arial" w:eastAsia="Arial" w:cs="Arial"/>
          <w:noProof w:val="0"/>
          <w:sz w:val="24"/>
          <w:szCs w:val="24"/>
          <w:lang w:val="en-US"/>
        </w:rPr>
        <w:t>is</w:t>
      </w:r>
      <w:r w:rsidRPr="63E7E8CF" w:rsidR="41B0CEB8">
        <w:rPr>
          <w:rFonts w:ascii="Arial" w:hAnsi="Arial" w:eastAsia="Arial" w:cs="Arial"/>
          <w:noProof w:val="0"/>
          <w:sz w:val="24"/>
          <w:szCs w:val="24"/>
          <w:lang w:val="en-US"/>
        </w:rPr>
        <w:t xml:space="preserve"> also subject to critical investigation. A fixed term of three years is a sufficient period for delivering an innovation agenda consistent with the strategic plan and provides an opportunity for annual review against the strategic </w:t>
      </w:r>
      <w:r w:rsidRPr="63E7E8CF" w:rsidR="2FB3E444">
        <w:rPr>
          <w:rFonts w:ascii="Arial" w:hAnsi="Arial" w:eastAsia="Arial" w:cs="Arial"/>
          <w:noProof w:val="0"/>
          <w:sz w:val="24"/>
          <w:szCs w:val="24"/>
          <w:lang w:val="en-US"/>
        </w:rPr>
        <w:t>plan but</w:t>
      </w:r>
      <w:r w:rsidRPr="63E7E8CF" w:rsidR="41B0CEB8">
        <w:rPr>
          <w:rFonts w:ascii="Arial" w:hAnsi="Arial" w:eastAsia="Arial" w:cs="Arial"/>
          <w:noProof w:val="0"/>
          <w:sz w:val="24"/>
          <w:szCs w:val="24"/>
          <w:lang w:val="en-US"/>
        </w:rPr>
        <w:t xml:space="preserve"> also has the potential challenge of less commitment and fewer knowledge assets retained at the exit moment (Jishnu and Hareendrakumar, 2024). Having a post holder paired with an innovation mentor during induction helps to reduce this risk and to create a stronger circle around the role (Marwan and </w:t>
      </w:r>
      <w:r w:rsidRPr="63E7E8CF" w:rsidR="41B0CEB8">
        <w:rPr>
          <w:rFonts w:ascii="Arial" w:hAnsi="Arial" w:eastAsia="Arial" w:cs="Arial"/>
          <w:noProof w:val="0"/>
          <w:sz w:val="24"/>
          <w:szCs w:val="24"/>
          <w:lang w:val="en-US"/>
        </w:rPr>
        <w:t>Alhadar</w:t>
      </w:r>
      <w:r w:rsidRPr="63E7E8CF" w:rsidR="41B0CEB8">
        <w:rPr>
          <w:rFonts w:ascii="Arial" w:hAnsi="Arial" w:eastAsia="Arial" w:cs="Arial"/>
          <w:noProof w:val="0"/>
          <w:sz w:val="24"/>
          <w:szCs w:val="24"/>
          <w:lang w:val="en-US"/>
        </w:rPr>
        <w:t>, 2024).</w:t>
      </w:r>
    </w:p>
    <w:p xmlns:wp14="http://schemas.microsoft.com/office/word/2010/wordml" w:rsidP="63E7E8CF" wp14:paraId="5E6535F8" wp14:textId="534D8E17">
      <w:pPr>
        <w:bidi w:val="0"/>
        <w:spacing w:line="360" w:lineRule="auto"/>
        <w:ind w:firstLine="720"/>
        <w:jc w:val="both"/>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Together, these elements help to translate strategic innovation objectives into the written recruitment document and provide the selection panel with a solid foundation for evaluating applied innovative capability (Tsiskaridze, Reinhold and Jarvis, 2023).</w:t>
      </w:r>
    </w:p>
    <w:p xmlns:wp14="http://schemas.microsoft.com/office/word/2010/wordml" w:rsidP="63E7E8CF" wp14:paraId="4D745934" wp14:textId="51503ADA">
      <w:pPr>
        <w:bidi w:val="0"/>
        <w:spacing w:line="360" w:lineRule="auto"/>
        <w:rPr>
          <w:rFonts w:ascii="Arial" w:hAnsi="Arial" w:eastAsia="Arial" w:cs="Arial"/>
          <w:noProof w:val="0"/>
          <w:sz w:val="24"/>
          <w:szCs w:val="24"/>
          <w:lang w:val="en-US"/>
        </w:rPr>
      </w:pPr>
      <w:r w:rsidRPr="63E7E8CF" w:rsidR="41B0CEB8">
        <w:rPr>
          <w:rFonts w:ascii="Arial" w:hAnsi="Arial" w:eastAsia="Arial" w:cs="Arial"/>
          <w:noProof w:val="0"/>
          <w:sz w:val="24"/>
          <w:szCs w:val="24"/>
          <w:lang w:val="en-US"/>
        </w:rPr>
        <w:t xml:space="preserve"> </w:t>
      </w:r>
    </w:p>
    <w:p w:rsidR="60316196" w:rsidP="72F0814C" w:rsidRDefault="60316196" w14:paraId="1A56D24A" w14:textId="2930075D">
      <w:pPr>
        <w:spacing w:after="4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60316196">
        <w:rPr>
          <w:rFonts w:ascii="Arial" w:hAnsi="Arial" w:eastAsia="Arial" w:cs="Arial"/>
          <w:noProof w:val="0"/>
          <w:sz w:val="24"/>
          <w:szCs w:val="24"/>
          <w:lang w:val="en-US"/>
        </w:rPr>
        <w:t xml:space="preserve"> </w:t>
      </w: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Person Specification</w:t>
      </w:r>
    </w:p>
    <w:p w:rsidR="70076C46" w:rsidP="72F0814C" w:rsidRDefault="70076C46" w14:paraId="5714D59C" w14:textId="2B22BD27">
      <w:pPr>
        <w:bidi w:val="0"/>
        <w:spacing w:after="3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Innovation Support Officer</w:t>
      </w:r>
    </w:p>
    <w:p w:rsidR="70076C46" w:rsidP="72F0814C" w:rsidRDefault="70076C46" w14:paraId="6CB9B0DF" w14:textId="407938E1">
      <w:pPr>
        <w:bidi w:val="0"/>
        <w:spacing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1"/>
          <w:iCs w:val="1"/>
          <w:caps w:val="0"/>
          <w:smallCaps w:val="0"/>
          <w:noProof w:val="0"/>
          <w:color w:val="000000" w:themeColor="text1" w:themeTint="FF" w:themeShade="FF"/>
          <w:sz w:val="24"/>
          <w:szCs w:val="24"/>
          <w:lang w:val="en-GB"/>
        </w:rPr>
        <w:t>UWTSD Student Union</w:t>
      </w:r>
    </w:p>
    <w:p w:rsidR="72F0814C" w:rsidP="72F0814C" w:rsidRDefault="72F0814C" w14:paraId="094136A5" w14:textId="6D1F7200">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0076C46" w:rsidP="72F0814C" w:rsidRDefault="70076C46" w14:paraId="7045B66D" w14:textId="7FE0FCD0">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Purpose and Context</w:t>
      </w:r>
    </w:p>
    <w:p w:rsidR="70076C46" w:rsidP="72F0814C" w:rsidRDefault="70076C46" w14:paraId="1BBE16D6" w14:textId="4346086C">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A person specification breaks down the requirements of the job of the Innovation Support Officer into selection criteria, which show a distinction between essential requirements and desirable strengths. The panels assign points to candidates for demonstrated standards and job requirements, thus providing protection of fairness (Tsiskaridze, Reinhold and Jarvis, 2023). Specification of an innovation-focused post should reflect not just technical competence but also the personal attributes that underpin creative contribution (Barua et al., 2024). With care in this regard, the decision about who makes the cut and how is then a defensible one between the essential and the desirable.</w:t>
      </w:r>
    </w:p>
    <w:p w:rsidR="70076C46" w:rsidP="72F0814C" w:rsidRDefault="70076C46" w14:paraId="08C0B83F" w14:textId="64821CAF">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Attribute Foundations</w:t>
      </w:r>
    </w:p>
    <w:p w:rsidR="70076C46" w:rsidP="72F0814C" w:rsidRDefault="70076C46" w14:paraId="563CA52E" w14:textId="0327A4E4">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Successful appointments are based on three converging sets of attributes: ability, motivation, and opportunity, which are all covered by the specification (Marwan and Alhadar, 2024). Ability includes analytical, ideation and communication competence. Motivation is an indication of intrinsic drive, openness to experience and tolerance for ambiguity because the creative effort continues even amidst uncertainty and initial failures (Jishnu and Hareendrakumar, 2024). Opportunity is based on culture and support, and the work environment, which can either bring out and strengthen a creative potential or hinder its transformation into delivered innovation (Lucius and Damberg, 2024).</w:t>
      </w:r>
    </w:p>
    <w:p w:rsidR="70076C46" w:rsidP="72F0814C" w:rsidRDefault="70076C46" w14:paraId="4755594A" w14:textId="4DD83597">
      <w:pPr>
        <w:bidi w:val="0"/>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2F0814C" w:rsidP="72F0814C" w:rsidRDefault="72F0814C" w14:paraId="241AF26F" w14:textId="1788B445">
      <w:pPr>
        <w:bidi w:val="0"/>
        <w:ind w:firstLine="72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3F2DC97B" w14:textId="1313D806">
      <w:pPr>
        <w:bidi w:val="0"/>
        <w:ind w:firstLine="720"/>
        <w:rPr>
          <w:rFonts w:ascii="Arial" w:hAnsi="Arial" w:eastAsia="Arial" w:cs="Arial"/>
          <w:b w:val="0"/>
          <w:bCs w:val="0"/>
          <w:i w:val="0"/>
          <w:iCs w:val="0"/>
          <w:caps w:val="0"/>
          <w:smallCaps w:val="0"/>
          <w:noProof w:val="0"/>
          <w:color w:val="000000" w:themeColor="text1" w:themeTint="FF" w:themeShade="FF"/>
          <w:sz w:val="24"/>
          <w:szCs w:val="24"/>
          <w:lang w:val="en-US"/>
        </w:rPr>
      </w:pPr>
    </w:p>
    <w:p w:rsidR="70076C46" w:rsidP="72F0814C" w:rsidRDefault="70076C46" w14:paraId="4997540C" w14:textId="12A43395">
      <w:pPr>
        <w:bidi w:val="0"/>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US"/>
        </w:rPr>
        <w:t>Person Specification</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2160"/>
        <w:gridCol w:w="3600"/>
        <w:gridCol w:w="3600"/>
      </w:tblGrid>
      <w:tr w:rsidR="72F0814C" w:rsidTr="72F0814C" w14:paraId="2DC51F49">
        <w:trPr>
          <w:trHeight w:val="285"/>
        </w:trPr>
        <w:tc>
          <w:tcPr>
            <w:tcW w:w="2160" w:type="dxa"/>
            <w:tcBorders>
              <w:top w:val="single" w:sz="6"/>
              <w:left w:val="single" w:sz="6"/>
              <w:bottom w:val="single" w:sz="6"/>
              <w:right w:val="single" w:sz="6"/>
            </w:tcBorders>
            <w:tcMar>
              <w:left w:w="105" w:type="dxa"/>
              <w:right w:w="105" w:type="dxa"/>
            </w:tcMar>
            <w:vAlign w:val="top"/>
          </w:tcPr>
          <w:p w:rsidR="72F0814C" w:rsidP="72F0814C" w:rsidRDefault="72F0814C" w14:paraId="0FBC9DBA" w14:textId="5EE7B114">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Attribute</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587C4350" w14:textId="1F9462B2">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Essential</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1B17874F" w14:textId="79E5ADED">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Desirable</w:t>
            </w:r>
          </w:p>
        </w:tc>
      </w:tr>
      <w:tr w:rsidR="72F0814C" w:rsidTr="72F0814C" w14:paraId="59C52B81">
        <w:trPr>
          <w:trHeight w:val="285"/>
        </w:trPr>
        <w:tc>
          <w:tcPr>
            <w:tcW w:w="2160" w:type="dxa"/>
            <w:tcBorders>
              <w:top w:val="single" w:sz="6"/>
              <w:left w:val="single" w:sz="6"/>
              <w:bottom w:val="single" w:sz="6"/>
              <w:right w:val="single" w:sz="6"/>
            </w:tcBorders>
            <w:tcMar>
              <w:left w:w="105" w:type="dxa"/>
              <w:right w:w="105" w:type="dxa"/>
            </w:tcMar>
            <w:vAlign w:val="top"/>
          </w:tcPr>
          <w:p w:rsidR="72F0814C" w:rsidP="72F0814C" w:rsidRDefault="72F0814C" w14:paraId="01B00AC3" w14:textId="7131B39D">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Qualifications</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074B943C" w14:textId="0BB353C8">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Undergraduate degree in business, management, or a related discipline.</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760F6410" w14:textId="4F21FE9C">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Postgraduate qualification in innovation or service design.</w:t>
            </w:r>
          </w:p>
        </w:tc>
      </w:tr>
      <w:tr w:rsidR="72F0814C" w:rsidTr="72F0814C" w14:paraId="48534BB8">
        <w:trPr>
          <w:trHeight w:val="285"/>
        </w:trPr>
        <w:tc>
          <w:tcPr>
            <w:tcW w:w="2160" w:type="dxa"/>
            <w:tcBorders>
              <w:top w:val="single" w:sz="6"/>
              <w:left w:val="single" w:sz="6"/>
              <w:bottom w:val="single" w:sz="6"/>
              <w:right w:val="single" w:sz="6"/>
            </w:tcBorders>
            <w:tcMar>
              <w:left w:w="105" w:type="dxa"/>
              <w:right w:w="105" w:type="dxa"/>
            </w:tcMar>
            <w:vAlign w:val="top"/>
          </w:tcPr>
          <w:p w:rsidR="72F0814C" w:rsidP="72F0814C" w:rsidRDefault="72F0814C" w14:paraId="33B71891" w14:textId="0ADD4C80">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Experience</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5157BD8B" w14:textId="41FEFC53">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Two years of project work in service redesign or engagement contexts.</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4D117369" w14:textId="6E03C9C3">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Higher education or membership organisation experience.</w:t>
            </w:r>
          </w:p>
        </w:tc>
      </w:tr>
      <w:tr w:rsidR="72F0814C" w:rsidTr="72F0814C" w14:paraId="28ECE2AB">
        <w:trPr>
          <w:trHeight w:val="285"/>
        </w:trPr>
        <w:tc>
          <w:tcPr>
            <w:tcW w:w="2160" w:type="dxa"/>
            <w:tcBorders>
              <w:top w:val="single" w:sz="6"/>
              <w:left w:val="single" w:sz="6"/>
              <w:bottom w:val="single" w:sz="6"/>
              <w:right w:val="single" w:sz="6"/>
            </w:tcBorders>
            <w:tcMar>
              <w:left w:w="105" w:type="dxa"/>
              <w:right w:w="105" w:type="dxa"/>
            </w:tcMar>
            <w:vAlign w:val="top"/>
          </w:tcPr>
          <w:p w:rsidR="72F0814C" w:rsidP="72F0814C" w:rsidRDefault="72F0814C" w14:paraId="3A0B89E7" w14:textId="3C8911F1">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Skills</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64300BA7" w14:textId="113CF193">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Analytical, ideation, communication, and presentation skills.</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00C55F7A" w14:textId="27D144D9">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Design thinking, digital prototyping, and qualitative research methods.</w:t>
            </w:r>
          </w:p>
        </w:tc>
      </w:tr>
      <w:tr w:rsidR="72F0814C" w:rsidTr="72F0814C" w14:paraId="0F16DE1F">
        <w:trPr>
          <w:trHeight w:val="285"/>
        </w:trPr>
        <w:tc>
          <w:tcPr>
            <w:tcW w:w="2160" w:type="dxa"/>
            <w:tcBorders>
              <w:top w:val="single" w:sz="6"/>
              <w:left w:val="single" w:sz="6"/>
              <w:bottom w:val="single" w:sz="6"/>
              <w:right w:val="single" w:sz="6"/>
            </w:tcBorders>
            <w:tcMar>
              <w:left w:w="105" w:type="dxa"/>
              <w:right w:w="105" w:type="dxa"/>
            </w:tcMar>
            <w:vAlign w:val="top"/>
          </w:tcPr>
          <w:p w:rsidR="72F0814C" w:rsidP="72F0814C" w:rsidRDefault="72F0814C" w14:paraId="46BF151A" w14:textId="3F8BAE92">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Personal Attributes</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1F923BAF" w14:textId="110D3173">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Creativity, openness, resilience, intrinsic motivation, and team working.</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369DD2F0" w14:textId="5415A936">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Tolerance for ambiguity and self directed learning capacity.</w:t>
            </w:r>
          </w:p>
        </w:tc>
      </w:tr>
      <w:tr w:rsidR="72F0814C" w:rsidTr="72F0814C" w14:paraId="2FCEC86F">
        <w:trPr>
          <w:trHeight w:val="285"/>
        </w:trPr>
        <w:tc>
          <w:tcPr>
            <w:tcW w:w="2160" w:type="dxa"/>
            <w:tcBorders>
              <w:top w:val="single" w:sz="6"/>
              <w:left w:val="single" w:sz="6"/>
              <w:bottom w:val="single" w:sz="6"/>
              <w:right w:val="single" w:sz="6"/>
            </w:tcBorders>
            <w:tcMar>
              <w:left w:w="105" w:type="dxa"/>
              <w:right w:w="105" w:type="dxa"/>
            </w:tcMar>
            <w:vAlign w:val="top"/>
          </w:tcPr>
          <w:p w:rsidR="72F0814C" w:rsidP="72F0814C" w:rsidRDefault="72F0814C" w14:paraId="2B4D41FD" w14:textId="4F1D8E21">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Knowledge</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44966C6B" w14:textId="18298047">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Innovation processes, creativity theory, and student engagement principles.</w:t>
            </w:r>
          </w:p>
        </w:tc>
        <w:tc>
          <w:tcPr>
            <w:tcW w:w="3600" w:type="dxa"/>
            <w:tcBorders>
              <w:top w:val="single" w:sz="6"/>
              <w:left w:val="single" w:sz="6"/>
              <w:bottom w:val="single" w:sz="6"/>
              <w:right w:val="single" w:sz="6"/>
            </w:tcBorders>
            <w:tcMar>
              <w:left w:w="105" w:type="dxa"/>
              <w:right w:w="105" w:type="dxa"/>
            </w:tcMar>
            <w:vAlign w:val="top"/>
          </w:tcPr>
          <w:p w:rsidR="72F0814C" w:rsidP="72F0814C" w:rsidRDefault="72F0814C" w14:paraId="69021604" w14:textId="2A49E4DF">
            <w:pPr>
              <w:bidi w:val="0"/>
              <w:spacing w:before="0" w:beforeAutospacing="off" w:after="0" w:afterAutospacing="off" w:line="360" w:lineRule="auto"/>
              <w:rPr>
                <w:rFonts w:ascii="Arial" w:hAnsi="Arial" w:eastAsia="Arial" w:cs="Arial"/>
                <w:b w:val="0"/>
                <w:bCs w:val="0"/>
                <w:i w:val="0"/>
                <w:iCs w:val="0"/>
                <w:sz w:val="24"/>
                <w:szCs w:val="24"/>
              </w:rPr>
            </w:pPr>
            <w:r w:rsidRPr="72F0814C" w:rsidR="72F0814C">
              <w:rPr>
                <w:rFonts w:ascii="Arial" w:hAnsi="Arial" w:eastAsia="Arial" w:cs="Arial"/>
                <w:b w:val="0"/>
                <w:bCs w:val="0"/>
                <w:i w:val="0"/>
                <w:iCs w:val="0"/>
                <w:sz w:val="24"/>
                <w:szCs w:val="24"/>
                <w:lang w:val="en-GB"/>
              </w:rPr>
              <w:t>UK higher education sector regulation and policy environment.</w:t>
            </w:r>
          </w:p>
        </w:tc>
      </w:tr>
    </w:tbl>
    <w:p w:rsidR="70076C46" w:rsidP="72F0814C" w:rsidRDefault="70076C46" w14:paraId="317553E6" w14:textId="039C31D0">
      <w:pPr>
        <w:bidi w:val="0"/>
        <w:spacing w:after="12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0076C46" w:rsidP="72F0814C" w:rsidRDefault="70076C46" w14:paraId="3FFE62C7" w14:textId="65C3A976">
      <w:pPr>
        <w:bidi w:val="0"/>
        <w:ind w:firstLine="720"/>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US"/>
        </w:rPr>
        <w:t>How Innovation Shapes the Person Specification</w:t>
      </w:r>
    </w:p>
    <w:p w:rsidR="70076C46" w:rsidP="72F0814C" w:rsidRDefault="70076C46" w14:paraId="769AE6A8" w14:textId="7B037CA3">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US"/>
        </w:rPr>
        <w:t>An undergraduate degree as required and the postgraduate innovation degree as desirable expands the scope of applicants and offers even an incentive to prepare in this field—thereby a balance between inclusion and depth of expertise (Lenart-Gansiniec, Sypniewska and Chen, 2023). Creativity, Openness and Resilience as personal attributes provide defensible evidence that these attributes are associated with ongoing innovative work behaviour and hence provides grounds for the panel to assess fit beyond paper qualifications only (Jishnu and Hareendrakumar, 2024).</w:t>
      </w:r>
    </w:p>
    <w:p w:rsidR="70076C46" w:rsidP="72F0814C" w:rsidRDefault="70076C46" w14:paraId="2CBE45C4" w14:textId="7B771943">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US"/>
        </w:rPr>
        <w:t>The inclusion of design thinking, digital prototyping, and qualitative research among desirable skills recognizes the digital and analytical nature of service development in the modern era while also not penalizing well-qualified candidates who, through structured training, would not be equipped with those techniques or skills. The framing of sector regulation knowledge as desirable instead of essential mirrors cross national variation in employment, due to different sector regulation rules, which are quickly gained during induction (Tsiskaridze, Reinhold and Jarvis, 2023).</w:t>
      </w:r>
    </w:p>
    <w:p w:rsidR="70076C46" w:rsidP="72F0814C" w:rsidRDefault="70076C46" w14:paraId="046E77D8" w14:textId="05384FE6">
      <w:pPr>
        <w:bidi w:val="0"/>
        <w:spacing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2F0814C" w:rsidR="70076C46">
        <w:rPr>
          <w:rFonts w:ascii="Arial" w:hAnsi="Arial" w:eastAsia="Arial" w:cs="Arial"/>
          <w:b w:val="0"/>
          <w:bCs w:val="0"/>
          <w:i w:val="0"/>
          <w:iCs w:val="0"/>
          <w:caps w:val="0"/>
          <w:smallCaps w:val="0"/>
          <w:noProof w:val="0"/>
          <w:color w:val="000000" w:themeColor="text1" w:themeTint="FF" w:themeShade="FF"/>
          <w:sz w:val="24"/>
          <w:szCs w:val="24"/>
          <w:lang w:val="en-US"/>
        </w:rPr>
        <w:t>One key conflict is between breadth and selectivity. Too many essential criteria may result in fewer candidates and potential candidates being filtered out, and less stringent criteria may lead to less defensibility or applicants who do not have the necessary skills and qualities (Barua et al., 2024). This balance here ensures demonstrable competence and disposition are kept in the essential requirements column, while specialist and contextual strengths are reserved for the desirable column, both for the sake of fairness and inspirations of innovation potential (Lenart-Gansiniec, Sypniewska, and Chen, 2023).</w:t>
      </w:r>
    </w:p>
    <w:p w:rsidR="72F0814C" w:rsidP="72F0814C" w:rsidRDefault="72F0814C" w14:paraId="75208273" w14:textId="6274B80B">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58728F8A" w14:textId="366505AF">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3C273D32" w14:textId="4C173E78">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2CA9E9B8" w14:textId="2E4E7A1B">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0A6BD281" w14:textId="63A3242F">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33CC0E2C" w14:textId="5D2A34F2">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4BBADFE6" w14:textId="0DBD7208">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5B2D4C1F" w14:textId="0D4EFF09">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705F1D01" w14:textId="3D4FBF72">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25F244C4" w14:textId="6AE098B3">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4EEF3D55" w14:textId="773A0D1D">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40DFF50A" w14:textId="2DA6FB6D">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10EEFF32" w14:textId="0FCEEEE6">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5791A087" w14:textId="26DD1776">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1E877E66" w14:textId="700096A5">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7CAC7041" w14:textId="5A0513BD">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w:rsidR="72F0814C" w:rsidP="72F0814C" w:rsidRDefault="72F0814C" w14:paraId="134765D8" w14:textId="5AADF01E">
      <w:pPr>
        <w:bidi w:val="0"/>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3E7E8CF" wp14:paraId="6A521DDB" wp14:textId="7FFA33AF">
      <w:pPr>
        <w:pStyle w:val="Normal"/>
        <w:bidi w:val="0"/>
        <w:spacing w:line="360" w:lineRule="auto"/>
        <w:rPr>
          <w:rFonts w:ascii="Arial" w:hAnsi="Arial" w:eastAsia="Arial" w:cs="Arial"/>
          <w:noProof w:val="0"/>
          <w:sz w:val="24"/>
          <w:szCs w:val="24"/>
          <w:lang w:val="en-US"/>
        </w:rPr>
      </w:pPr>
    </w:p>
    <w:p xmlns:wp14="http://schemas.microsoft.com/office/word/2010/wordml" w:rsidP="63E7E8CF" wp14:paraId="4EED8E22" wp14:textId="26F11941">
      <w:pPr>
        <w:pStyle w:val="Normal"/>
        <w:bidi w:val="0"/>
        <w:rPr>
          <w:noProof w:val="0"/>
          <w:lang w:val="en-US"/>
        </w:rPr>
      </w:pPr>
    </w:p>
    <w:p xmlns:wp14="http://schemas.microsoft.com/office/word/2010/wordml" w:rsidP="63E7E8CF" wp14:paraId="72B53AB1" wp14:textId="4E42D8BD">
      <w:pPr>
        <w:pStyle w:val="Normal"/>
        <w:bidi w:val="0"/>
        <w:rPr>
          <w:rFonts w:ascii="Arial" w:hAnsi="Arial" w:eastAsia="Arial" w:cs="Arial"/>
          <w:noProof w:val="0"/>
          <w:sz w:val="24"/>
          <w:szCs w:val="24"/>
          <w:lang w:val="en-US"/>
        </w:rPr>
      </w:pPr>
      <w:r w:rsidRPr="63E7E8CF" w:rsidR="41B0CEB8">
        <w:rPr>
          <w:noProof w:val="0"/>
          <w:lang w:val="en-US"/>
        </w:rPr>
        <w:t>Reference</w:t>
      </w:r>
      <w:r w:rsidRPr="63E7E8CF" w:rsidR="07F280F3">
        <w:rPr>
          <w:noProof w:val="0"/>
          <w:lang w:val="en-US"/>
        </w:rPr>
        <w:t xml:space="preserve"> list:</w:t>
      </w:r>
    </w:p>
    <w:p xmlns:wp14="http://schemas.microsoft.com/office/word/2010/wordml" w:rsidP="63E7E8CF" wp14:paraId="17287AB7" wp14:textId="647737C1">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Barua, B., Islam, M.O., Kibria, H. and Barua, R. (2024) ‘Analysis of creativity at the workplace through employee empowerment’, International Journal of Organizational Analysis. Available at: </w:t>
      </w:r>
      <w:hyperlink r:id="R802a2eaeecf84c9a">
        <w:r w:rsidRPr="63E7E8CF" w:rsidR="41B0CEB8">
          <w:rPr>
            <w:rStyle w:val="Hyperlink"/>
            <w:rFonts w:ascii="Arial" w:hAnsi="Arial" w:eastAsia="Arial" w:cs="Arial"/>
            <w:strike w:val="0"/>
            <w:dstrike w:val="0"/>
            <w:noProof w:val="0"/>
            <w:sz w:val="24"/>
            <w:szCs w:val="24"/>
            <w:lang w:val="en-GB"/>
          </w:rPr>
          <w:t>https://www.emerald.com/insight/content/doi/10.1108/ijoa-05-2024-4534/full/html</w:t>
        </w:r>
      </w:hyperlink>
      <w:r w:rsidRPr="63E7E8CF" w:rsidR="41B0CEB8">
        <w:rPr>
          <w:rFonts w:ascii="Arial" w:hAnsi="Arial" w:eastAsia="Arial" w:cs="Arial"/>
          <w:noProof w:val="0"/>
          <w:sz w:val="24"/>
          <w:szCs w:val="24"/>
          <w:lang w:val="en-GB"/>
        </w:rPr>
        <w:t xml:space="preserve"> (Accessed: </w:t>
      </w:r>
      <w:r w:rsidRPr="63E7E8CF" w:rsidR="60A746F8">
        <w:rPr>
          <w:rFonts w:ascii="Arial" w:hAnsi="Arial" w:eastAsia="Arial" w:cs="Arial"/>
          <w:noProof w:val="0"/>
          <w:sz w:val="24"/>
          <w:szCs w:val="24"/>
          <w:lang w:val="en-GB"/>
        </w:rPr>
        <w:t>20</w:t>
      </w:r>
      <w:r w:rsidRPr="63E7E8CF" w:rsidR="41B0CEB8">
        <w:rPr>
          <w:rFonts w:ascii="Arial" w:hAnsi="Arial" w:eastAsia="Arial" w:cs="Arial"/>
          <w:noProof w:val="0"/>
          <w:sz w:val="24"/>
          <w:szCs w:val="24"/>
          <w:lang w:val="en-GB"/>
        </w:rPr>
        <w:t xml:space="preserve"> </w:t>
      </w:r>
      <w:r w:rsidRPr="63E7E8CF" w:rsidR="28F644B4">
        <w:rPr>
          <w:rFonts w:ascii="Arial" w:hAnsi="Arial" w:eastAsia="Arial" w:cs="Arial"/>
          <w:noProof w:val="0"/>
          <w:sz w:val="24"/>
          <w:szCs w:val="24"/>
          <w:lang w:val="en-GB"/>
        </w:rPr>
        <w:t>June</w:t>
      </w:r>
      <w:r w:rsidRPr="63E7E8CF" w:rsidR="41B0CEB8">
        <w:rPr>
          <w:rFonts w:ascii="Arial" w:hAnsi="Arial" w:eastAsia="Arial" w:cs="Arial"/>
          <w:noProof w:val="0"/>
          <w:sz w:val="24"/>
          <w:szCs w:val="24"/>
          <w:lang w:val="en-GB"/>
        </w:rPr>
        <w:t xml:space="preserve"> 2026).</w:t>
      </w:r>
    </w:p>
    <w:p xmlns:wp14="http://schemas.microsoft.com/office/word/2010/wordml" w:rsidP="63E7E8CF" wp14:paraId="7B646F37" wp14:textId="18E22711">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Jishnu, A. and </w:t>
      </w:r>
      <w:r w:rsidRPr="63E7E8CF" w:rsidR="41B0CEB8">
        <w:rPr>
          <w:rFonts w:ascii="Arial" w:hAnsi="Arial" w:eastAsia="Arial" w:cs="Arial"/>
          <w:noProof w:val="0"/>
          <w:sz w:val="24"/>
          <w:szCs w:val="24"/>
          <w:lang w:val="en-GB"/>
        </w:rPr>
        <w:t>Hareendrakumar</w:t>
      </w:r>
      <w:r w:rsidRPr="63E7E8CF" w:rsidR="41B0CEB8">
        <w:rPr>
          <w:rFonts w:ascii="Arial" w:hAnsi="Arial" w:eastAsia="Arial" w:cs="Arial"/>
          <w:noProof w:val="0"/>
          <w:sz w:val="24"/>
          <w:szCs w:val="24"/>
          <w:lang w:val="en-GB"/>
        </w:rPr>
        <w:t xml:space="preserve">, V.R. (2024) ‘Impact of HR practices on innovative work behaviour: the mediating role of organizational support, knowledge-sharing and employee creativity’, Paradigm: A Management Research Journal, 28(1), pp. 101 to 118. Available at: </w:t>
      </w:r>
      <w:hyperlink r:id="R5594815f32154165">
        <w:r w:rsidRPr="63E7E8CF" w:rsidR="41B0CEB8">
          <w:rPr>
            <w:rStyle w:val="Hyperlink"/>
            <w:rFonts w:ascii="Arial" w:hAnsi="Arial" w:eastAsia="Arial" w:cs="Arial"/>
            <w:strike w:val="0"/>
            <w:dstrike w:val="0"/>
            <w:noProof w:val="0"/>
            <w:sz w:val="24"/>
            <w:szCs w:val="24"/>
            <w:lang w:val="en-GB"/>
          </w:rPr>
          <w:t>https://journals.sagepub.com/doi/10.1177/09718907241251410</w:t>
        </w:r>
      </w:hyperlink>
      <w:r w:rsidRPr="63E7E8CF" w:rsidR="41B0CEB8">
        <w:rPr>
          <w:rFonts w:ascii="Arial" w:hAnsi="Arial" w:eastAsia="Arial" w:cs="Arial"/>
          <w:noProof w:val="0"/>
          <w:sz w:val="24"/>
          <w:szCs w:val="24"/>
          <w:lang w:val="en-GB"/>
        </w:rPr>
        <w:t xml:space="preserve"> (Accessed: </w:t>
      </w:r>
      <w:r w:rsidRPr="63E7E8CF" w:rsidR="7D03123D">
        <w:rPr>
          <w:rFonts w:ascii="Arial" w:hAnsi="Arial" w:eastAsia="Arial" w:cs="Arial"/>
          <w:noProof w:val="0"/>
          <w:sz w:val="24"/>
          <w:szCs w:val="24"/>
          <w:lang w:val="en-GB"/>
        </w:rPr>
        <w:t>13</w:t>
      </w:r>
      <w:r w:rsidRPr="63E7E8CF" w:rsidR="41B0CEB8">
        <w:rPr>
          <w:rFonts w:ascii="Arial" w:hAnsi="Arial" w:eastAsia="Arial" w:cs="Arial"/>
          <w:noProof w:val="0"/>
          <w:sz w:val="24"/>
          <w:szCs w:val="24"/>
          <w:lang w:val="en-GB"/>
        </w:rPr>
        <w:t xml:space="preserve"> June 2026).</w:t>
      </w:r>
    </w:p>
    <w:p xmlns:wp14="http://schemas.microsoft.com/office/word/2010/wordml" w:rsidP="63E7E8CF" wp14:paraId="50524780" wp14:textId="2377AFBF">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Lenart-</w:t>
      </w:r>
      <w:r w:rsidRPr="63E7E8CF" w:rsidR="41B0CEB8">
        <w:rPr>
          <w:rFonts w:ascii="Arial" w:hAnsi="Arial" w:eastAsia="Arial" w:cs="Arial"/>
          <w:noProof w:val="0"/>
          <w:sz w:val="24"/>
          <w:szCs w:val="24"/>
          <w:lang w:val="en-GB"/>
        </w:rPr>
        <w:t>Gansiniec</w:t>
      </w:r>
      <w:r w:rsidRPr="63E7E8CF" w:rsidR="41B0CEB8">
        <w:rPr>
          <w:rFonts w:ascii="Arial" w:hAnsi="Arial" w:eastAsia="Arial" w:cs="Arial"/>
          <w:noProof w:val="0"/>
          <w:sz w:val="24"/>
          <w:szCs w:val="24"/>
          <w:lang w:val="en-GB"/>
        </w:rPr>
        <w:t xml:space="preserve">, R., Sypniewska, B.A. and Chen, J. (2023) ‘Innovation-driven human resource management practices: a systematic review, integrative framework, and future research directions’, Journal of Entrepreneurship, </w:t>
      </w:r>
      <w:r w:rsidRPr="63E7E8CF" w:rsidR="41B0CEB8">
        <w:rPr>
          <w:rFonts w:ascii="Arial" w:hAnsi="Arial" w:eastAsia="Arial" w:cs="Arial"/>
          <w:noProof w:val="0"/>
          <w:sz w:val="24"/>
          <w:szCs w:val="24"/>
          <w:lang w:val="en-GB"/>
        </w:rPr>
        <w:t>Management</w:t>
      </w:r>
      <w:r w:rsidRPr="63E7E8CF" w:rsidR="41B0CEB8">
        <w:rPr>
          <w:rFonts w:ascii="Arial" w:hAnsi="Arial" w:eastAsia="Arial" w:cs="Arial"/>
          <w:noProof w:val="0"/>
          <w:sz w:val="24"/>
          <w:szCs w:val="24"/>
          <w:lang w:val="en-GB"/>
        </w:rPr>
        <w:t xml:space="preserve"> and Innovation, 19(2), pp. 7 to 56. Available at: </w:t>
      </w:r>
      <w:hyperlink r:id="R7b3aa347b39a45a1">
        <w:r w:rsidRPr="63E7E8CF" w:rsidR="41B0CEB8">
          <w:rPr>
            <w:rStyle w:val="Hyperlink"/>
            <w:rFonts w:ascii="Arial" w:hAnsi="Arial" w:eastAsia="Arial" w:cs="Arial"/>
            <w:strike w:val="0"/>
            <w:dstrike w:val="0"/>
            <w:noProof w:val="0"/>
            <w:sz w:val="24"/>
            <w:szCs w:val="24"/>
            <w:lang w:val="en-GB"/>
          </w:rPr>
          <w:t>https://jemi.edu.pl/vol-19-issue-2-2023/innovation-driven-human-resource-management-practices-a-systematic-review-integrative-framework-and-future-research-directions</w:t>
        </w:r>
      </w:hyperlink>
      <w:r w:rsidRPr="63E7E8CF" w:rsidR="41B0CEB8">
        <w:rPr>
          <w:rFonts w:ascii="Arial" w:hAnsi="Arial" w:eastAsia="Arial" w:cs="Arial"/>
          <w:noProof w:val="0"/>
          <w:sz w:val="24"/>
          <w:szCs w:val="24"/>
          <w:lang w:val="en-GB"/>
        </w:rPr>
        <w:t xml:space="preserve"> (Accessed: </w:t>
      </w:r>
      <w:r w:rsidRPr="63E7E8CF" w:rsidR="5EBFA46D">
        <w:rPr>
          <w:rFonts w:ascii="Arial" w:hAnsi="Arial" w:eastAsia="Arial" w:cs="Arial"/>
          <w:noProof w:val="0"/>
          <w:sz w:val="24"/>
          <w:szCs w:val="24"/>
          <w:lang w:val="en-GB"/>
        </w:rPr>
        <w:t>14</w:t>
      </w:r>
      <w:r w:rsidRPr="63E7E8CF" w:rsidR="41B0CEB8">
        <w:rPr>
          <w:rFonts w:ascii="Arial" w:hAnsi="Arial" w:eastAsia="Arial" w:cs="Arial"/>
          <w:noProof w:val="0"/>
          <w:sz w:val="24"/>
          <w:szCs w:val="24"/>
          <w:lang w:val="en-GB"/>
        </w:rPr>
        <w:t xml:space="preserve"> June 2026).</w:t>
      </w:r>
    </w:p>
    <w:p xmlns:wp14="http://schemas.microsoft.com/office/word/2010/wordml" w:rsidP="63E7E8CF" wp14:paraId="2F03D441" wp14:textId="0DAC8468">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Lucius, Z.K. and Damberg, S. (2024) ‘Why we need employees back at the office: the effect of workplace design on creativity in organizations’, </w:t>
      </w:r>
      <w:r w:rsidRPr="63E7E8CF" w:rsidR="41B0CEB8">
        <w:rPr>
          <w:rFonts w:ascii="Arial" w:hAnsi="Arial" w:eastAsia="Arial" w:cs="Arial"/>
          <w:noProof w:val="0"/>
          <w:sz w:val="24"/>
          <w:szCs w:val="24"/>
          <w:lang w:val="en-GB"/>
        </w:rPr>
        <w:t>Creativity</w:t>
      </w:r>
      <w:r w:rsidRPr="63E7E8CF" w:rsidR="41B0CEB8">
        <w:rPr>
          <w:rFonts w:ascii="Arial" w:hAnsi="Arial" w:eastAsia="Arial" w:cs="Arial"/>
          <w:noProof w:val="0"/>
          <w:sz w:val="24"/>
          <w:szCs w:val="24"/>
          <w:lang w:val="en-GB"/>
        </w:rPr>
        <w:t xml:space="preserve"> and Innovation Management, 33(4), pp. 654 to 670. Available at: </w:t>
      </w:r>
      <w:hyperlink r:id="Rfd741f35196b4e4e">
        <w:r w:rsidRPr="63E7E8CF" w:rsidR="41B0CEB8">
          <w:rPr>
            <w:rStyle w:val="Hyperlink"/>
            <w:rFonts w:ascii="Arial" w:hAnsi="Arial" w:eastAsia="Arial" w:cs="Arial"/>
            <w:strike w:val="0"/>
            <w:dstrike w:val="0"/>
            <w:noProof w:val="0"/>
            <w:sz w:val="24"/>
            <w:szCs w:val="24"/>
            <w:lang w:val="en-GB"/>
          </w:rPr>
          <w:t>https://onlinelibrary.wiley.com/doi/10.1111/caim.12611</w:t>
        </w:r>
      </w:hyperlink>
      <w:r w:rsidRPr="63E7E8CF" w:rsidR="41B0CEB8">
        <w:rPr>
          <w:rFonts w:ascii="Arial" w:hAnsi="Arial" w:eastAsia="Arial" w:cs="Arial"/>
          <w:noProof w:val="0"/>
          <w:sz w:val="24"/>
          <w:szCs w:val="24"/>
          <w:lang w:val="en-GB"/>
        </w:rPr>
        <w:t xml:space="preserve"> (Accessed: 1</w:t>
      </w:r>
      <w:r w:rsidRPr="63E7E8CF" w:rsidR="59DCD9F3">
        <w:rPr>
          <w:rFonts w:ascii="Arial" w:hAnsi="Arial" w:eastAsia="Arial" w:cs="Arial"/>
          <w:noProof w:val="0"/>
          <w:sz w:val="24"/>
          <w:szCs w:val="24"/>
          <w:lang w:val="en-GB"/>
        </w:rPr>
        <w:t>3</w:t>
      </w:r>
      <w:r w:rsidRPr="63E7E8CF" w:rsidR="41B0CEB8">
        <w:rPr>
          <w:rFonts w:ascii="Arial" w:hAnsi="Arial" w:eastAsia="Arial" w:cs="Arial"/>
          <w:noProof w:val="0"/>
          <w:sz w:val="24"/>
          <w:szCs w:val="24"/>
          <w:lang w:val="en-GB"/>
        </w:rPr>
        <w:t xml:space="preserve"> June 2026).</w:t>
      </w:r>
    </w:p>
    <w:p xmlns:wp14="http://schemas.microsoft.com/office/word/2010/wordml" w:rsidP="63E7E8CF" wp14:paraId="59C009FD" wp14:textId="243147D1">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Marwan, M. and Alhadar, F. (2024) ‘Effects of HR management practices on employee innovative work behavior with two mediation’, Jurnal Manajemen, 28(2), pp. 247 to 271. Available at: </w:t>
      </w:r>
      <w:hyperlink r:id="R7ca41843e1e149a7">
        <w:r w:rsidRPr="63E7E8CF" w:rsidR="41B0CEB8">
          <w:rPr>
            <w:rStyle w:val="Hyperlink"/>
            <w:rFonts w:ascii="Arial" w:hAnsi="Arial" w:eastAsia="Arial" w:cs="Arial"/>
            <w:strike w:val="0"/>
            <w:dstrike w:val="0"/>
            <w:noProof w:val="0"/>
            <w:sz w:val="24"/>
            <w:szCs w:val="24"/>
            <w:lang w:val="en-GB"/>
          </w:rPr>
          <w:t>http://ecojoin.org/index.php/EJM/article/view/1796</w:t>
        </w:r>
      </w:hyperlink>
      <w:r w:rsidRPr="63E7E8CF" w:rsidR="41B0CEB8">
        <w:rPr>
          <w:rFonts w:ascii="Arial" w:hAnsi="Arial" w:eastAsia="Arial" w:cs="Arial"/>
          <w:noProof w:val="0"/>
          <w:sz w:val="24"/>
          <w:szCs w:val="24"/>
          <w:lang w:val="en-GB"/>
        </w:rPr>
        <w:t xml:space="preserve"> (Accessed: 14 June 2026).</w:t>
      </w:r>
    </w:p>
    <w:p xmlns:wp14="http://schemas.microsoft.com/office/word/2010/wordml" w:rsidP="63E7E8CF" wp14:paraId="0AE0D694" wp14:textId="755442CA">
      <w:pPr>
        <w:bidi w:val="0"/>
        <w:spacing w:after="140" w:afterAutospacing="off" w:line="360" w:lineRule="auto"/>
        <w:jc w:val="both"/>
        <w:rPr>
          <w:rFonts w:ascii="Arial" w:hAnsi="Arial" w:eastAsia="Arial" w:cs="Arial"/>
          <w:noProof w:val="0"/>
          <w:sz w:val="24"/>
          <w:szCs w:val="24"/>
          <w:lang w:val="en-GB"/>
        </w:rPr>
      </w:pPr>
      <w:r w:rsidRPr="63E7E8CF" w:rsidR="41B0CEB8">
        <w:rPr>
          <w:rFonts w:ascii="Arial" w:hAnsi="Arial" w:eastAsia="Arial" w:cs="Arial"/>
          <w:noProof w:val="0"/>
          <w:sz w:val="24"/>
          <w:szCs w:val="24"/>
          <w:lang w:val="en-GB"/>
        </w:rPr>
        <w:t xml:space="preserve">Tsiskaridze, R., Reinhold, </w:t>
      </w:r>
      <w:r w:rsidRPr="63E7E8CF" w:rsidR="41B0CEB8">
        <w:rPr>
          <w:rFonts w:ascii="Arial" w:hAnsi="Arial" w:eastAsia="Arial" w:cs="Arial"/>
          <w:noProof w:val="0"/>
          <w:sz w:val="24"/>
          <w:szCs w:val="24"/>
          <w:lang w:val="en-GB"/>
        </w:rPr>
        <w:t>K.</w:t>
      </w:r>
      <w:r w:rsidRPr="63E7E8CF" w:rsidR="41B0CEB8">
        <w:rPr>
          <w:rFonts w:ascii="Arial" w:hAnsi="Arial" w:eastAsia="Arial" w:cs="Arial"/>
          <w:noProof w:val="0"/>
          <w:sz w:val="24"/>
          <w:szCs w:val="24"/>
          <w:lang w:val="en-GB"/>
        </w:rPr>
        <w:t xml:space="preserve"> and Jarvis, M. (2023) ‘Innovating HRM recruitment: a comprehensive review of AI deployment’, Marketing and Management of Innovations, 14(4), pp. 239 to 254. Available at: </w:t>
      </w:r>
      <w:hyperlink r:id="R49ca981a78ee43c2">
        <w:r w:rsidRPr="63E7E8CF" w:rsidR="41B0CEB8">
          <w:rPr>
            <w:rStyle w:val="Hyperlink"/>
            <w:rFonts w:ascii="Arial" w:hAnsi="Arial" w:eastAsia="Arial" w:cs="Arial"/>
            <w:strike w:val="0"/>
            <w:dstrike w:val="0"/>
            <w:noProof w:val="0"/>
            <w:sz w:val="24"/>
            <w:szCs w:val="24"/>
            <w:lang w:val="en-GB"/>
          </w:rPr>
          <w:t>https://mmi.sumdu.edu.ua/volume-14-issue-4/article-18/</w:t>
        </w:r>
      </w:hyperlink>
      <w:r w:rsidRPr="63E7E8CF" w:rsidR="41B0CEB8">
        <w:rPr>
          <w:rFonts w:ascii="Arial" w:hAnsi="Arial" w:eastAsia="Arial" w:cs="Arial"/>
          <w:noProof w:val="0"/>
          <w:sz w:val="24"/>
          <w:szCs w:val="24"/>
          <w:lang w:val="en-GB"/>
        </w:rPr>
        <w:t xml:space="preserve"> (Accessed: </w:t>
      </w:r>
      <w:r w:rsidRPr="63E7E8CF" w:rsidR="5E6148C8">
        <w:rPr>
          <w:rFonts w:ascii="Arial" w:hAnsi="Arial" w:eastAsia="Arial" w:cs="Arial"/>
          <w:noProof w:val="0"/>
          <w:sz w:val="24"/>
          <w:szCs w:val="24"/>
          <w:lang w:val="en-GB"/>
        </w:rPr>
        <w:t>20</w:t>
      </w:r>
      <w:r w:rsidRPr="63E7E8CF" w:rsidR="41B0CEB8">
        <w:rPr>
          <w:rFonts w:ascii="Arial" w:hAnsi="Arial" w:eastAsia="Arial" w:cs="Arial"/>
          <w:noProof w:val="0"/>
          <w:sz w:val="24"/>
          <w:szCs w:val="24"/>
          <w:lang w:val="en-GB"/>
        </w:rPr>
        <w:t xml:space="preserve"> </w:t>
      </w:r>
      <w:r w:rsidRPr="63E7E8CF" w:rsidR="41B0CEB8">
        <w:rPr>
          <w:rFonts w:ascii="Arial" w:hAnsi="Arial" w:eastAsia="Arial" w:cs="Arial"/>
          <w:noProof w:val="0"/>
          <w:sz w:val="24"/>
          <w:szCs w:val="24"/>
          <w:lang w:val="en-GB"/>
        </w:rPr>
        <w:t>June 2026).</w:t>
      </w:r>
    </w:p>
    <w:p xmlns:wp14="http://schemas.microsoft.com/office/word/2010/wordml" w:rsidP="63E7E8CF" wp14:paraId="43B53FED" wp14:textId="71DCC298">
      <w:pPr>
        <w:bidi w:val="0"/>
        <w:spacing w:line="360" w:lineRule="auto"/>
        <w:rPr>
          <w:rFonts w:ascii="Arial" w:hAnsi="Arial" w:eastAsia="Arial" w:cs="Arial"/>
          <w:noProof w:val="0"/>
          <w:sz w:val="24"/>
          <w:szCs w:val="24"/>
          <w:lang w:val="en-GB"/>
        </w:rPr>
      </w:pPr>
    </w:p>
    <w:p xmlns:wp14="http://schemas.microsoft.com/office/word/2010/wordml" w:rsidP="63E7E8CF" wp14:paraId="5E5787A5" wp14:textId="6C3726F8">
      <w:pPr>
        <w:spacing w:line="360" w:lineRule="auto"/>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245e17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CC7BE9"/>
    <w:rsid w:val="019D3EE9"/>
    <w:rsid w:val="04574D66"/>
    <w:rsid w:val="04574D66"/>
    <w:rsid w:val="07F280F3"/>
    <w:rsid w:val="10D10F08"/>
    <w:rsid w:val="1346A11D"/>
    <w:rsid w:val="17B78EBB"/>
    <w:rsid w:val="197313AE"/>
    <w:rsid w:val="1B7731D0"/>
    <w:rsid w:val="1C4B7507"/>
    <w:rsid w:val="1DD37A17"/>
    <w:rsid w:val="239E0988"/>
    <w:rsid w:val="28F644B4"/>
    <w:rsid w:val="2FB3E444"/>
    <w:rsid w:val="33CAEFF9"/>
    <w:rsid w:val="34A833D7"/>
    <w:rsid w:val="34A833D7"/>
    <w:rsid w:val="3C37C107"/>
    <w:rsid w:val="3E337BC3"/>
    <w:rsid w:val="400155EE"/>
    <w:rsid w:val="4076538F"/>
    <w:rsid w:val="41B0CEB8"/>
    <w:rsid w:val="435E02F7"/>
    <w:rsid w:val="43BF09D5"/>
    <w:rsid w:val="44D50B9A"/>
    <w:rsid w:val="4CAF4696"/>
    <w:rsid w:val="51C4E0A7"/>
    <w:rsid w:val="55B3C4AC"/>
    <w:rsid w:val="57B07BCB"/>
    <w:rsid w:val="59DCD9F3"/>
    <w:rsid w:val="5E6148C8"/>
    <w:rsid w:val="5EBFA46D"/>
    <w:rsid w:val="60316196"/>
    <w:rsid w:val="60A746F8"/>
    <w:rsid w:val="63E7E8CF"/>
    <w:rsid w:val="6417CD13"/>
    <w:rsid w:val="6417CD13"/>
    <w:rsid w:val="64969BF7"/>
    <w:rsid w:val="65CC7BE9"/>
    <w:rsid w:val="6B74278C"/>
    <w:rsid w:val="6C2BF2AC"/>
    <w:rsid w:val="6C2BF2AC"/>
    <w:rsid w:val="6C93EF28"/>
    <w:rsid w:val="6CEF2D1A"/>
    <w:rsid w:val="6FB20029"/>
    <w:rsid w:val="70076C46"/>
    <w:rsid w:val="71773CB8"/>
    <w:rsid w:val="72F0814C"/>
    <w:rsid w:val="7D03123D"/>
    <w:rsid w:val="7F1E5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F2360"/>
  <w15:chartTrackingRefBased/>
  <w15:docId w15:val="{C7B5BA6F-E7FD-491E-8433-0947C2935E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3E7E8C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63E7E8CF"/>
    <w:pPr>
      <w:spacing/>
      <w:ind w:left="720"/>
      <w:contextualSpacing/>
    </w:pPr>
  </w:style>
  <w:style w:type="character" w:styleId="Hyperlink">
    <w:uiPriority w:val="99"/>
    <w:name w:val="Hyperlink"/>
    <w:basedOn w:val="DefaultParagraphFont"/>
    <w:unhideWhenUsed/>
    <w:rsid w:val="63E7E8CF"/>
    <w:rPr>
      <w:color w:val="467886"/>
      <w:u w:val="single"/>
    </w:rPr>
  </w:style>
  <w:style w:type="paragraph" w:styleId="Title">
    <w:uiPriority w:val="10"/>
    <w:name w:val="Title"/>
    <w:basedOn w:val="Normal"/>
    <w:next w:val="Normal"/>
    <w:qFormat/>
    <w:rsid w:val="63E7E8CF"/>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9678128" /><Relationship Type="http://schemas.openxmlformats.org/officeDocument/2006/relationships/hyperlink" Target="https://www.emerald.com/insight/content/doi/10.1108/ijoa-05-2024-4534/full/html" TargetMode="External" Id="R802a2eaeecf84c9a" /><Relationship Type="http://schemas.openxmlformats.org/officeDocument/2006/relationships/hyperlink" Target="https://journals.sagepub.com/doi/10.1177/09718907241251410" TargetMode="External" Id="R5594815f32154165" /><Relationship Type="http://schemas.openxmlformats.org/officeDocument/2006/relationships/hyperlink" Target="https://jemi.edu.pl/vol-19-issue-2-2023/innovation-driven-human-resource-management-practices-a-systematic-review-integrative-framework-and-future-research-directions" TargetMode="External" Id="R7b3aa347b39a45a1" /><Relationship Type="http://schemas.openxmlformats.org/officeDocument/2006/relationships/hyperlink" Target="https://onlinelibrary.wiley.com/doi/10.1111/caim.12611" TargetMode="External" Id="Rfd741f35196b4e4e" /><Relationship Type="http://schemas.openxmlformats.org/officeDocument/2006/relationships/hyperlink" Target="http://ecojoin.org/index.php/EJM/article/view/1796" TargetMode="External" Id="R7ca41843e1e149a7" /><Relationship Type="http://schemas.openxmlformats.org/officeDocument/2006/relationships/hyperlink" Target="https://mmi.sumdu.edu.ua/volume-14-issue-4/article-18/" TargetMode="External" Id="R49ca981a78ee43c2" /><Relationship Type="http://schemas.openxmlformats.org/officeDocument/2006/relationships/numbering" Target="/word/numbering.xml" Id="R1f9be4c1395f49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Radu Florin Apostoaiei (2238836)</dc:creator>
  <keywords/>
  <dc:description/>
  <lastModifiedBy>Radu Florin Apostoaiei (2238836)</lastModifiedBy>
  <revision>3</revision>
  <dcterms:created xsi:type="dcterms:W3CDTF">2026-06-26T19:50:48.3154917Z</dcterms:created>
  <dcterms:modified xsi:type="dcterms:W3CDTF">2026-06-27T12:19:36.4891199Z</dcterms:modified>
</coreProperties>
</file>