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5E4D5B" w14:textId="0CBE6CBC" w:rsidR="001B01A0" w:rsidRDefault="001B01A0" w:rsidP="001B01A0">
      <w:pPr>
        <w:pStyle w:val="NormalWeb"/>
        <w:spacing w:before="0" w:beforeAutospacing="0" w:after="0" w:afterAutospacing="0"/>
        <w:ind w:left="-180" w:right="-334"/>
      </w:pPr>
      <w:r>
        <w:rPr>
          <w:noProof/>
        </w:rPr>
        <w:drawing>
          <wp:inline distT="0" distB="0" distL="0" distR="0" wp14:anchorId="01836249" wp14:editId="4847FCEA">
            <wp:extent cx="1905000" cy="635000"/>
            <wp:effectExtent l="19050" t="19050" r="19050" b="12700"/>
            <wp:docPr id="12289952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635000"/>
                    </a:xfrm>
                    <a:prstGeom prst="rect">
                      <a:avLst/>
                    </a:prstGeom>
                    <a:noFill/>
                    <a:ln w="19050" cmpd="sng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</wp:inline>
        </w:drawing>
      </w:r>
    </w:p>
    <w:p w14:paraId="44CA76CC" w14:textId="77777777" w:rsidR="001B01A0" w:rsidRDefault="001B01A0" w:rsidP="001B01A0">
      <w:pPr>
        <w:pStyle w:val="NormalWeb"/>
        <w:spacing w:before="0" w:beforeAutospacing="0" w:after="0" w:afterAutospacing="0"/>
        <w:ind w:left="-180" w:right="-334"/>
      </w:pPr>
    </w:p>
    <w:p w14:paraId="263C542E" w14:textId="77777777" w:rsidR="001B01A0" w:rsidRDefault="001B01A0" w:rsidP="001B01A0">
      <w:pPr>
        <w:pStyle w:val="NormalWeb"/>
        <w:spacing w:before="0" w:beforeAutospacing="0" w:after="0" w:afterAutospacing="0"/>
        <w:ind w:left="-180" w:right="-334"/>
      </w:pPr>
    </w:p>
    <w:p w14:paraId="73761F42" w14:textId="77777777" w:rsidR="001B01A0" w:rsidRDefault="001B01A0" w:rsidP="001B01A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  <w:lang w:val="cy-GB"/>
        </w:rPr>
      </w:pPr>
      <w:r w:rsidRPr="00230F35">
        <w:rPr>
          <w:rFonts w:ascii="Arial" w:hAnsi="Arial" w:cs="Arial"/>
          <w:b/>
          <w:sz w:val="28"/>
          <w:szCs w:val="28"/>
          <w:lang w:val="cy-GB"/>
        </w:rPr>
        <w:t>Postgraduate</w:t>
      </w:r>
      <w:r>
        <w:rPr>
          <w:rFonts w:ascii="Arial" w:hAnsi="Arial" w:cs="Arial"/>
          <w:b/>
          <w:sz w:val="28"/>
          <w:szCs w:val="28"/>
          <w:lang w:val="cy-GB"/>
        </w:rPr>
        <w:t xml:space="preserve">/Distance Learning </w:t>
      </w:r>
    </w:p>
    <w:p w14:paraId="159A09CF" w14:textId="77777777" w:rsidR="001B01A0" w:rsidRPr="00230F35" w:rsidRDefault="001B01A0" w:rsidP="001B01A0">
      <w:pPr>
        <w:pStyle w:val="NormalWeb"/>
        <w:spacing w:before="0" w:beforeAutospacing="0" w:after="0" w:afterAutospacing="0"/>
        <w:ind w:left="-180" w:right="-334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  <w:lang w:val="cy-GB"/>
        </w:rPr>
        <w:t>A</w:t>
      </w:r>
      <w:r w:rsidRPr="00230F35">
        <w:rPr>
          <w:rFonts w:ascii="Arial" w:hAnsi="Arial" w:cs="Arial"/>
          <w:b/>
          <w:sz w:val="28"/>
          <w:szCs w:val="28"/>
          <w:lang w:val="cy-GB"/>
        </w:rPr>
        <w:t>ssignment coversheet &amp; feedback form</w:t>
      </w:r>
    </w:p>
    <w:p w14:paraId="51771427" w14:textId="77777777" w:rsidR="001B01A0" w:rsidRPr="00230F35" w:rsidRDefault="001B01A0" w:rsidP="001B01A0">
      <w:pPr>
        <w:rPr>
          <w:rFonts w:ascii="Arial" w:hAnsi="Arial" w:cs="Arial"/>
          <w:sz w:val="28"/>
          <w:szCs w:val="28"/>
          <w:lang w:val="cy-GB"/>
        </w:rPr>
      </w:pPr>
    </w:p>
    <w:p w14:paraId="604D00B8" w14:textId="77777777" w:rsidR="001B01A0" w:rsidRDefault="001B01A0" w:rsidP="001B01A0">
      <w:pPr>
        <w:pStyle w:val="Heading3"/>
        <w:jc w:val="center"/>
        <w:rPr>
          <w:lang w:val="cy-GB"/>
        </w:rPr>
      </w:pPr>
      <w:r>
        <w:rPr>
          <w:lang w:val="cy-GB"/>
        </w:rPr>
        <w:t>THIS SHEET MUST BE THE FIRST PAGE OF THE ASSIGNMENT YOU ARE SUBMITTING  (DO NOT SEND AS A SEPARATE FILE)</w:t>
      </w:r>
    </w:p>
    <w:p w14:paraId="052189E9" w14:textId="77777777" w:rsidR="001B01A0" w:rsidRDefault="001B01A0" w:rsidP="001B01A0">
      <w:pPr>
        <w:pStyle w:val="Heading3"/>
        <w:jc w:val="center"/>
        <w:rPr>
          <w:rFonts w:ascii="Trebuchet MS" w:hAnsi="Trebuchet M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788"/>
        <w:gridCol w:w="423"/>
        <w:gridCol w:w="1557"/>
        <w:gridCol w:w="286"/>
        <w:gridCol w:w="1802"/>
      </w:tblGrid>
      <w:tr w:rsidR="001B01A0" w:rsidRPr="00230F35" w14:paraId="0B2666A3" w14:textId="77777777" w:rsidTr="00F56FDF">
        <w:trPr>
          <w:trHeight w:val="614"/>
        </w:trPr>
        <w:tc>
          <w:tcPr>
            <w:tcW w:w="8856" w:type="dxa"/>
            <w:gridSpan w:val="5"/>
          </w:tcPr>
          <w:p w14:paraId="72B454CE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For completion by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the 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>student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</w:tc>
      </w:tr>
      <w:tr w:rsidR="001B01A0" w:rsidRPr="00230F35" w14:paraId="4438E1C7" w14:textId="77777777" w:rsidTr="00F56FDF">
        <w:trPr>
          <w:trHeight w:val="718"/>
        </w:trPr>
        <w:tc>
          <w:tcPr>
            <w:tcW w:w="8856" w:type="dxa"/>
            <w:gridSpan w:val="5"/>
          </w:tcPr>
          <w:p w14:paraId="5B3C422C" w14:textId="59FFEF9C" w:rsidR="001B01A0" w:rsidRPr="004D396B" w:rsidRDefault="001B01A0" w:rsidP="004D396B">
            <w:pPr>
              <w:pStyle w:val="NormalWeb"/>
              <w:tabs>
                <w:tab w:val="left" w:pos="2790"/>
              </w:tabs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Name: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396B">
              <w:rPr>
                <w:rFonts w:ascii="Arial" w:hAnsi="Arial" w:cs="Arial"/>
                <w:sz w:val="22"/>
                <w:szCs w:val="22"/>
              </w:rPr>
              <w:tab/>
            </w:r>
            <w:r w:rsidR="004D396B" w:rsidRPr="004D396B">
              <w:rPr>
                <w:rFonts w:ascii="Arial" w:hAnsi="Arial" w:cs="Arial"/>
                <w:b/>
                <w:bCs/>
                <w:sz w:val="22"/>
                <w:szCs w:val="22"/>
              </w:rPr>
              <w:t>JONATHAN WEEKES</w:t>
            </w:r>
          </w:p>
          <w:p w14:paraId="31C36C59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1206E6C" w14:textId="0129B198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 xml:space="preserve">Student </w:t>
            </w:r>
            <w:r w:rsidRPr="004D396B">
              <w:rPr>
                <w:rFonts w:ascii="Arial" w:hAnsi="Arial" w:cs="Arial"/>
                <w:sz w:val="22"/>
                <w:szCs w:val="22"/>
                <w:u w:val="single"/>
              </w:rPr>
              <w:t>University</w:t>
            </w:r>
            <w:r w:rsidRPr="00230F35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Email: </w:t>
            </w:r>
            <w:r w:rsidR="004D396B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="004D396B" w:rsidRPr="004D396B">
              <w:rPr>
                <w:rFonts w:ascii="Arial" w:hAnsi="Arial" w:cs="Arial"/>
                <w:b/>
                <w:bCs/>
                <w:sz w:val="22"/>
                <w:szCs w:val="22"/>
              </w:rPr>
              <w:t>2234148@student.uwtsd.ac.uk</w:t>
            </w:r>
          </w:p>
        </w:tc>
      </w:tr>
      <w:tr w:rsidR="001B01A0" w:rsidRPr="00230F35" w14:paraId="6C4EAEFF" w14:textId="77777777" w:rsidTr="00F56FDF">
        <w:trPr>
          <w:trHeight w:val="849"/>
        </w:trPr>
        <w:tc>
          <w:tcPr>
            <w:tcW w:w="4788" w:type="dxa"/>
          </w:tcPr>
          <w:p w14:paraId="553A6024" w14:textId="7EB710E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code:</w:t>
            </w:r>
            <w:r w:rsidR="004D39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396B" w:rsidRPr="004D396B">
              <w:rPr>
                <w:rFonts w:ascii="Arial" w:hAnsi="Arial" w:cs="Arial"/>
                <w:b/>
                <w:bCs/>
                <w:sz w:val="22"/>
                <w:szCs w:val="22"/>
              </w:rPr>
              <w:t>HPCA7014</w:t>
            </w:r>
          </w:p>
          <w:p w14:paraId="3B871E8B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49AB8FB0" w14:textId="69FB32D1" w:rsidR="001B01A0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Module title:</w:t>
            </w:r>
            <w:r w:rsidR="004D39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396B" w:rsidRPr="004D396B">
              <w:rPr>
                <w:rFonts w:ascii="Arial" w:hAnsi="Arial" w:cs="Arial"/>
                <w:b/>
                <w:bCs/>
                <w:sz w:val="22"/>
                <w:szCs w:val="22"/>
              </w:rPr>
              <w:t>SACRED GEOGRAPHY</w:t>
            </w:r>
          </w:p>
          <w:p w14:paraId="55B440EE" w14:textId="77777777" w:rsidR="001B01A0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7F2BDD2C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66" w:type="dxa"/>
            <w:gridSpan w:val="3"/>
          </w:tcPr>
          <w:p w14:paraId="06874F26" w14:textId="77777777" w:rsidR="001B01A0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Student ID number:</w:t>
            </w:r>
          </w:p>
          <w:p w14:paraId="1FCAB10F" w14:textId="77777777" w:rsidR="004D396B" w:rsidRDefault="004D396B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50D0E4B5" w14:textId="120FEB66" w:rsidR="004D396B" w:rsidRPr="004D396B" w:rsidRDefault="004D396B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396B">
              <w:rPr>
                <w:rFonts w:ascii="Arial" w:hAnsi="Arial" w:cs="Arial"/>
                <w:b/>
                <w:bCs/>
                <w:sz w:val="22"/>
                <w:szCs w:val="22"/>
              </w:rPr>
              <w:t>2234148</w:t>
            </w:r>
          </w:p>
        </w:tc>
        <w:tc>
          <w:tcPr>
            <w:tcW w:w="1802" w:type="dxa"/>
          </w:tcPr>
          <w:p w14:paraId="78E2DA2D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Educational support needs:</w:t>
            </w:r>
          </w:p>
          <w:p w14:paraId="31D8FC2A" w14:textId="623904FA" w:rsidR="001B01A0" w:rsidRPr="004D396B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4D396B">
              <w:rPr>
                <w:rFonts w:ascii="Arial" w:hAnsi="Arial" w:cs="Arial"/>
                <w:b/>
                <w:bCs/>
                <w:sz w:val="22"/>
                <w:szCs w:val="22"/>
              </w:rPr>
              <w:t>Yes</w:t>
            </w:r>
          </w:p>
        </w:tc>
      </w:tr>
      <w:tr w:rsidR="001B01A0" w:rsidRPr="00230F35" w14:paraId="3FAB942D" w14:textId="77777777" w:rsidTr="00F56FDF">
        <w:trPr>
          <w:trHeight w:val="1139"/>
        </w:trPr>
        <w:tc>
          <w:tcPr>
            <w:tcW w:w="8856" w:type="dxa"/>
            <w:gridSpan w:val="5"/>
          </w:tcPr>
          <w:p w14:paraId="219C6161" w14:textId="61B8E985" w:rsidR="001B01A0" w:rsidRPr="00230F35" w:rsidRDefault="001B01A0" w:rsidP="004D396B">
            <w:pPr>
              <w:jc w:val="both"/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Assignment title:</w:t>
            </w:r>
            <w:r w:rsidR="004D396B">
              <w:rPr>
                <w:rFonts w:ascii="Arial" w:hAnsi="Arial" w:cs="Arial"/>
              </w:rPr>
              <w:t xml:space="preserve"> </w:t>
            </w:r>
            <w:r w:rsidR="004D396B">
              <w:rPr>
                <w:rFonts w:ascii="Arial" w:hAnsi="Arial" w:cs="Arial"/>
                <w:b/>
                <w:bCs/>
              </w:rPr>
              <w:t>A Critical Comparison of Two Secondary Sources</w:t>
            </w:r>
          </w:p>
          <w:p w14:paraId="075079B8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355A3327" w14:textId="77777777" w:rsidR="001B01A0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</w:p>
          <w:p w14:paraId="6069388E" w14:textId="08C368A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Assignment due date:</w:t>
            </w:r>
            <w:r w:rsidR="004D396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4D396B">
              <w:rPr>
                <w:rFonts w:ascii="Arial" w:hAnsi="Arial" w:cs="Arial"/>
                <w:b/>
                <w:sz w:val="22"/>
                <w:szCs w:val="22"/>
              </w:rPr>
              <w:t>14 November 2024</w:t>
            </w:r>
          </w:p>
        </w:tc>
      </w:tr>
      <w:tr w:rsidR="001B01A0" w:rsidRPr="00230F35" w14:paraId="6DA1076C" w14:textId="77777777" w:rsidTr="00F56FDF">
        <w:trPr>
          <w:trHeight w:val="978"/>
        </w:trPr>
        <w:tc>
          <w:tcPr>
            <w:tcW w:w="8856" w:type="dxa"/>
            <w:gridSpan w:val="5"/>
            <w:tcBorders>
              <w:bottom w:val="single" w:sz="4" w:space="0" w:color="000000"/>
            </w:tcBorders>
          </w:tcPr>
          <w:p w14:paraId="34604E1A" w14:textId="2840202F" w:rsidR="001B01A0" w:rsidRPr="00230F35" w:rsidRDefault="001B01A0" w:rsidP="00F56FDF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This assignment is for the       1</w:t>
            </w:r>
            <w:r w:rsidRPr="00230F35">
              <w:rPr>
                <w:rFonts w:ascii="Arial" w:hAnsi="Arial" w:cs="Arial"/>
                <w:vertAlign w:val="superscript"/>
              </w:rPr>
              <w:t xml:space="preserve">st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Check13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0"/>
            <w:r w:rsidRPr="00230F35">
              <w:rPr>
                <w:rFonts w:ascii="Arial" w:hAnsi="Arial" w:cs="Arial"/>
              </w:rPr>
              <w:t xml:space="preserve">    2</w:t>
            </w:r>
            <w:r w:rsidRPr="00230F35">
              <w:rPr>
                <w:rFonts w:ascii="Arial" w:hAnsi="Arial" w:cs="Arial"/>
                <w:vertAlign w:val="superscript"/>
              </w:rPr>
              <w:t>nd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14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1"/>
            <w:r w:rsidRPr="00230F35">
              <w:rPr>
                <w:rFonts w:ascii="Arial" w:hAnsi="Arial" w:cs="Arial"/>
              </w:rPr>
              <w:t xml:space="preserve">     3</w:t>
            </w:r>
            <w:r w:rsidRPr="00230F35">
              <w:rPr>
                <w:rFonts w:ascii="Arial" w:hAnsi="Arial" w:cs="Arial"/>
                <w:vertAlign w:val="superscript"/>
              </w:rPr>
              <w:t>rd</w:t>
            </w:r>
            <w:r w:rsidRPr="00230F35">
              <w:rPr>
                <w:rFonts w:ascii="Arial" w:hAnsi="Arial" w:cs="Arial"/>
              </w:rPr>
              <w:t xml:space="preserve"> 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" w:name="Check15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2"/>
            <w:r w:rsidRPr="00230F35">
              <w:rPr>
                <w:rFonts w:ascii="Arial" w:hAnsi="Arial" w:cs="Arial"/>
              </w:rPr>
              <w:t xml:space="preserve">      4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="004D396B">
              <w:rPr>
                <w:rFonts w:ascii="Arial" w:hAnsi="Arial" w:cs="Arial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16"/>
            <w:r w:rsidR="004D396B">
              <w:rPr>
                <w:rFonts w:ascii="Arial" w:hAnsi="Arial" w:cs="Arial"/>
              </w:rPr>
              <w:instrText xml:space="preserve"> FORMCHECKBOX </w:instrText>
            </w:r>
            <w:r w:rsidR="004D396B">
              <w:rPr>
                <w:rFonts w:ascii="Arial" w:hAnsi="Arial" w:cs="Arial"/>
              </w:rPr>
            </w:r>
            <w:r w:rsidR="004D396B">
              <w:rPr>
                <w:rFonts w:ascii="Arial" w:hAnsi="Arial" w:cs="Arial"/>
              </w:rPr>
              <w:fldChar w:fldCharType="end"/>
            </w:r>
            <w:bookmarkEnd w:id="3"/>
            <w:r w:rsidRPr="00230F35">
              <w:rPr>
                <w:rFonts w:ascii="Arial" w:hAnsi="Arial" w:cs="Arial"/>
              </w:rPr>
              <w:t xml:space="preserve">      5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7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4"/>
            <w:r w:rsidRPr="00230F35">
              <w:rPr>
                <w:rFonts w:ascii="Arial" w:hAnsi="Arial" w:cs="Arial"/>
              </w:rPr>
              <w:t xml:space="preserve">      6</w:t>
            </w:r>
            <w:r w:rsidRPr="00230F35">
              <w:rPr>
                <w:rFonts w:ascii="Arial" w:hAnsi="Arial" w:cs="Arial"/>
                <w:vertAlign w:val="superscript"/>
              </w:rPr>
              <w:t>th</w:t>
            </w:r>
            <w:r w:rsidRPr="00230F35">
              <w:rPr>
                <w:rFonts w:ascii="Arial" w:hAnsi="Arial" w:cs="Arial"/>
              </w:rPr>
              <w:t xml:space="preserve"> </w:t>
            </w:r>
            <w:r w:rsidRPr="00230F35">
              <w:rPr>
                <w:rFonts w:ascii="Arial" w:hAnsi="Arial" w:cs="Arial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18"/>
            <w:r w:rsidRPr="00230F35">
              <w:rPr>
                <w:rFonts w:ascii="Arial" w:hAnsi="Arial" w:cs="Arial"/>
              </w:rPr>
              <w:instrText xml:space="preserve"> FORMCHECKBOX </w:instrText>
            </w:r>
            <w:r w:rsidRPr="00230F35">
              <w:rPr>
                <w:rFonts w:ascii="Arial" w:hAnsi="Arial" w:cs="Arial"/>
              </w:rPr>
            </w:r>
            <w:r w:rsidRPr="00230F35">
              <w:rPr>
                <w:rFonts w:ascii="Arial" w:hAnsi="Arial" w:cs="Arial"/>
              </w:rPr>
              <w:fldChar w:fldCharType="end"/>
            </w:r>
            <w:bookmarkEnd w:id="5"/>
            <w:r w:rsidRPr="00230F35">
              <w:rPr>
                <w:rFonts w:ascii="Arial" w:hAnsi="Arial" w:cs="Arial"/>
                <w:b/>
              </w:rPr>
              <w:t xml:space="preserve">   </w:t>
            </w:r>
            <w:r w:rsidRPr="00230F35">
              <w:rPr>
                <w:rFonts w:ascii="Arial" w:hAnsi="Arial" w:cs="Arial"/>
              </w:rPr>
              <w:t>module of the degre</w:t>
            </w:r>
            <w:r>
              <w:rPr>
                <w:rFonts w:ascii="Arial" w:hAnsi="Arial" w:cs="Arial"/>
              </w:rPr>
              <w:t>e</w:t>
            </w:r>
          </w:p>
        </w:tc>
      </w:tr>
      <w:tr w:rsidR="001B01A0" w:rsidRPr="00230F35" w14:paraId="59223C19" w14:textId="77777777" w:rsidTr="00F56FDF">
        <w:trPr>
          <w:trHeight w:val="978"/>
        </w:trPr>
        <w:tc>
          <w:tcPr>
            <w:tcW w:w="8856" w:type="dxa"/>
            <w:gridSpan w:val="5"/>
            <w:shd w:val="clear" w:color="auto" w:fill="D9D9D9"/>
          </w:tcPr>
          <w:p w14:paraId="55A69B1E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I confirm that this is my original work and that I have adhered to the University policy on plagiarism.</w:t>
            </w:r>
          </w:p>
          <w:p w14:paraId="7399A27D" w14:textId="616B2808" w:rsidR="001B01A0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Signed …………</w:t>
            </w:r>
            <w:proofErr w:type="gramStart"/>
            <w:r w:rsidR="004D396B">
              <w:rPr>
                <w:rFonts w:ascii="Arial" w:hAnsi="Arial" w:cs="Arial"/>
                <w:sz w:val="22"/>
                <w:szCs w:val="22"/>
              </w:rPr>
              <w:t>J.WEEKES</w:t>
            </w:r>
            <w:proofErr w:type="gramEnd"/>
            <w:r w:rsidRPr="00230F35">
              <w:rPr>
                <w:rFonts w:ascii="Arial" w:hAnsi="Arial" w:cs="Arial"/>
                <w:sz w:val="22"/>
                <w:szCs w:val="22"/>
              </w:rPr>
              <w:t>…………………………</w:t>
            </w:r>
          </w:p>
          <w:p w14:paraId="67FB9862" w14:textId="7745EE97" w:rsidR="001B01A0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Calibri" w:hAnsi="Calibri" w:cs="Calibri"/>
                <w:b/>
                <w:sz w:val="44"/>
                <w:szCs w:val="44"/>
              </w:rPr>
            </w:pPr>
            <w:r w:rsidRPr="005979EE">
              <w:rPr>
                <w:rFonts w:ascii="Calibri" w:hAnsi="Calibri" w:cs="Tahoma"/>
                <w:b/>
                <w:sz w:val="24"/>
                <w:szCs w:val="24"/>
              </w:rPr>
              <w:t xml:space="preserve">Email </w:t>
            </w:r>
            <w:proofErr w:type="spellStart"/>
            <w:proofErr w:type="gramStart"/>
            <w:r w:rsidRPr="005979EE">
              <w:rPr>
                <w:rFonts w:ascii="Calibri" w:hAnsi="Calibri" w:cs="Tahoma"/>
                <w:b/>
                <w:sz w:val="24"/>
                <w:szCs w:val="24"/>
              </w:rPr>
              <w:t>submission:</w:t>
            </w:r>
            <w:r>
              <w:rPr>
                <w:rFonts w:ascii="Calibri" w:hAnsi="Calibri" w:cs="Tahoma"/>
                <w:b/>
                <w:sz w:val="24"/>
                <w:szCs w:val="24"/>
              </w:rPr>
              <w:t>if</w:t>
            </w:r>
            <w:proofErr w:type="spellEnd"/>
            <w:proofErr w:type="gramEnd"/>
            <w:r>
              <w:rPr>
                <w:rFonts w:ascii="Calibri" w:hAnsi="Calibri" w:cs="Tahoma"/>
                <w:b/>
                <w:sz w:val="24"/>
                <w:szCs w:val="24"/>
              </w:rPr>
              <w:t xml:space="preserve"> you are submitting this form via email, please tick this box </w:t>
            </w:r>
            <w:r w:rsidR="004D396B">
              <w:rPr>
                <w:rFonts w:ascii="Calibri" w:hAnsi="Calibri" w:cs="Calibri"/>
                <w:b/>
                <w:sz w:val="44"/>
                <w:szCs w:val="44"/>
              </w:rPr>
              <w:sym w:font="Wingdings" w:char="F0FE"/>
            </w:r>
          </w:p>
          <w:p w14:paraId="3A11D4EC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3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4"/>
                <w:szCs w:val="24"/>
              </w:rPr>
              <w:t>(as a substitute for your signature) to confirm that you agree to the above declaration.</w:t>
            </w:r>
          </w:p>
        </w:tc>
      </w:tr>
      <w:tr w:rsidR="001B01A0" w:rsidRPr="00230F35" w14:paraId="5E24927B" w14:textId="77777777" w:rsidTr="00F56FDF">
        <w:trPr>
          <w:trHeight w:val="3972"/>
        </w:trPr>
        <w:tc>
          <w:tcPr>
            <w:tcW w:w="8856" w:type="dxa"/>
            <w:gridSpan w:val="5"/>
          </w:tcPr>
          <w:p w14:paraId="1168672C" w14:textId="77777777" w:rsidR="001B01A0" w:rsidRDefault="001B01A0" w:rsidP="00F56FDF">
            <w:pPr>
              <w:rPr>
                <w:rFonts w:ascii="Arial" w:hAnsi="Arial"/>
                <w:b/>
              </w:rPr>
            </w:pPr>
          </w:p>
          <w:p w14:paraId="6D4ABF86" w14:textId="77777777" w:rsidR="001B01A0" w:rsidRPr="00116CE6" w:rsidRDefault="001B01A0" w:rsidP="00F56FDF">
            <w:pPr>
              <w:rPr>
                <w:rFonts w:ascii="Arial" w:hAnsi="Arial"/>
              </w:rPr>
            </w:pPr>
            <w:r w:rsidRPr="00116CE6">
              <w:rPr>
                <w:rFonts w:ascii="Arial" w:hAnsi="Arial"/>
                <w:b/>
              </w:rPr>
              <w:t>Assignment Mark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6970"/>
              <w:gridCol w:w="1660"/>
            </w:tblGrid>
            <w:tr w:rsidR="001B01A0" w:rsidRPr="00116CE6" w14:paraId="13C8F493" w14:textId="77777777" w:rsidTr="00F56FDF">
              <w:tc>
                <w:tcPr>
                  <w:tcW w:w="6970" w:type="dxa"/>
                </w:tcPr>
                <w:p w14:paraId="67A26EE3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5D84FA5E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1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st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Marker’s Provisional mark</w:t>
                  </w:r>
                </w:p>
              </w:tc>
              <w:tc>
                <w:tcPr>
                  <w:tcW w:w="1660" w:type="dxa"/>
                </w:tcPr>
                <w:p w14:paraId="5185C44F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B01A0" w:rsidRPr="00116CE6" w14:paraId="6BFE7253" w14:textId="77777777" w:rsidTr="00F56FDF">
              <w:tc>
                <w:tcPr>
                  <w:tcW w:w="6970" w:type="dxa"/>
                </w:tcPr>
                <w:p w14:paraId="1F5B7822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131C63D5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2</w:t>
                  </w:r>
                  <w:r w:rsidRPr="00116CE6">
                    <w:rPr>
                      <w:rFonts w:ascii="Arial" w:hAnsi="Arial"/>
                      <w:sz w:val="20"/>
                      <w:szCs w:val="20"/>
                      <w:vertAlign w:val="superscript"/>
                    </w:rPr>
                    <w:t>nd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Marker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>’s/Moderator’s</w:t>
                  </w:r>
                  <w:r w:rsidRPr="00116CE6">
                    <w:rPr>
                      <w:rFonts w:ascii="Arial" w:hAnsi="Arial"/>
                      <w:sz w:val="20"/>
                      <w:szCs w:val="20"/>
                    </w:rPr>
                    <w:t xml:space="preserve"> provisional mark</w:t>
                  </w:r>
                </w:p>
              </w:tc>
              <w:tc>
                <w:tcPr>
                  <w:tcW w:w="1660" w:type="dxa"/>
                </w:tcPr>
                <w:p w14:paraId="432E8DB0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B01A0" w:rsidRPr="00116CE6" w14:paraId="67D90819" w14:textId="77777777" w:rsidTr="00F56FDF">
              <w:tc>
                <w:tcPr>
                  <w:tcW w:w="6970" w:type="dxa"/>
                </w:tcPr>
                <w:p w14:paraId="1B74CEBE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6B2C1AC6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  <w:r w:rsidRPr="00116CE6">
                    <w:rPr>
                      <w:rFonts w:ascii="Arial" w:hAnsi="Arial"/>
                      <w:sz w:val="20"/>
                      <w:szCs w:val="20"/>
                    </w:rPr>
                    <w:t>External Examiner’s mark</w:t>
                  </w:r>
                  <w:r>
                    <w:rPr>
                      <w:rFonts w:ascii="Arial" w:hAnsi="Arial"/>
                      <w:sz w:val="20"/>
                      <w:szCs w:val="20"/>
                    </w:rPr>
                    <w:t xml:space="preserve"> (if relevant)</w:t>
                  </w:r>
                </w:p>
              </w:tc>
              <w:tc>
                <w:tcPr>
                  <w:tcW w:w="1660" w:type="dxa"/>
                </w:tcPr>
                <w:p w14:paraId="160C1046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  <w:tr w:rsidR="001B01A0" w:rsidRPr="00116CE6" w14:paraId="09F542CF" w14:textId="77777777" w:rsidTr="00F56FDF">
              <w:tc>
                <w:tcPr>
                  <w:tcW w:w="6970" w:type="dxa"/>
                </w:tcPr>
                <w:p w14:paraId="0C18898B" w14:textId="77777777" w:rsidR="001B01A0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  <w:p w14:paraId="24614089" w14:textId="77777777" w:rsidR="001B01A0" w:rsidRPr="00022345" w:rsidRDefault="001B01A0" w:rsidP="00F56FDF">
                  <w:pPr>
                    <w:rPr>
                      <w:rFonts w:ascii="Arial" w:hAnsi="Arial"/>
                      <w:b/>
                      <w:sz w:val="20"/>
                      <w:szCs w:val="20"/>
                    </w:rPr>
                  </w:pPr>
                  <w:r w:rsidRPr="00022345">
                    <w:rPr>
                      <w:rFonts w:ascii="Arial" w:hAnsi="Arial"/>
                      <w:b/>
                      <w:sz w:val="20"/>
                      <w:szCs w:val="20"/>
                    </w:rPr>
                    <w:t>Final Mark</w:t>
                  </w:r>
                </w:p>
                <w:p w14:paraId="41F59399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  <w:tc>
                <w:tcPr>
                  <w:tcW w:w="1660" w:type="dxa"/>
                </w:tcPr>
                <w:p w14:paraId="052C2788" w14:textId="77777777" w:rsidR="001B01A0" w:rsidRPr="00116CE6" w:rsidRDefault="001B01A0" w:rsidP="00F56FDF">
                  <w:pPr>
                    <w:rPr>
                      <w:rFonts w:ascii="Arial" w:hAnsi="Arial"/>
                      <w:sz w:val="20"/>
                      <w:szCs w:val="20"/>
                    </w:rPr>
                  </w:pPr>
                </w:p>
              </w:tc>
            </w:tr>
          </w:tbl>
          <w:p w14:paraId="2110ADBB" w14:textId="77777777" w:rsidR="001B01A0" w:rsidRDefault="001B01A0" w:rsidP="00F56FDF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17E5B10F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b/>
                <w:sz w:val="22"/>
                <w:szCs w:val="22"/>
              </w:rPr>
              <w:t>NB.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  All marks are provisional until confirmed by the </w:t>
            </w:r>
            <w:r>
              <w:rPr>
                <w:rFonts w:ascii="Arial" w:hAnsi="Arial" w:cs="Arial"/>
                <w:sz w:val="22"/>
                <w:szCs w:val="22"/>
              </w:rPr>
              <w:t>F</w:t>
            </w:r>
            <w:r w:rsidRPr="00230F35">
              <w:rPr>
                <w:rFonts w:ascii="Arial" w:hAnsi="Arial" w:cs="Arial"/>
                <w:sz w:val="22"/>
                <w:szCs w:val="22"/>
              </w:rPr>
              <w:t xml:space="preserve">inal </w:t>
            </w:r>
            <w:r>
              <w:rPr>
                <w:rFonts w:ascii="Arial" w:hAnsi="Arial" w:cs="Arial"/>
                <w:sz w:val="22"/>
                <w:szCs w:val="22"/>
              </w:rPr>
              <w:t>E</w:t>
            </w:r>
            <w:r w:rsidRPr="00230F35">
              <w:rPr>
                <w:rFonts w:ascii="Arial" w:hAnsi="Arial" w:cs="Arial"/>
                <w:sz w:val="22"/>
                <w:szCs w:val="22"/>
              </w:rPr>
              <w:t>xamination</w:t>
            </w:r>
            <w:r>
              <w:rPr>
                <w:rFonts w:ascii="Arial" w:hAnsi="Arial" w:cs="Arial"/>
                <w:sz w:val="22"/>
                <w:szCs w:val="22"/>
              </w:rPr>
              <w:t xml:space="preserve"> Board.</w:t>
            </w:r>
          </w:p>
          <w:p w14:paraId="61C642EC" w14:textId="77777777" w:rsidR="001B01A0" w:rsidRDefault="001B01A0" w:rsidP="00F56FD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E02339A" w14:textId="77777777" w:rsidR="001B01A0" w:rsidRDefault="001B01A0" w:rsidP="00F56FD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5824296" w14:textId="77777777" w:rsidR="001B01A0" w:rsidRDefault="001B01A0" w:rsidP="00F56FD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1412B56" w14:textId="77777777" w:rsidR="001B01A0" w:rsidRDefault="001B01A0" w:rsidP="00F56FD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C2880F2" w14:textId="77777777" w:rsidR="001B01A0" w:rsidRDefault="001B01A0" w:rsidP="00F56FD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8E7A3BF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sz w:val="22"/>
                <w:szCs w:val="22"/>
              </w:rPr>
              <w:t xml:space="preserve">arker </w:t>
            </w:r>
            <w:proofErr w:type="gramStart"/>
            <w:r w:rsidRPr="00230F35">
              <w:rPr>
                <w:rFonts w:ascii="Arial" w:hAnsi="Arial" w:cs="Arial"/>
                <w:b/>
                <w:sz w:val="22"/>
                <w:szCs w:val="22"/>
              </w:rPr>
              <w:t>1 :</w:t>
            </w:r>
            <w:proofErr w:type="gramEnd"/>
          </w:p>
          <w:p w14:paraId="1981BC84" w14:textId="77777777" w:rsidR="001B01A0" w:rsidRDefault="001B01A0" w:rsidP="00F56FDF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Comments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</w:p>
          <w:p w14:paraId="2129DD89" w14:textId="77777777" w:rsidR="001B01A0" w:rsidRPr="00001C3B" w:rsidRDefault="001B01A0" w:rsidP="00F56FDF">
            <w:pPr>
              <w:pStyle w:val="NormalWeb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B01A0" w:rsidRPr="00230F35" w14:paraId="1AC58F5C" w14:textId="77777777" w:rsidTr="00F56FDF">
        <w:trPr>
          <w:trHeight w:val="492"/>
        </w:trPr>
        <w:tc>
          <w:tcPr>
            <w:tcW w:w="6768" w:type="dxa"/>
            <w:gridSpan w:val="3"/>
          </w:tcPr>
          <w:p w14:paraId="3C145DFD" w14:textId="77777777" w:rsidR="001B01A0" w:rsidRPr="00230F35" w:rsidRDefault="001B01A0" w:rsidP="00F56FDF">
            <w:pPr>
              <w:pStyle w:val="NormalWeb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Marker’s signatur</w:t>
            </w:r>
            <w:r>
              <w:rPr>
                <w:rFonts w:ascii="Arial" w:hAnsi="Arial" w:cs="Arial"/>
                <w:sz w:val="22"/>
                <w:szCs w:val="22"/>
              </w:rPr>
              <w:t>e:</w:t>
            </w:r>
          </w:p>
        </w:tc>
        <w:tc>
          <w:tcPr>
            <w:tcW w:w="2088" w:type="dxa"/>
            <w:gridSpan w:val="2"/>
          </w:tcPr>
          <w:p w14:paraId="74667C90" w14:textId="77777777" w:rsidR="001B01A0" w:rsidRPr="00230F35" w:rsidRDefault="001B01A0" w:rsidP="00F56FDF">
            <w:pPr>
              <w:pStyle w:val="NormalWeb"/>
              <w:spacing w:after="0"/>
              <w:ind w:left="142" w:right="34"/>
              <w:rPr>
                <w:rFonts w:ascii="Arial" w:hAnsi="Arial" w:cs="Arial"/>
                <w:sz w:val="22"/>
                <w:szCs w:val="22"/>
              </w:rPr>
            </w:pPr>
            <w:r w:rsidRPr="00230F35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  <w:tr w:rsidR="001B01A0" w:rsidRPr="002F467C" w14:paraId="334F507F" w14:textId="77777777" w:rsidTr="00F56FDF">
        <w:tc>
          <w:tcPr>
            <w:tcW w:w="8856" w:type="dxa"/>
            <w:gridSpan w:val="5"/>
          </w:tcPr>
          <w:p w14:paraId="28197764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  <w:p w14:paraId="74060F4B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For completion by 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arker 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/M</w:t>
            </w:r>
            <w:r w:rsidRPr="00230F35">
              <w:rPr>
                <w:rFonts w:ascii="Arial" w:hAnsi="Arial" w:cs="Arial"/>
                <w:b/>
                <w:bCs/>
                <w:sz w:val="22"/>
                <w:szCs w:val="22"/>
              </w:rPr>
              <w:t>oderator:</w:t>
            </w:r>
          </w:p>
          <w:p w14:paraId="27859387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A796F72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Comments:</w:t>
            </w:r>
          </w:p>
          <w:p w14:paraId="69F2E983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6F5266D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CFE34A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B01A0" w:rsidRPr="002F467C" w14:paraId="0AD4AB5C" w14:textId="77777777" w:rsidTr="00F56FDF">
        <w:trPr>
          <w:trHeight w:val="720"/>
        </w:trPr>
        <w:tc>
          <w:tcPr>
            <w:tcW w:w="5211" w:type="dxa"/>
            <w:gridSpan w:val="2"/>
          </w:tcPr>
          <w:p w14:paraId="04CFDDF9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Marker’s Signature</w:t>
            </w:r>
            <w:r>
              <w:rPr>
                <w:rFonts w:ascii="Arial" w:hAnsi="Arial" w:cs="Arial"/>
                <w:bCs/>
                <w:sz w:val="22"/>
                <w:szCs w:val="22"/>
              </w:rPr>
              <w:t>:</w:t>
            </w:r>
          </w:p>
        </w:tc>
        <w:tc>
          <w:tcPr>
            <w:tcW w:w="3645" w:type="dxa"/>
            <w:gridSpan w:val="3"/>
          </w:tcPr>
          <w:p w14:paraId="35835806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  <w:r w:rsidRPr="00230F35">
              <w:rPr>
                <w:rFonts w:ascii="Arial" w:hAnsi="Arial" w:cs="Arial"/>
                <w:bCs/>
                <w:sz w:val="22"/>
                <w:szCs w:val="22"/>
              </w:rPr>
              <w:t>Date:</w:t>
            </w:r>
          </w:p>
        </w:tc>
      </w:tr>
      <w:tr w:rsidR="001B01A0" w:rsidRPr="002F467C" w14:paraId="1602B06F" w14:textId="77777777" w:rsidTr="00F56FDF">
        <w:trPr>
          <w:trHeight w:val="720"/>
        </w:trPr>
        <w:tc>
          <w:tcPr>
            <w:tcW w:w="8856" w:type="dxa"/>
            <w:gridSpan w:val="5"/>
          </w:tcPr>
          <w:p w14:paraId="1BBE9F59" w14:textId="77777777" w:rsidR="001B01A0" w:rsidRPr="00B34964" w:rsidRDefault="001B01A0" w:rsidP="00F56FDF">
            <w:pPr>
              <w:rPr>
                <w:rFonts w:ascii="Arial" w:hAnsi="Arial" w:cs="Arial"/>
                <w:b/>
              </w:rPr>
            </w:pPr>
            <w:r w:rsidRPr="00B34964">
              <w:rPr>
                <w:rFonts w:ascii="Arial" w:hAnsi="Arial" w:cs="Arial"/>
                <w:b/>
              </w:rPr>
              <w:t>External Examiner’s comments (if relevant)</w:t>
            </w:r>
          </w:p>
          <w:p w14:paraId="7AF3D246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6D6C96D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8FA607F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7BAF9AE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B097CB9" w14:textId="77777777" w:rsidR="001B01A0" w:rsidRPr="00230F35" w:rsidRDefault="001B01A0" w:rsidP="00F56FDF">
            <w:pPr>
              <w:pStyle w:val="NormalWeb"/>
              <w:spacing w:before="0" w:beforeAutospacing="0" w:after="0" w:afterAutospacing="0"/>
              <w:ind w:right="-334"/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1B01A0" w:rsidRPr="002F467C" w14:paraId="748865E0" w14:textId="77777777" w:rsidTr="00F56FDF">
        <w:trPr>
          <w:trHeight w:val="720"/>
        </w:trPr>
        <w:tc>
          <w:tcPr>
            <w:tcW w:w="5211" w:type="dxa"/>
            <w:gridSpan w:val="2"/>
          </w:tcPr>
          <w:p w14:paraId="00374308" w14:textId="77777777" w:rsidR="001B01A0" w:rsidRPr="00230F35" w:rsidRDefault="001B01A0" w:rsidP="00F56FDF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External Examiner’s Signature:</w:t>
            </w:r>
          </w:p>
        </w:tc>
        <w:tc>
          <w:tcPr>
            <w:tcW w:w="3645" w:type="dxa"/>
            <w:gridSpan w:val="3"/>
          </w:tcPr>
          <w:p w14:paraId="63133FEE" w14:textId="77777777" w:rsidR="001B01A0" w:rsidRPr="00230F35" w:rsidRDefault="001B01A0" w:rsidP="00F56FDF">
            <w:pPr>
              <w:rPr>
                <w:rFonts w:ascii="Arial" w:hAnsi="Arial" w:cs="Arial"/>
              </w:rPr>
            </w:pPr>
            <w:r w:rsidRPr="00230F35">
              <w:rPr>
                <w:rFonts w:ascii="Arial" w:hAnsi="Arial" w:cs="Arial"/>
              </w:rPr>
              <w:t>Date:</w:t>
            </w:r>
          </w:p>
        </w:tc>
      </w:tr>
    </w:tbl>
    <w:p w14:paraId="2FB9377D" w14:textId="77777777" w:rsidR="001B01A0" w:rsidRPr="00D67BF8" w:rsidRDefault="001B01A0" w:rsidP="001B01A0">
      <w:pPr>
        <w:pStyle w:val="NormalWeb"/>
        <w:spacing w:before="0" w:beforeAutospacing="0" w:after="0" w:afterAutospacing="0"/>
        <w:ind w:right="-334"/>
        <w:rPr>
          <w:rFonts w:ascii="Trebuchet MS" w:hAnsi="Trebuchet MS" w:cs="Tahoma"/>
          <w:bCs/>
          <w:sz w:val="24"/>
          <w:szCs w:val="24"/>
        </w:rPr>
      </w:pPr>
    </w:p>
    <w:p w14:paraId="719225D6" w14:textId="77777777" w:rsidR="001B01A0" w:rsidRDefault="001B01A0" w:rsidP="001B01A0">
      <w:pPr>
        <w:rPr>
          <w:rFonts w:asciiTheme="majorHAnsi" w:eastAsiaTheme="majorEastAsia" w:hAnsiTheme="majorHAnsi" w:cstheme="majorBidi"/>
          <w:spacing w:val="-10"/>
          <w:kern w:val="28"/>
        </w:rPr>
      </w:pPr>
      <w:r>
        <w:br w:type="page"/>
      </w:r>
    </w:p>
    <w:p w14:paraId="14406320" w14:textId="0999EFD3" w:rsidR="00921702" w:rsidRPr="00124AB7" w:rsidRDefault="00921702" w:rsidP="00921702">
      <w:pPr>
        <w:pStyle w:val="Title"/>
        <w:jc w:val="center"/>
        <w:rPr>
          <w:sz w:val="48"/>
          <w:szCs w:val="48"/>
        </w:rPr>
      </w:pPr>
      <w:r w:rsidRPr="00124AB7">
        <w:rPr>
          <w:sz w:val="48"/>
          <w:szCs w:val="48"/>
        </w:rPr>
        <w:lastRenderedPageBreak/>
        <w:t>Is Barbara Bender’s theory of contested space complemented by Christopher Tilley’s phenomenological perspective?</w:t>
      </w:r>
    </w:p>
    <w:p w14:paraId="6FC1D9C0" w14:textId="77777777" w:rsidR="000E1486" w:rsidRDefault="000E1486"/>
    <w:p w14:paraId="7944686A" w14:textId="74E2B8DE" w:rsidR="00921702" w:rsidRDefault="00921702" w:rsidP="00921702">
      <w:pPr>
        <w:pStyle w:val="Subtitle"/>
      </w:pPr>
      <w:r>
        <w:t xml:space="preserve">Introduction </w:t>
      </w:r>
    </w:p>
    <w:p w14:paraId="1CD4710F" w14:textId="4DF1C64C" w:rsidR="00921702" w:rsidRDefault="0047597D" w:rsidP="006B2EC8">
      <w:pPr>
        <w:ind w:firstLine="720"/>
      </w:pPr>
      <w:r>
        <w:t>Understanding landscapes as both cultural and experiential spaces has been central to debates in archaeology in recent decades</w:t>
      </w:r>
      <w:r>
        <w:rPr>
          <w:rStyle w:val="FootnoteReference"/>
        </w:rPr>
        <w:footnoteReference w:id="1"/>
      </w:r>
      <w:r>
        <w:t xml:space="preserve">, with Barbara Bender and Christopher Tilley being key voices offering distinct but intersecting </w:t>
      </w:r>
      <w:r w:rsidR="00341F02">
        <w:t>approaches</w:t>
      </w:r>
      <w:r>
        <w:t xml:space="preserve">. </w:t>
      </w:r>
      <w:r w:rsidR="00921702">
        <w:t>This essay will compare and contrast</w:t>
      </w:r>
      <w:r w:rsidR="00AC6995">
        <w:t xml:space="preserve"> Barbara Bender’s theory of contested landscapes, as presented in the chapter “Contested Landscapes: Medieval to Present,”</w:t>
      </w:r>
      <w:r w:rsidR="00AC6995">
        <w:rPr>
          <w:rStyle w:val="FootnoteReference"/>
        </w:rPr>
        <w:footnoteReference w:id="2"/>
      </w:r>
      <w:r w:rsidR="00AC6995">
        <w:t xml:space="preserve"> in </w:t>
      </w:r>
      <w:r w:rsidR="00AC6995" w:rsidRPr="00F84195">
        <w:rPr>
          <w:i/>
          <w:iCs/>
        </w:rPr>
        <w:t>Stonehenge: Making Space</w:t>
      </w:r>
      <w:r w:rsidR="00AC6995">
        <w:t>,</w:t>
      </w:r>
      <w:r w:rsidR="00921702">
        <w:t xml:space="preserve"> and </w:t>
      </w:r>
      <w:r w:rsidR="00AC6995">
        <w:t>Christopher Tilley’s phenomenological perspective from</w:t>
      </w:r>
      <w:r w:rsidR="009C7EE3">
        <w:t xml:space="preserve"> his introductory chapter to</w:t>
      </w:r>
      <w:r w:rsidR="00AC6995">
        <w:t xml:space="preserve"> </w:t>
      </w:r>
      <w:r w:rsidR="00AC6995" w:rsidRPr="0084289E">
        <w:rPr>
          <w:i/>
          <w:iCs/>
        </w:rPr>
        <w:t>A Phenomenology of Landscape</w:t>
      </w:r>
      <w:r w:rsidR="009C7EE3">
        <w:t>.</w:t>
      </w:r>
      <w:r w:rsidR="009C7EE3">
        <w:rPr>
          <w:rStyle w:val="FootnoteReference"/>
        </w:rPr>
        <w:footnoteReference w:id="3"/>
      </w:r>
      <w:r w:rsidR="009C7EE3" w:rsidRPr="009C7EE3">
        <w:t xml:space="preserve"> </w:t>
      </w:r>
      <w:r w:rsidR="006B2EC8" w:rsidRPr="006B2EC8">
        <w:t xml:space="preserve">This analysis </w:t>
      </w:r>
      <w:r w:rsidR="006B2EC8">
        <w:t>will examine</w:t>
      </w:r>
      <w:r w:rsidR="006B2EC8" w:rsidRPr="006B2EC8">
        <w:t xml:space="preserve"> </w:t>
      </w:r>
      <w:r w:rsidR="00F5013C">
        <w:t>the points of intersection between</w:t>
      </w:r>
      <w:r w:rsidR="006B2EC8" w:rsidRPr="006B2EC8">
        <w:t xml:space="preserve"> Tilley’s phenomenological perspective </w:t>
      </w:r>
      <w:r w:rsidR="00F5013C">
        <w:t xml:space="preserve">and </w:t>
      </w:r>
      <w:r w:rsidR="006B2EC8" w:rsidRPr="006B2EC8">
        <w:t>Bender’s theory of contested space by comparing their views on the nature of landscape, the scope of their theories and result</w:t>
      </w:r>
      <w:r w:rsidR="002F13A5">
        <w:t>ant</w:t>
      </w:r>
      <w:r w:rsidR="006B2EC8" w:rsidRPr="006B2EC8">
        <w:t xml:space="preserve"> methodologies</w:t>
      </w:r>
      <w:r w:rsidR="00F5013C">
        <w:t>, and where the two approaches deviate</w:t>
      </w:r>
      <w:r w:rsidR="006B2EC8" w:rsidRPr="006B2EC8">
        <w:t>. The first section will introduce and summari</w:t>
      </w:r>
      <w:r w:rsidR="006B2EC8">
        <w:t>s</w:t>
      </w:r>
      <w:r w:rsidR="006B2EC8" w:rsidRPr="006B2EC8">
        <w:t xml:space="preserve">e each theory, followed by a discussion of </w:t>
      </w:r>
      <w:r w:rsidR="00F5013C">
        <w:t xml:space="preserve">how they </w:t>
      </w:r>
      <w:r w:rsidR="006B2EC8" w:rsidRPr="006B2EC8">
        <w:t>handl</w:t>
      </w:r>
      <w:r w:rsidR="00F5013C">
        <w:t xml:space="preserve">e </w:t>
      </w:r>
      <w:r w:rsidR="006B2EC8" w:rsidRPr="006B2EC8">
        <w:t xml:space="preserve">key concepts, ultimately assessing the extent </w:t>
      </w:r>
      <w:r w:rsidR="006B2EC8">
        <w:t>to which</w:t>
      </w:r>
      <w:r w:rsidR="006B2EC8" w:rsidRPr="006B2EC8">
        <w:t xml:space="preserve"> Tilley’s </w:t>
      </w:r>
      <w:r w:rsidR="006B2EC8">
        <w:t xml:space="preserve">perspective complements </w:t>
      </w:r>
      <w:r w:rsidR="006B2EC8" w:rsidRPr="006B2EC8">
        <w:t>Bender’s</w:t>
      </w:r>
      <w:r w:rsidR="006B2EC8">
        <w:t xml:space="preserve"> theory</w:t>
      </w:r>
      <w:r w:rsidR="006B2EC8" w:rsidRPr="006B2EC8">
        <w:t>.</w:t>
      </w:r>
    </w:p>
    <w:p w14:paraId="72D7C0D7" w14:textId="77D2D538" w:rsidR="00921702" w:rsidRDefault="00655199" w:rsidP="00921702">
      <w:pPr>
        <w:pStyle w:val="Subtitle"/>
      </w:pPr>
      <w:r>
        <w:t>Bender’s Contested Space</w:t>
      </w:r>
    </w:p>
    <w:p w14:paraId="64969EFC" w14:textId="60E9180C" w:rsidR="00C770C4" w:rsidRDefault="00813720" w:rsidP="005B724A">
      <w:pPr>
        <w:ind w:firstLine="720"/>
      </w:pPr>
      <w:r>
        <w:t xml:space="preserve">Barbara </w:t>
      </w:r>
      <w:r w:rsidR="00655199">
        <w:t>Bender</w:t>
      </w:r>
      <w:r>
        <w:t>’</w:t>
      </w:r>
      <w:r w:rsidR="00655199">
        <w:t>s theory</w:t>
      </w:r>
      <w:r w:rsidR="0084289E">
        <w:t xml:space="preserve"> of contested space </w:t>
      </w:r>
      <w:r>
        <w:t xml:space="preserve">proposes that </w:t>
      </w:r>
      <w:r w:rsidR="00F84195">
        <w:t>landscapes are not merely physical space</w:t>
      </w:r>
      <w:r w:rsidR="00BB29E2">
        <w:t>s</w:t>
      </w:r>
      <w:r w:rsidR="00F84195">
        <w:t xml:space="preserve"> but are layered with cultural, historical and political meaning</w:t>
      </w:r>
      <w:r w:rsidR="00F61AA8">
        <w:t xml:space="preserve">. It states that </w:t>
      </w:r>
      <w:r w:rsidR="00AC6995">
        <w:t>those with ‘economic and political power</w:t>
      </w:r>
      <w:r w:rsidR="0015145D">
        <w:t>,</w:t>
      </w:r>
      <w:r w:rsidR="00AC6995">
        <w:t>’</w:t>
      </w:r>
      <w:r w:rsidR="00AC6995">
        <w:rPr>
          <w:rStyle w:val="FootnoteReference"/>
        </w:rPr>
        <w:footnoteReference w:id="4"/>
      </w:r>
      <w:r w:rsidR="00AC6995">
        <w:t xml:space="preserve"> </w:t>
      </w:r>
      <w:r w:rsidR="00F84195">
        <w:t xml:space="preserve">are always looking to </w:t>
      </w:r>
      <w:r w:rsidR="00070B44">
        <w:t>appropriate</w:t>
      </w:r>
      <w:r w:rsidR="00F84195">
        <w:t xml:space="preserve"> space, and assert their narratives and identities through the landscape, </w:t>
      </w:r>
      <w:r w:rsidR="00A03B60">
        <w:t>something that can often lead</w:t>
      </w:r>
      <w:r w:rsidR="00F84195">
        <w:t xml:space="preserve"> to conflict between groups</w:t>
      </w:r>
      <w:r w:rsidR="008538E8">
        <w:t xml:space="preserve"> who have differing narratives</w:t>
      </w:r>
      <w:r>
        <w:t>.</w:t>
      </w:r>
      <w:r w:rsidR="00FE262E">
        <w:t xml:space="preserve"> </w:t>
      </w:r>
      <w:r w:rsidR="00767311">
        <w:t>A</w:t>
      </w:r>
      <w:r w:rsidR="00190695">
        <w:t xml:space="preserve">s an anthropologist and archaeologist, she presented this theory in </w:t>
      </w:r>
      <w:r w:rsidR="0084289E">
        <w:t>the chapter “Contested Landscapes: Medieval to Present,”</w:t>
      </w:r>
      <w:r>
        <w:t xml:space="preserve"> </w:t>
      </w:r>
      <w:r w:rsidR="00190695">
        <w:t xml:space="preserve">where she </w:t>
      </w:r>
      <w:r>
        <w:t>discuss</w:t>
      </w:r>
      <w:r w:rsidR="00190695">
        <w:t>ed</w:t>
      </w:r>
      <w:r w:rsidR="001210CE">
        <w:t xml:space="preserve"> evolving</w:t>
      </w:r>
      <w:r>
        <w:t xml:space="preserve"> interpretations of Stonehenge and how they have </w:t>
      </w:r>
      <w:r w:rsidR="001210CE">
        <w:t>changed</w:t>
      </w:r>
      <w:r>
        <w:t xml:space="preserve"> over time in light of different </w:t>
      </w:r>
      <w:r w:rsidR="00F84195">
        <w:t xml:space="preserve">stakeholder groups </w:t>
      </w:r>
      <w:r w:rsidR="00070B44">
        <w:t>appropriating</w:t>
      </w:r>
      <w:r w:rsidR="00F84195">
        <w:t xml:space="preserve"> the narrative and story of Stonehenge</w:t>
      </w:r>
      <w:r w:rsidR="00A03B60">
        <w:t xml:space="preserve">. </w:t>
      </w:r>
      <w:r w:rsidR="001D166E">
        <w:t>Her discussion focused on</w:t>
      </w:r>
      <w:r w:rsidR="00D147CA">
        <w:t xml:space="preserve"> the ways in which those with economic, political and cultural capital have </w:t>
      </w:r>
      <w:r w:rsidR="006E7105">
        <w:t>laid claim to</w:t>
      </w:r>
      <w:r w:rsidR="00D147CA">
        <w:t xml:space="preserve"> landscape over centuries,</w:t>
      </w:r>
      <w:r w:rsidR="001D166E">
        <w:t xml:space="preserve"> as well as, ‘</w:t>
      </w:r>
      <w:r w:rsidR="001D166E" w:rsidRPr="00FE262E">
        <w:t xml:space="preserve">how these </w:t>
      </w:r>
      <w:r w:rsidR="00070B44" w:rsidRPr="00FE262E">
        <w:t>a</w:t>
      </w:r>
      <w:r w:rsidR="00070B44">
        <w:t>p</w:t>
      </w:r>
      <w:r w:rsidR="00070B44" w:rsidRPr="00FE262E">
        <w:t>propriations</w:t>
      </w:r>
      <w:r w:rsidR="001D166E" w:rsidRPr="00FE262E">
        <w:t xml:space="preserve"> have been contested by those engaging with the land in quite different ways</w:t>
      </w:r>
      <w:r w:rsidR="0015145D">
        <w:t>.</w:t>
      </w:r>
      <w:r w:rsidR="001D166E">
        <w:t>’</w:t>
      </w:r>
      <w:r w:rsidR="001D166E">
        <w:rPr>
          <w:rStyle w:val="FootnoteReference"/>
        </w:rPr>
        <w:footnoteReference w:id="5"/>
      </w:r>
      <w:r w:rsidR="001D166E">
        <w:t xml:space="preserve"> </w:t>
      </w:r>
      <w:r w:rsidR="00A03B60">
        <w:t xml:space="preserve">Bender </w:t>
      </w:r>
      <w:r w:rsidR="001210CE">
        <w:t>shows this through examples from the medieval period through to the seventeenth century</w:t>
      </w:r>
      <w:r w:rsidR="00A03B60">
        <w:t xml:space="preserve">, </w:t>
      </w:r>
      <w:r w:rsidR="001210CE">
        <w:t xml:space="preserve">and brought it into contemporary context by discussing the </w:t>
      </w:r>
      <w:r w:rsidR="00F84195">
        <w:t>differing</w:t>
      </w:r>
      <w:r>
        <w:t xml:space="preserve"> and conflicting </w:t>
      </w:r>
      <w:r w:rsidR="00F84195">
        <w:t>perspectives</w:t>
      </w:r>
      <w:r>
        <w:t xml:space="preserve"> which were live at the time of writing the book, between </w:t>
      </w:r>
      <w:r w:rsidR="001210CE">
        <w:t>the government, tourists</w:t>
      </w:r>
      <w:r>
        <w:t xml:space="preserve">, archaeologists, </w:t>
      </w:r>
      <w:r w:rsidR="001210CE">
        <w:t xml:space="preserve">druids, new age travellers </w:t>
      </w:r>
      <w:r>
        <w:t xml:space="preserve">and more. </w:t>
      </w:r>
      <w:r w:rsidR="00D41EDF">
        <w:t xml:space="preserve">This discussion is set within a book that is broadly challenging </w:t>
      </w:r>
      <w:r w:rsidR="00371D6F">
        <w:t>traditional descriptions of landscape and land-use</w:t>
      </w:r>
      <w:r w:rsidR="0015145D">
        <w:t>,</w:t>
      </w:r>
      <w:r w:rsidR="00371D6F">
        <w:rPr>
          <w:rStyle w:val="FootnoteReference"/>
        </w:rPr>
        <w:footnoteReference w:id="6"/>
      </w:r>
      <w:r w:rsidR="00371D6F">
        <w:t xml:space="preserve"> and advocating for more </w:t>
      </w:r>
      <w:r w:rsidR="00505000">
        <w:t xml:space="preserve">phenomenological discussion of our experience of landscape, noting in particular that these </w:t>
      </w:r>
      <w:r w:rsidR="00505000">
        <w:lastRenderedPageBreak/>
        <w:t>experiences may often conflict with one another</w:t>
      </w:r>
      <w:r w:rsidR="0015145D">
        <w:t>.</w:t>
      </w:r>
      <w:r w:rsidR="00505000">
        <w:rPr>
          <w:rStyle w:val="FootnoteReference"/>
        </w:rPr>
        <w:footnoteReference w:id="7"/>
      </w:r>
      <w:r w:rsidR="00505000">
        <w:t xml:space="preserve"> </w:t>
      </w:r>
      <w:r w:rsidR="008538E8">
        <w:t>Bender</w:t>
      </w:r>
      <w:r w:rsidR="00FA1B92">
        <w:t xml:space="preserve"> discusses landscape through a</w:t>
      </w:r>
      <w:r w:rsidR="008538E8">
        <w:t xml:space="preserve"> </w:t>
      </w:r>
      <w:r w:rsidR="00FA1B92">
        <w:t>Marxist lens, explaining how social, economic and politic</w:t>
      </w:r>
      <w:r w:rsidR="00985DF6">
        <w:t>al</w:t>
      </w:r>
      <w:r w:rsidR="00FA1B92">
        <w:t xml:space="preserve"> imbalances, in</w:t>
      </w:r>
      <w:r w:rsidR="00BB29E2">
        <w:t>herent in</w:t>
      </w:r>
      <w:r w:rsidR="00FA1B92">
        <w:t xml:space="preserve"> capitalist societies, shape narratives around ownership and claims to land</w:t>
      </w:r>
      <w:r w:rsidR="0015145D">
        <w:t>.</w:t>
      </w:r>
      <w:r w:rsidR="001575E0">
        <w:rPr>
          <w:rStyle w:val="FootnoteReference"/>
        </w:rPr>
        <w:footnoteReference w:id="8"/>
      </w:r>
      <w:r w:rsidR="00FA1B92">
        <w:t xml:space="preserve"> </w:t>
      </w:r>
      <w:r w:rsidR="00943F8F">
        <w:t xml:space="preserve">This discussion did not stand alone, but was part of a </w:t>
      </w:r>
      <w:r w:rsidR="00F61AA8">
        <w:t>developing</w:t>
      </w:r>
      <w:r w:rsidR="00943F8F">
        <w:t xml:space="preserve"> </w:t>
      </w:r>
      <w:r w:rsidR="004B1D3C">
        <w:t xml:space="preserve">post-processual </w:t>
      </w:r>
      <w:r w:rsidR="00BB29E2">
        <w:t>movement</w:t>
      </w:r>
      <w:r w:rsidR="004B1D3C">
        <w:t xml:space="preserve"> of landscape archaeology that had been </w:t>
      </w:r>
      <w:r w:rsidR="004B1D3C" w:rsidRPr="00F61AA8">
        <w:t>growing</w:t>
      </w:r>
      <w:r w:rsidR="004B1D3C">
        <w:t xml:space="preserve"> over the </w:t>
      </w:r>
      <w:r w:rsidR="00BB29E2">
        <w:t>preceding</w:t>
      </w:r>
      <w:r w:rsidR="004B1D3C">
        <w:t xml:space="preserve"> decades</w:t>
      </w:r>
      <w:r w:rsidR="0015145D">
        <w:t>,</w:t>
      </w:r>
      <w:r w:rsidR="001575E0">
        <w:rPr>
          <w:rStyle w:val="FootnoteReference"/>
        </w:rPr>
        <w:footnoteReference w:id="9"/>
      </w:r>
      <w:r w:rsidR="0015145D">
        <w:t xml:space="preserve"> </w:t>
      </w:r>
      <w:r w:rsidR="004B1D3C">
        <w:t>and from which also grew the phenomenological perspectives of Christopher Tilley.</w:t>
      </w:r>
    </w:p>
    <w:p w14:paraId="550A14B6" w14:textId="549E37C1" w:rsidR="00655199" w:rsidRDefault="00655199" w:rsidP="00655199">
      <w:pPr>
        <w:pStyle w:val="Subtitle"/>
        <w:numPr>
          <w:ilvl w:val="0"/>
          <w:numId w:val="0"/>
        </w:numPr>
      </w:pPr>
      <w:r>
        <w:t xml:space="preserve">Tilley’s Phenemonological Perspective </w:t>
      </w:r>
    </w:p>
    <w:p w14:paraId="2857EC59" w14:textId="536490EB" w:rsidR="0035042F" w:rsidRDefault="00726C9D" w:rsidP="005B724A">
      <w:pPr>
        <w:ind w:firstLine="567"/>
      </w:pPr>
      <w:r w:rsidRPr="00985DF6">
        <w:t>While</w:t>
      </w:r>
      <w:r>
        <w:t xml:space="preserve"> th</w:t>
      </w:r>
      <w:r w:rsidR="00985DF6">
        <w:t>e post-processual</w:t>
      </w:r>
      <w:r>
        <w:t xml:space="preserve"> shift had been </w:t>
      </w:r>
      <w:r w:rsidR="00F61AA8">
        <w:t>happening fo</w:t>
      </w:r>
      <w:r>
        <w:t xml:space="preserve">r </w:t>
      </w:r>
      <w:r w:rsidR="001D166E">
        <w:t>some time</w:t>
      </w:r>
      <w:r>
        <w:t>, archaeologist Christopher Tilley is widely credited for his contributions to the movement</w:t>
      </w:r>
      <w:r w:rsidR="00886D5C">
        <w:t xml:space="preserve">, namely in </w:t>
      </w:r>
      <w:r>
        <w:t>compiling the first volume on the subject</w:t>
      </w:r>
      <w:r w:rsidR="00C863DC">
        <w:rPr>
          <w:rStyle w:val="FootnoteReference"/>
        </w:rPr>
        <w:footnoteReference w:id="10"/>
      </w:r>
      <w:r>
        <w:t xml:space="preserve"> in </w:t>
      </w:r>
      <w:r w:rsidRPr="00151695">
        <w:rPr>
          <w:i/>
          <w:iCs/>
        </w:rPr>
        <w:t>A Phenomenology of Landscape</w:t>
      </w:r>
      <w:r>
        <w:t>, where he sets out this perspective in his opening chapter, “Space, Place, Landscape and Perception: Phenomenological Perspectives</w:t>
      </w:r>
      <w:r w:rsidR="0015145D">
        <w:t>.</w:t>
      </w:r>
      <w:r>
        <w:t>”</w:t>
      </w:r>
      <w:r>
        <w:rPr>
          <w:rStyle w:val="FootnoteReference"/>
        </w:rPr>
        <w:footnoteReference w:id="11"/>
      </w:r>
      <w:r w:rsidR="00AD3876">
        <w:t xml:space="preserve"> </w:t>
      </w:r>
      <w:r w:rsidR="00DB709D">
        <w:t xml:space="preserve">In this chapter, Tilley </w:t>
      </w:r>
      <w:r w:rsidR="00190695">
        <w:t>states, ‘</w:t>
      </w:r>
      <w:r w:rsidR="00190695" w:rsidRPr="00190695">
        <w:t>A landscape has ontological import because it is lived in and through, mediated, worked on and altered, replete with cultural meaning and symbolism - and not just something looked at or thought about</w:t>
      </w:r>
      <w:r w:rsidR="0015145D">
        <w:t>.</w:t>
      </w:r>
      <w:r w:rsidR="00190695">
        <w:t>’</w:t>
      </w:r>
      <w:r w:rsidR="00190695">
        <w:rPr>
          <w:rStyle w:val="FootnoteReference"/>
        </w:rPr>
        <w:footnoteReference w:id="12"/>
      </w:r>
      <w:r w:rsidR="00190695">
        <w:t xml:space="preserve"> This </w:t>
      </w:r>
      <w:r w:rsidR="00DB709D">
        <w:t>challenge</w:t>
      </w:r>
      <w:r w:rsidR="00190695">
        <w:t>d</w:t>
      </w:r>
      <w:r w:rsidR="00DB709D">
        <w:t xml:space="preserve"> traditional theories and perceptions of space and place </w:t>
      </w:r>
      <w:r w:rsidR="00607F32">
        <w:t xml:space="preserve">that </w:t>
      </w:r>
      <w:r w:rsidR="001D166E">
        <w:t>viewed landscape as</w:t>
      </w:r>
      <w:r w:rsidR="00607F32">
        <w:t xml:space="preserve"> objective,</w:t>
      </w:r>
      <w:r w:rsidR="00DB709D">
        <w:t xml:space="preserve"> neutral and </w:t>
      </w:r>
      <w:r w:rsidR="00607F32">
        <w:t xml:space="preserve">merely </w:t>
      </w:r>
      <w:r w:rsidR="00DB709D">
        <w:t>containers for activity</w:t>
      </w:r>
      <w:r w:rsidR="0084289E">
        <w:t>,</w:t>
      </w:r>
      <w:r w:rsidR="00DB709D">
        <w:t xml:space="preserve"> and discusse</w:t>
      </w:r>
      <w:r w:rsidR="00985DF6">
        <w:t>d</w:t>
      </w:r>
      <w:r w:rsidR="00DB709D">
        <w:t xml:space="preserve"> how human actions, histories, politics and perspectives fill any space with personal and collective meaning and significance</w:t>
      </w:r>
      <w:r w:rsidR="0015145D">
        <w:t>.</w:t>
      </w:r>
      <w:r w:rsidR="00886D5C">
        <w:rPr>
          <w:rStyle w:val="FootnoteReference"/>
        </w:rPr>
        <w:footnoteReference w:id="13"/>
      </w:r>
      <w:r w:rsidR="00886D5C">
        <w:t xml:space="preserve"> </w:t>
      </w:r>
      <w:r w:rsidR="00D7655D">
        <w:t xml:space="preserve">Tilley </w:t>
      </w:r>
      <w:r w:rsidR="00EA131D">
        <w:t>draws</w:t>
      </w:r>
      <w:r w:rsidR="00D7655D">
        <w:t xml:space="preserve"> on phenomenological </w:t>
      </w:r>
      <w:r w:rsidR="00886D5C">
        <w:t>philosophies</w:t>
      </w:r>
      <w:r w:rsidR="00D7655D">
        <w:t xml:space="preserve"> of </w:t>
      </w:r>
      <w:r w:rsidR="001D166E">
        <w:t>Merleau-Ponty</w:t>
      </w:r>
      <w:r w:rsidR="00886D5C">
        <w:t xml:space="preserve"> and </w:t>
      </w:r>
      <w:r w:rsidR="007A274D">
        <w:t>Heidegger</w:t>
      </w:r>
      <w:r w:rsidR="0015145D">
        <w:t>,</w:t>
      </w:r>
      <w:r w:rsidR="007A274D">
        <w:rPr>
          <w:rStyle w:val="FootnoteReference"/>
        </w:rPr>
        <w:footnoteReference w:id="14"/>
      </w:r>
      <w:r w:rsidR="00886D5C">
        <w:t xml:space="preserve"> to describe </w:t>
      </w:r>
      <w:r w:rsidR="00151695">
        <w:t>the active role of our bodies moving through space in shaping the experience of space</w:t>
      </w:r>
      <w:r w:rsidR="0015145D">
        <w:t>.</w:t>
      </w:r>
      <w:r w:rsidR="00151695">
        <w:rPr>
          <w:rStyle w:val="FootnoteReference"/>
        </w:rPr>
        <w:footnoteReference w:id="15"/>
      </w:r>
      <w:r w:rsidR="00EA131D">
        <w:t xml:space="preserve"> He incorporates</w:t>
      </w:r>
      <w:r w:rsidR="00435732">
        <w:t xml:space="preserve"> concepts such as </w:t>
      </w:r>
      <w:r w:rsidR="00151695">
        <w:t xml:space="preserve">Heidegger’s </w:t>
      </w:r>
      <w:r w:rsidR="00435732">
        <w:t>“</w:t>
      </w:r>
      <w:r w:rsidR="00151695">
        <w:t>dwelling</w:t>
      </w:r>
      <w:r w:rsidR="00435732">
        <w:t xml:space="preserve">”, </w:t>
      </w:r>
      <w:r w:rsidR="00EA131D">
        <w:t>a sense of deep, existential connectedness to place</w:t>
      </w:r>
      <w:r w:rsidR="00151695">
        <w:t>,</w:t>
      </w:r>
      <w:r w:rsidR="00435732">
        <w:t xml:space="preserve"> and Merleau-Ponty’s “embodiment” to explain the way in which our physical presence and sensory experiences shape our interactions with and understanding of places. </w:t>
      </w:r>
      <w:r w:rsidR="0035042F">
        <w:t>Tilley also describes the power of place, explaining,</w:t>
      </w:r>
    </w:p>
    <w:p w14:paraId="1ACAA286" w14:textId="4F306DA3" w:rsidR="0035042F" w:rsidRPr="00B151CD" w:rsidRDefault="0035042F" w:rsidP="0035042F">
      <w:pPr>
        <w:ind w:left="567"/>
        <w:rPr>
          <w:sz w:val="20"/>
          <w:szCs w:val="20"/>
        </w:rPr>
      </w:pPr>
      <w:r w:rsidRPr="00B151CD">
        <w:rPr>
          <w:sz w:val="20"/>
          <w:szCs w:val="20"/>
        </w:rPr>
        <w:t xml:space="preserve"> The spirit of a place may be held to reside in a landscape. Familiarity with the land, being able to read and decode its signs allows individuals to know ‘how to go on’ at a practical level of consciousness […] The place acts dialectically so as to create the people who are of that place.</w:t>
      </w:r>
      <w:r w:rsidRPr="00B151CD">
        <w:rPr>
          <w:rStyle w:val="FootnoteReference"/>
          <w:sz w:val="20"/>
          <w:szCs w:val="20"/>
        </w:rPr>
        <w:footnoteReference w:id="16"/>
      </w:r>
      <w:r w:rsidRPr="00B151CD">
        <w:rPr>
          <w:sz w:val="20"/>
          <w:szCs w:val="20"/>
        </w:rPr>
        <w:t xml:space="preserve"> </w:t>
      </w:r>
    </w:p>
    <w:p w14:paraId="6E1CBB14" w14:textId="111769F5" w:rsidR="006A1D4C" w:rsidRDefault="0035042F" w:rsidP="00766AC1">
      <w:r>
        <w:t>In this, Tilley presents landscapes as dialectical,</w:t>
      </w:r>
      <w:r w:rsidR="00334BF3">
        <w:t xml:space="preserve"> rather than inert or neutral, and</w:t>
      </w:r>
      <w:r w:rsidR="006068C1">
        <w:t xml:space="preserve"> </w:t>
      </w:r>
      <w:r>
        <w:t xml:space="preserve">shaped </w:t>
      </w:r>
      <w:r w:rsidR="00334BF3">
        <w:t xml:space="preserve">through </w:t>
      </w:r>
      <w:r>
        <w:t xml:space="preserve">interaction between natural features </w:t>
      </w:r>
      <w:r w:rsidRPr="00065AFA">
        <w:t xml:space="preserve">and the people who </w:t>
      </w:r>
      <w:r w:rsidR="00334BF3" w:rsidRPr="00065AFA">
        <w:t>inhabit</w:t>
      </w:r>
      <w:r w:rsidRPr="00065AFA">
        <w:t xml:space="preserve"> them and, in turn, </w:t>
      </w:r>
      <w:r w:rsidR="00766AC1" w:rsidRPr="00065AFA">
        <w:t>shape</w:t>
      </w:r>
      <w:r w:rsidRPr="00065AFA">
        <w:t xml:space="preserve"> the people who live there, resulting in, ‘a feeling of belonging and rootedness and a familiarity, which is not born just out of knowledge, but of concern that provides ontological security.’</w:t>
      </w:r>
      <w:r w:rsidRPr="00065AFA">
        <w:rPr>
          <w:rStyle w:val="FootnoteReference"/>
        </w:rPr>
        <w:footnoteReference w:id="17"/>
      </w:r>
      <w:r w:rsidR="00065AFA" w:rsidRPr="00065AFA">
        <w:t xml:space="preserve"> </w:t>
      </w:r>
      <w:r w:rsidR="00766AC1" w:rsidRPr="00065AFA">
        <w:t>Tilley</w:t>
      </w:r>
      <w:r w:rsidR="00766AC1">
        <w:t xml:space="preserve"> moves on from this introduction to </w:t>
      </w:r>
      <w:r w:rsidR="004C4DF2">
        <w:t>examine various</w:t>
      </w:r>
      <w:r w:rsidR="00766AC1">
        <w:t xml:space="preserve"> examples from </w:t>
      </w:r>
      <w:r w:rsidR="00767311">
        <w:t>England and Wales</w:t>
      </w:r>
      <w:r w:rsidR="004C4DF2">
        <w:t>,</w:t>
      </w:r>
      <w:r w:rsidR="00766AC1">
        <w:t xml:space="preserve"> where considering the phenomenological experience of people </w:t>
      </w:r>
      <w:r w:rsidR="004C4DF2">
        <w:t>“Being-in-the-world”</w:t>
      </w:r>
      <w:r w:rsidR="00766AC1">
        <w:t xml:space="preserve"> and moving through a landscape sheds new light and understanding on the sites and monuments themselves, </w:t>
      </w:r>
      <w:r w:rsidR="00070B44">
        <w:t>supporting</w:t>
      </w:r>
      <w:r w:rsidR="00766AC1">
        <w:t xml:space="preserve"> his </w:t>
      </w:r>
      <w:r w:rsidR="008F3034">
        <w:t xml:space="preserve">overarching </w:t>
      </w:r>
      <w:r w:rsidR="00766AC1">
        <w:t>thesis that ‘</w:t>
      </w:r>
      <w:r w:rsidR="009D70A4">
        <w:t>Landscapes are experienced</w:t>
      </w:r>
      <w:r w:rsidR="00766AC1">
        <w:t>.’</w:t>
      </w:r>
      <w:r w:rsidR="00766AC1">
        <w:rPr>
          <w:rStyle w:val="FootnoteReference"/>
        </w:rPr>
        <w:footnoteReference w:id="18"/>
      </w:r>
    </w:p>
    <w:p w14:paraId="054C6D2D" w14:textId="73C1A2EF" w:rsidR="00921702" w:rsidRDefault="00921702" w:rsidP="00921702">
      <w:pPr>
        <w:pStyle w:val="Subtitle"/>
      </w:pPr>
      <w:r>
        <w:lastRenderedPageBreak/>
        <w:t>Analys</w:t>
      </w:r>
      <w:r w:rsidR="00BB74E5">
        <w:t>is</w:t>
      </w:r>
    </w:p>
    <w:p w14:paraId="3808463D" w14:textId="1912D774" w:rsidR="00C770C4" w:rsidRDefault="00551BDE" w:rsidP="005B724A">
      <w:pPr>
        <w:ind w:firstLine="720"/>
      </w:pPr>
      <w:r>
        <w:t>The</w:t>
      </w:r>
      <w:r w:rsidR="00BB74E5">
        <w:t xml:space="preserve"> first thing to point out is that both </w:t>
      </w:r>
      <w:r w:rsidR="00AC6B31">
        <w:t>theories</w:t>
      </w:r>
      <w:r w:rsidR="00BB74E5">
        <w:t xml:space="preserve"> consider the</w:t>
      </w:r>
      <w:r>
        <w:t xml:space="preserve"> </w:t>
      </w:r>
      <w:r w:rsidR="00D86C8E">
        <w:t>n</w:t>
      </w:r>
      <w:r>
        <w:t xml:space="preserve">ature of </w:t>
      </w:r>
      <w:r w:rsidR="00D86C8E">
        <w:t>l</w:t>
      </w:r>
      <w:r>
        <w:t>andscapes</w:t>
      </w:r>
      <w:r w:rsidR="00BB74E5">
        <w:t xml:space="preserve"> in</w:t>
      </w:r>
      <w:r>
        <w:t xml:space="preserve"> post-</w:t>
      </w:r>
      <w:r w:rsidRPr="00767311">
        <w:t xml:space="preserve">processual, </w:t>
      </w:r>
      <w:r w:rsidR="00BB74E5" w:rsidRPr="00767311">
        <w:t xml:space="preserve">and </w:t>
      </w:r>
      <w:r w:rsidR="00B46D04" w:rsidRPr="00767311">
        <w:t>postmodern</w:t>
      </w:r>
      <w:r w:rsidR="00BB74E5" w:rsidRPr="00767311">
        <w:t xml:space="preserve"> terms, and challenge the previous notions of new geography and </w:t>
      </w:r>
      <w:r w:rsidR="00636DF3" w:rsidRPr="00767311">
        <w:t xml:space="preserve">the </w:t>
      </w:r>
      <w:r w:rsidR="00BB74E5" w:rsidRPr="00767311">
        <w:t>positivist understanding of landscape</w:t>
      </w:r>
      <w:r w:rsidR="0015145D">
        <w:t>.</w:t>
      </w:r>
      <w:r w:rsidR="00B151CD" w:rsidRPr="00767311">
        <w:rPr>
          <w:rStyle w:val="FootnoteReference"/>
        </w:rPr>
        <w:footnoteReference w:id="19"/>
      </w:r>
      <w:r w:rsidR="00422086" w:rsidRPr="00767311">
        <w:t xml:space="preserve"> Tilley explains that, according to the</w:t>
      </w:r>
      <w:r w:rsidR="00B151CD" w:rsidRPr="00767311">
        <w:t xml:space="preserve"> dominant</w:t>
      </w:r>
      <w:r w:rsidR="00422086" w:rsidRPr="00767311">
        <w:t xml:space="preserve"> </w:t>
      </w:r>
      <w:r w:rsidR="00070B44" w:rsidRPr="00767311">
        <w:t>a</w:t>
      </w:r>
      <w:r w:rsidR="00070B44">
        <w:t>p</w:t>
      </w:r>
      <w:r w:rsidR="00070B44" w:rsidRPr="00767311">
        <w:t>proaches</w:t>
      </w:r>
      <w:r w:rsidR="00422086" w:rsidRPr="00767311">
        <w:t>,</w:t>
      </w:r>
      <w:r w:rsidR="00767311" w:rsidRPr="00767311">
        <w:t xml:space="preserve"> </w:t>
      </w:r>
      <w:r w:rsidR="00422086" w:rsidRPr="00767311">
        <w:t>‘Space was quite literally a nothingness, a simple surface for action, lacking depth</w:t>
      </w:r>
      <w:r w:rsidR="0015145D">
        <w:t>,</w:t>
      </w:r>
      <w:r w:rsidR="00422086" w:rsidRPr="00767311">
        <w:t>’</w:t>
      </w:r>
      <w:r w:rsidR="00422086" w:rsidRPr="00767311">
        <w:rPr>
          <w:rStyle w:val="FootnoteReference"/>
        </w:rPr>
        <w:footnoteReference w:id="20"/>
      </w:r>
      <w:r w:rsidR="00422086" w:rsidRPr="00767311">
        <w:t xml:space="preserve"> </w:t>
      </w:r>
      <w:r w:rsidR="00B46D04" w:rsidRPr="00767311">
        <w:t>but</w:t>
      </w:r>
      <w:r w:rsidR="00982B54" w:rsidRPr="00767311">
        <w:t xml:space="preserve"> his work sought to instead show </w:t>
      </w:r>
      <w:r w:rsidR="00B46D04" w:rsidRPr="00767311">
        <w:t>‘space as a medium rather than a container for action, something that is involved in action and cannot be divorced from it</w:t>
      </w:r>
      <w:r w:rsidR="0015145D">
        <w:t>.</w:t>
      </w:r>
      <w:r w:rsidR="00B46D04" w:rsidRPr="00767311">
        <w:t>’</w:t>
      </w:r>
      <w:r w:rsidR="00B46D04" w:rsidRPr="00767311">
        <w:rPr>
          <w:rStyle w:val="FootnoteReference"/>
        </w:rPr>
        <w:footnoteReference w:id="21"/>
      </w:r>
      <w:r w:rsidR="00BB74E5" w:rsidRPr="00EE53C7">
        <w:rPr>
          <w:sz w:val="20"/>
          <w:szCs w:val="20"/>
        </w:rPr>
        <w:t xml:space="preserve"> </w:t>
      </w:r>
      <w:r w:rsidR="007D2A6B">
        <w:t xml:space="preserve">Bender </w:t>
      </w:r>
      <w:r w:rsidR="00AC6B31">
        <w:t>makes similar arguments,</w:t>
      </w:r>
      <w:r w:rsidR="007D2A6B">
        <w:t xml:space="preserve"> </w:t>
      </w:r>
      <w:r w:rsidR="00D86C8E">
        <w:t xml:space="preserve">with specific emphasis on </w:t>
      </w:r>
      <w:r w:rsidR="007D2A6B">
        <w:t>landscapes</w:t>
      </w:r>
      <w:r w:rsidR="00AC6B31">
        <w:t>’</w:t>
      </w:r>
      <w:r w:rsidR="00BB74E5">
        <w:t xml:space="preserve"> political significance</w:t>
      </w:r>
      <w:r w:rsidR="007D2A6B">
        <w:t>, where conflicting</w:t>
      </w:r>
      <w:r w:rsidR="00EB1B7C">
        <w:t xml:space="preserve"> </w:t>
      </w:r>
      <w:r w:rsidR="007D2A6B">
        <w:t>narratives connected with this</w:t>
      </w:r>
      <w:r w:rsidR="00EB1B7C">
        <w:t xml:space="preserve"> landscape </w:t>
      </w:r>
      <w:r w:rsidR="007D2A6B">
        <w:t>are</w:t>
      </w:r>
      <w:r w:rsidR="00EB1B7C">
        <w:t xml:space="preserve"> influenced by</w:t>
      </w:r>
      <w:r w:rsidR="00D86C8E">
        <w:t xml:space="preserve"> power and class</w:t>
      </w:r>
      <w:r w:rsidR="008C6DAE">
        <w:t>. This is evident in</w:t>
      </w:r>
      <w:r w:rsidR="007D2A6B">
        <w:t xml:space="preserve"> her conclusion where she explains that landscape is ‘something political, dynamic and contested</w:t>
      </w:r>
      <w:r w:rsidR="0015145D">
        <w:t>.</w:t>
      </w:r>
      <w:r w:rsidR="007D2A6B">
        <w:t>’</w:t>
      </w:r>
      <w:r w:rsidR="007D2A6B">
        <w:rPr>
          <w:rStyle w:val="FootnoteReference"/>
        </w:rPr>
        <w:footnoteReference w:id="22"/>
      </w:r>
      <w:r w:rsidR="00BB74E5">
        <w:t xml:space="preserve"> </w:t>
      </w:r>
      <w:r w:rsidR="00EB1B7C">
        <w:t xml:space="preserve"> </w:t>
      </w:r>
      <w:r>
        <w:t>Tilley</w:t>
      </w:r>
      <w:r w:rsidR="00AC6B31">
        <w:t xml:space="preserve"> </w:t>
      </w:r>
      <w:r w:rsidR="00636DF3">
        <w:t>echoes this sentiment</w:t>
      </w:r>
      <w:r w:rsidR="00BB74E5">
        <w:t xml:space="preserve"> about </w:t>
      </w:r>
      <w:r w:rsidR="00AC6B31">
        <w:t>its dynamic nature, but with less emphasis on political contestation, defining landscape as ‘</w:t>
      </w:r>
      <w:r w:rsidR="00AC6B31" w:rsidRPr="00AC6B31">
        <w:t>mutable, holistic in character, ever-changing, always in the process of being and becoming.</w:t>
      </w:r>
      <w:r w:rsidR="00AC6B31">
        <w:t xml:space="preserve">’ </w:t>
      </w:r>
      <w:r w:rsidR="002A35B1">
        <w:t xml:space="preserve">While there are subtle distinctions in their description of the nature of landscapes, </w:t>
      </w:r>
      <w:r w:rsidR="00F764C6">
        <w:t>when considered i</w:t>
      </w:r>
      <w:r w:rsidR="002A35B1">
        <w:t xml:space="preserve">n </w:t>
      </w:r>
      <w:r>
        <w:t>the wider context</w:t>
      </w:r>
      <w:r w:rsidR="002A35B1">
        <w:t xml:space="preserve"> of the time in which they published</w:t>
      </w:r>
      <w:r w:rsidR="00F764C6">
        <w:t xml:space="preserve"> and against the backdrop of the more dominant processual archaeology and new geography</w:t>
      </w:r>
      <w:r w:rsidR="002A35B1">
        <w:t xml:space="preserve">, </w:t>
      </w:r>
      <w:r w:rsidR="002A35B1" w:rsidRPr="006068C1">
        <w:t>th</w:t>
      </w:r>
      <w:r w:rsidR="006068C1" w:rsidRPr="006068C1">
        <w:t>ese approaches</w:t>
      </w:r>
      <w:r w:rsidR="002A35B1">
        <w:t xml:space="preserve"> marked a major shift </w:t>
      </w:r>
      <w:r w:rsidR="00F764C6">
        <w:t>in</w:t>
      </w:r>
      <w:r w:rsidR="002A35B1">
        <w:t xml:space="preserve"> ideas</w:t>
      </w:r>
      <w:r w:rsidR="00F764C6">
        <w:t xml:space="preserve"> in a, broadly speaking, complementary way.</w:t>
      </w:r>
    </w:p>
    <w:p w14:paraId="1DBF3CB0" w14:textId="2916B5E0" w:rsidR="0012104D" w:rsidRDefault="00EE53C7" w:rsidP="005B724A">
      <w:pPr>
        <w:ind w:firstLine="720"/>
      </w:pPr>
      <w:r w:rsidRPr="00EE53C7">
        <w:t xml:space="preserve">Although both perspectives </w:t>
      </w:r>
      <w:r w:rsidR="00070B44" w:rsidRPr="00EE53C7">
        <w:t>a</w:t>
      </w:r>
      <w:r w:rsidR="00070B44">
        <w:t>p</w:t>
      </w:r>
      <w:r w:rsidR="00070B44" w:rsidRPr="00EE53C7">
        <w:t>pear</w:t>
      </w:r>
      <w:r w:rsidRPr="00EE53C7">
        <w:t xml:space="preserve"> to align in their differentiation from processual archaeology and new geography, the nuanced difference in emphasis distinguishes the two perspectives.</w:t>
      </w:r>
      <w:r>
        <w:t xml:space="preserve"> </w:t>
      </w:r>
      <w:r w:rsidRPr="00EE53C7">
        <w:t>Bender’s theory of contested landscapes primarily addresses politics, ownership, and control concerning land. In contrast, Tilley acknowledges these factors but situates them within a broader philosophical framework that emphasises our subjective, embodied experience of landscapes</w:t>
      </w:r>
      <w:r w:rsidR="005151A0">
        <w:rPr>
          <w:rStyle w:val="FootnoteReference"/>
        </w:rPr>
        <w:footnoteReference w:id="23"/>
      </w:r>
      <w:r w:rsidR="00D7655D">
        <w:t xml:space="preserve">. </w:t>
      </w:r>
      <w:r w:rsidRPr="00EE53C7">
        <w:t>Bender examines the contested landscape of Stonehenge primarily through the lens of British class structure, drawing on Marxist theory to highlight how class</w:t>
      </w:r>
      <w:r w:rsidR="00767311">
        <w:t xml:space="preserve"> conflict</w:t>
      </w:r>
      <w:r w:rsidRPr="00EE53C7">
        <w:t>, power, and economic inequality account for varying perceptions of the landscape. This focus has faced criticism for its heavy reliance on Marx and its 'class-bound vocabulary,'</w:t>
      </w:r>
      <w:r>
        <w:rPr>
          <w:rStyle w:val="FootnoteReference"/>
        </w:rPr>
        <w:footnoteReference w:id="24"/>
      </w:r>
      <w:r w:rsidRPr="00EE53C7">
        <w:t xml:space="preserve"> which</w:t>
      </w:r>
      <w:r w:rsidR="00736AFD">
        <w:t xml:space="preserve"> </w:t>
      </w:r>
      <w:r w:rsidR="00767311">
        <w:t>is</w:t>
      </w:r>
      <w:r w:rsidR="00736AFD">
        <w:t xml:space="preserve"> claimed</w:t>
      </w:r>
      <w:r w:rsidRPr="00EE53C7">
        <w:t xml:space="preserve"> </w:t>
      </w:r>
      <w:r w:rsidR="00767311">
        <w:t xml:space="preserve">to </w:t>
      </w:r>
      <w:r w:rsidRPr="00EE53C7">
        <w:t xml:space="preserve">hinder generalisation and </w:t>
      </w:r>
      <w:r w:rsidR="00070B44" w:rsidRPr="00EE53C7">
        <w:t>a</w:t>
      </w:r>
      <w:r w:rsidR="00070B44">
        <w:t>p</w:t>
      </w:r>
      <w:r w:rsidR="00070B44" w:rsidRPr="00EE53C7">
        <w:t>plication</w:t>
      </w:r>
      <w:r w:rsidRPr="00EE53C7">
        <w:t xml:space="preserve"> beyond British contexts. </w:t>
      </w:r>
      <w:r w:rsidR="00736AFD">
        <w:t xml:space="preserve">Despite numerous </w:t>
      </w:r>
      <w:r w:rsidR="00E612BE">
        <w:t>cross-cultural example</w:t>
      </w:r>
      <w:r>
        <w:t>s</w:t>
      </w:r>
      <w:r w:rsidR="00736AFD">
        <w:t xml:space="preserve">, </w:t>
      </w:r>
      <w:r w:rsidR="00E612BE">
        <w:t>research</w:t>
      </w:r>
      <w:r w:rsidR="00736AFD">
        <w:t xml:space="preserve">ing </w:t>
      </w:r>
      <w:r w:rsidR="00E612BE">
        <w:t>contested landscapes that do emphasise political</w:t>
      </w:r>
      <w:r w:rsidR="001F390E">
        <w:t>, colonial</w:t>
      </w:r>
      <w:r w:rsidR="00E612BE">
        <w:t xml:space="preserve"> and economic power imbalances</w:t>
      </w:r>
      <w:r w:rsidR="00D55AE2">
        <w:t xml:space="preserve"> - </w:t>
      </w:r>
      <w:r w:rsidR="00E612BE">
        <w:t>such as</w:t>
      </w:r>
      <w:r w:rsidR="001F390E">
        <w:t xml:space="preserve"> </w:t>
      </w:r>
      <w:r w:rsidR="001F390E" w:rsidRPr="001F390E">
        <w:t>in Far North Queensland</w:t>
      </w:r>
      <w:r w:rsidR="00E612BE">
        <w:t xml:space="preserve"> in</w:t>
      </w:r>
      <w:r w:rsidR="00736AFD">
        <w:t xml:space="preserve"> Veronica Strang’s</w:t>
      </w:r>
      <w:r w:rsidR="00E612BE">
        <w:t xml:space="preserve"> </w:t>
      </w:r>
      <w:r w:rsidR="00E612BE" w:rsidRPr="0012104D">
        <w:rPr>
          <w:i/>
          <w:iCs/>
        </w:rPr>
        <w:t>Uncommon Ground</w:t>
      </w:r>
      <w:r w:rsidR="0015145D" w:rsidRPr="0015145D">
        <w:t>,</w:t>
      </w:r>
      <w:r w:rsidR="00E612BE" w:rsidRPr="0015145D">
        <w:rPr>
          <w:rStyle w:val="FootnoteReference"/>
        </w:rPr>
        <w:footnoteReference w:id="25"/>
      </w:r>
      <w:r w:rsidR="00D7655D">
        <w:t xml:space="preserve"> </w:t>
      </w:r>
      <w:r w:rsidR="001F390E">
        <w:t>and other examples</w:t>
      </w:r>
      <w:r w:rsidR="00D55AE2">
        <w:t xml:space="preserve"> from the Caribbean, Inner Mongolia, South Africa, Tasmania, and more,</w:t>
      </w:r>
      <w:r w:rsidR="001F390E">
        <w:t xml:space="preserve"> </w:t>
      </w:r>
      <w:r w:rsidR="00736AFD">
        <w:t xml:space="preserve">outlined in Margot Winer and Barbara Bender’s </w:t>
      </w:r>
      <w:r w:rsidR="00736AFD">
        <w:rPr>
          <w:i/>
          <w:iCs/>
        </w:rPr>
        <w:t>Contested Landscapes: Movement, Exile and Place</w:t>
      </w:r>
      <w:r w:rsidR="00736AFD" w:rsidRPr="0015145D">
        <w:rPr>
          <w:rStyle w:val="FootnoteReference"/>
        </w:rPr>
        <w:footnoteReference w:id="26"/>
      </w:r>
      <w:r w:rsidR="00D55AE2">
        <w:t xml:space="preserve"> - </w:t>
      </w:r>
      <w:r w:rsidR="00D55AE2" w:rsidRPr="00D55AE2">
        <w:t>these criticisms</w:t>
      </w:r>
      <w:r w:rsidR="00767311">
        <w:t>, and the theor</w:t>
      </w:r>
      <w:r w:rsidR="002D7B8C">
        <w:t>y’</w:t>
      </w:r>
      <w:r w:rsidR="00767311">
        <w:t xml:space="preserve">s grounding in Marxist philosophy, </w:t>
      </w:r>
      <w:r w:rsidR="00D55AE2" w:rsidRPr="00D55AE2">
        <w:t>may present challenges for some in embracing it fully</w:t>
      </w:r>
      <w:r w:rsidR="0012104D">
        <w:t xml:space="preserve">. </w:t>
      </w:r>
    </w:p>
    <w:p w14:paraId="5074423E" w14:textId="68E4B79D" w:rsidR="00C770C4" w:rsidRDefault="00CB4526" w:rsidP="005B724A">
      <w:pPr>
        <w:ind w:firstLine="720"/>
      </w:pPr>
      <w:r>
        <w:t xml:space="preserve">When dealing with contested landscapes, </w:t>
      </w:r>
      <w:r w:rsidR="00C770C4">
        <w:t xml:space="preserve">Tilley </w:t>
      </w:r>
      <w:r w:rsidR="00EB1B7C">
        <w:t>on the other hand</w:t>
      </w:r>
      <w:r w:rsidR="0012104D">
        <w:t>,</w:t>
      </w:r>
      <w:r w:rsidR="00EB1B7C">
        <w:t xml:space="preserve"> speaks about political </w:t>
      </w:r>
      <w:r w:rsidR="0012104D">
        <w:t xml:space="preserve">and </w:t>
      </w:r>
      <w:r w:rsidR="00CB2A09">
        <w:t>economic</w:t>
      </w:r>
      <w:r w:rsidR="0012104D">
        <w:t xml:space="preserve"> views of landscape within the </w:t>
      </w:r>
      <w:r w:rsidR="00EB1B7C">
        <w:t>philosophical perspective of phenomenology</w:t>
      </w:r>
      <w:r w:rsidR="00D7655D">
        <w:t>,</w:t>
      </w:r>
      <w:r w:rsidR="0012104D">
        <w:t xml:space="preserve"> recognising that ‘</w:t>
      </w:r>
      <w:r w:rsidR="0012104D" w:rsidRPr="00422086">
        <w:t>Space is socially produced, and different</w:t>
      </w:r>
      <w:r w:rsidR="0012104D">
        <w:t xml:space="preserve"> </w:t>
      </w:r>
      <w:r w:rsidR="0012104D" w:rsidRPr="00422086">
        <w:t xml:space="preserve">societies, groups and individuals act out </w:t>
      </w:r>
      <w:r w:rsidR="0012104D" w:rsidRPr="00422086">
        <w:lastRenderedPageBreak/>
        <w:t>their lives in different</w:t>
      </w:r>
      <w:r w:rsidR="0012104D">
        <w:t xml:space="preserve"> </w:t>
      </w:r>
      <w:r w:rsidR="0012104D" w:rsidRPr="00422086">
        <w:t>space</w:t>
      </w:r>
      <w:r w:rsidR="0012104D">
        <w:t>s</w:t>
      </w:r>
      <w:r w:rsidR="0015145D">
        <w:t>.</w:t>
      </w:r>
      <w:r w:rsidR="0012104D">
        <w:t>’</w:t>
      </w:r>
      <w:r w:rsidR="0012104D">
        <w:rPr>
          <w:rStyle w:val="FootnoteReference"/>
        </w:rPr>
        <w:footnoteReference w:id="27"/>
      </w:r>
      <w:r w:rsidR="0012104D">
        <w:t xml:space="preserve"> Rather than couching it in Marxist vocabulary and theory, the focus is more on broader phenomenological themes of Merle</w:t>
      </w:r>
      <w:r w:rsidR="005C3F51">
        <w:t>a</w:t>
      </w:r>
      <w:r w:rsidR="0012104D">
        <w:t xml:space="preserve">u-Ponty and Heidegger, </w:t>
      </w:r>
      <w:r w:rsidR="005C3F51">
        <w:t>in that</w:t>
      </w:r>
      <w:r w:rsidR="0012104D">
        <w:t xml:space="preserve"> ‘</w:t>
      </w:r>
      <w:r w:rsidR="0012104D" w:rsidRPr="0008791D">
        <w:t>landscape seen from the ‘beholding eye’ means something radically different</w:t>
      </w:r>
      <w:r w:rsidR="0012104D">
        <w:t>’</w:t>
      </w:r>
      <w:r w:rsidR="0012104D">
        <w:rPr>
          <w:rStyle w:val="FootnoteReference"/>
        </w:rPr>
        <w:footnoteReference w:id="28"/>
      </w:r>
      <w:r w:rsidR="0012104D">
        <w:t xml:space="preserve"> from one person to another, rather than</w:t>
      </w:r>
      <w:r w:rsidR="00CB2A09">
        <w:t xml:space="preserve"> interpreting it in terms of</w:t>
      </w:r>
      <w:r w:rsidR="0012104D">
        <w:t xml:space="preserve"> political, economic and class imbalances.</w:t>
      </w:r>
      <w:r w:rsidR="005C3F51">
        <w:t xml:space="preserve"> </w:t>
      </w:r>
      <w:r w:rsidR="00CB2A09">
        <w:t>W</w:t>
      </w:r>
      <w:r w:rsidR="005C3F51">
        <w:t>hile Tilley</w:t>
      </w:r>
      <w:r w:rsidR="00EB1B7C">
        <w:t xml:space="preserve"> </w:t>
      </w:r>
      <w:r w:rsidR="00070B44">
        <w:t>supports</w:t>
      </w:r>
      <w:r w:rsidR="005C3F51">
        <w:t xml:space="preserve"> the </w:t>
      </w:r>
      <w:r w:rsidR="00A873AB">
        <w:t>neo-Marxist</w:t>
      </w:r>
      <w:r w:rsidR="00971FD1">
        <w:t xml:space="preserve"> </w:t>
      </w:r>
      <w:r w:rsidR="005C3F51">
        <w:t>contested nature of landscape in his wider perspective,</w:t>
      </w:r>
      <w:r w:rsidR="00CB2A09">
        <w:t xml:space="preserve"> acknowledging that in capitalism, places are often </w:t>
      </w:r>
      <w:r w:rsidR="00CB2A09" w:rsidRPr="00A873AB">
        <w:t>desanctified</w:t>
      </w:r>
      <w:r w:rsidR="00CB2A09">
        <w:rPr>
          <w:rStyle w:val="FootnoteReference"/>
        </w:rPr>
        <w:footnoteReference w:id="29"/>
      </w:r>
      <w:r w:rsidR="00CB2A09">
        <w:t xml:space="preserve"> and of diminished value except for their economic utility, his </w:t>
      </w:r>
      <w:r w:rsidR="00070B44">
        <w:t>approach</w:t>
      </w:r>
      <w:r w:rsidR="00862794">
        <w:t xml:space="preserve"> focuses on subjective experience rather than material differences of power, and so</w:t>
      </w:r>
      <w:r w:rsidR="005C3F51">
        <w:t xml:space="preserve"> </w:t>
      </w:r>
      <w:r w:rsidR="00EB1B7C">
        <w:t xml:space="preserve">avoids much of the criticism that Bender’s theory received due to its class and Marxist emphasis. </w:t>
      </w:r>
    </w:p>
    <w:p w14:paraId="3070DDCC" w14:textId="1C1AFDDE" w:rsidR="002755E6" w:rsidRPr="002755E6" w:rsidRDefault="007F6FE7" w:rsidP="00065AFA">
      <w:pPr>
        <w:ind w:firstLine="720"/>
      </w:pPr>
      <w:r>
        <w:t xml:space="preserve">Tilley’s </w:t>
      </w:r>
      <w:r w:rsidR="00070B44">
        <w:t>approach</w:t>
      </w:r>
      <w:r>
        <w:t xml:space="preserve"> not only situates Bender’s </w:t>
      </w:r>
      <w:r w:rsidR="00F71F6E">
        <w:t xml:space="preserve">contested landscapes within a </w:t>
      </w:r>
      <w:r w:rsidR="00BA0D3F">
        <w:t>wider</w:t>
      </w:r>
      <w:r w:rsidR="00F71F6E">
        <w:t xml:space="preserve"> philosophical </w:t>
      </w:r>
      <w:r>
        <w:t>framework</w:t>
      </w:r>
      <w:r w:rsidR="00F71F6E">
        <w:t xml:space="preserve">, </w:t>
      </w:r>
      <w:r>
        <w:t xml:space="preserve">but </w:t>
      </w:r>
      <w:r w:rsidR="00F71F6E">
        <w:t xml:space="preserve">also opens the subject up to possible </w:t>
      </w:r>
      <w:r w:rsidR="00C770C4">
        <w:t>methodolog</w:t>
      </w:r>
      <w:r w:rsidR="00F71F6E">
        <w:t xml:space="preserve">ies </w:t>
      </w:r>
      <w:r>
        <w:t>for studying</w:t>
      </w:r>
      <w:r w:rsidR="00F71F6E">
        <w:t xml:space="preserve"> landscape</w:t>
      </w:r>
      <w:r w:rsidR="00F71F6E" w:rsidRPr="00065AFA">
        <w:t xml:space="preserve">. </w:t>
      </w:r>
      <w:r w:rsidR="00C8005A" w:rsidRPr="00065AFA">
        <w:t xml:space="preserve">There had been a general criticism that </w:t>
      </w:r>
      <w:r w:rsidR="009207B9" w:rsidRPr="00065AFA">
        <w:t>the</w:t>
      </w:r>
      <w:r w:rsidR="00C8005A" w:rsidRPr="00065AFA">
        <w:t xml:space="preserve"> </w:t>
      </w:r>
      <w:r w:rsidR="009B27A1" w:rsidRPr="00065AFA">
        <w:t xml:space="preserve">post-processual shift </w:t>
      </w:r>
      <w:r w:rsidR="00C8005A" w:rsidRPr="00065AFA">
        <w:t>lack</w:t>
      </w:r>
      <w:r w:rsidR="009207B9" w:rsidRPr="00065AFA">
        <w:t>s</w:t>
      </w:r>
      <w:r w:rsidR="00C8005A" w:rsidRPr="00065AFA">
        <w:t xml:space="preserve"> a coherent methodology; Michael Shanks comments that, ‘No new normal science (with a new orthodoxy of method and research agenda) has emerged among a community of archaeologists to replace processual or any other kind of archaeology</w:t>
      </w:r>
      <w:r w:rsidR="00065AFA" w:rsidRPr="00065AFA">
        <w:t>,</w:t>
      </w:r>
      <w:r w:rsidR="00C8005A" w:rsidRPr="00065AFA">
        <w:t>’</w:t>
      </w:r>
      <w:r w:rsidR="00C8005A" w:rsidRPr="00065AFA">
        <w:rPr>
          <w:rStyle w:val="FootnoteReference"/>
        </w:rPr>
        <w:footnoteReference w:id="30"/>
      </w:r>
      <w:r w:rsidR="00065AFA" w:rsidRPr="00065AFA">
        <w:t xml:space="preserve"> and </w:t>
      </w:r>
      <w:r w:rsidR="009B27A1" w:rsidRPr="00065AFA">
        <w:t xml:space="preserve"> that those involved are most interested in post-modern and neo-Marxist </w:t>
      </w:r>
      <w:r w:rsidR="009207B9" w:rsidRPr="00065AFA">
        <w:t>re-</w:t>
      </w:r>
      <w:r w:rsidR="009B27A1" w:rsidRPr="00065AFA">
        <w:t>interpretation of evidence</w:t>
      </w:r>
      <w:r w:rsidR="009B27A1">
        <w:t xml:space="preserve"> and challenging the assumptions of processual methods, rather than developing methods of their own. </w:t>
      </w:r>
      <w:r w:rsidR="00F71F6E">
        <w:t xml:space="preserve">Bender’s theory </w:t>
      </w:r>
      <w:r w:rsidR="009B27A1">
        <w:t>is an example of this; it provides</w:t>
      </w:r>
      <w:r w:rsidR="00F71F6E">
        <w:t xml:space="preserve"> a way to interpret different perspectives of landscape</w:t>
      </w:r>
      <w:r w:rsidR="009D70A4">
        <w:t xml:space="preserve"> looking at external power imbalances and class conflicts</w:t>
      </w:r>
      <w:r w:rsidR="009207B9">
        <w:t xml:space="preserve">. Conversely, </w:t>
      </w:r>
      <w:r w:rsidR="00F71F6E">
        <w:t>Tilley</w:t>
      </w:r>
      <w:r w:rsidR="009D70A4">
        <w:t>’</w:t>
      </w:r>
      <w:r w:rsidR="00F71F6E">
        <w:t xml:space="preserve">s </w:t>
      </w:r>
      <w:r w:rsidR="00070B44">
        <w:t>approach</w:t>
      </w:r>
      <w:r w:rsidR="009D70A4">
        <w:t xml:space="preserve"> </w:t>
      </w:r>
      <w:r w:rsidR="00386440">
        <w:t>shifts</w:t>
      </w:r>
      <w:r w:rsidR="009D70A4">
        <w:t xml:space="preserve"> the study of landscape to consider </w:t>
      </w:r>
      <w:r w:rsidR="00A82B27">
        <w:t xml:space="preserve">also </w:t>
      </w:r>
      <w:r w:rsidR="009D70A4">
        <w:t>the internal</w:t>
      </w:r>
      <w:r w:rsidR="00F71F6E">
        <w:t xml:space="preserve"> </w:t>
      </w:r>
      <w:r w:rsidR="009D70A4">
        <w:t xml:space="preserve">world, </w:t>
      </w:r>
      <w:r w:rsidR="00FA091F">
        <w:t>enabling</w:t>
      </w:r>
      <w:r w:rsidR="009D70A4">
        <w:t xml:space="preserve"> more </w:t>
      </w:r>
      <w:r w:rsidR="009D70A4" w:rsidRPr="00065AFA">
        <w:t xml:space="preserve">experiential forms of fieldwork. </w:t>
      </w:r>
      <w:r w:rsidR="00386440" w:rsidRPr="00065AFA">
        <w:t>Joanna Br</w:t>
      </w:r>
      <w:r w:rsidR="00386440" w:rsidRPr="00065AFA">
        <w:rPr>
          <w:rFonts w:cstheme="minorHAnsi"/>
        </w:rPr>
        <w:t>ü</w:t>
      </w:r>
      <w:r w:rsidR="00386440" w:rsidRPr="00065AFA">
        <w:t>ck explains that</w:t>
      </w:r>
      <w:r w:rsidR="00065AFA" w:rsidRPr="00065AFA">
        <w:t xml:space="preserve">, </w:t>
      </w:r>
      <w:r w:rsidR="00386440" w:rsidRPr="00065AFA">
        <w:t>‘Tilley employs phenomenology as a methodology as well as a philosophy, arguing that it can provide an entry point into past understandings of the material world.’</w:t>
      </w:r>
      <w:r w:rsidR="00386440" w:rsidRPr="00065AFA">
        <w:rPr>
          <w:rStyle w:val="FootnoteReference"/>
        </w:rPr>
        <w:footnoteReference w:id="31"/>
      </w:r>
      <w:r w:rsidR="00FA091F" w:rsidRPr="00065AFA">
        <w:t xml:space="preserve"> Through</w:t>
      </w:r>
      <w:r w:rsidR="00FA091F">
        <w:t xml:space="preserve"> this, Tilley’s perspective not only offers a theoretical lens through which to interpret landscape and perceptions of landscape, but invites archaeologists </w:t>
      </w:r>
      <w:r w:rsidR="00FA091F" w:rsidRPr="003552F8">
        <w:t xml:space="preserve">to document their own </w:t>
      </w:r>
      <w:r w:rsidR="00BA411B">
        <w:t>physical and sensory experience</w:t>
      </w:r>
      <w:r w:rsidR="00FA091F" w:rsidRPr="003552F8">
        <w:t xml:space="preserve"> with these </w:t>
      </w:r>
      <w:r w:rsidR="00BA411B">
        <w:t>places</w:t>
      </w:r>
      <w:r w:rsidR="00FA091F" w:rsidRPr="003552F8">
        <w:t xml:space="preserve"> as they move through them</w:t>
      </w:r>
      <w:r w:rsidR="0015145D">
        <w:t>.</w:t>
      </w:r>
      <w:r w:rsidR="00BA411B">
        <w:rPr>
          <w:rStyle w:val="FootnoteReference"/>
        </w:rPr>
        <w:footnoteReference w:id="32"/>
      </w:r>
      <w:r w:rsidR="00BA0D3F">
        <w:t xml:space="preserve"> </w:t>
      </w:r>
      <w:r w:rsidR="009B27A1">
        <w:t xml:space="preserve">Throughout his book, </w:t>
      </w:r>
      <w:r w:rsidR="009B27A1">
        <w:rPr>
          <w:i/>
          <w:iCs/>
        </w:rPr>
        <w:t>A Phenomenology of Landscape</w:t>
      </w:r>
      <w:r w:rsidR="0015145D">
        <w:rPr>
          <w:i/>
          <w:iCs/>
        </w:rPr>
        <w:t>,</w:t>
      </w:r>
      <w:r w:rsidR="009B27A1" w:rsidRPr="0015145D">
        <w:rPr>
          <w:rStyle w:val="FootnoteReference"/>
        </w:rPr>
        <w:footnoteReference w:id="33"/>
      </w:r>
      <w:r w:rsidR="009B27A1">
        <w:t xml:space="preserve"> he shows the importance of this with archaeological methodology, of </w:t>
      </w:r>
      <w:r w:rsidR="00A00D6E">
        <w:t>embodied engagement with</w:t>
      </w:r>
      <w:r w:rsidR="009B27A1">
        <w:t xml:space="preserve"> landscapes that are being studied</w:t>
      </w:r>
      <w:r w:rsidR="0091090A">
        <w:t xml:space="preserve">, explored through examples from chambered cairns, long barrows and cursus monuments in England and Wales. </w:t>
      </w:r>
      <w:r w:rsidR="00A00D6E">
        <w:t xml:space="preserve">The </w:t>
      </w:r>
      <w:r w:rsidR="002755E6">
        <w:t>purpose</w:t>
      </w:r>
      <w:r w:rsidR="00A00D6E">
        <w:t xml:space="preserve"> of this, as explained by Br</w:t>
      </w:r>
      <w:r w:rsidR="002755E6">
        <w:rPr>
          <w:rFonts w:cstheme="minorHAnsi"/>
        </w:rPr>
        <w:t>ü</w:t>
      </w:r>
      <w:r w:rsidR="00A00D6E">
        <w:t xml:space="preserve">ck, is that it </w:t>
      </w:r>
      <w:r w:rsidR="00106CC3">
        <w:t>can give us news insights into how these landscapes may have been experienced in the distant past</w:t>
      </w:r>
      <w:r w:rsidR="0015145D">
        <w:t>.</w:t>
      </w:r>
      <w:r w:rsidR="002755E6">
        <w:rPr>
          <w:rStyle w:val="FootnoteReference"/>
        </w:rPr>
        <w:footnoteReference w:id="34"/>
      </w:r>
    </w:p>
    <w:p w14:paraId="790586A2" w14:textId="77777777" w:rsidR="00921702" w:rsidRDefault="00921702"/>
    <w:p w14:paraId="0E2C206E" w14:textId="365EC36A" w:rsidR="00921702" w:rsidRDefault="00921702" w:rsidP="00921702">
      <w:pPr>
        <w:pStyle w:val="Subtitle"/>
      </w:pPr>
      <w:r>
        <w:t>Conclusion</w:t>
      </w:r>
    </w:p>
    <w:p w14:paraId="726AACEA" w14:textId="24960897" w:rsidR="00C54CA5" w:rsidRDefault="00C54CA5" w:rsidP="005B724A">
      <w:pPr>
        <w:ind w:firstLine="720"/>
      </w:pPr>
      <w:r>
        <w:t>This essay set out to</w:t>
      </w:r>
      <w:r w:rsidR="00C80D27">
        <w:t xml:space="preserve"> critically compare and contrast </w:t>
      </w:r>
      <w:r w:rsidR="008A27C0">
        <w:t>Barbara Bender’s</w:t>
      </w:r>
      <w:r w:rsidR="00C80D27">
        <w:t xml:space="preserve"> theory of contested landscapes and the phenomenological perspective</w:t>
      </w:r>
      <w:r w:rsidR="008A27C0">
        <w:t xml:space="preserve"> of Christopher Tilley</w:t>
      </w:r>
      <w:r w:rsidR="009C7EE3">
        <w:t>, to look at the extent to which the latter complements the former</w:t>
      </w:r>
      <w:r w:rsidR="00C80D27">
        <w:t xml:space="preserve">. </w:t>
      </w:r>
      <w:r w:rsidR="002168A7" w:rsidRPr="002168A7">
        <w:t xml:space="preserve">Both theories offered a mostly cohesive criticism of processual archaeology, emphasising that landscapes are not neutral and objective, but rather subjective </w:t>
      </w:r>
      <w:r w:rsidR="002168A7">
        <w:t>and experienced differently by different people</w:t>
      </w:r>
      <w:r w:rsidR="00C80D27">
        <w:t xml:space="preserve">. While Bender </w:t>
      </w:r>
      <w:r w:rsidR="002168A7">
        <w:t>focuses on</w:t>
      </w:r>
      <w:r w:rsidR="00C80D27">
        <w:t xml:space="preserve"> the external and material effects of power and dominance on conflicting and contested interpretations of place, </w:t>
      </w:r>
      <w:r w:rsidR="00C80D27">
        <w:lastRenderedPageBreak/>
        <w:t>Tilley</w:t>
      </w:r>
      <w:r w:rsidR="002168A7">
        <w:t xml:space="preserve"> views this </w:t>
      </w:r>
      <w:r w:rsidR="00C80D27">
        <w:t>this as one factor among many that influence our view of landscape,</w:t>
      </w:r>
      <w:r w:rsidR="008A27C0">
        <w:t xml:space="preserve"> instead</w:t>
      </w:r>
      <w:r w:rsidR="00C80D27">
        <w:t xml:space="preserve"> </w:t>
      </w:r>
      <w:r w:rsidR="002168A7">
        <w:t xml:space="preserve">emphasising the </w:t>
      </w:r>
      <w:r w:rsidR="004B456C">
        <w:t>embodied experience of place</w:t>
      </w:r>
      <w:r w:rsidR="002168A7">
        <w:t xml:space="preserve">. By </w:t>
      </w:r>
      <w:r w:rsidR="00070B44">
        <w:t>approaching</w:t>
      </w:r>
      <w:r w:rsidR="00C80D27">
        <w:t xml:space="preserve"> the </w:t>
      </w:r>
      <w:r w:rsidR="002168A7">
        <w:t xml:space="preserve">subject from the phenomenological perspective, </w:t>
      </w:r>
      <w:r w:rsidR="00C80D27">
        <w:t xml:space="preserve">Tilley’s </w:t>
      </w:r>
      <w:r w:rsidR="00070B44">
        <w:t>approach</w:t>
      </w:r>
      <w:r w:rsidR="00C80D27">
        <w:t xml:space="preserve"> not only complements </w:t>
      </w:r>
      <w:r w:rsidR="002168A7">
        <w:t>Bender’s theory</w:t>
      </w:r>
      <w:r w:rsidR="00C80D27">
        <w:t xml:space="preserve">, but </w:t>
      </w:r>
      <w:r w:rsidR="002168A7">
        <w:t>ground</w:t>
      </w:r>
      <w:r w:rsidR="006F02BC">
        <w:t>s</w:t>
      </w:r>
      <w:r w:rsidR="00C80D27">
        <w:t xml:space="preserve"> it </w:t>
      </w:r>
      <w:r w:rsidR="002168A7">
        <w:t>with</w:t>
      </w:r>
      <w:r w:rsidR="00C80D27">
        <w:t xml:space="preserve">in </w:t>
      </w:r>
      <w:r w:rsidR="002168A7">
        <w:t xml:space="preserve">the </w:t>
      </w:r>
      <w:r w:rsidR="00C80D27">
        <w:t xml:space="preserve">broader </w:t>
      </w:r>
      <w:r w:rsidR="002168A7">
        <w:t>philosophical</w:t>
      </w:r>
      <w:r w:rsidR="00C80D27">
        <w:t xml:space="preserve"> and theoretical framework. Tilley’s </w:t>
      </w:r>
      <w:r w:rsidR="00F04B29">
        <w:t>perspective underplays the political</w:t>
      </w:r>
      <w:r w:rsidR="002168A7">
        <w:t xml:space="preserve"> and class inequality discussion</w:t>
      </w:r>
      <w:r w:rsidR="00F04B29">
        <w:t>,</w:t>
      </w:r>
      <w:r w:rsidR="002168A7">
        <w:t xml:space="preserve"> and</w:t>
      </w:r>
      <w:r w:rsidR="00F04B29">
        <w:t xml:space="preserve"> </w:t>
      </w:r>
      <w:r w:rsidR="002168A7" w:rsidRPr="002168A7">
        <w:t>so evading the critiques associated with Bender’s robustly Marxist</w:t>
      </w:r>
      <w:r w:rsidR="002168A7">
        <w:t xml:space="preserve"> interpretation and theory</w:t>
      </w:r>
      <w:r w:rsidR="00F04B29">
        <w:t xml:space="preserve">. Tilley also, drawing on the work of Merleau-Ponty has been able to steer the phenomenological </w:t>
      </w:r>
      <w:r w:rsidR="00070B44">
        <w:t>approach</w:t>
      </w:r>
      <w:r w:rsidR="00F04B29">
        <w:t xml:space="preserve"> towards new methods of research, emphasising the role of direct experience to gain fuller understanding of sites and monuments within a landscape, </w:t>
      </w:r>
      <w:r w:rsidR="002168A7">
        <w:t xml:space="preserve">thereby addressing critiques </w:t>
      </w:r>
      <w:r w:rsidR="00F04B29">
        <w:t xml:space="preserve">that </w:t>
      </w:r>
      <w:r w:rsidR="002168A7">
        <w:t xml:space="preserve">these </w:t>
      </w:r>
      <w:r w:rsidR="00070B44">
        <w:t>approaches</w:t>
      </w:r>
      <w:r w:rsidR="002168A7">
        <w:t xml:space="preserve"> are </w:t>
      </w:r>
      <w:r w:rsidR="00F04B29">
        <w:t>solely focused on reflection and challenging assumptions of processual archaeology</w:t>
      </w:r>
      <w:r w:rsidR="002168A7">
        <w:t xml:space="preserve"> rather than developing new methods of their own</w:t>
      </w:r>
      <w:r w:rsidR="00F04B29">
        <w:t xml:space="preserve">. </w:t>
      </w:r>
    </w:p>
    <w:p w14:paraId="0FA3E4EB" w14:textId="3302184A" w:rsidR="005A044F" w:rsidRDefault="00C54CA5" w:rsidP="005A044F">
      <w:r>
        <w:t xml:space="preserve"> </w:t>
      </w:r>
    </w:p>
    <w:p w14:paraId="660B4A93" w14:textId="632309F7" w:rsidR="00A82B27" w:rsidRDefault="00A82B27" w:rsidP="00A82B27">
      <w:pPr>
        <w:pStyle w:val="Subtitle"/>
      </w:pPr>
      <w:r>
        <w:t>References</w:t>
      </w:r>
    </w:p>
    <w:p w14:paraId="2DA33128" w14:textId="77777777" w:rsidR="00A82B27" w:rsidRPr="00070B44" w:rsidRDefault="00A82B27" w:rsidP="00AD17CF">
      <w:pPr>
        <w:ind w:left="567" w:hanging="567"/>
      </w:pPr>
      <w:r w:rsidRPr="00070B44">
        <w:t xml:space="preserve">Bender, B., </w:t>
      </w:r>
      <w:r w:rsidRPr="00070B44">
        <w:rPr>
          <w:i/>
          <w:iCs/>
        </w:rPr>
        <w:t>Stonehenge: Making Space</w:t>
      </w:r>
      <w:r w:rsidRPr="00070B44">
        <w:t>, (Oxford: Berg, 1998),</w:t>
      </w:r>
    </w:p>
    <w:p w14:paraId="4F048A00" w14:textId="23953CED" w:rsidR="00070B44" w:rsidRPr="00070B44" w:rsidRDefault="00070B44" w:rsidP="00070B44">
      <w:pPr>
        <w:pStyle w:val="FootnoteText"/>
        <w:spacing w:after="240"/>
        <w:ind w:left="709" w:hanging="709"/>
        <w:rPr>
          <w:sz w:val="22"/>
          <w:szCs w:val="22"/>
        </w:rPr>
      </w:pPr>
      <w:r w:rsidRPr="00070B44">
        <w:rPr>
          <w:sz w:val="22"/>
          <w:szCs w:val="22"/>
        </w:rPr>
        <w:t xml:space="preserve">Bender, B. &amp; Winer, M., </w:t>
      </w:r>
      <w:r w:rsidRPr="00070B44">
        <w:rPr>
          <w:i/>
          <w:iCs/>
          <w:sz w:val="22"/>
          <w:szCs w:val="22"/>
        </w:rPr>
        <w:t>Contested Landscapes: Movement, Exile and Place</w:t>
      </w:r>
      <w:r w:rsidRPr="00070B44">
        <w:rPr>
          <w:sz w:val="22"/>
          <w:szCs w:val="22"/>
        </w:rPr>
        <w:t>, (Routledge: London, 2001).</w:t>
      </w:r>
    </w:p>
    <w:p w14:paraId="68A18F0A" w14:textId="4C008D0D" w:rsidR="00A82B27" w:rsidRPr="00A82B27" w:rsidRDefault="00A82B27" w:rsidP="00AD17CF">
      <w:pPr>
        <w:ind w:left="567" w:hanging="567"/>
      </w:pPr>
      <w:r w:rsidRPr="00A82B27">
        <w:t xml:space="preserve">Brück, J., ‘Experiencing the past? The development of a phenomenological archaeology in British prehistory’, </w:t>
      </w:r>
      <w:r w:rsidRPr="00A82B27">
        <w:rPr>
          <w:i/>
          <w:iCs/>
        </w:rPr>
        <w:t>Archaeological Dialogues</w:t>
      </w:r>
      <w:r w:rsidRPr="00A82B27">
        <w:t>, 12(1), (2005</w:t>
      </w:r>
      <w:r w:rsidR="00584D95">
        <w:t xml:space="preserve">). </w:t>
      </w:r>
      <w:r w:rsidRPr="00A82B27">
        <w:t xml:space="preserve">Available at: </w:t>
      </w:r>
      <w:hyperlink r:id="rId9" w:history="1">
        <w:r w:rsidRPr="00A82B27">
          <w:rPr>
            <w:rStyle w:val="Hyperlink"/>
          </w:rPr>
          <w:t>https://doi.org/10.1017/S1380203805001583</w:t>
        </w:r>
      </w:hyperlink>
      <w:r w:rsidRPr="00A82B27">
        <w:t>.</w:t>
      </w:r>
    </w:p>
    <w:p w14:paraId="18F965BA" w14:textId="15D72DEE" w:rsidR="00A82B27" w:rsidRPr="00AD17CF" w:rsidRDefault="00A82B27" w:rsidP="00AD17CF">
      <w:pPr>
        <w:ind w:left="567" w:hanging="567"/>
      </w:pPr>
      <w:proofErr w:type="spellStart"/>
      <w:r w:rsidRPr="00A82B27">
        <w:t>Lekson</w:t>
      </w:r>
      <w:proofErr w:type="spellEnd"/>
      <w:r w:rsidRPr="00A82B27">
        <w:t>, S.H</w:t>
      </w:r>
      <w:r w:rsidRPr="00AD17CF">
        <w:t>., ‘Landscape with Ruins: Archaeological A</w:t>
      </w:r>
      <w:r w:rsidR="00070B44">
        <w:t>pp</w:t>
      </w:r>
      <w:r w:rsidRPr="00AD17CF">
        <w:t xml:space="preserve">roaches to </w:t>
      </w:r>
      <w:proofErr w:type="spellStart"/>
      <w:r w:rsidRPr="00AD17CF">
        <w:t>Built</w:t>
      </w:r>
      <w:proofErr w:type="spellEnd"/>
      <w:r w:rsidRPr="00AD17CF">
        <w:t xml:space="preserve"> and Unbuilt Environments’, </w:t>
      </w:r>
      <w:r w:rsidRPr="00AD17CF">
        <w:rPr>
          <w:i/>
          <w:iCs/>
        </w:rPr>
        <w:t>Current Anthropology</w:t>
      </w:r>
      <w:r w:rsidRPr="00AD17CF">
        <w:t xml:space="preserve">, Vol. 37, No. 5 (1996), </w:t>
      </w:r>
      <w:r w:rsidR="00070B44">
        <w:t>p</w:t>
      </w:r>
      <w:r w:rsidRPr="00AD17CF">
        <w:t>886-892.</w:t>
      </w:r>
    </w:p>
    <w:p w14:paraId="79F806C9" w14:textId="35CD37C2" w:rsidR="00AD17CF" w:rsidRDefault="00AD17CF" w:rsidP="00AD17CF">
      <w:pPr>
        <w:pStyle w:val="FootnoteText"/>
        <w:spacing w:after="160"/>
        <w:ind w:left="567" w:hanging="567"/>
        <w:rPr>
          <w:sz w:val="22"/>
          <w:szCs w:val="22"/>
        </w:rPr>
      </w:pPr>
      <w:r w:rsidRPr="00AD17CF">
        <w:rPr>
          <w:sz w:val="22"/>
          <w:szCs w:val="22"/>
        </w:rPr>
        <w:t xml:space="preserve">Shanks, M., ‘Post-Processual Archaeology and After’, in R. Alexander Bentley, Herbert D.C. </w:t>
      </w:r>
      <w:proofErr w:type="spellStart"/>
      <w:r w:rsidRPr="00AD17CF">
        <w:rPr>
          <w:sz w:val="22"/>
          <w:szCs w:val="22"/>
        </w:rPr>
        <w:t>Maschner</w:t>
      </w:r>
      <w:proofErr w:type="spellEnd"/>
      <w:r w:rsidRPr="00AD17CF">
        <w:rPr>
          <w:sz w:val="22"/>
          <w:szCs w:val="22"/>
        </w:rPr>
        <w:t xml:space="preserve"> &amp; Christopher Chi</w:t>
      </w:r>
      <w:r w:rsidR="00070B44">
        <w:rPr>
          <w:sz w:val="22"/>
          <w:szCs w:val="22"/>
        </w:rPr>
        <w:t>pp</w:t>
      </w:r>
      <w:r w:rsidRPr="00AD17CF">
        <w:rPr>
          <w:sz w:val="22"/>
          <w:szCs w:val="22"/>
        </w:rPr>
        <w:t xml:space="preserve">indale, </w:t>
      </w:r>
      <w:r w:rsidRPr="00AD17CF">
        <w:rPr>
          <w:i/>
          <w:iCs/>
          <w:sz w:val="22"/>
          <w:szCs w:val="22"/>
        </w:rPr>
        <w:t>The Handbook of Archaeological Theories</w:t>
      </w:r>
      <w:r w:rsidRPr="00AD17CF">
        <w:rPr>
          <w:sz w:val="22"/>
          <w:szCs w:val="22"/>
        </w:rPr>
        <w:t>, (</w:t>
      </w:r>
      <w:proofErr w:type="spellStart"/>
      <w:r w:rsidRPr="00AD17CF">
        <w:rPr>
          <w:sz w:val="22"/>
          <w:szCs w:val="22"/>
        </w:rPr>
        <w:t>AltaMira</w:t>
      </w:r>
      <w:proofErr w:type="spellEnd"/>
      <w:r w:rsidRPr="00AD17CF">
        <w:rPr>
          <w:sz w:val="22"/>
          <w:szCs w:val="22"/>
        </w:rPr>
        <w:t xml:space="preserve"> Press: Plymouth, 2008)</w:t>
      </w:r>
    </w:p>
    <w:p w14:paraId="1ED7688E" w14:textId="75B41EB1" w:rsidR="00F2528D" w:rsidRPr="00F2528D" w:rsidRDefault="00F2528D" w:rsidP="00F2528D">
      <w:pPr>
        <w:pStyle w:val="FootnoteText"/>
        <w:spacing w:after="240"/>
        <w:ind w:left="567" w:hanging="567"/>
        <w:rPr>
          <w:sz w:val="22"/>
          <w:szCs w:val="22"/>
        </w:rPr>
      </w:pPr>
      <w:r w:rsidRPr="00F2528D">
        <w:rPr>
          <w:sz w:val="22"/>
          <w:szCs w:val="22"/>
        </w:rPr>
        <w:t>Strang, V. </w:t>
      </w:r>
      <w:r w:rsidRPr="00F2528D">
        <w:rPr>
          <w:i/>
          <w:iCs/>
          <w:sz w:val="22"/>
          <w:szCs w:val="22"/>
        </w:rPr>
        <w:t>Uncommon Ground: Landscape, Values and the Environment</w:t>
      </w:r>
      <w:r w:rsidRPr="00F2528D">
        <w:rPr>
          <w:sz w:val="22"/>
          <w:szCs w:val="22"/>
        </w:rPr>
        <w:t>, (United Kingdom, Taylor &amp; Francis, 2020).</w:t>
      </w:r>
    </w:p>
    <w:p w14:paraId="5511663D" w14:textId="684353F0" w:rsidR="00A82B27" w:rsidRPr="00A82B27" w:rsidRDefault="00A82B27" w:rsidP="00AD17CF">
      <w:pPr>
        <w:pStyle w:val="FootnoteText"/>
        <w:spacing w:after="160"/>
        <w:ind w:left="567" w:hanging="567"/>
        <w:rPr>
          <w:sz w:val="22"/>
          <w:szCs w:val="22"/>
        </w:rPr>
      </w:pPr>
      <w:r w:rsidRPr="00AD17CF">
        <w:rPr>
          <w:sz w:val="22"/>
          <w:szCs w:val="22"/>
        </w:rPr>
        <w:t xml:space="preserve">Tilley, C., </w:t>
      </w:r>
      <w:r w:rsidRPr="00AD17CF">
        <w:rPr>
          <w:i/>
          <w:iCs/>
          <w:sz w:val="22"/>
          <w:szCs w:val="22"/>
        </w:rPr>
        <w:t>A Phenomenology of Landscape</w:t>
      </w:r>
      <w:r w:rsidRPr="00AD17CF">
        <w:rPr>
          <w:sz w:val="22"/>
          <w:szCs w:val="22"/>
        </w:rPr>
        <w:t>, (Oxford: Berg, 1994)</w:t>
      </w:r>
    </w:p>
    <w:p w14:paraId="14FF5209" w14:textId="144A3A88" w:rsidR="00A82B27" w:rsidRPr="00A82B27" w:rsidRDefault="00A82B27" w:rsidP="00AD17CF">
      <w:pPr>
        <w:ind w:left="567" w:hanging="567"/>
      </w:pPr>
      <w:r w:rsidRPr="00A82B27">
        <w:t xml:space="preserve">Tilley, C. ‘Introduction: Identity, Place, Landscape and Heritage’, </w:t>
      </w:r>
      <w:r w:rsidRPr="00A82B27">
        <w:rPr>
          <w:i/>
          <w:iCs/>
        </w:rPr>
        <w:t>Journal of Material Culture</w:t>
      </w:r>
      <w:r w:rsidRPr="00A82B27">
        <w:t>, 11(1–2)</w:t>
      </w:r>
      <w:r w:rsidR="005151A0">
        <w:t xml:space="preserve">, </w:t>
      </w:r>
      <w:r w:rsidR="005151A0" w:rsidRPr="00A82B27">
        <w:t>(2006)</w:t>
      </w:r>
      <w:r w:rsidRPr="00A82B27">
        <w:t xml:space="preserve">, </w:t>
      </w:r>
      <w:r w:rsidR="00070B44">
        <w:t>p</w:t>
      </w:r>
      <w:r w:rsidRPr="00A82B27">
        <w:t xml:space="preserve">. 7–32. Available at: </w:t>
      </w:r>
      <w:hyperlink r:id="rId10" w:history="1">
        <w:r w:rsidRPr="00A82B27">
          <w:rPr>
            <w:rStyle w:val="Hyperlink"/>
          </w:rPr>
          <w:t>https://doi.org/10.1177/1359183506062990</w:t>
        </w:r>
      </w:hyperlink>
      <w:r w:rsidRPr="00A82B27">
        <w:t>.</w:t>
      </w:r>
    </w:p>
    <w:p w14:paraId="6A4EE518" w14:textId="77777777" w:rsidR="00A82B27" w:rsidRPr="00A82B27" w:rsidRDefault="00A82B27" w:rsidP="00AD17CF">
      <w:pPr>
        <w:ind w:left="567" w:hanging="567"/>
      </w:pPr>
      <w:r w:rsidRPr="00A82B27">
        <w:t xml:space="preserve">Tilley C. and Cameron-Daum, K., </w:t>
      </w:r>
      <w:r w:rsidRPr="00A82B27">
        <w:rPr>
          <w:i/>
          <w:iCs/>
        </w:rPr>
        <w:t>An Anthropology of Landscape: The Extraordinary in the Ordinary</w:t>
      </w:r>
      <w:r w:rsidRPr="00A82B27">
        <w:t>, (UCL Press: London, 2017).</w:t>
      </w:r>
    </w:p>
    <w:p w14:paraId="4FAD9BC5" w14:textId="77777777" w:rsidR="00A82B27" w:rsidRPr="005A044F" w:rsidRDefault="00A82B27" w:rsidP="00AD17CF"/>
    <w:sectPr w:rsidR="00A82B27" w:rsidRPr="005A04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8C5C6C" w14:textId="77777777" w:rsidR="007B2B27" w:rsidRDefault="007B2B27" w:rsidP="00AC6995">
      <w:pPr>
        <w:spacing w:after="0" w:line="240" w:lineRule="auto"/>
      </w:pPr>
      <w:r>
        <w:separator/>
      </w:r>
    </w:p>
  </w:endnote>
  <w:endnote w:type="continuationSeparator" w:id="0">
    <w:p w14:paraId="023D8C27" w14:textId="77777777" w:rsidR="007B2B27" w:rsidRDefault="007B2B27" w:rsidP="00AC6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9F56183" w14:textId="77777777" w:rsidR="007B2B27" w:rsidRDefault="007B2B27" w:rsidP="00AC6995">
      <w:pPr>
        <w:spacing w:after="0" w:line="240" w:lineRule="auto"/>
      </w:pPr>
      <w:r>
        <w:separator/>
      </w:r>
    </w:p>
  </w:footnote>
  <w:footnote w:type="continuationSeparator" w:id="0">
    <w:p w14:paraId="40EDEB95" w14:textId="77777777" w:rsidR="007B2B27" w:rsidRDefault="007B2B27" w:rsidP="00AC6995">
      <w:pPr>
        <w:spacing w:after="0" w:line="240" w:lineRule="auto"/>
      </w:pPr>
      <w:r>
        <w:continuationSeparator/>
      </w:r>
    </w:p>
  </w:footnote>
  <w:footnote w:id="1">
    <w:p w14:paraId="677B0811" w14:textId="0C383F2D" w:rsidR="0047597D" w:rsidRDefault="0047597D" w:rsidP="00985DF6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>
        <w:rPr>
          <w:rStyle w:val="FootnoteReference"/>
        </w:rPr>
        <w:footnoteRef/>
      </w:r>
      <w:r>
        <w:t xml:space="preserve"> Michael </w:t>
      </w:r>
      <w:r w:rsidRPr="00AD17CF">
        <w:t>Shanks</w:t>
      </w:r>
      <w:r>
        <w:t xml:space="preserve">, </w:t>
      </w:r>
      <w:r w:rsidRPr="00AD17CF">
        <w:t>‘Post-Processual Archaeology and After’</w:t>
      </w:r>
      <w:r>
        <w:t xml:space="preserve">, in R. Alexander Bentley, Herbert D.C. </w:t>
      </w:r>
      <w:proofErr w:type="spellStart"/>
      <w:r>
        <w:t>Maschner</w:t>
      </w:r>
      <w:proofErr w:type="spellEnd"/>
      <w:r>
        <w:t xml:space="preserve"> and Christopher Chippindale, </w:t>
      </w:r>
      <w:r>
        <w:rPr>
          <w:i/>
          <w:iCs/>
        </w:rPr>
        <w:t>The Handbook of Archaeological Theories</w:t>
      </w:r>
      <w:r>
        <w:t>, (</w:t>
      </w:r>
      <w:proofErr w:type="spellStart"/>
      <w:r>
        <w:t>AltaMira</w:t>
      </w:r>
      <w:proofErr w:type="spellEnd"/>
      <w:r>
        <w:t xml:space="preserve"> Press: Plymouth, 2008), p. 133.</w:t>
      </w:r>
    </w:p>
  </w:footnote>
  <w:footnote w:id="2">
    <w:p w14:paraId="5D54F19F" w14:textId="736301F3" w:rsidR="00AC6995" w:rsidRPr="00AC6995" w:rsidRDefault="00AC6995" w:rsidP="00985DF6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Barbara Bender, Contested Landscapes: Medieval to Present, in Barbara Bender, </w:t>
      </w:r>
      <w:r w:rsidRPr="00F84195">
        <w:rPr>
          <w:i/>
          <w:iCs/>
        </w:rPr>
        <w:t>Stonehenge: Making Space</w:t>
      </w:r>
      <w:r>
        <w:t>, (Oxford: Berg, 1998), p</w:t>
      </w:r>
      <w:r w:rsidR="005151A0">
        <w:t xml:space="preserve">. </w:t>
      </w:r>
      <w:r>
        <w:t>97-131.</w:t>
      </w:r>
    </w:p>
  </w:footnote>
  <w:footnote w:id="3">
    <w:p w14:paraId="26E3BFFE" w14:textId="598AE81C" w:rsidR="009C7EE3" w:rsidRDefault="009C7EE3" w:rsidP="009C7EE3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Pr="009C7EE3">
        <w:t>Christopher Tilley, Space, Place, Landscape and Perception: Phenomenological Perspectives, in Christopher Tilley, A Phenomenology of Landscape, (Oxford: Berg, 1994), pp7-34.</w:t>
      </w:r>
    </w:p>
  </w:footnote>
  <w:footnote w:id="4">
    <w:p w14:paraId="03F7B8DE" w14:textId="0806931F" w:rsidR="00AC6995" w:rsidRDefault="00AC6995" w:rsidP="009C7EE3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Bender, Contested Landscapes: Medieval to Present, p</w:t>
      </w:r>
      <w:r w:rsidR="005151A0">
        <w:t xml:space="preserve">. </w:t>
      </w:r>
      <w:r>
        <w:t>98</w:t>
      </w:r>
    </w:p>
  </w:footnote>
  <w:footnote w:id="5">
    <w:p w14:paraId="6D95E6DC" w14:textId="11EC45B8" w:rsidR="001D166E" w:rsidRDefault="001D166E" w:rsidP="009C7EE3">
      <w:pPr>
        <w:pStyle w:val="FootnoteText"/>
        <w:ind w:left="709" w:hanging="709"/>
      </w:pPr>
      <w:r>
        <w:rPr>
          <w:rStyle w:val="FootnoteReference"/>
        </w:rPr>
        <w:footnoteRef/>
      </w:r>
      <w:r w:rsidR="00982B54">
        <w:t xml:space="preserve"> </w:t>
      </w:r>
      <w:r>
        <w:t>Bender, Contested Landscapes: Medieval to Present, p</w:t>
      </w:r>
      <w:r w:rsidR="005151A0">
        <w:t>.</w:t>
      </w:r>
      <w:r>
        <w:t>98</w:t>
      </w:r>
    </w:p>
  </w:footnote>
  <w:footnote w:id="6">
    <w:p w14:paraId="49BAB4AD" w14:textId="7188BFD4" w:rsidR="00371D6F" w:rsidRDefault="00371D6F" w:rsidP="009C7EE3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Barbara Bender, </w:t>
      </w:r>
      <w:r w:rsidRPr="00F84195">
        <w:rPr>
          <w:i/>
          <w:iCs/>
        </w:rPr>
        <w:t>Stonehenge: Making Space</w:t>
      </w:r>
      <w:r>
        <w:t>, (Oxford: Berg, 1998), p</w:t>
      </w:r>
      <w:r w:rsidR="005151A0">
        <w:t xml:space="preserve">. </w:t>
      </w:r>
      <w:r>
        <w:t>28.</w:t>
      </w:r>
    </w:p>
  </w:footnote>
  <w:footnote w:id="7">
    <w:p w14:paraId="441EB495" w14:textId="354ED3B0" w:rsidR="00505000" w:rsidRDefault="00505000">
      <w:pPr>
        <w:pStyle w:val="FootnoteText"/>
      </w:pPr>
      <w:r>
        <w:rPr>
          <w:rStyle w:val="FootnoteReference"/>
        </w:rPr>
        <w:footnoteRef/>
      </w:r>
      <w:r>
        <w:t xml:space="preserve"> Bender, </w:t>
      </w:r>
      <w:r w:rsidRPr="00F84195">
        <w:rPr>
          <w:i/>
          <w:iCs/>
        </w:rPr>
        <w:t>Stonehenge: Making Space</w:t>
      </w:r>
      <w:r>
        <w:t>,</w:t>
      </w:r>
      <w:r w:rsidR="001575E0">
        <w:t xml:space="preserve"> </w:t>
      </w:r>
      <w:r>
        <w:t>p</w:t>
      </w:r>
      <w:r w:rsidR="005151A0">
        <w:t xml:space="preserve">. </w:t>
      </w:r>
      <w:r>
        <w:t>26.</w:t>
      </w:r>
    </w:p>
  </w:footnote>
  <w:footnote w:id="8">
    <w:p w14:paraId="4621113F" w14:textId="420FC08C" w:rsidR="001575E0" w:rsidRDefault="001575E0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Bender, Contested Landscapes</w:t>
      </w:r>
      <w:r w:rsidR="003C5551">
        <w:t>: Medieval to Present</w:t>
      </w:r>
      <w:r>
        <w:t>, p</w:t>
      </w:r>
      <w:r w:rsidR="005151A0">
        <w:t xml:space="preserve">. </w:t>
      </w:r>
      <w:r>
        <w:t xml:space="preserve">131. </w:t>
      </w:r>
    </w:p>
  </w:footnote>
  <w:footnote w:id="9">
    <w:p w14:paraId="2D5760FE" w14:textId="64FC0E69" w:rsidR="001575E0" w:rsidRPr="00AD17CF" w:rsidRDefault="001575E0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="00AD17CF" w:rsidRPr="00AD17CF">
        <w:t>Shanks</w:t>
      </w:r>
      <w:r w:rsidR="00AD17CF">
        <w:t xml:space="preserve">, </w:t>
      </w:r>
      <w:r w:rsidR="00AD17CF" w:rsidRPr="00AD17CF">
        <w:t>‘Post-Processual Archaeology and After</w:t>
      </w:r>
      <w:r w:rsidR="0047597D">
        <w:t>,</w:t>
      </w:r>
      <w:r w:rsidR="00AD17CF" w:rsidRPr="00AD17CF">
        <w:t>’</w:t>
      </w:r>
      <w:r w:rsidR="0047597D">
        <w:t xml:space="preserve"> </w:t>
      </w:r>
      <w:r w:rsidR="00AD17CF">
        <w:t>p</w:t>
      </w:r>
      <w:r w:rsidR="005151A0">
        <w:t xml:space="preserve">. </w:t>
      </w:r>
      <w:r w:rsidR="00AD17CF">
        <w:t>133-144.</w:t>
      </w:r>
    </w:p>
  </w:footnote>
  <w:footnote w:id="10">
    <w:p w14:paraId="79F355AD" w14:textId="7A3A4EC7" w:rsidR="00C863DC" w:rsidRDefault="00C863DC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Joanna </w:t>
      </w:r>
      <w:r w:rsidRPr="00C863DC">
        <w:t>Brück</w:t>
      </w:r>
      <w:r w:rsidR="002755E6">
        <w:t>,</w:t>
      </w:r>
      <w:r w:rsidRPr="00C863DC">
        <w:t xml:space="preserve"> ‘Experiencing the past? The development of a phenomenological archaeology in British prehistory’, </w:t>
      </w:r>
      <w:r w:rsidRPr="00C863DC">
        <w:rPr>
          <w:i/>
          <w:iCs/>
        </w:rPr>
        <w:t>Archaeological Dialogues</w:t>
      </w:r>
      <w:r w:rsidRPr="00C863DC">
        <w:t>, 12(1)</w:t>
      </w:r>
      <w:r w:rsidR="003552F8">
        <w:t>,</w:t>
      </w:r>
      <w:r>
        <w:t xml:space="preserve"> (2005)</w:t>
      </w:r>
      <w:r w:rsidRPr="00C863DC">
        <w:t>, p</w:t>
      </w:r>
      <w:r w:rsidR="005151A0">
        <w:t xml:space="preserve">. </w:t>
      </w:r>
      <w:r>
        <w:t>47</w:t>
      </w:r>
    </w:p>
  </w:footnote>
  <w:footnote w:id="11">
    <w:p w14:paraId="526B0529" w14:textId="0BDB0F01" w:rsidR="00726C9D" w:rsidRDefault="00726C9D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7-34.</w:t>
      </w:r>
    </w:p>
  </w:footnote>
  <w:footnote w:id="12">
    <w:p w14:paraId="1535A000" w14:textId="13EB6594" w:rsidR="00190695" w:rsidRDefault="00190695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26</w:t>
      </w:r>
    </w:p>
  </w:footnote>
  <w:footnote w:id="13">
    <w:p w14:paraId="26BDE100" w14:textId="6DEF9628" w:rsidR="00886D5C" w:rsidRDefault="00886D5C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="00190695">
        <w:t>Tilley, Space, Place, Landscape and Perception, p</w:t>
      </w:r>
      <w:r w:rsidR="005151A0">
        <w:t xml:space="preserve">. </w:t>
      </w:r>
      <w:r w:rsidR="00190695">
        <w:t>2</w:t>
      </w:r>
    </w:p>
  </w:footnote>
  <w:footnote w:id="14">
    <w:p w14:paraId="4F5D2FD4" w14:textId="67E29F54" w:rsidR="007A274D" w:rsidRDefault="007A274D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>.</w:t>
      </w:r>
      <w:r>
        <w:t>13</w:t>
      </w:r>
    </w:p>
  </w:footnote>
  <w:footnote w:id="15">
    <w:p w14:paraId="09B58401" w14:textId="3BF953D8" w:rsidR="00151695" w:rsidRDefault="00151695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12</w:t>
      </w:r>
    </w:p>
  </w:footnote>
  <w:footnote w:id="16">
    <w:p w14:paraId="67C3C390" w14:textId="43A3509E" w:rsidR="0035042F" w:rsidRDefault="0035042F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26</w:t>
      </w:r>
    </w:p>
  </w:footnote>
  <w:footnote w:id="17">
    <w:p w14:paraId="72AD0947" w14:textId="404195BF" w:rsidR="0035042F" w:rsidRDefault="0035042F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26</w:t>
      </w:r>
    </w:p>
  </w:footnote>
  <w:footnote w:id="18">
    <w:p w14:paraId="61D43627" w14:textId="2B02F017" w:rsidR="00766AC1" w:rsidRDefault="00766AC1" w:rsidP="0003436D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23</w:t>
      </w:r>
    </w:p>
  </w:footnote>
  <w:footnote w:id="19">
    <w:p w14:paraId="55D1DF9F" w14:textId="56B8D608" w:rsidR="00B151CD" w:rsidRDefault="00B151CD" w:rsidP="005151A0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Pr="00AD17CF">
        <w:t>Shanks</w:t>
      </w:r>
      <w:r>
        <w:t xml:space="preserve">, </w:t>
      </w:r>
      <w:r w:rsidRPr="00AD17CF">
        <w:t>‘Post-Processual Archaeology and After</w:t>
      </w:r>
      <w:r>
        <w:t>,</w:t>
      </w:r>
      <w:r w:rsidRPr="00AD17CF">
        <w:t>’</w:t>
      </w:r>
      <w:r>
        <w:t xml:space="preserve"> </w:t>
      </w:r>
      <w:r w:rsidR="00BA0D3F">
        <w:t>p</w:t>
      </w:r>
      <w:r w:rsidR="005151A0">
        <w:t xml:space="preserve">. </w:t>
      </w:r>
      <w:r>
        <w:t>133</w:t>
      </w:r>
    </w:p>
  </w:footnote>
  <w:footnote w:id="20">
    <w:p w14:paraId="4662D306" w14:textId="3E0CBD55" w:rsidR="00422086" w:rsidRDefault="00422086" w:rsidP="005151A0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="00B46D04">
        <w:t>Tilley, Space, Place, Landscape and Perception, p</w:t>
      </w:r>
      <w:r w:rsidR="005151A0">
        <w:t xml:space="preserve">. </w:t>
      </w:r>
      <w:r w:rsidR="00B46D04">
        <w:t>10</w:t>
      </w:r>
    </w:p>
  </w:footnote>
  <w:footnote w:id="21">
    <w:p w14:paraId="514C19CD" w14:textId="61EB0B65" w:rsidR="00B46D04" w:rsidRDefault="00B46D04" w:rsidP="005151A0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10</w:t>
      </w:r>
    </w:p>
  </w:footnote>
  <w:footnote w:id="22">
    <w:p w14:paraId="6806C364" w14:textId="3A94D41D" w:rsidR="007D2A6B" w:rsidRDefault="007D2A6B" w:rsidP="005151A0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Bender, Contested Landscapes, p</w:t>
      </w:r>
      <w:r w:rsidR="005151A0">
        <w:t xml:space="preserve">. </w:t>
      </w:r>
      <w:r>
        <w:t>131.</w:t>
      </w:r>
    </w:p>
  </w:footnote>
  <w:footnote w:id="23">
    <w:p w14:paraId="30F2A547" w14:textId="5DCE4483" w:rsidR="005151A0" w:rsidRDefault="005151A0" w:rsidP="005151A0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Pr="00A82B27">
        <w:t xml:space="preserve">Tilley, C. ‘Introduction: Identity, Place, Landscape and Heritage’, </w:t>
      </w:r>
      <w:r w:rsidRPr="00A82B27">
        <w:rPr>
          <w:i/>
          <w:iCs/>
        </w:rPr>
        <w:t>Journal of Material Culture</w:t>
      </w:r>
      <w:r w:rsidRPr="00A82B27">
        <w:t>, 11(1–2)</w:t>
      </w:r>
      <w:r>
        <w:t xml:space="preserve">, </w:t>
      </w:r>
      <w:r w:rsidRPr="00A82B27">
        <w:t xml:space="preserve">(2006), </w:t>
      </w:r>
      <w:r>
        <w:t>p. 8</w:t>
      </w:r>
      <w:r w:rsidRPr="00A82B27">
        <w:t>.</w:t>
      </w:r>
    </w:p>
  </w:footnote>
  <w:footnote w:id="24">
    <w:p w14:paraId="4CE4A262" w14:textId="059E3B29" w:rsidR="00EE53C7" w:rsidRDefault="00EE53C7" w:rsidP="005151A0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Stephen H. </w:t>
      </w:r>
      <w:proofErr w:type="spellStart"/>
      <w:r w:rsidRPr="00DF4276">
        <w:t>Lekson</w:t>
      </w:r>
      <w:proofErr w:type="spellEnd"/>
      <w:r>
        <w:t>,</w:t>
      </w:r>
      <w:r w:rsidRPr="00DF4276">
        <w:t xml:space="preserve"> ‘Landscape with Ruins: Archaeological Approaches to </w:t>
      </w:r>
      <w:proofErr w:type="spellStart"/>
      <w:r w:rsidRPr="00DF4276">
        <w:t>Built</w:t>
      </w:r>
      <w:proofErr w:type="spellEnd"/>
      <w:r w:rsidRPr="00DF4276">
        <w:t xml:space="preserve"> and Unbuilt Environments’</w:t>
      </w:r>
      <w:r>
        <w:t xml:space="preserve">, </w:t>
      </w:r>
      <w:r w:rsidRPr="00DF4276">
        <w:rPr>
          <w:i/>
          <w:iCs/>
        </w:rPr>
        <w:t>Current Anthropology</w:t>
      </w:r>
      <w:r w:rsidRPr="00DF4276">
        <w:t>, Vol. 37, No. 5 (1996), p</w:t>
      </w:r>
      <w:r w:rsidR="005151A0">
        <w:t xml:space="preserve">. </w:t>
      </w:r>
      <w:r w:rsidRPr="00DF4276">
        <w:t>88</w:t>
      </w:r>
      <w:r>
        <w:t>8</w:t>
      </w:r>
    </w:p>
  </w:footnote>
  <w:footnote w:id="25">
    <w:p w14:paraId="1E7CECB8" w14:textId="5165B9D1" w:rsidR="00E612BE" w:rsidRDefault="00E612BE" w:rsidP="005151A0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Veronica </w:t>
      </w:r>
      <w:r w:rsidRPr="00E612BE">
        <w:t>Strang</w:t>
      </w:r>
      <w:r>
        <w:t>,</w:t>
      </w:r>
      <w:r w:rsidRPr="00E612BE">
        <w:t> </w:t>
      </w:r>
      <w:r w:rsidRPr="00E612BE">
        <w:rPr>
          <w:i/>
          <w:iCs/>
        </w:rPr>
        <w:t>Uncommon Ground: Landscape, Values and the Environment</w:t>
      </w:r>
      <w:r>
        <w:t>, (</w:t>
      </w:r>
      <w:r w:rsidRPr="00E612BE">
        <w:t>United Kingdom, Taylor &amp; Francis, 2020</w:t>
      </w:r>
      <w:r>
        <w:t>)</w:t>
      </w:r>
      <w:r w:rsidRPr="00E612BE">
        <w:t>.</w:t>
      </w:r>
    </w:p>
  </w:footnote>
  <w:footnote w:id="26">
    <w:p w14:paraId="4F79B8BA" w14:textId="272E9875" w:rsidR="00736AFD" w:rsidRDefault="00736AFD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Pr="00736AFD">
        <w:t>Barbara Bender</w:t>
      </w:r>
      <w:r>
        <w:t xml:space="preserve"> </w:t>
      </w:r>
      <w:r w:rsidR="00E64A66">
        <w:t>and</w:t>
      </w:r>
      <w:r w:rsidRPr="00736AFD">
        <w:t xml:space="preserve"> Margot Winer</w:t>
      </w:r>
      <w:r>
        <w:t xml:space="preserve">, </w:t>
      </w:r>
      <w:r w:rsidRPr="00736AFD">
        <w:rPr>
          <w:i/>
          <w:iCs/>
        </w:rPr>
        <w:t>Contested Landscapes: Movement, Exile and Place</w:t>
      </w:r>
      <w:r>
        <w:t>, (Routledge: London, 2001)</w:t>
      </w:r>
      <w:r w:rsidR="002168A7">
        <w:t>.</w:t>
      </w:r>
    </w:p>
  </w:footnote>
  <w:footnote w:id="27">
    <w:p w14:paraId="4B394856" w14:textId="7B30EBCE" w:rsidR="0012104D" w:rsidRDefault="0012104D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10</w:t>
      </w:r>
    </w:p>
  </w:footnote>
  <w:footnote w:id="28">
    <w:p w14:paraId="5F42CB3F" w14:textId="25E0BB56" w:rsidR="0012104D" w:rsidRDefault="0012104D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Christopher </w:t>
      </w:r>
      <w:r w:rsidRPr="00623CF5">
        <w:t xml:space="preserve">Tilley and </w:t>
      </w:r>
      <w:r>
        <w:t xml:space="preserve">Kate </w:t>
      </w:r>
      <w:r w:rsidRPr="00623CF5">
        <w:t>Cameron</w:t>
      </w:r>
      <w:r>
        <w:t xml:space="preserve">-Daum, </w:t>
      </w:r>
      <w:r w:rsidRPr="00623CF5">
        <w:rPr>
          <w:i/>
          <w:iCs/>
        </w:rPr>
        <w:t>An Anthropology of Landscape: The Extraordinary in the Ordinary</w:t>
      </w:r>
      <w:r>
        <w:t>, (UCL Press: London, 2017), p</w:t>
      </w:r>
      <w:r w:rsidR="005151A0">
        <w:t xml:space="preserve">. </w:t>
      </w:r>
      <w:r>
        <w:t>10</w:t>
      </w:r>
    </w:p>
  </w:footnote>
  <w:footnote w:id="29">
    <w:p w14:paraId="3B06FBC0" w14:textId="6C6A9351" w:rsidR="00CB2A09" w:rsidRDefault="00CB2A09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21</w:t>
      </w:r>
    </w:p>
  </w:footnote>
  <w:footnote w:id="30">
    <w:p w14:paraId="1164A3B4" w14:textId="24DBEBCB" w:rsidR="00C8005A" w:rsidRDefault="00C8005A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Shanks, </w:t>
      </w:r>
      <w:r w:rsidRPr="00AD17CF">
        <w:t>‘Post-Processual Archaeology and After</w:t>
      </w:r>
      <w:r>
        <w:t>,</w:t>
      </w:r>
      <w:r w:rsidRPr="00AD17CF">
        <w:t>’</w:t>
      </w:r>
      <w:r>
        <w:t xml:space="preserve"> p</w:t>
      </w:r>
      <w:r w:rsidR="005151A0">
        <w:t xml:space="preserve">. </w:t>
      </w:r>
      <w:r>
        <w:t>133</w:t>
      </w:r>
    </w:p>
  </w:footnote>
  <w:footnote w:id="31">
    <w:p w14:paraId="24F1DEA3" w14:textId="0505258B" w:rsidR="00386440" w:rsidRDefault="00386440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="00A82B27">
        <w:t xml:space="preserve">Joana </w:t>
      </w:r>
      <w:r w:rsidR="00A82B27" w:rsidRPr="00A82B27">
        <w:t>Brück</w:t>
      </w:r>
      <w:r w:rsidR="00A82B27">
        <w:t xml:space="preserve">, </w:t>
      </w:r>
      <w:r w:rsidR="00A82B27" w:rsidRPr="00A82B27">
        <w:t xml:space="preserve">‘Experiencing the past? The development of a phenomenological archaeology in British prehistory’, </w:t>
      </w:r>
      <w:r w:rsidR="00A82B27" w:rsidRPr="00A82B27">
        <w:rPr>
          <w:i/>
          <w:iCs/>
        </w:rPr>
        <w:t>Archaeological Dialogues</w:t>
      </w:r>
      <w:r w:rsidR="00A82B27" w:rsidRPr="00A82B27">
        <w:t>, 12(1),</w:t>
      </w:r>
      <w:r w:rsidR="00A82B27">
        <w:t xml:space="preserve"> </w:t>
      </w:r>
      <w:r w:rsidR="00A82B27" w:rsidRPr="00A82B27">
        <w:t>(2005)</w:t>
      </w:r>
      <w:r w:rsidR="00A82B27">
        <w:t>,</w:t>
      </w:r>
      <w:r w:rsidR="00A82B27" w:rsidRPr="00A82B27">
        <w:t xml:space="preserve"> p</w:t>
      </w:r>
      <w:r w:rsidR="005151A0">
        <w:t xml:space="preserve">. </w:t>
      </w:r>
      <w:r w:rsidR="00A82B27">
        <w:t>48</w:t>
      </w:r>
    </w:p>
  </w:footnote>
  <w:footnote w:id="32">
    <w:p w14:paraId="0EC4033B" w14:textId="48F617EE" w:rsidR="00BA411B" w:rsidRDefault="00BA411B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Space, Place, Landscape and Perception, p</w:t>
      </w:r>
      <w:r w:rsidR="005151A0">
        <w:t xml:space="preserve">. </w:t>
      </w:r>
      <w:r>
        <w:t>73</w:t>
      </w:r>
    </w:p>
  </w:footnote>
  <w:footnote w:id="33">
    <w:p w14:paraId="5B10A4D4" w14:textId="72A55B72" w:rsidR="009B27A1" w:rsidRPr="009B27A1" w:rsidRDefault="009B27A1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Tilley, </w:t>
      </w:r>
      <w:r>
        <w:rPr>
          <w:i/>
          <w:iCs/>
        </w:rPr>
        <w:t>A Phenomenology of Landscape</w:t>
      </w:r>
      <w:r>
        <w:t xml:space="preserve">. </w:t>
      </w:r>
    </w:p>
  </w:footnote>
  <w:footnote w:id="34">
    <w:p w14:paraId="5629DD02" w14:textId="307C4D7A" w:rsidR="002755E6" w:rsidRDefault="002755E6" w:rsidP="00DF0345">
      <w:pPr>
        <w:pStyle w:val="FootnoteText"/>
        <w:ind w:left="709" w:hanging="709"/>
      </w:pPr>
      <w:r>
        <w:rPr>
          <w:rStyle w:val="FootnoteReference"/>
        </w:rPr>
        <w:footnoteRef/>
      </w:r>
      <w:r>
        <w:t xml:space="preserve"> </w:t>
      </w:r>
      <w:r w:rsidRPr="00C863DC">
        <w:t>Brück</w:t>
      </w:r>
      <w:r>
        <w:t>,</w:t>
      </w:r>
      <w:r w:rsidRPr="00C863DC">
        <w:t xml:space="preserve"> ‘Experiencing the past?</w:t>
      </w:r>
      <w:r w:rsidR="005151A0">
        <w:t>’</w:t>
      </w:r>
      <w:r w:rsidRPr="00C863DC">
        <w:t xml:space="preserve"> </w:t>
      </w:r>
      <w:r w:rsidR="005151A0">
        <w:t xml:space="preserve">p. </w:t>
      </w:r>
      <w:r>
        <w:t>48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081114"/>
    <w:multiLevelType w:val="hybridMultilevel"/>
    <w:tmpl w:val="C85AAF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1821E3"/>
    <w:multiLevelType w:val="hybridMultilevel"/>
    <w:tmpl w:val="6A14EF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823A02"/>
    <w:multiLevelType w:val="hybridMultilevel"/>
    <w:tmpl w:val="2FA664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B93FFA"/>
    <w:multiLevelType w:val="hybridMultilevel"/>
    <w:tmpl w:val="35EC0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F5000D"/>
    <w:multiLevelType w:val="hybridMultilevel"/>
    <w:tmpl w:val="5930F3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2E7411"/>
    <w:multiLevelType w:val="hybridMultilevel"/>
    <w:tmpl w:val="E3D867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8371F03"/>
    <w:multiLevelType w:val="hybridMultilevel"/>
    <w:tmpl w:val="BD3E88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5EE1672"/>
    <w:multiLevelType w:val="hybridMultilevel"/>
    <w:tmpl w:val="9AE483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8723E1"/>
    <w:multiLevelType w:val="hybridMultilevel"/>
    <w:tmpl w:val="538690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EF7AA1"/>
    <w:multiLevelType w:val="hybridMultilevel"/>
    <w:tmpl w:val="132AAC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1877259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9903652">
    <w:abstractNumId w:val="9"/>
  </w:num>
  <w:num w:numId="3" w16cid:durableId="765422450">
    <w:abstractNumId w:val="5"/>
  </w:num>
  <w:num w:numId="4" w16cid:durableId="2029287262">
    <w:abstractNumId w:val="1"/>
  </w:num>
  <w:num w:numId="5" w16cid:durableId="1423138278">
    <w:abstractNumId w:val="0"/>
  </w:num>
  <w:num w:numId="6" w16cid:durableId="1544174232">
    <w:abstractNumId w:val="4"/>
  </w:num>
  <w:num w:numId="7" w16cid:durableId="1003120926">
    <w:abstractNumId w:val="8"/>
  </w:num>
  <w:num w:numId="8" w16cid:durableId="1335109836">
    <w:abstractNumId w:val="7"/>
  </w:num>
  <w:num w:numId="9" w16cid:durableId="266812507">
    <w:abstractNumId w:val="2"/>
  </w:num>
  <w:num w:numId="10" w16cid:durableId="472602940">
    <w:abstractNumId w:val="3"/>
  </w:num>
  <w:num w:numId="11" w16cid:durableId="678445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1702"/>
    <w:rsid w:val="0003436D"/>
    <w:rsid w:val="00064460"/>
    <w:rsid w:val="00065AFA"/>
    <w:rsid w:val="00070B44"/>
    <w:rsid w:val="00077E9B"/>
    <w:rsid w:val="0008791D"/>
    <w:rsid w:val="000C5B15"/>
    <w:rsid w:val="000D718B"/>
    <w:rsid w:val="000E1486"/>
    <w:rsid w:val="00106CC3"/>
    <w:rsid w:val="0012104D"/>
    <w:rsid w:val="001210CE"/>
    <w:rsid w:val="00124AB7"/>
    <w:rsid w:val="0013425B"/>
    <w:rsid w:val="0015145D"/>
    <w:rsid w:val="00151695"/>
    <w:rsid w:val="00154383"/>
    <w:rsid w:val="001569DA"/>
    <w:rsid w:val="001575E0"/>
    <w:rsid w:val="00180332"/>
    <w:rsid w:val="00190695"/>
    <w:rsid w:val="001926D1"/>
    <w:rsid w:val="001B01A0"/>
    <w:rsid w:val="001B244A"/>
    <w:rsid w:val="001D166E"/>
    <w:rsid w:val="001D6E41"/>
    <w:rsid w:val="001F390E"/>
    <w:rsid w:val="002168A7"/>
    <w:rsid w:val="00227855"/>
    <w:rsid w:val="00242709"/>
    <w:rsid w:val="00251CA1"/>
    <w:rsid w:val="002755E6"/>
    <w:rsid w:val="002A35B1"/>
    <w:rsid w:val="002D7B8C"/>
    <w:rsid w:val="002F0A33"/>
    <w:rsid w:val="002F13A5"/>
    <w:rsid w:val="00321045"/>
    <w:rsid w:val="0032752F"/>
    <w:rsid w:val="00334BF3"/>
    <w:rsid w:val="00341F02"/>
    <w:rsid w:val="0035042F"/>
    <w:rsid w:val="003552F8"/>
    <w:rsid w:val="00371D6F"/>
    <w:rsid w:val="00386440"/>
    <w:rsid w:val="003C5551"/>
    <w:rsid w:val="004142DC"/>
    <w:rsid w:val="00422086"/>
    <w:rsid w:val="00435732"/>
    <w:rsid w:val="0047597D"/>
    <w:rsid w:val="0047633B"/>
    <w:rsid w:val="00484786"/>
    <w:rsid w:val="004B1D3C"/>
    <w:rsid w:val="004B456C"/>
    <w:rsid w:val="004C4DF2"/>
    <w:rsid w:val="004D0B40"/>
    <w:rsid w:val="004D396B"/>
    <w:rsid w:val="004E10BF"/>
    <w:rsid w:val="00505000"/>
    <w:rsid w:val="0051104C"/>
    <w:rsid w:val="005151A0"/>
    <w:rsid w:val="005210F7"/>
    <w:rsid w:val="00551BDE"/>
    <w:rsid w:val="00582163"/>
    <w:rsid w:val="00582D70"/>
    <w:rsid w:val="00584D95"/>
    <w:rsid w:val="00587FD0"/>
    <w:rsid w:val="005A044F"/>
    <w:rsid w:val="005B2DF5"/>
    <w:rsid w:val="005B724A"/>
    <w:rsid w:val="005C26CF"/>
    <w:rsid w:val="005C3F51"/>
    <w:rsid w:val="005F641F"/>
    <w:rsid w:val="0060327B"/>
    <w:rsid w:val="006068C1"/>
    <w:rsid w:val="00607F32"/>
    <w:rsid w:val="00623CF5"/>
    <w:rsid w:val="00633C0A"/>
    <w:rsid w:val="00636DF3"/>
    <w:rsid w:val="00655199"/>
    <w:rsid w:val="006A1D4C"/>
    <w:rsid w:val="006B2EC8"/>
    <w:rsid w:val="006E7105"/>
    <w:rsid w:val="006F02BC"/>
    <w:rsid w:val="00726C9D"/>
    <w:rsid w:val="00736AFD"/>
    <w:rsid w:val="00766AC1"/>
    <w:rsid w:val="00767311"/>
    <w:rsid w:val="00792939"/>
    <w:rsid w:val="007A274D"/>
    <w:rsid w:val="007B2B27"/>
    <w:rsid w:val="007C3855"/>
    <w:rsid w:val="007D2A6B"/>
    <w:rsid w:val="007F6FE7"/>
    <w:rsid w:val="00813720"/>
    <w:rsid w:val="0084289E"/>
    <w:rsid w:val="008538E8"/>
    <w:rsid w:val="00862794"/>
    <w:rsid w:val="00864EE7"/>
    <w:rsid w:val="00886D5C"/>
    <w:rsid w:val="008A27C0"/>
    <w:rsid w:val="008B4348"/>
    <w:rsid w:val="008C6DAE"/>
    <w:rsid w:val="008F3034"/>
    <w:rsid w:val="0091090A"/>
    <w:rsid w:val="009207B9"/>
    <w:rsid w:val="00921702"/>
    <w:rsid w:val="00923A47"/>
    <w:rsid w:val="00943F8F"/>
    <w:rsid w:val="00971FD1"/>
    <w:rsid w:val="00982B54"/>
    <w:rsid w:val="00985DF6"/>
    <w:rsid w:val="0098600C"/>
    <w:rsid w:val="009B27A1"/>
    <w:rsid w:val="009C7EE3"/>
    <w:rsid w:val="009D70A4"/>
    <w:rsid w:val="00A00D6E"/>
    <w:rsid w:val="00A03B60"/>
    <w:rsid w:val="00A82B27"/>
    <w:rsid w:val="00A873AB"/>
    <w:rsid w:val="00A91A6F"/>
    <w:rsid w:val="00AC6995"/>
    <w:rsid w:val="00AC6B31"/>
    <w:rsid w:val="00AD17CF"/>
    <w:rsid w:val="00AD3876"/>
    <w:rsid w:val="00B151CD"/>
    <w:rsid w:val="00B46D04"/>
    <w:rsid w:val="00B51876"/>
    <w:rsid w:val="00BA0D3F"/>
    <w:rsid w:val="00BA411B"/>
    <w:rsid w:val="00BB29E2"/>
    <w:rsid w:val="00BB74E5"/>
    <w:rsid w:val="00BE078C"/>
    <w:rsid w:val="00C35746"/>
    <w:rsid w:val="00C54CA5"/>
    <w:rsid w:val="00C770C4"/>
    <w:rsid w:val="00C8005A"/>
    <w:rsid w:val="00C80D27"/>
    <w:rsid w:val="00C863DC"/>
    <w:rsid w:val="00CB2A09"/>
    <w:rsid w:val="00CB4526"/>
    <w:rsid w:val="00D147CA"/>
    <w:rsid w:val="00D27F2A"/>
    <w:rsid w:val="00D41EDF"/>
    <w:rsid w:val="00D55AE2"/>
    <w:rsid w:val="00D65D35"/>
    <w:rsid w:val="00D7655D"/>
    <w:rsid w:val="00D86C8E"/>
    <w:rsid w:val="00D91623"/>
    <w:rsid w:val="00DB709D"/>
    <w:rsid w:val="00DD179F"/>
    <w:rsid w:val="00DF0345"/>
    <w:rsid w:val="00DF4276"/>
    <w:rsid w:val="00E30A34"/>
    <w:rsid w:val="00E44874"/>
    <w:rsid w:val="00E44910"/>
    <w:rsid w:val="00E5066A"/>
    <w:rsid w:val="00E612BE"/>
    <w:rsid w:val="00E64A66"/>
    <w:rsid w:val="00E93165"/>
    <w:rsid w:val="00E95828"/>
    <w:rsid w:val="00EA131D"/>
    <w:rsid w:val="00EB1B7C"/>
    <w:rsid w:val="00EC347A"/>
    <w:rsid w:val="00EC53C3"/>
    <w:rsid w:val="00EE53A0"/>
    <w:rsid w:val="00EE53C7"/>
    <w:rsid w:val="00F04B29"/>
    <w:rsid w:val="00F2528D"/>
    <w:rsid w:val="00F5013C"/>
    <w:rsid w:val="00F61AA8"/>
    <w:rsid w:val="00F71F6E"/>
    <w:rsid w:val="00F764C6"/>
    <w:rsid w:val="00F84195"/>
    <w:rsid w:val="00FA091F"/>
    <w:rsid w:val="00FA1B92"/>
    <w:rsid w:val="00FA2EC5"/>
    <w:rsid w:val="00FE2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6A500C"/>
  <w15:chartTrackingRefBased/>
  <w15:docId w15:val="{046C7874-0206-4929-8FEB-A504425A26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2B2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3">
    <w:name w:val="heading 3"/>
    <w:basedOn w:val="Normal"/>
    <w:link w:val="Heading3Char"/>
    <w:qFormat/>
    <w:rsid w:val="001B01A0"/>
    <w:pPr>
      <w:keepNext/>
      <w:spacing w:after="0" w:line="240" w:lineRule="auto"/>
      <w:ind w:left="720"/>
      <w:jc w:val="both"/>
      <w:outlineLvl w:val="2"/>
    </w:pPr>
    <w:rPr>
      <w:rFonts w:ascii="Tahoma" w:eastAsia="SimSun" w:hAnsi="Tahoma" w:cs="Tahoma"/>
      <w:b/>
      <w:bCs/>
      <w:sz w:val="20"/>
      <w:szCs w:val="20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21702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17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1702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921702"/>
    <w:rPr>
      <w:rFonts w:eastAsiaTheme="minorEastAsia"/>
      <w:color w:val="5A5A5A" w:themeColor="text1" w:themeTint="A5"/>
      <w:spacing w:val="15"/>
    </w:rPr>
  </w:style>
  <w:style w:type="paragraph" w:styleId="ListParagraph">
    <w:name w:val="List Paragraph"/>
    <w:basedOn w:val="Normal"/>
    <w:uiPriority w:val="34"/>
    <w:qFormat/>
    <w:rsid w:val="00655199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AC6995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C6995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C6995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886D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86D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86D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86D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86D5C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863D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63DC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82B2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Heading3Char">
    <w:name w:val="Heading 3 Char"/>
    <w:basedOn w:val="DefaultParagraphFont"/>
    <w:link w:val="Heading3"/>
    <w:rsid w:val="001B01A0"/>
    <w:rPr>
      <w:rFonts w:ascii="Tahoma" w:eastAsia="SimSun" w:hAnsi="Tahoma" w:cs="Tahoma"/>
      <w:b/>
      <w:bCs/>
      <w:sz w:val="20"/>
      <w:szCs w:val="20"/>
      <w:lang w:eastAsia="zh-CN"/>
    </w:rPr>
  </w:style>
  <w:style w:type="paragraph" w:styleId="NormalWeb">
    <w:name w:val="Normal (Web)"/>
    <w:basedOn w:val="Normal"/>
    <w:rsid w:val="001B01A0"/>
    <w:pPr>
      <w:spacing w:before="100" w:beforeAutospacing="1" w:after="100" w:afterAutospacing="1" w:line="240" w:lineRule="auto"/>
    </w:pPr>
    <w:rPr>
      <w:rFonts w:ascii="Georgia" w:eastAsia="SimSun" w:hAnsi="Georgia" w:cs="Times New Roman"/>
      <w:color w:val="000000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69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23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71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38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10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6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874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86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17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48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847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826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2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111845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24639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18924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74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197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126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61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801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002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817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07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1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94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83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4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94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083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69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93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769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166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42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8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7786002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044538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181926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77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02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00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08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858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51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461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doi.org/10.1177/1359183506062990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i.org/10.1017/S13802038050015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524C3-4930-4DC1-BC9E-490A2E0BA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1650</TotalTime>
  <Pages>7</Pages>
  <Words>2373</Words>
  <Characters>13530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Jonathan Weekes</dc:creator>
  <cp:keywords/>
  <dc:description/>
  <cp:lastModifiedBy>Jonathan Weekes</cp:lastModifiedBy>
  <cp:revision>83</cp:revision>
  <dcterms:created xsi:type="dcterms:W3CDTF">2024-11-10T17:37:00Z</dcterms:created>
  <dcterms:modified xsi:type="dcterms:W3CDTF">2024-11-13T14:51:00Z</dcterms:modified>
</cp:coreProperties>
</file>