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650" w:type="dxa"/>
        <w:jc w:val="center"/>
        <w:tblCellSpacing w:w="15" w:type="dxa"/>
        <w:tblCellMar>
          <w:top w:w="15" w:type="dxa"/>
          <w:left w:w="15" w:type="dxa"/>
          <w:bottom w:w="15" w:type="dxa"/>
          <w:right w:w="15" w:type="dxa"/>
        </w:tblCellMar>
        <w:tblLook w:val="04A0" w:firstRow="1" w:lastRow="0" w:firstColumn="1" w:lastColumn="0" w:noHBand="0" w:noVBand="1"/>
      </w:tblPr>
      <w:tblGrid>
        <w:gridCol w:w="10650"/>
      </w:tblGrid>
      <w:tr w:rsidR="005774CC" w:rsidRPr="005774CC" w:rsidTr="005774CC">
        <w:trPr>
          <w:trHeight w:val="315"/>
          <w:tblCellSpacing w:w="15" w:type="dxa"/>
          <w:jc w:val="center"/>
        </w:trPr>
        <w:tc>
          <w:tcPr>
            <w:tcW w:w="0" w:type="auto"/>
            <w:vAlign w:val="center"/>
            <w:hideMark/>
          </w:tcPr>
          <w:p w:rsidR="005774CC" w:rsidRPr="006F7965" w:rsidRDefault="005774CC" w:rsidP="005774CC">
            <w:pPr>
              <w:spacing w:after="0" w:line="240" w:lineRule="auto"/>
              <w:jc w:val="center"/>
              <w:rPr>
                <w:rFonts w:ascii="Times New Roman" w:eastAsia="Times New Roman" w:hAnsi="Times New Roman" w:cs="Times New Roman"/>
                <w:bCs/>
                <w:color w:val="000080"/>
                <w:sz w:val="24"/>
                <w:szCs w:val="24"/>
                <w:lang w:eastAsia="en-GB"/>
              </w:rPr>
            </w:pPr>
            <w:r w:rsidRPr="005774CC">
              <w:rPr>
                <w:rFonts w:ascii="Times New Roman" w:eastAsia="Times New Roman" w:hAnsi="Times New Roman" w:cs="Times New Roman"/>
                <w:bCs/>
                <w:color w:val="000080"/>
                <w:sz w:val="24"/>
                <w:szCs w:val="24"/>
                <w:lang w:eastAsia="en-GB"/>
              </w:rPr>
              <w:t>SC</w:t>
            </w:r>
            <w:r w:rsidRPr="006F7965">
              <w:rPr>
                <w:rFonts w:ascii="Times New Roman" w:eastAsia="Times New Roman" w:hAnsi="Times New Roman" w:cs="Times New Roman"/>
                <w:bCs/>
                <w:color w:val="000080"/>
                <w:sz w:val="24"/>
                <w:szCs w:val="24"/>
                <w:lang w:eastAsia="en-GB"/>
              </w:rPr>
              <w:t xml:space="preserve"> </w:t>
            </w:r>
            <w:r w:rsidRPr="005774CC">
              <w:rPr>
                <w:rFonts w:ascii="Times New Roman" w:eastAsia="Times New Roman" w:hAnsi="Times New Roman" w:cs="Times New Roman"/>
                <w:bCs/>
                <w:color w:val="000080"/>
                <w:sz w:val="24"/>
                <w:szCs w:val="24"/>
                <w:lang w:eastAsia="en-GB"/>
              </w:rPr>
              <w:t>DE BACCHANALIBUS</w:t>
            </w:r>
          </w:p>
          <w:p w:rsidR="005774CC" w:rsidRPr="005774CC" w:rsidRDefault="005774CC" w:rsidP="005774CC">
            <w:pPr>
              <w:spacing w:after="0" w:line="240" w:lineRule="auto"/>
              <w:jc w:val="center"/>
              <w:rPr>
                <w:rFonts w:ascii="Times New Roman" w:eastAsia="Times New Roman" w:hAnsi="Times New Roman" w:cs="Times New Roman"/>
                <w:sz w:val="24"/>
                <w:szCs w:val="24"/>
                <w:lang w:eastAsia="en-GB"/>
              </w:rPr>
            </w:pPr>
            <w:r w:rsidRPr="005774CC">
              <w:rPr>
                <w:rFonts w:ascii="Times New Roman" w:eastAsia="Times New Roman" w:hAnsi="Times New Roman" w:cs="Times New Roman"/>
                <w:bCs/>
                <w:color w:val="000080"/>
                <w:sz w:val="24"/>
                <w:szCs w:val="24"/>
                <w:lang w:eastAsia="en-GB"/>
              </w:rPr>
              <w:t>  </w:t>
            </w:r>
            <w:r w:rsidRPr="005774CC">
              <w:rPr>
                <w:rFonts w:ascii="Times New Roman" w:eastAsia="Times New Roman" w:hAnsi="Times New Roman" w:cs="Times New Roman"/>
                <w:bCs/>
                <w:color w:val="000080"/>
                <w:sz w:val="24"/>
                <w:szCs w:val="24"/>
                <w:lang w:eastAsia="en-GB"/>
              </w:rPr>
              <w:br/>
              <w:t>Decree of the Roman Senate prohibiting the Bacchanalia</w:t>
            </w:r>
            <w:r w:rsidRPr="005774CC">
              <w:rPr>
                <w:rFonts w:ascii="Times New Roman" w:eastAsia="Times New Roman" w:hAnsi="Times New Roman" w:cs="Times New Roman"/>
                <w:bCs/>
                <w:color w:val="000080"/>
                <w:sz w:val="24"/>
                <w:szCs w:val="24"/>
                <w:lang w:eastAsia="en-GB"/>
              </w:rPr>
              <w:br/>
              <w:t>   </w:t>
            </w:r>
            <w:r w:rsidRPr="005774CC">
              <w:rPr>
                <w:rFonts w:ascii="Times New Roman" w:eastAsia="Times New Roman" w:hAnsi="Times New Roman" w:cs="Times New Roman"/>
                <w:bCs/>
                <w:color w:val="000080"/>
                <w:sz w:val="24"/>
                <w:szCs w:val="24"/>
                <w:lang w:eastAsia="en-GB"/>
              </w:rPr>
              <w:br/>
              <w:t>( October 7, 186 BC )</w:t>
            </w:r>
          </w:p>
        </w:tc>
      </w:tr>
      <w:tr w:rsidR="005774CC" w:rsidRPr="005774CC" w:rsidTr="005774CC">
        <w:trPr>
          <w:trHeight w:val="330"/>
          <w:tblCellSpacing w:w="15" w:type="dxa"/>
          <w:jc w:val="center"/>
        </w:trPr>
        <w:tc>
          <w:tcPr>
            <w:tcW w:w="0" w:type="auto"/>
            <w:vAlign w:val="center"/>
            <w:hideMark/>
          </w:tcPr>
          <w:p w:rsidR="005774CC" w:rsidRPr="005774CC" w:rsidRDefault="005774CC" w:rsidP="005774CC">
            <w:pPr>
              <w:spacing w:after="0" w:line="240" w:lineRule="auto"/>
              <w:jc w:val="center"/>
              <w:rPr>
                <w:rFonts w:ascii="Times New Roman" w:eastAsia="Times New Roman" w:hAnsi="Times New Roman" w:cs="Times New Roman"/>
                <w:sz w:val="24"/>
                <w:szCs w:val="24"/>
                <w:lang w:eastAsia="en-GB"/>
              </w:rPr>
            </w:pPr>
            <w:r w:rsidRPr="005774CC">
              <w:rPr>
                <w:rFonts w:ascii="Times New Roman" w:eastAsia="Times New Roman" w:hAnsi="Times New Roman" w:cs="Times New Roman"/>
                <w:sz w:val="24"/>
                <w:szCs w:val="24"/>
                <w:lang w:eastAsia="en-GB"/>
              </w:rPr>
              <w:t> </w:t>
            </w:r>
          </w:p>
        </w:tc>
      </w:tr>
      <w:tr w:rsidR="005774CC" w:rsidRPr="005774CC" w:rsidTr="005774CC">
        <w:trPr>
          <w:tblCellSpacing w:w="15" w:type="dxa"/>
          <w:jc w:val="center"/>
        </w:trPr>
        <w:tc>
          <w:tcPr>
            <w:tcW w:w="0" w:type="auto"/>
            <w:hideMark/>
          </w:tcPr>
          <w:p w:rsidR="005774CC" w:rsidRPr="005774CC" w:rsidRDefault="005774CC" w:rsidP="005774CC">
            <w:pPr>
              <w:spacing w:after="0" w:line="240" w:lineRule="auto"/>
              <w:jc w:val="center"/>
              <w:rPr>
                <w:rFonts w:ascii="Times New Roman" w:eastAsia="Times New Roman" w:hAnsi="Times New Roman" w:cs="Times New Roman"/>
                <w:sz w:val="24"/>
                <w:szCs w:val="24"/>
                <w:lang w:eastAsia="en-GB"/>
              </w:rPr>
            </w:pPr>
            <w:r w:rsidRPr="005774CC">
              <w:rPr>
                <w:rFonts w:ascii="Times New Roman" w:eastAsia="Times New Roman" w:hAnsi="Times New Roman" w:cs="Times New Roman"/>
                <w:sz w:val="24"/>
                <w:szCs w:val="24"/>
                <w:lang w:eastAsia="en-GB"/>
              </w:rPr>
              <w:pict>
                <v:rect id="_x0000_i1025" style="width:481.9pt;height:1.5pt" o:hralign="center" o:hrstd="t" o:hr="t" fillcolor="#a0a0a0" stroked="f"/>
              </w:pict>
            </w:r>
          </w:p>
          <w:p w:rsidR="005774CC" w:rsidRPr="005774CC" w:rsidRDefault="005774CC" w:rsidP="005774CC">
            <w:pPr>
              <w:spacing w:after="0" w:line="240" w:lineRule="auto"/>
              <w:jc w:val="center"/>
              <w:rPr>
                <w:rFonts w:ascii="Times New Roman" w:eastAsia="Times New Roman" w:hAnsi="Times New Roman" w:cs="Times New Roman"/>
                <w:sz w:val="24"/>
                <w:szCs w:val="24"/>
                <w:lang w:val="de-DE" w:eastAsia="en-GB"/>
              </w:rPr>
            </w:pPr>
            <w:r w:rsidRPr="006F7965">
              <w:rPr>
                <w:rFonts w:ascii="Times New Roman" w:eastAsia="Times New Roman" w:hAnsi="Times New Roman" w:cs="Times New Roman"/>
                <w:sz w:val="24"/>
                <w:szCs w:val="24"/>
                <w:lang w:val="de-DE" w:eastAsia="en-GB"/>
              </w:rPr>
              <w:t> </w:t>
            </w:r>
            <w:r w:rsidRPr="005774CC">
              <w:rPr>
                <w:rFonts w:ascii="Times New Roman" w:eastAsia="Times New Roman" w:hAnsi="Times New Roman" w:cs="Times New Roman"/>
                <w:sz w:val="24"/>
                <w:szCs w:val="24"/>
                <w:lang w:val="de-DE" w:eastAsia="en-GB"/>
              </w:rPr>
              <w:br/>
            </w:r>
            <w:r w:rsidRPr="006F7965">
              <w:rPr>
                <w:rFonts w:ascii="Times New Roman" w:eastAsia="Times New Roman" w:hAnsi="Times New Roman" w:cs="Times New Roman"/>
                <w:bCs/>
                <w:color w:val="000080"/>
                <w:sz w:val="24"/>
                <w:szCs w:val="24"/>
                <w:lang w:val="de-DE" w:eastAsia="en-GB"/>
              </w:rPr>
              <w:t>CIL X, n. 104 = ILS 18</w:t>
            </w:r>
            <w:r w:rsidRPr="006F7965">
              <w:rPr>
                <w:rFonts w:ascii="Times New Roman" w:eastAsia="Times New Roman" w:hAnsi="Times New Roman" w:cs="Times New Roman"/>
                <w:bCs/>
                <w:color w:val="000000"/>
                <w:sz w:val="24"/>
                <w:szCs w:val="24"/>
                <w:lang w:val="de-DE" w:eastAsia="en-GB"/>
              </w:rPr>
              <w:t xml:space="preserve"> </w:t>
            </w:r>
            <w:r w:rsidRPr="006F7965">
              <w:rPr>
                <w:rFonts w:ascii="Times New Roman" w:eastAsia="Times New Roman" w:hAnsi="Times New Roman" w:cs="Times New Roman"/>
                <w:bCs/>
                <w:color w:val="000080"/>
                <w:sz w:val="24"/>
                <w:szCs w:val="24"/>
                <w:lang w:val="de-DE" w:eastAsia="en-GB"/>
              </w:rPr>
              <w:t>( Epigraphik Datenbank Clauss/Slaby )</w:t>
            </w:r>
            <w:r w:rsidRPr="006F7965">
              <w:rPr>
                <w:rFonts w:ascii="Times New Roman" w:eastAsia="Times New Roman" w:hAnsi="Times New Roman" w:cs="Times New Roman"/>
                <w:color w:val="000080"/>
                <w:sz w:val="24"/>
                <w:szCs w:val="24"/>
                <w:lang w:val="de-DE" w:eastAsia="en-GB"/>
              </w:rPr>
              <w:t>.</w:t>
            </w:r>
            <w:r w:rsidRPr="005774CC">
              <w:rPr>
                <w:rFonts w:ascii="Times New Roman" w:eastAsia="Times New Roman" w:hAnsi="Times New Roman" w:cs="Times New Roman"/>
                <w:sz w:val="24"/>
                <w:szCs w:val="24"/>
                <w:lang w:val="de-DE" w:eastAsia="en-GB"/>
              </w:rPr>
              <w:br/>
            </w:r>
            <w:r w:rsidRPr="006F7965">
              <w:rPr>
                <w:rFonts w:ascii="Times New Roman" w:eastAsia="Times New Roman" w:hAnsi="Times New Roman" w:cs="Times New Roman"/>
                <w:sz w:val="24"/>
                <w:szCs w:val="24"/>
                <w:lang w:val="de-DE" w:eastAsia="en-GB"/>
              </w:rPr>
              <w:t> </w:t>
            </w:r>
          </w:p>
          <w:p w:rsidR="005774CC" w:rsidRPr="005774CC" w:rsidRDefault="005774CC" w:rsidP="005774CC">
            <w:pPr>
              <w:spacing w:after="0" w:line="240" w:lineRule="auto"/>
              <w:jc w:val="center"/>
              <w:rPr>
                <w:rFonts w:ascii="Times New Roman" w:eastAsia="Times New Roman" w:hAnsi="Times New Roman" w:cs="Times New Roman"/>
                <w:sz w:val="24"/>
                <w:szCs w:val="24"/>
                <w:lang w:eastAsia="en-GB"/>
              </w:rPr>
            </w:pPr>
            <w:r w:rsidRPr="005774CC">
              <w:rPr>
                <w:rFonts w:ascii="Times New Roman" w:eastAsia="Times New Roman" w:hAnsi="Times New Roman" w:cs="Times New Roman"/>
                <w:sz w:val="24"/>
                <w:szCs w:val="24"/>
                <w:lang w:eastAsia="en-GB"/>
              </w:rPr>
              <w:pict>
                <v:rect id="_x0000_i1026" style="width:481.9pt;height:1.5pt" o:hralign="center" o:hrstd="t" o:hr="t" fillcolor="#a0a0a0" stroked="f"/>
              </w:pict>
            </w:r>
          </w:p>
        </w:tc>
      </w:tr>
      <w:tr w:rsidR="005774CC" w:rsidRPr="005774CC" w:rsidTr="005774CC">
        <w:trPr>
          <w:trHeight w:val="315"/>
          <w:tblCellSpacing w:w="15" w:type="dxa"/>
          <w:jc w:val="center"/>
        </w:trPr>
        <w:tc>
          <w:tcPr>
            <w:tcW w:w="0" w:type="auto"/>
            <w:hideMark/>
          </w:tcPr>
          <w:p w:rsidR="005774CC" w:rsidRPr="005774CC" w:rsidRDefault="005774CC" w:rsidP="005774CC">
            <w:pPr>
              <w:spacing w:after="0" w:line="240" w:lineRule="auto"/>
              <w:jc w:val="center"/>
              <w:rPr>
                <w:rFonts w:ascii="Times New Roman" w:eastAsia="Times New Roman" w:hAnsi="Times New Roman" w:cs="Times New Roman"/>
                <w:sz w:val="24"/>
                <w:szCs w:val="24"/>
                <w:lang w:eastAsia="en-GB"/>
              </w:rPr>
            </w:pPr>
            <w:r w:rsidRPr="005774CC">
              <w:rPr>
                <w:rFonts w:ascii="Times New Roman" w:eastAsia="Times New Roman" w:hAnsi="Times New Roman" w:cs="Times New Roman"/>
                <w:sz w:val="24"/>
                <w:szCs w:val="24"/>
                <w:lang w:eastAsia="en-GB"/>
              </w:rPr>
              <w:t> </w:t>
            </w:r>
          </w:p>
        </w:tc>
      </w:tr>
      <w:tr w:rsidR="005774CC" w:rsidRPr="005774CC" w:rsidTr="005774CC">
        <w:trPr>
          <w:trHeight w:val="315"/>
          <w:tblCellSpacing w:w="15" w:type="dxa"/>
          <w:jc w:val="center"/>
        </w:trPr>
        <w:tc>
          <w:tcPr>
            <w:tcW w:w="0" w:type="auto"/>
            <w:hideMark/>
          </w:tcPr>
          <w:p w:rsidR="005774CC" w:rsidRPr="005774CC" w:rsidRDefault="005774CC" w:rsidP="005774CC">
            <w:pPr>
              <w:spacing w:after="0" w:line="240" w:lineRule="auto"/>
              <w:jc w:val="center"/>
              <w:rPr>
                <w:rFonts w:ascii="Times New Roman" w:eastAsia="Times New Roman" w:hAnsi="Times New Roman" w:cs="Times New Roman"/>
                <w:sz w:val="24"/>
                <w:szCs w:val="24"/>
                <w:lang w:eastAsia="en-GB"/>
              </w:rPr>
            </w:pPr>
            <w:r w:rsidRPr="005774CC">
              <w:rPr>
                <w:rFonts w:ascii="Times New Roman" w:eastAsia="Times New Roman" w:hAnsi="Times New Roman" w:cs="Times New Roman"/>
                <w:bCs/>
                <w:sz w:val="24"/>
                <w:szCs w:val="24"/>
                <w:lang w:eastAsia="en-GB"/>
              </w:rPr>
              <w:t>[Q(uintus)]   Marcius   L(uci)   f(ilius) S(purius) Postumius L(uci) f(ilius) co(n)s(ules) senatum consoluerunt N(onis)   Octob(ribus)   apud aedem / Duelonai sc(ribundo) arf(uerunt) M(arcus) Claudi(us) M(arci) f(ilius) L(ucius) Valeri(us) P(ubli) f(ilius) Q(uintus) Minuci(us) C(ai) f(ilius) de Bacanalibus quei foideratei / esent ita exdeicendum censuere neiquis eorum &lt;B=S&gt;acanal habuise velet seiques / esent quei sibei deicerent necesus ese Bacanal habere eeis utei ad pr(aitorem) urbanum / Romam venirent deque eeis rebus ubei eorum v&lt;e=T&gt;r[b]a audita esent utei senatus / noster decerneret dum ne minus senator(i)bus C adesent (quom e)a res cosoleretur / Bacas vir nequis adiese velet ceivis Romanus neve nominus Latini neve socium / quisquam nisei pr(aitorem) urbanum adiesent isque de senatuos sententiad dum ne / minus senatoribus C adesent quom ea res cosoleretur iousisent censuere / sacerdos nequis vir eset magister neque vir neque mulier quisquam eset / neve pecuniam quisquam eorum comoine[m h]abuise velet neve magistratum / neve pro magistratu&lt;d=O&gt; neque virum [neque mul]ierem qui(s)quam fecise velet / neve post hac inter sed conioura[se nev]e comvovise neve conspondise / neve conpromesise velet neve quisquam fidem inter sed dedise velet / sacra in &lt;o=D&gt;quoltod ne quisquam fecise velet neve in poplicod neve in / preivatod neve exstrad urbem sacra quisquam fecise velet nisei / pr(aitorem) urbanum adieset isque de senatuos sententiad dum ne minus / senatoribus C adesent quom ea res cosoleretur iousisent censuere / homines plous V oinvorsei virei atque mulieres sacra ne quisquam / fecise velet neve inter ibei virei plous duobus mulieribus plous tribus / arfuise velent nisei de pr(aitoris) urbani senatuosque sententiad utei suprad / scriptum est haice utei in coventionid exdeicatis ne minus trinum / noundinum senatuosque sententiam utei scientes esetis eorum / sententia ita fuit sei ques esent quei arvorsum ead fecisent quam suprad / scriptum est eeis rem caputalem faciendam censuere atque utei / hoce in tabolam ahenam inceideretis ita senatus aiquom censuit / uteique eam figier ioubeatis ubei facilumed gnoscier potisit atque / utei ea Bacanalia sei qua sunt exstrad quam sei quid ibei sacri est / ita utei suprad scriptum est in diebus X quibus vobeis tabelai datai / erunt faciatis utei dismota sient in agro Teurano</w:t>
            </w:r>
          </w:p>
        </w:tc>
      </w:tr>
      <w:tr w:rsidR="005774CC" w:rsidRPr="005774CC" w:rsidTr="005774CC">
        <w:trPr>
          <w:trHeight w:val="315"/>
          <w:tblCellSpacing w:w="15" w:type="dxa"/>
          <w:jc w:val="center"/>
        </w:trPr>
        <w:tc>
          <w:tcPr>
            <w:tcW w:w="0" w:type="auto"/>
            <w:hideMark/>
          </w:tcPr>
          <w:p w:rsidR="005774CC" w:rsidRPr="005774CC" w:rsidRDefault="005774CC" w:rsidP="005774CC">
            <w:pPr>
              <w:spacing w:after="0" w:line="240" w:lineRule="auto"/>
              <w:jc w:val="center"/>
              <w:rPr>
                <w:rFonts w:ascii="Times New Roman" w:eastAsia="Times New Roman" w:hAnsi="Times New Roman" w:cs="Times New Roman"/>
                <w:sz w:val="24"/>
                <w:szCs w:val="24"/>
                <w:lang w:eastAsia="en-GB"/>
              </w:rPr>
            </w:pPr>
            <w:r w:rsidRPr="005774CC">
              <w:rPr>
                <w:rFonts w:ascii="Times New Roman" w:eastAsia="Times New Roman" w:hAnsi="Times New Roman" w:cs="Times New Roman"/>
                <w:sz w:val="24"/>
                <w:szCs w:val="24"/>
                <w:lang w:eastAsia="en-GB"/>
              </w:rPr>
              <w:t> </w:t>
            </w:r>
          </w:p>
        </w:tc>
      </w:tr>
      <w:tr w:rsidR="005774CC" w:rsidRPr="005774CC" w:rsidTr="005774CC">
        <w:trPr>
          <w:tblCellSpacing w:w="15" w:type="dxa"/>
          <w:jc w:val="center"/>
        </w:trPr>
        <w:tc>
          <w:tcPr>
            <w:tcW w:w="0" w:type="auto"/>
            <w:hideMark/>
          </w:tcPr>
          <w:p w:rsidR="005774CC" w:rsidRPr="005774CC" w:rsidRDefault="005774CC" w:rsidP="005774CC">
            <w:pPr>
              <w:spacing w:after="0" w:line="240" w:lineRule="auto"/>
              <w:jc w:val="center"/>
              <w:rPr>
                <w:rFonts w:ascii="Times New Roman" w:eastAsia="Times New Roman" w:hAnsi="Times New Roman" w:cs="Times New Roman"/>
                <w:sz w:val="24"/>
                <w:szCs w:val="24"/>
                <w:lang w:eastAsia="en-GB"/>
              </w:rPr>
            </w:pPr>
            <w:r w:rsidRPr="005774CC">
              <w:rPr>
                <w:rFonts w:ascii="Times New Roman" w:eastAsia="Times New Roman" w:hAnsi="Times New Roman" w:cs="Times New Roman"/>
                <w:sz w:val="24"/>
                <w:szCs w:val="24"/>
                <w:lang w:eastAsia="en-GB"/>
              </w:rPr>
              <w:pict>
                <v:rect id="_x0000_i1027" style="width:481.9pt;height:1.5pt" o:hralign="center" o:hrstd="t" o:hr="t" fillcolor="#a0a0a0" stroked="f"/>
              </w:pict>
            </w:r>
          </w:p>
          <w:p w:rsidR="005774CC" w:rsidRPr="005774CC" w:rsidRDefault="005774CC" w:rsidP="005774CC">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6F7965">
              <w:rPr>
                <w:rFonts w:ascii="Times New Roman" w:eastAsia="Times New Roman" w:hAnsi="Times New Roman" w:cs="Times New Roman"/>
                <w:bCs/>
                <w:sz w:val="24"/>
                <w:szCs w:val="24"/>
                <w:lang w:eastAsia="en-GB"/>
              </w:rPr>
              <w:t>  </w:t>
            </w:r>
            <w:r w:rsidRPr="005774CC">
              <w:rPr>
                <w:rFonts w:ascii="Times New Roman" w:eastAsia="Times New Roman" w:hAnsi="Times New Roman" w:cs="Times New Roman"/>
                <w:bCs/>
                <w:sz w:val="24"/>
                <w:szCs w:val="24"/>
                <w:lang w:eastAsia="en-GB"/>
              </w:rPr>
              <w:br/>
            </w:r>
            <w:r w:rsidRPr="006F7965">
              <w:rPr>
                <w:rFonts w:ascii="Times New Roman" w:eastAsia="Times New Roman" w:hAnsi="Times New Roman" w:cs="Times New Roman"/>
                <w:bCs/>
                <w:color w:val="FF0000"/>
                <w:sz w:val="24"/>
                <w:szCs w:val="24"/>
                <w:lang w:eastAsia="en-GB"/>
              </w:rPr>
              <w:t>►</w:t>
            </w:r>
            <w:r w:rsidRPr="006F7965">
              <w:rPr>
                <w:rFonts w:ascii="Times New Roman" w:eastAsia="Times New Roman" w:hAnsi="Times New Roman" w:cs="Times New Roman"/>
                <w:bCs/>
                <w:sz w:val="24"/>
                <w:szCs w:val="24"/>
                <w:lang w:eastAsia="en-GB"/>
              </w:rPr>
              <w:t> </w:t>
            </w:r>
            <w:r w:rsidRPr="006F7965">
              <w:rPr>
                <w:rFonts w:ascii="Times New Roman" w:eastAsia="Times New Roman" w:hAnsi="Times New Roman" w:cs="Times New Roman"/>
                <w:bCs/>
                <w:color w:val="000000"/>
                <w:sz w:val="24"/>
                <w:szCs w:val="24"/>
                <w:u w:val="single"/>
                <w:lang w:eastAsia="en-GB"/>
              </w:rPr>
              <w:t>Bibliography</w:t>
            </w:r>
            <w:r w:rsidRPr="005774CC">
              <w:rPr>
                <w:rFonts w:ascii="Times New Roman" w:eastAsia="Times New Roman" w:hAnsi="Times New Roman" w:cs="Times New Roman"/>
                <w:bCs/>
                <w:sz w:val="24"/>
                <w:szCs w:val="24"/>
                <w:lang w:eastAsia="en-GB"/>
              </w:rPr>
              <w:br/>
            </w:r>
            <w:r w:rsidRPr="006F7965">
              <w:rPr>
                <w:rFonts w:ascii="Times New Roman" w:eastAsia="Times New Roman" w:hAnsi="Times New Roman" w:cs="Times New Roman"/>
                <w:bCs/>
                <w:sz w:val="24"/>
                <w:szCs w:val="24"/>
                <w:lang w:eastAsia="en-GB"/>
              </w:rPr>
              <w:t xml:space="preserve">  </w:t>
            </w:r>
            <w:r w:rsidRPr="005774CC">
              <w:rPr>
                <w:rFonts w:ascii="Times New Roman" w:eastAsia="Times New Roman" w:hAnsi="Times New Roman" w:cs="Times New Roman"/>
                <w:bCs/>
                <w:sz w:val="24"/>
                <w:szCs w:val="24"/>
                <w:lang w:eastAsia="en-GB"/>
              </w:rPr>
              <w:br/>
            </w:r>
            <w:r w:rsidRPr="006F7965">
              <w:rPr>
                <w:rFonts w:ascii="Times New Roman" w:eastAsia="Times New Roman" w:hAnsi="Times New Roman" w:cs="Times New Roman"/>
                <w:bCs/>
                <w:sz w:val="24"/>
                <w:szCs w:val="24"/>
                <w:lang w:eastAsia="en-GB"/>
              </w:rPr>
              <w:t xml:space="preserve">  </w:t>
            </w:r>
            <w:r w:rsidRPr="005774CC">
              <w:rPr>
                <w:rFonts w:ascii="Times New Roman" w:eastAsia="Times New Roman" w:hAnsi="Times New Roman" w:cs="Times New Roman"/>
                <w:bCs/>
                <w:sz w:val="24"/>
                <w:szCs w:val="24"/>
                <w:lang w:eastAsia="en-GB"/>
              </w:rPr>
              <w:br/>
            </w:r>
            <w:r w:rsidRPr="006F7965">
              <w:rPr>
                <w:rFonts w:ascii="Times New Roman" w:eastAsia="Times New Roman" w:hAnsi="Times New Roman" w:cs="Times New Roman"/>
                <w:bCs/>
                <w:sz w:val="24"/>
                <w:szCs w:val="24"/>
                <w:lang w:eastAsia="en-GB"/>
              </w:rPr>
              <w:t xml:space="preserve">Fabretti, </w:t>
            </w:r>
            <w:r w:rsidRPr="006F7965">
              <w:rPr>
                <w:rFonts w:ascii="Times New Roman" w:eastAsia="Times New Roman" w:hAnsi="Times New Roman" w:cs="Times New Roman"/>
                <w:bCs/>
                <w:i/>
                <w:iCs/>
                <w:sz w:val="24"/>
                <w:szCs w:val="24"/>
                <w:lang w:eastAsia="en-GB"/>
              </w:rPr>
              <w:t>Inscriptionum antiquarum quae in aedibus paternis asservantur explicatio et additamentum</w:t>
            </w:r>
            <w:r w:rsidRPr="006F7965">
              <w:rPr>
                <w:rFonts w:ascii="Times New Roman" w:eastAsia="Times New Roman" w:hAnsi="Times New Roman" w:cs="Times New Roman"/>
                <w:bCs/>
                <w:sz w:val="24"/>
                <w:szCs w:val="24"/>
                <w:lang w:eastAsia="en-GB"/>
              </w:rPr>
              <w:t xml:space="preserve">..., Roma, 1702, p. 427 ; Muratori, </w:t>
            </w:r>
            <w:r w:rsidRPr="006F7965">
              <w:rPr>
                <w:rFonts w:ascii="Times New Roman" w:eastAsia="Times New Roman" w:hAnsi="Times New Roman" w:cs="Times New Roman"/>
                <w:bCs/>
                <w:i/>
                <w:iCs/>
                <w:sz w:val="24"/>
                <w:szCs w:val="24"/>
                <w:lang w:eastAsia="en-GB"/>
              </w:rPr>
              <w:t>Novus thesaurus veterum inscriptionum</w:t>
            </w:r>
            <w:r w:rsidRPr="006F7965">
              <w:rPr>
                <w:rFonts w:ascii="Times New Roman" w:eastAsia="Times New Roman" w:hAnsi="Times New Roman" w:cs="Times New Roman"/>
                <w:bCs/>
                <w:sz w:val="24"/>
                <w:szCs w:val="24"/>
                <w:lang w:eastAsia="en-GB"/>
              </w:rPr>
              <w:t xml:space="preserve">..., II, Milano, 1739, pp. 577 and 808 ; Terrasson, </w:t>
            </w:r>
            <w:r w:rsidRPr="006F7965">
              <w:rPr>
                <w:rFonts w:ascii="Times New Roman" w:eastAsia="Times New Roman" w:hAnsi="Times New Roman" w:cs="Times New Roman"/>
                <w:bCs/>
                <w:i/>
                <w:iCs/>
                <w:sz w:val="24"/>
                <w:szCs w:val="24"/>
                <w:lang w:eastAsia="en-GB"/>
              </w:rPr>
              <w:t>Histoire de la jurisprudence romaine</w:t>
            </w:r>
            <w:r w:rsidRPr="006F7965">
              <w:rPr>
                <w:rFonts w:ascii="Times New Roman" w:eastAsia="Times New Roman" w:hAnsi="Times New Roman" w:cs="Times New Roman"/>
                <w:bCs/>
                <w:sz w:val="24"/>
                <w:szCs w:val="24"/>
                <w:lang w:eastAsia="en-GB"/>
              </w:rPr>
              <w:t xml:space="preserve">, Paris, 1750, pp. 3-4 ; Schoell, </w:t>
            </w:r>
            <w:r w:rsidRPr="006F7965">
              <w:rPr>
                <w:rFonts w:ascii="Times New Roman" w:eastAsia="Times New Roman" w:hAnsi="Times New Roman" w:cs="Times New Roman"/>
                <w:bCs/>
                <w:i/>
                <w:iCs/>
                <w:sz w:val="24"/>
                <w:szCs w:val="24"/>
                <w:lang w:eastAsia="en-GB"/>
              </w:rPr>
              <w:t>Histoire abrégée de la littérature romaine</w:t>
            </w:r>
            <w:r w:rsidRPr="006F7965">
              <w:rPr>
                <w:rFonts w:ascii="Times New Roman" w:eastAsia="Times New Roman" w:hAnsi="Times New Roman" w:cs="Times New Roman"/>
                <w:bCs/>
                <w:sz w:val="24"/>
                <w:szCs w:val="24"/>
                <w:lang w:eastAsia="en-GB"/>
              </w:rPr>
              <w:t xml:space="preserve">, I, Paris, 1815, pp. 52-55 ; Mommsen, </w:t>
            </w:r>
            <w:r w:rsidRPr="006F7965">
              <w:rPr>
                <w:rFonts w:ascii="Times New Roman" w:eastAsia="Times New Roman" w:hAnsi="Times New Roman" w:cs="Times New Roman"/>
                <w:bCs/>
                <w:i/>
                <w:iCs/>
                <w:sz w:val="24"/>
                <w:szCs w:val="24"/>
                <w:lang w:eastAsia="en-GB"/>
              </w:rPr>
              <w:t>Inscriptiones regni Neapolitani Latinae</w:t>
            </w:r>
            <w:r w:rsidRPr="006F7965">
              <w:rPr>
                <w:rFonts w:ascii="Times New Roman" w:eastAsia="Times New Roman" w:hAnsi="Times New Roman" w:cs="Times New Roman"/>
                <w:bCs/>
                <w:sz w:val="24"/>
                <w:szCs w:val="24"/>
                <w:lang w:eastAsia="en-GB"/>
              </w:rPr>
              <w:t xml:space="preserve">, Leipzig, 1852, n. 22 ; </w:t>
            </w:r>
            <w:r w:rsidRPr="006F7965">
              <w:rPr>
                <w:rFonts w:ascii="Times New Roman" w:eastAsia="Times New Roman" w:hAnsi="Times New Roman" w:cs="Times New Roman"/>
                <w:bCs/>
                <w:i/>
                <w:iCs/>
                <w:sz w:val="24"/>
                <w:szCs w:val="24"/>
                <w:lang w:eastAsia="en-GB"/>
              </w:rPr>
              <w:t>CIL </w:t>
            </w:r>
            <w:r w:rsidRPr="006F7965">
              <w:rPr>
                <w:rFonts w:ascii="Times New Roman" w:eastAsia="Times New Roman" w:hAnsi="Times New Roman" w:cs="Times New Roman"/>
                <w:bCs/>
                <w:sz w:val="24"/>
                <w:szCs w:val="24"/>
                <w:lang w:eastAsia="en-GB"/>
              </w:rPr>
              <w:t>I</w:t>
            </w:r>
            <w:r w:rsidRPr="006F7965">
              <w:rPr>
                <w:rFonts w:ascii="Courier New" w:eastAsia="Times New Roman" w:hAnsi="Courier New" w:cs="Courier New"/>
                <w:bCs/>
                <w:sz w:val="20"/>
                <w:szCs w:val="20"/>
                <w:lang w:eastAsia="en-GB"/>
              </w:rPr>
              <w:t>1</w:t>
            </w:r>
            <w:r w:rsidRPr="006F7965">
              <w:rPr>
                <w:rFonts w:ascii="Times New Roman" w:eastAsia="Times New Roman" w:hAnsi="Times New Roman" w:cs="Times New Roman"/>
                <w:bCs/>
                <w:sz w:val="24"/>
                <w:szCs w:val="24"/>
                <w:lang w:eastAsia="en-GB"/>
              </w:rPr>
              <w:t xml:space="preserve"> (1863), n. 196 ; Weinbrodt, </w:t>
            </w:r>
            <w:r w:rsidRPr="006F7965">
              <w:rPr>
                <w:rFonts w:ascii="Times New Roman" w:eastAsia="Times New Roman" w:hAnsi="Times New Roman" w:cs="Times New Roman"/>
                <w:bCs/>
                <w:i/>
                <w:iCs/>
                <w:sz w:val="24"/>
                <w:szCs w:val="24"/>
                <w:lang w:eastAsia="en-GB"/>
              </w:rPr>
              <w:t>Observationes in S.C. de Bacchanalibus</w:t>
            </w:r>
            <w:r w:rsidRPr="006F7965">
              <w:rPr>
                <w:rFonts w:ascii="Times New Roman" w:eastAsia="Times New Roman" w:hAnsi="Times New Roman" w:cs="Times New Roman"/>
                <w:bCs/>
                <w:sz w:val="24"/>
                <w:szCs w:val="24"/>
                <w:lang w:eastAsia="en-GB"/>
              </w:rPr>
              <w:t xml:space="preserve">, Braunsberg, 1879 ; </w:t>
            </w:r>
            <w:r w:rsidRPr="006F7965">
              <w:rPr>
                <w:rFonts w:ascii="Times New Roman" w:eastAsia="Times New Roman" w:hAnsi="Times New Roman" w:cs="Times New Roman"/>
                <w:bCs/>
                <w:i/>
                <w:iCs/>
                <w:sz w:val="24"/>
                <w:szCs w:val="24"/>
                <w:lang w:eastAsia="en-GB"/>
              </w:rPr>
              <w:t>CIL</w:t>
            </w:r>
            <w:r w:rsidRPr="006F7965">
              <w:rPr>
                <w:rFonts w:ascii="Times New Roman" w:eastAsia="Times New Roman" w:hAnsi="Times New Roman" w:cs="Times New Roman"/>
                <w:bCs/>
                <w:sz w:val="24"/>
                <w:szCs w:val="24"/>
                <w:lang w:eastAsia="en-GB"/>
              </w:rPr>
              <w:t xml:space="preserve"> X (1883), n. 104 ; Willems, </w:t>
            </w:r>
            <w:r w:rsidRPr="006F7965">
              <w:rPr>
                <w:rFonts w:ascii="Times New Roman" w:eastAsia="Times New Roman" w:hAnsi="Times New Roman" w:cs="Times New Roman"/>
                <w:bCs/>
                <w:i/>
                <w:iCs/>
                <w:sz w:val="24"/>
                <w:szCs w:val="24"/>
                <w:lang w:eastAsia="en-GB"/>
              </w:rPr>
              <w:t>Le Sénat de la République Romaine</w:t>
            </w:r>
            <w:r w:rsidRPr="006F7965">
              <w:rPr>
                <w:rFonts w:ascii="Times New Roman" w:eastAsia="Times New Roman" w:hAnsi="Times New Roman" w:cs="Times New Roman"/>
                <w:bCs/>
                <w:sz w:val="24"/>
                <w:szCs w:val="24"/>
                <w:lang w:eastAsia="en-GB"/>
              </w:rPr>
              <w:t xml:space="preserve">, II, Paris, 1885, pp. 287-288, 316-319 and 326 ; De Ruggiero, </w:t>
            </w:r>
            <w:r w:rsidRPr="006F7965">
              <w:rPr>
                <w:rFonts w:ascii="Times New Roman" w:eastAsia="Times New Roman" w:hAnsi="Times New Roman" w:cs="Times New Roman"/>
                <w:bCs/>
                <w:i/>
                <w:iCs/>
                <w:sz w:val="24"/>
                <w:szCs w:val="24"/>
                <w:lang w:eastAsia="en-GB"/>
              </w:rPr>
              <w:t>Dizionario epigrafico di antichità romane</w:t>
            </w:r>
            <w:r w:rsidRPr="006F7965">
              <w:rPr>
                <w:rFonts w:ascii="Times New Roman" w:eastAsia="Times New Roman" w:hAnsi="Times New Roman" w:cs="Times New Roman"/>
                <w:bCs/>
                <w:sz w:val="24"/>
                <w:szCs w:val="24"/>
                <w:lang w:eastAsia="en-GB"/>
              </w:rPr>
              <w:t xml:space="preserve">, Roma, 1886-1895, p. 956 ; Mommsen, </w:t>
            </w:r>
            <w:r w:rsidRPr="006F7965">
              <w:rPr>
                <w:rFonts w:ascii="Times New Roman" w:eastAsia="Times New Roman" w:hAnsi="Times New Roman" w:cs="Times New Roman"/>
                <w:bCs/>
                <w:i/>
                <w:iCs/>
                <w:sz w:val="24"/>
                <w:szCs w:val="24"/>
                <w:lang w:eastAsia="en-GB"/>
              </w:rPr>
              <w:t>Römisches Staatsrecht</w:t>
            </w:r>
            <w:r w:rsidRPr="006F7965">
              <w:rPr>
                <w:rFonts w:ascii="Times New Roman" w:eastAsia="Times New Roman" w:hAnsi="Times New Roman" w:cs="Times New Roman"/>
                <w:bCs/>
                <w:sz w:val="24"/>
                <w:szCs w:val="24"/>
                <w:lang w:eastAsia="en-GB"/>
              </w:rPr>
              <w:t xml:space="preserve">, III, Leipzig, 1887, p. 696 ; Dessau, </w:t>
            </w:r>
            <w:r w:rsidRPr="006F7965">
              <w:rPr>
                <w:rFonts w:ascii="Times New Roman" w:eastAsia="Times New Roman" w:hAnsi="Times New Roman" w:cs="Times New Roman"/>
                <w:bCs/>
                <w:i/>
                <w:iCs/>
                <w:color w:val="000000"/>
                <w:sz w:val="24"/>
                <w:szCs w:val="24"/>
                <w:lang w:eastAsia="en-GB"/>
              </w:rPr>
              <w:t>Inscriptiones Latinae Selectae</w:t>
            </w:r>
            <w:r w:rsidRPr="006F7965">
              <w:rPr>
                <w:rFonts w:ascii="Times New Roman" w:eastAsia="Times New Roman" w:hAnsi="Times New Roman" w:cs="Times New Roman"/>
                <w:bCs/>
                <w:color w:val="000000"/>
                <w:sz w:val="24"/>
                <w:szCs w:val="24"/>
                <w:lang w:eastAsia="en-GB"/>
              </w:rPr>
              <w:t xml:space="preserve">, </w:t>
            </w:r>
            <w:r w:rsidRPr="006F7965">
              <w:rPr>
                <w:rFonts w:ascii="Times New Roman" w:eastAsia="Times New Roman" w:hAnsi="Times New Roman" w:cs="Times New Roman"/>
                <w:bCs/>
                <w:sz w:val="24"/>
                <w:szCs w:val="24"/>
                <w:lang w:eastAsia="en-GB"/>
              </w:rPr>
              <w:t xml:space="preserve">Berlin, 1892-1916, </w:t>
            </w:r>
            <w:r w:rsidRPr="006F7965">
              <w:rPr>
                <w:rFonts w:ascii="Times New Roman" w:eastAsia="Times New Roman" w:hAnsi="Times New Roman" w:cs="Times New Roman"/>
                <w:bCs/>
                <w:sz w:val="24"/>
                <w:szCs w:val="24"/>
                <w:lang w:eastAsia="en-GB"/>
              </w:rPr>
              <w:lastRenderedPageBreak/>
              <w:t xml:space="preserve">n. 18 ;  Woelfflin, </w:t>
            </w:r>
            <w:r w:rsidRPr="006F7965">
              <w:rPr>
                <w:rFonts w:ascii="Times New Roman" w:eastAsia="Times New Roman" w:hAnsi="Times New Roman" w:cs="Times New Roman"/>
                <w:bCs/>
                <w:i/>
                <w:iCs/>
                <w:sz w:val="24"/>
                <w:szCs w:val="24"/>
                <w:lang w:eastAsia="en-GB"/>
              </w:rPr>
              <w:t>Archiv. für lateinische Lexicographie und Grammatik</w:t>
            </w:r>
            <w:r w:rsidRPr="006F7965">
              <w:rPr>
                <w:rFonts w:ascii="Times New Roman" w:eastAsia="Times New Roman" w:hAnsi="Times New Roman" w:cs="Times New Roman"/>
                <w:bCs/>
                <w:sz w:val="24"/>
                <w:szCs w:val="24"/>
                <w:lang w:eastAsia="en-GB"/>
              </w:rPr>
              <w:t xml:space="preserve">, 9, 1894-1896, pp. 574 ss. ; </w:t>
            </w:r>
            <w:r w:rsidRPr="006F7965">
              <w:rPr>
                <w:rFonts w:ascii="Times New Roman" w:eastAsia="Times New Roman" w:hAnsi="Times New Roman" w:cs="Times New Roman"/>
                <w:bCs/>
                <w:i/>
                <w:iCs/>
                <w:sz w:val="24"/>
                <w:szCs w:val="24"/>
                <w:lang w:eastAsia="en-GB"/>
              </w:rPr>
              <w:t xml:space="preserve">Inschrift des ... </w:t>
            </w:r>
            <w:r w:rsidRPr="006F7965">
              <w:rPr>
                <w:rFonts w:ascii="Times New Roman" w:eastAsia="Times New Roman" w:hAnsi="Times New Roman" w:cs="Times New Roman"/>
                <w:bCs/>
                <w:i/>
                <w:iCs/>
                <w:sz w:val="24"/>
                <w:szCs w:val="24"/>
                <w:lang w:val="de-DE" w:eastAsia="en-GB"/>
              </w:rPr>
              <w:t>S.C. de Bacchanalibus, Epigraphische Beiträge II, Sitzungsberichte der Bayerischen Akademie der Wissenchaften, philosoph.-histor. Klasse</w:t>
            </w:r>
            <w:r w:rsidRPr="006F7965">
              <w:rPr>
                <w:rFonts w:ascii="Times New Roman" w:eastAsia="Times New Roman" w:hAnsi="Times New Roman" w:cs="Times New Roman"/>
                <w:bCs/>
                <w:sz w:val="24"/>
                <w:szCs w:val="24"/>
                <w:lang w:val="de-DE" w:eastAsia="en-GB"/>
              </w:rPr>
              <w:t xml:space="preserve">, München, 1896, pp. 184-187 ; Wissowa, </w:t>
            </w:r>
            <w:r w:rsidRPr="006F7965">
              <w:rPr>
                <w:rFonts w:ascii="Times New Roman" w:eastAsia="Times New Roman" w:hAnsi="Times New Roman" w:cs="Times New Roman"/>
                <w:bCs/>
                <w:i/>
                <w:iCs/>
                <w:sz w:val="24"/>
                <w:szCs w:val="24"/>
                <w:lang w:val="de-DE" w:eastAsia="en-GB"/>
              </w:rPr>
              <w:t>RE</w:t>
            </w:r>
            <w:r w:rsidRPr="006F7965">
              <w:rPr>
                <w:rFonts w:ascii="Times New Roman" w:eastAsia="Times New Roman" w:hAnsi="Times New Roman" w:cs="Times New Roman"/>
                <w:bCs/>
                <w:sz w:val="24"/>
                <w:szCs w:val="24"/>
                <w:lang w:val="de-DE" w:eastAsia="en-GB"/>
              </w:rPr>
              <w:t xml:space="preserve">, II, Stuttgart, 1896, c. 2721 ; Soltau, </w:t>
            </w:r>
            <w:r w:rsidRPr="006F7965">
              <w:rPr>
                <w:rFonts w:ascii="Times New Roman" w:eastAsia="Times New Roman" w:hAnsi="Times New Roman" w:cs="Times New Roman"/>
                <w:bCs/>
                <w:i/>
                <w:iCs/>
                <w:sz w:val="24"/>
                <w:szCs w:val="24"/>
                <w:lang w:val="de-DE" w:eastAsia="en-GB"/>
              </w:rPr>
              <w:t>Livius Gesichtswerk : seine Komposition und seine Quellen</w:t>
            </w:r>
            <w:r w:rsidRPr="006F7965">
              <w:rPr>
                <w:rFonts w:ascii="Times New Roman" w:eastAsia="Times New Roman" w:hAnsi="Times New Roman" w:cs="Times New Roman"/>
                <w:bCs/>
                <w:sz w:val="24"/>
                <w:szCs w:val="24"/>
                <w:lang w:val="de-DE" w:eastAsia="en-GB"/>
              </w:rPr>
              <w:t xml:space="preserve">, Leipzig, 1897, pp. 44-45 ; Wissowa, </w:t>
            </w:r>
            <w:r w:rsidRPr="006F7965">
              <w:rPr>
                <w:rFonts w:ascii="Times New Roman" w:eastAsia="Times New Roman" w:hAnsi="Times New Roman" w:cs="Times New Roman"/>
                <w:bCs/>
                <w:i/>
                <w:iCs/>
                <w:sz w:val="24"/>
                <w:szCs w:val="24"/>
                <w:lang w:val="de-DE" w:eastAsia="en-GB"/>
              </w:rPr>
              <w:t>Religion und Kultus der Römer</w:t>
            </w:r>
            <w:r w:rsidRPr="006F7965">
              <w:rPr>
                <w:rFonts w:ascii="Times New Roman" w:eastAsia="Times New Roman" w:hAnsi="Times New Roman" w:cs="Times New Roman"/>
                <w:bCs/>
                <w:sz w:val="24"/>
                <w:szCs w:val="24"/>
                <w:lang w:val="de-DE" w:eastAsia="en-GB"/>
              </w:rPr>
              <w:t xml:space="preserve">, München, 1902, p. 58, p. 248 ; Reinach, </w:t>
            </w:r>
            <w:r w:rsidRPr="006F7965">
              <w:rPr>
                <w:rFonts w:ascii="Times New Roman" w:eastAsia="Times New Roman" w:hAnsi="Times New Roman" w:cs="Times New Roman"/>
                <w:bCs/>
                <w:i/>
                <w:iCs/>
                <w:sz w:val="24"/>
                <w:szCs w:val="24"/>
                <w:lang w:val="de-DE" w:eastAsia="en-GB"/>
              </w:rPr>
              <w:t>Rev. arch.</w:t>
            </w:r>
            <w:r w:rsidRPr="006F7965">
              <w:rPr>
                <w:rFonts w:ascii="Times New Roman" w:eastAsia="Times New Roman" w:hAnsi="Times New Roman" w:cs="Times New Roman"/>
                <w:bCs/>
                <w:sz w:val="24"/>
                <w:szCs w:val="24"/>
                <w:lang w:val="de-DE" w:eastAsia="en-GB"/>
              </w:rPr>
              <w:t xml:space="preserve">, 11, 1908, pp. 236-253 ; Bruns, </w:t>
            </w:r>
            <w:r w:rsidRPr="006F7965">
              <w:rPr>
                <w:rFonts w:ascii="Times New Roman" w:eastAsia="Times New Roman" w:hAnsi="Times New Roman" w:cs="Times New Roman"/>
                <w:bCs/>
                <w:i/>
                <w:iCs/>
                <w:sz w:val="24"/>
                <w:szCs w:val="24"/>
                <w:lang w:val="de-DE" w:eastAsia="en-GB"/>
              </w:rPr>
              <w:t>Fontes iuris Romani antiqui</w:t>
            </w:r>
            <w:r w:rsidRPr="006F7965">
              <w:rPr>
                <w:rFonts w:ascii="Times New Roman" w:eastAsia="Times New Roman" w:hAnsi="Times New Roman" w:cs="Times New Roman"/>
                <w:bCs/>
                <w:sz w:val="24"/>
                <w:szCs w:val="24"/>
                <w:lang w:val="de-DE" w:eastAsia="en-GB"/>
              </w:rPr>
              <w:t>, I, Tübingen, 1909, pp. 164-166, n. 36 ; Bruns,</w:t>
            </w:r>
            <w:r w:rsidRPr="006F7965">
              <w:rPr>
                <w:rFonts w:ascii="Times New Roman" w:eastAsia="Times New Roman" w:hAnsi="Times New Roman" w:cs="Times New Roman"/>
                <w:bCs/>
                <w:i/>
                <w:iCs/>
                <w:sz w:val="24"/>
                <w:szCs w:val="24"/>
                <w:lang w:val="de-DE" w:eastAsia="en-GB"/>
              </w:rPr>
              <w:t> Simulacra</w:t>
            </w:r>
            <w:r w:rsidRPr="006F7965">
              <w:rPr>
                <w:rFonts w:ascii="Times New Roman" w:eastAsia="Times New Roman" w:hAnsi="Times New Roman" w:cs="Times New Roman"/>
                <w:bCs/>
                <w:sz w:val="24"/>
                <w:szCs w:val="24"/>
                <w:lang w:val="de-DE" w:eastAsia="en-GB"/>
              </w:rPr>
              <w:t xml:space="preserve">, Tübingen, 1912, p. III ; Strachan-Davidson, </w:t>
            </w:r>
            <w:r w:rsidRPr="006F7965">
              <w:rPr>
                <w:rFonts w:ascii="Times New Roman" w:eastAsia="Times New Roman" w:hAnsi="Times New Roman" w:cs="Times New Roman"/>
                <w:bCs/>
                <w:i/>
                <w:iCs/>
                <w:sz w:val="24"/>
                <w:szCs w:val="24"/>
                <w:lang w:val="de-DE" w:eastAsia="en-GB"/>
              </w:rPr>
              <w:t>Problems of Roman criminal law</w:t>
            </w:r>
            <w:r w:rsidRPr="006F7965">
              <w:rPr>
                <w:rFonts w:ascii="Times New Roman" w:eastAsia="Times New Roman" w:hAnsi="Times New Roman" w:cs="Times New Roman"/>
                <w:bCs/>
                <w:sz w:val="24"/>
                <w:szCs w:val="24"/>
                <w:lang w:val="de-DE" w:eastAsia="en-GB"/>
              </w:rPr>
              <w:t>, I, Oxford 1912, p. 232 ; </w:t>
            </w:r>
            <w:r w:rsidRPr="006F7965">
              <w:rPr>
                <w:rFonts w:ascii="Times New Roman" w:eastAsia="Times New Roman" w:hAnsi="Times New Roman" w:cs="Times New Roman"/>
                <w:bCs/>
                <w:i/>
                <w:iCs/>
                <w:sz w:val="24"/>
                <w:szCs w:val="24"/>
                <w:lang w:val="de-DE" w:eastAsia="en-GB"/>
              </w:rPr>
              <w:t>CIL</w:t>
            </w:r>
            <w:r w:rsidRPr="006F7965">
              <w:rPr>
                <w:rFonts w:ascii="Times New Roman" w:eastAsia="Times New Roman" w:hAnsi="Times New Roman" w:cs="Times New Roman"/>
                <w:bCs/>
                <w:sz w:val="24"/>
                <w:szCs w:val="24"/>
                <w:lang w:val="de-DE" w:eastAsia="en-GB"/>
              </w:rPr>
              <w:t xml:space="preserve"> I</w:t>
            </w:r>
            <w:r w:rsidRPr="006F7965">
              <w:rPr>
                <w:rFonts w:ascii="Courier New" w:eastAsia="Times New Roman" w:hAnsi="Courier New" w:cs="Courier New"/>
                <w:bCs/>
                <w:sz w:val="20"/>
                <w:szCs w:val="20"/>
                <w:lang w:val="de-DE" w:eastAsia="en-GB"/>
              </w:rPr>
              <w:t>2</w:t>
            </w:r>
            <w:r w:rsidRPr="006F7965">
              <w:rPr>
                <w:rFonts w:ascii="Times New Roman" w:eastAsia="Times New Roman" w:hAnsi="Times New Roman" w:cs="Times New Roman"/>
                <w:bCs/>
                <w:sz w:val="24"/>
                <w:szCs w:val="24"/>
                <w:lang w:val="de-DE" w:eastAsia="en-GB"/>
              </w:rPr>
              <w:t xml:space="preserve"> (1918), n. 581 ; Lenormant, </w:t>
            </w:r>
            <w:r w:rsidRPr="006F7965">
              <w:rPr>
                <w:rFonts w:ascii="Times New Roman" w:eastAsia="Times New Roman" w:hAnsi="Times New Roman" w:cs="Times New Roman"/>
                <w:bCs/>
                <w:i/>
                <w:iCs/>
                <w:sz w:val="24"/>
                <w:szCs w:val="24"/>
                <w:lang w:val="de-DE" w:eastAsia="en-GB"/>
              </w:rPr>
              <w:t>DS</w:t>
            </w:r>
            <w:r w:rsidRPr="006F7965">
              <w:rPr>
                <w:rFonts w:ascii="Times New Roman" w:eastAsia="Times New Roman" w:hAnsi="Times New Roman" w:cs="Times New Roman"/>
                <w:bCs/>
                <w:sz w:val="24"/>
                <w:szCs w:val="24"/>
                <w:lang w:val="de-DE" w:eastAsia="en-GB"/>
              </w:rPr>
              <w:t xml:space="preserve">, I, 1, Paris, 1926 ; Frank, </w:t>
            </w:r>
            <w:r w:rsidRPr="006F7965">
              <w:rPr>
                <w:rFonts w:ascii="Times New Roman" w:eastAsia="Times New Roman" w:hAnsi="Times New Roman" w:cs="Times New Roman"/>
                <w:bCs/>
                <w:i/>
                <w:iCs/>
                <w:sz w:val="24"/>
                <w:szCs w:val="24"/>
                <w:lang w:val="de-DE" w:eastAsia="en-GB"/>
              </w:rPr>
              <w:t>CQ</w:t>
            </w:r>
            <w:r w:rsidRPr="006F7965">
              <w:rPr>
                <w:rFonts w:ascii="Times New Roman" w:eastAsia="Times New Roman" w:hAnsi="Times New Roman" w:cs="Times New Roman"/>
                <w:bCs/>
                <w:sz w:val="24"/>
                <w:szCs w:val="24"/>
                <w:lang w:val="de-DE" w:eastAsia="en-GB"/>
              </w:rPr>
              <w:t xml:space="preserve">, 21, 1927, pp. 128-132 ; Cumont, </w:t>
            </w:r>
            <w:r w:rsidRPr="006F7965">
              <w:rPr>
                <w:rFonts w:ascii="Times New Roman" w:eastAsia="Times New Roman" w:hAnsi="Times New Roman" w:cs="Times New Roman"/>
                <w:bCs/>
                <w:i/>
                <w:iCs/>
                <w:sz w:val="24"/>
                <w:szCs w:val="24"/>
                <w:lang w:val="de-DE" w:eastAsia="en-GB"/>
              </w:rPr>
              <w:t>Les religions orientales dans le paganisme romain : Les mystères de Bacchus à Rome</w:t>
            </w:r>
            <w:r w:rsidRPr="006F7965">
              <w:rPr>
                <w:rFonts w:ascii="Times New Roman" w:eastAsia="Times New Roman" w:hAnsi="Times New Roman" w:cs="Times New Roman"/>
                <w:bCs/>
                <w:sz w:val="24"/>
                <w:szCs w:val="24"/>
                <w:lang w:val="de-DE" w:eastAsia="en-GB"/>
              </w:rPr>
              <w:t xml:space="preserve">, Paris, 1929, pp. 195-204 ; Fraenkel, </w:t>
            </w:r>
            <w:r w:rsidRPr="006F7965">
              <w:rPr>
                <w:rFonts w:ascii="Times New Roman" w:eastAsia="Times New Roman" w:hAnsi="Times New Roman" w:cs="Times New Roman"/>
                <w:bCs/>
                <w:i/>
                <w:iCs/>
                <w:sz w:val="24"/>
                <w:szCs w:val="24"/>
                <w:lang w:val="de-DE" w:eastAsia="en-GB"/>
              </w:rPr>
              <w:t>Hermes</w:t>
            </w:r>
            <w:r w:rsidRPr="006F7965">
              <w:rPr>
                <w:rFonts w:ascii="Times New Roman" w:eastAsia="Times New Roman" w:hAnsi="Times New Roman" w:cs="Times New Roman"/>
                <w:bCs/>
                <w:sz w:val="24"/>
                <w:szCs w:val="24"/>
                <w:lang w:val="de-DE" w:eastAsia="en-GB"/>
              </w:rPr>
              <w:t xml:space="preserve">, 67, 1932, pp. 369-396 ; Keil, </w:t>
            </w:r>
            <w:r w:rsidRPr="006F7965">
              <w:rPr>
                <w:rFonts w:ascii="Times New Roman" w:eastAsia="Times New Roman" w:hAnsi="Times New Roman" w:cs="Times New Roman"/>
                <w:bCs/>
                <w:i/>
                <w:iCs/>
                <w:sz w:val="24"/>
                <w:szCs w:val="24"/>
                <w:lang w:val="de-DE" w:eastAsia="en-GB"/>
              </w:rPr>
              <w:t>Hermes</w:t>
            </w:r>
            <w:r w:rsidRPr="006F7965">
              <w:rPr>
                <w:rFonts w:ascii="Times New Roman" w:eastAsia="Times New Roman" w:hAnsi="Times New Roman" w:cs="Times New Roman"/>
                <w:bCs/>
                <w:sz w:val="24"/>
                <w:szCs w:val="24"/>
                <w:lang w:val="de-DE" w:eastAsia="en-GB"/>
              </w:rPr>
              <w:t xml:space="preserve">, 68, 1933, pp. 306 ss. ; Massoneau, </w:t>
            </w:r>
            <w:r w:rsidRPr="006F7965">
              <w:rPr>
                <w:rFonts w:ascii="Times New Roman" w:eastAsia="Times New Roman" w:hAnsi="Times New Roman" w:cs="Times New Roman"/>
                <w:bCs/>
                <w:i/>
                <w:iCs/>
                <w:sz w:val="24"/>
                <w:szCs w:val="24"/>
                <w:lang w:val="de-DE" w:eastAsia="en-GB"/>
              </w:rPr>
              <w:t>Le crime de magie et le droit romain</w:t>
            </w:r>
            <w:r w:rsidRPr="006F7965">
              <w:rPr>
                <w:rFonts w:ascii="Times New Roman" w:eastAsia="Times New Roman" w:hAnsi="Times New Roman" w:cs="Times New Roman"/>
                <w:bCs/>
                <w:sz w:val="24"/>
                <w:szCs w:val="24"/>
                <w:lang w:val="de-DE" w:eastAsia="en-GB"/>
              </w:rPr>
              <w:t xml:space="preserve">, Paris, 1933, pp. 151-158 ; Leumann, </w:t>
            </w:r>
            <w:r w:rsidRPr="006F7965">
              <w:rPr>
                <w:rFonts w:ascii="Times New Roman" w:eastAsia="Times New Roman" w:hAnsi="Times New Roman" w:cs="Times New Roman"/>
                <w:bCs/>
                <w:i/>
                <w:iCs/>
                <w:sz w:val="24"/>
                <w:szCs w:val="24"/>
                <w:lang w:val="de-DE" w:eastAsia="en-GB"/>
              </w:rPr>
              <w:t>Glotta</w:t>
            </w:r>
            <w:r w:rsidRPr="006F7965">
              <w:rPr>
                <w:rFonts w:ascii="Times New Roman" w:eastAsia="Times New Roman" w:hAnsi="Times New Roman" w:cs="Times New Roman"/>
                <w:bCs/>
                <w:sz w:val="24"/>
                <w:szCs w:val="24"/>
                <w:lang w:val="de-DE" w:eastAsia="en-GB"/>
              </w:rPr>
              <w:t xml:space="preserve">, 23, 1934, p. 121 ; Massoneau, </w:t>
            </w:r>
            <w:r w:rsidRPr="006F7965">
              <w:rPr>
                <w:rFonts w:ascii="Times New Roman" w:eastAsia="Times New Roman" w:hAnsi="Times New Roman" w:cs="Times New Roman"/>
                <w:bCs/>
                <w:i/>
                <w:iCs/>
                <w:sz w:val="24"/>
                <w:szCs w:val="24"/>
                <w:lang w:val="de-DE" w:eastAsia="en-GB"/>
              </w:rPr>
              <w:t>La magie dans l'antiquité romaine</w:t>
            </w:r>
            <w:r w:rsidRPr="006F7965">
              <w:rPr>
                <w:rFonts w:ascii="Times New Roman" w:eastAsia="Times New Roman" w:hAnsi="Times New Roman" w:cs="Times New Roman"/>
                <w:bCs/>
                <w:sz w:val="24"/>
                <w:szCs w:val="24"/>
                <w:lang w:val="de-DE" w:eastAsia="en-GB"/>
              </w:rPr>
              <w:t xml:space="preserve">, 1934, pp. 151 ss. ; Arangio-Ruiz, </w:t>
            </w:r>
            <w:r w:rsidRPr="006F7965">
              <w:rPr>
                <w:rFonts w:ascii="Times New Roman" w:eastAsia="Times New Roman" w:hAnsi="Times New Roman" w:cs="Times New Roman"/>
                <w:bCs/>
                <w:i/>
                <w:iCs/>
                <w:sz w:val="24"/>
                <w:szCs w:val="24"/>
                <w:lang w:val="de-DE" w:eastAsia="en-GB"/>
              </w:rPr>
              <w:t>SHDI</w:t>
            </w:r>
            <w:r w:rsidRPr="006F7965">
              <w:rPr>
                <w:rFonts w:ascii="Times New Roman" w:eastAsia="Times New Roman" w:hAnsi="Times New Roman" w:cs="Times New Roman"/>
                <w:bCs/>
                <w:sz w:val="24"/>
                <w:szCs w:val="24"/>
                <w:lang w:val="de-DE" w:eastAsia="en-GB"/>
              </w:rPr>
              <w:t xml:space="preserve">, 7, 1936, p. 518 ; Gelzer, </w:t>
            </w:r>
            <w:r w:rsidRPr="006F7965">
              <w:rPr>
                <w:rFonts w:ascii="Times New Roman" w:eastAsia="Times New Roman" w:hAnsi="Times New Roman" w:cs="Times New Roman"/>
                <w:bCs/>
                <w:i/>
                <w:iCs/>
                <w:sz w:val="24"/>
                <w:szCs w:val="24"/>
                <w:lang w:val="de-DE" w:eastAsia="en-GB"/>
              </w:rPr>
              <w:t>Hermes</w:t>
            </w:r>
            <w:r w:rsidRPr="006F7965">
              <w:rPr>
                <w:rFonts w:ascii="Times New Roman" w:eastAsia="Times New Roman" w:hAnsi="Times New Roman" w:cs="Times New Roman"/>
                <w:bCs/>
                <w:sz w:val="24"/>
                <w:szCs w:val="24"/>
                <w:lang w:val="de-DE" w:eastAsia="en-GB"/>
              </w:rPr>
              <w:t xml:space="preserve">, 71, 1936, pp. 275-287 ; Krause, </w:t>
            </w:r>
            <w:r w:rsidRPr="006F7965">
              <w:rPr>
                <w:rFonts w:ascii="Times New Roman" w:eastAsia="Times New Roman" w:hAnsi="Times New Roman" w:cs="Times New Roman"/>
                <w:bCs/>
                <w:i/>
                <w:iCs/>
                <w:sz w:val="24"/>
                <w:szCs w:val="24"/>
                <w:lang w:val="de-DE" w:eastAsia="en-GB"/>
              </w:rPr>
              <w:t>Hermes</w:t>
            </w:r>
            <w:r w:rsidRPr="006F7965">
              <w:rPr>
                <w:rFonts w:ascii="Times New Roman" w:eastAsia="Times New Roman" w:hAnsi="Times New Roman" w:cs="Times New Roman"/>
                <w:bCs/>
                <w:sz w:val="24"/>
                <w:szCs w:val="24"/>
                <w:lang w:val="de-DE" w:eastAsia="en-GB"/>
              </w:rPr>
              <w:t xml:space="preserve">, 71, 1936, pp. 214-220 ; O' Brien-Moore, </w:t>
            </w:r>
            <w:r w:rsidRPr="006F7965">
              <w:rPr>
                <w:rFonts w:ascii="Times New Roman" w:eastAsia="Times New Roman" w:hAnsi="Times New Roman" w:cs="Times New Roman"/>
                <w:bCs/>
                <w:i/>
                <w:iCs/>
                <w:sz w:val="24"/>
                <w:szCs w:val="24"/>
                <w:lang w:val="de-DE" w:eastAsia="en-GB"/>
              </w:rPr>
              <w:t xml:space="preserve">RE, </w:t>
            </w:r>
            <w:r w:rsidRPr="006F7965">
              <w:rPr>
                <w:rFonts w:ascii="Times New Roman" w:eastAsia="Times New Roman" w:hAnsi="Times New Roman" w:cs="Times New Roman"/>
                <w:bCs/>
                <w:sz w:val="24"/>
                <w:szCs w:val="24"/>
                <w:lang w:val="de-DE" w:eastAsia="en-GB"/>
              </w:rPr>
              <w:t xml:space="preserve">Suppl. VI, Stuttgart, 1936, c. 800 s. ; Girard, </w:t>
            </w:r>
            <w:r w:rsidRPr="006F7965">
              <w:rPr>
                <w:rFonts w:ascii="Times New Roman" w:eastAsia="Times New Roman" w:hAnsi="Times New Roman" w:cs="Times New Roman"/>
                <w:bCs/>
                <w:i/>
                <w:iCs/>
                <w:sz w:val="24"/>
                <w:szCs w:val="24"/>
                <w:lang w:val="de-DE" w:eastAsia="en-GB"/>
              </w:rPr>
              <w:t>Textes de droit romain</w:t>
            </w:r>
            <w:r w:rsidRPr="006F7965">
              <w:rPr>
                <w:rFonts w:ascii="Times New Roman" w:eastAsia="Times New Roman" w:hAnsi="Times New Roman" w:cs="Times New Roman"/>
                <w:bCs/>
                <w:sz w:val="24"/>
                <w:szCs w:val="24"/>
                <w:lang w:val="de-DE" w:eastAsia="en-GB"/>
              </w:rPr>
              <w:t xml:space="preserve">, 6th ed., Paris, 1937, pp. 129-130 ; Thelohan, </w:t>
            </w:r>
            <w:r w:rsidRPr="006F7965">
              <w:rPr>
                <w:rFonts w:ascii="Times New Roman" w:eastAsia="Times New Roman" w:hAnsi="Times New Roman" w:cs="Times New Roman"/>
                <w:bCs/>
                <w:i/>
                <w:iCs/>
                <w:sz w:val="24"/>
                <w:szCs w:val="24"/>
                <w:lang w:val="de-DE" w:eastAsia="en-GB"/>
              </w:rPr>
              <w:t>Travaux juridiques et économiques de l'Université de Rennes</w:t>
            </w:r>
            <w:r w:rsidRPr="006F7965">
              <w:rPr>
                <w:rFonts w:ascii="Times New Roman" w:eastAsia="Times New Roman" w:hAnsi="Times New Roman" w:cs="Times New Roman"/>
                <w:bCs/>
                <w:sz w:val="24"/>
                <w:szCs w:val="24"/>
                <w:lang w:val="de-DE" w:eastAsia="en-GB"/>
              </w:rPr>
              <w:t xml:space="preserve">, 16, 1937, pp. 35-39 ; Accame, </w:t>
            </w:r>
            <w:r w:rsidRPr="006F7965">
              <w:rPr>
                <w:rFonts w:ascii="Times New Roman" w:eastAsia="Times New Roman" w:hAnsi="Times New Roman" w:cs="Times New Roman"/>
                <w:bCs/>
                <w:i/>
                <w:iCs/>
                <w:sz w:val="24"/>
                <w:szCs w:val="24"/>
                <w:lang w:val="de-DE" w:eastAsia="en-GB"/>
              </w:rPr>
              <w:t>Rivista di filologia e d'istruzione classica</w:t>
            </w:r>
            <w:r w:rsidRPr="006F7965">
              <w:rPr>
                <w:rFonts w:ascii="Times New Roman" w:eastAsia="Times New Roman" w:hAnsi="Times New Roman" w:cs="Times New Roman"/>
                <w:bCs/>
                <w:sz w:val="24"/>
                <w:szCs w:val="24"/>
                <w:lang w:val="de-DE" w:eastAsia="en-GB"/>
              </w:rPr>
              <w:t xml:space="preserve">, 16, 1938, pp. 225-234 ; Voltera, </w:t>
            </w:r>
            <w:r w:rsidRPr="006F7965">
              <w:rPr>
                <w:rFonts w:ascii="Times New Roman" w:eastAsia="Times New Roman" w:hAnsi="Times New Roman" w:cs="Times New Roman"/>
                <w:bCs/>
                <w:i/>
                <w:iCs/>
                <w:sz w:val="24"/>
                <w:szCs w:val="24"/>
                <w:lang w:val="de-DE" w:eastAsia="en-GB"/>
              </w:rPr>
              <w:t>NDI</w:t>
            </w:r>
            <w:r w:rsidRPr="006F7965">
              <w:rPr>
                <w:rFonts w:ascii="Times New Roman" w:eastAsia="Times New Roman" w:hAnsi="Times New Roman" w:cs="Times New Roman"/>
                <w:bCs/>
                <w:sz w:val="24"/>
                <w:szCs w:val="24"/>
                <w:lang w:val="de-DE" w:eastAsia="en-GB"/>
              </w:rPr>
              <w:t xml:space="preserve">, XII, 1938, p. 31 ; Meautis, </w:t>
            </w:r>
            <w:r w:rsidRPr="006F7965">
              <w:rPr>
                <w:rFonts w:ascii="Times New Roman" w:eastAsia="Times New Roman" w:hAnsi="Times New Roman" w:cs="Times New Roman"/>
                <w:bCs/>
                <w:i/>
                <w:iCs/>
                <w:sz w:val="24"/>
                <w:szCs w:val="24"/>
                <w:lang w:val="de-DE" w:eastAsia="en-GB"/>
              </w:rPr>
              <w:t>REA</w:t>
            </w:r>
            <w:r w:rsidRPr="006F7965">
              <w:rPr>
                <w:rFonts w:ascii="Times New Roman" w:eastAsia="Times New Roman" w:hAnsi="Times New Roman" w:cs="Times New Roman"/>
                <w:bCs/>
                <w:sz w:val="24"/>
                <w:szCs w:val="24"/>
                <w:lang w:val="de-DE" w:eastAsia="en-GB"/>
              </w:rPr>
              <w:t xml:space="preserve">, 42, 1940, pp. 476-485 ; Warmington, </w:t>
            </w:r>
            <w:r w:rsidRPr="006F7965">
              <w:rPr>
                <w:rFonts w:ascii="Times New Roman" w:eastAsia="Times New Roman" w:hAnsi="Times New Roman" w:cs="Times New Roman"/>
                <w:bCs/>
                <w:i/>
                <w:iCs/>
                <w:sz w:val="24"/>
                <w:szCs w:val="24"/>
                <w:lang w:val="de-DE" w:eastAsia="en-GB"/>
              </w:rPr>
              <w:t>Remains of Old Latin</w:t>
            </w:r>
            <w:r w:rsidRPr="006F7965">
              <w:rPr>
                <w:rFonts w:ascii="Times New Roman" w:eastAsia="Times New Roman" w:hAnsi="Times New Roman" w:cs="Times New Roman"/>
                <w:bCs/>
                <w:sz w:val="24"/>
                <w:szCs w:val="24"/>
                <w:lang w:val="de-DE" w:eastAsia="en-GB"/>
              </w:rPr>
              <w:t xml:space="preserve">, IV, London, 1940, 254 ; Bequignon, </w:t>
            </w:r>
            <w:r w:rsidRPr="006F7965">
              <w:rPr>
                <w:rFonts w:ascii="Times New Roman" w:eastAsia="Times New Roman" w:hAnsi="Times New Roman" w:cs="Times New Roman"/>
                <w:bCs/>
                <w:i/>
                <w:iCs/>
                <w:sz w:val="24"/>
                <w:szCs w:val="24"/>
                <w:lang w:val="de-DE" w:eastAsia="en-GB"/>
              </w:rPr>
              <w:t>RA</w:t>
            </w:r>
            <w:r w:rsidRPr="006F7965">
              <w:rPr>
                <w:rFonts w:ascii="Times New Roman" w:eastAsia="Times New Roman" w:hAnsi="Times New Roman" w:cs="Times New Roman"/>
                <w:bCs/>
                <w:sz w:val="24"/>
                <w:szCs w:val="24"/>
                <w:lang w:val="de-DE" w:eastAsia="en-GB"/>
              </w:rPr>
              <w:t>, 17, 1941, pp. 184-198</w:t>
            </w:r>
            <w:r w:rsidRPr="006F7965">
              <w:rPr>
                <w:rFonts w:ascii="Times New Roman" w:eastAsia="Times New Roman" w:hAnsi="Times New Roman" w:cs="Times New Roman"/>
                <w:bCs/>
                <w:color w:val="000000"/>
                <w:sz w:val="24"/>
                <w:szCs w:val="24"/>
                <w:lang w:val="de-DE" w:eastAsia="en-GB"/>
              </w:rPr>
              <w:t xml:space="preserve"> ; Riccobono, </w:t>
            </w:r>
            <w:r w:rsidRPr="006F7965">
              <w:rPr>
                <w:rFonts w:ascii="Times New Roman" w:eastAsia="Times New Roman" w:hAnsi="Times New Roman" w:cs="Times New Roman"/>
                <w:bCs/>
                <w:sz w:val="24"/>
                <w:szCs w:val="24"/>
                <w:lang w:val="de-DE" w:eastAsia="en-GB"/>
              </w:rPr>
              <w:t> </w:t>
            </w:r>
            <w:r w:rsidRPr="006F7965">
              <w:rPr>
                <w:rFonts w:ascii="Times New Roman" w:eastAsia="Times New Roman" w:hAnsi="Times New Roman" w:cs="Times New Roman"/>
                <w:bCs/>
                <w:i/>
                <w:iCs/>
                <w:sz w:val="24"/>
                <w:szCs w:val="24"/>
                <w:lang w:val="de-DE" w:eastAsia="en-GB"/>
              </w:rPr>
              <w:t>FIRA</w:t>
            </w:r>
            <w:r w:rsidRPr="006F7965">
              <w:rPr>
                <w:rFonts w:ascii="Times New Roman" w:eastAsia="Times New Roman" w:hAnsi="Times New Roman" w:cs="Times New Roman"/>
                <w:bCs/>
                <w:sz w:val="24"/>
                <w:szCs w:val="24"/>
                <w:lang w:val="de-DE" w:eastAsia="en-GB"/>
              </w:rPr>
              <w:t xml:space="preserve"> I, </w:t>
            </w:r>
            <w:r w:rsidRPr="006F7965">
              <w:rPr>
                <w:rFonts w:ascii="Times New Roman" w:eastAsia="Times New Roman" w:hAnsi="Times New Roman" w:cs="Times New Roman"/>
                <w:bCs/>
                <w:color w:val="000000"/>
                <w:sz w:val="24"/>
                <w:szCs w:val="24"/>
                <w:lang w:val="de-DE" w:eastAsia="en-GB"/>
              </w:rPr>
              <w:t>Firenze, 1941</w:t>
            </w:r>
            <w:r w:rsidRPr="006F7965">
              <w:rPr>
                <w:rFonts w:ascii="Times New Roman" w:eastAsia="Times New Roman" w:hAnsi="Times New Roman" w:cs="Times New Roman"/>
                <w:bCs/>
                <w:i/>
                <w:iCs/>
                <w:color w:val="000000"/>
                <w:sz w:val="24"/>
                <w:szCs w:val="24"/>
                <w:lang w:val="de-DE" w:eastAsia="en-GB"/>
              </w:rPr>
              <w:t xml:space="preserve">, </w:t>
            </w:r>
            <w:r w:rsidRPr="006F7965">
              <w:rPr>
                <w:rFonts w:ascii="Times New Roman" w:eastAsia="Times New Roman" w:hAnsi="Times New Roman" w:cs="Times New Roman"/>
                <w:bCs/>
                <w:sz w:val="24"/>
                <w:szCs w:val="24"/>
                <w:lang w:val="de-DE" w:eastAsia="en-GB"/>
              </w:rPr>
              <w:t xml:space="preserve">pp. 240-241, n. 30 ; </w:t>
            </w:r>
            <w:r w:rsidRPr="006F7965">
              <w:rPr>
                <w:rFonts w:ascii="Times New Roman" w:eastAsia="Times New Roman" w:hAnsi="Times New Roman" w:cs="Times New Roman"/>
                <w:bCs/>
                <w:color w:val="000000"/>
                <w:sz w:val="24"/>
                <w:szCs w:val="24"/>
                <w:lang w:val="de-DE" w:eastAsia="en-GB"/>
              </w:rPr>
              <w:t xml:space="preserve">Ernout, </w:t>
            </w:r>
            <w:r w:rsidRPr="006F7965">
              <w:rPr>
                <w:rFonts w:ascii="Times New Roman" w:eastAsia="Times New Roman" w:hAnsi="Times New Roman" w:cs="Times New Roman"/>
                <w:bCs/>
                <w:i/>
                <w:iCs/>
                <w:color w:val="000000"/>
                <w:sz w:val="24"/>
                <w:szCs w:val="24"/>
                <w:lang w:val="de-DE" w:eastAsia="en-GB"/>
              </w:rPr>
              <w:t>Recueil de textes latins archaïques</w:t>
            </w:r>
            <w:r w:rsidRPr="006F7965">
              <w:rPr>
                <w:rFonts w:ascii="Times New Roman" w:eastAsia="Times New Roman" w:hAnsi="Times New Roman" w:cs="Times New Roman"/>
                <w:bCs/>
                <w:color w:val="000000"/>
                <w:sz w:val="24"/>
                <w:szCs w:val="24"/>
                <w:lang w:val="de-DE" w:eastAsia="en-GB"/>
              </w:rPr>
              <w:t>, Paris, 1947, pp. 58-68</w:t>
            </w:r>
            <w:r w:rsidRPr="006F7965">
              <w:rPr>
                <w:rFonts w:ascii="Times New Roman" w:eastAsia="Times New Roman" w:hAnsi="Times New Roman" w:cs="Times New Roman"/>
                <w:bCs/>
                <w:sz w:val="24"/>
                <w:szCs w:val="24"/>
                <w:lang w:val="de-DE" w:eastAsia="en-GB"/>
              </w:rPr>
              <w:t xml:space="preserve"> ; Berger, </w:t>
            </w:r>
            <w:r w:rsidRPr="006F7965">
              <w:rPr>
                <w:rFonts w:ascii="Times New Roman" w:eastAsia="Times New Roman" w:hAnsi="Times New Roman" w:cs="Times New Roman"/>
                <w:bCs/>
                <w:i/>
                <w:iCs/>
                <w:sz w:val="24"/>
                <w:szCs w:val="24"/>
                <w:lang w:val="de-DE" w:eastAsia="en-GB"/>
              </w:rPr>
              <w:t>Encyclopedic Dictionary of Roman Law</w:t>
            </w:r>
            <w:r w:rsidRPr="006F7965">
              <w:rPr>
                <w:rFonts w:ascii="Times New Roman" w:eastAsia="Times New Roman" w:hAnsi="Times New Roman" w:cs="Times New Roman"/>
                <w:bCs/>
                <w:sz w:val="24"/>
                <w:szCs w:val="24"/>
                <w:lang w:val="de-DE" w:eastAsia="en-GB"/>
              </w:rPr>
              <w:t xml:space="preserve">, Philadelphia, 1953, p. 697 ; Wenger, </w:t>
            </w:r>
            <w:r w:rsidRPr="006F7965">
              <w:rPr>
                <w:rFonts w:ascii="Times New Roman" w:eastAsia="Times New Roman" w:hAnsi="Times New Roman" w:cs="Times New Roman"/>
                <w:bCs/>
                <w:i/>
                <w:iCs/>
                <w:sz w:val="24"/>
                <w:szCs w:val="24"/>
                <w:lang w:val="de-DE" w:eastAsia="en-GB"/>
              </w:rPr>
              <w:t>Die Quellen des römischen Rechts</w:t>
            </w:r>
            <w:r w:rsidRPr="006F7965">
              <w:rPr>
                <w:rFonts w:ascii="Times New Roman" w:eastAsia="Times New Roman" w:hAnsi="Times New Roman" w:cs="Times New Roman"/>
                <w:bCs/>
                <w:sz w:val="24"/>
                <w:szCs w:val="24"/>
                <w:lang w:val="de-DE" w:eastAsia="en-GB"/>
              </w:rPr>
              <w:t xml:space="preserve">, Wien, 1953, pp. 158, 71, 188 and 382 ; Tarditi, </w:t>
            </w:r>
            <w:r w:rsidRPr="006F7965">
              <w:rPr>
                <w:rFonts w:ascii="Times New Roman" w:eastAsia="Times New Roman" w:hAnsi="Times New Roman" w:cs="Times New Roman"/>
                <w:bCs/>
                <w:i/>
                <w:iCs/>
                <w:sz w:val="24"/>
                <w:szCs w:val="24"/>
                <w:lang w:val="de-DE" w:eastAsia="en-GB"/>
              </w:rPr>
              <w:t>PdelP</w:t>
            </w:r>
            <w:r w:rsidRPr="006F7965">
              <w:rPr>
                <w:rFonts w:ascii="Times New Roman" w:eastAsia="Times New Roman" w:hAnsi="Times New Roman" w:cs="Times New Roman"/>
                <w:bCs/>
                <w:sz w:val="24"/>
                <w:szCs w:val="24"/>
                <w:lang w:val="de-DE" w:eastAsia="en-GB"/>
              </w:rPr>
              <w:t xml:space="preserve">, 37, 1954, pp. 265-287 ; Johnson, Coleman-Norton &amp; Bourne, </w:t>
            </w:r>
            <w:r w:rsidRPr="006F7965">
              <w:rPr>
                <w:rFonts w:ascii="Times New Roman" w:eastAsia="Times New Roman" w:hAnsi="Times New Roman" w:cs="Times New Roman"/>
                <w:bCs/>
                <w:i/>
                <w:iCs/>
                <w:sz w:val="24"/>
                <w:szCs w:val="24"/>
                <w:lang w:val="de-DE" w:eastAsia="en-GB"/>
              </w:rPr>
              <w:t>Ancient Roman Statutes</w:t>
            </w:r>
            <w:r w:rsidRPr="006F7965">
              <w:rPr>
                <w:rFonts w:ascii="Times New Roman" w:eastAsia="Times New Roman" w:hAnsi="Times New Roman" w:cs="Times New Roman"/>
                <w:bCs/>
                <w:sz w:val="24"/>
                <w:szCs w:val="24"/>
                <w:lang w:val="de-DE" w:eastAsia="en-GB"/>
              </w:rPr>
              <w:t xml:space="preserve">, Austin, 1961, pp. 26-27, n. 28 ; Dihle, </w:t>
            </w:r>
            <w:r w:rsidRPr="006F7965">
              <w:rPr>
                <w:rFonts w:ascii="Times New Roman" w:eastAsia="Times New Roman" w:hAnsi="Times New Roman" w:cs="Times New Roman"/>
                <w:bCs/>
                <w:i/>
                <w:iCs/>
                <w:sz w:val="24"/>
                <w:szCs w:val="24"/>
                <w:lang w:val="de-DE" w:eastAsia="en-GB"/>
              </w:rPr>
              <w:t>Hermes</w:t>
            </w:r>
            <w:r w:rsidRPr="006F7965">
              <w:rPr>
                <w:rFonts w:ascii="Times New Roman" w:eastAsia="Times New Roman" w:hAnsi="Times New Roman" w:cs="Times New Roman"/>
                <w:bCs/>
                <w:sz w:val="24"/>
                <w:szCs w:val="24"/>
                <w:lang w:val="de-DE" w:eastAsia="en-GB"/>
              </w:rPr>
              <w:t xml:space="preserve">, 90, 1962, pp. 376-379 ; Diehl, </w:t>
            </w:r>
            <w:r w:rsidRPr="006F7965">
              <w:rPr>
                <w:rFonts w:ascii="Times New Roman" w:eastAsia="Times New Roman" w:hAnsi="Times New Roman" w:cs="Times New Roman"/>
                <w:bCs/>
                <w:i/>
                <w:iCs/>
                <w:sz w:val="24"/>
                <w:szCs w:val="24"/>
                <w:lang w:val="de-DE" w:eastAsia="en-GB"/>
              </w:rPr>
              <w:t>Altlateinische Inschriften</w:t>
            </w:r>
            <w:r w:rsidRPr="006F7965">
              <w:rPr>
                <w:rFonts w:ascii="Times New Roman" w:eastAsia="Times New Roman" w:hAnsi="Times New Roman" w:cs="Times New Roman"/>
                <w:bCs/>
                <w:sz w:val="24"/>
                <w:szCs w:val="24"/>
                <w:lang w:val="de-DE" w:eastAsia="en-GB"/>
              </w:rPr>
              <w:t xml:space="preserve">, 5th ed., Berlin, 1964 ; Degrassi, </w:t>
            </w:r>
            <w:r w:rsidRPr="006F7965">
              <w:rPr>
                <w:rFonts w:ascii="Times New Roman" w:eastAsia="Times New Roman" w:hAnsi="Times New Roman" w:cs="Times New Roman"/>
                <w:bCs/>
                <w:i/>
                <w:iCs/>
                <w:color w:val="000000"/>
                <w:sz w:val="24"/>
                <w:szCs w:val="24"/>
                <w:lang w:val="de-DE" w:eastAsia="en-GB"/>
              </w:rPr>
              <w:t>Inscriptiones Latinae Liberae Rei Publicae</w:t>
            </w:r>
            <w:r w:rsidRPr="006F7965">
              <w:rPr>
                <w:rFonts w:ascii="Times New Roman" w:eastAsia="Times New Roman" w:hAnsi="Times New Roman" w:cs="Times New Roman"/>
                <w:bCs/>
                <w:color w:val="000000"/>
                <w:sz w:val="24"/>
                <w:szCs w:val="24"/>
                <w:lang w:val="de-DE" w:eastAsia="en-GB"/>
              </w:rPr>
              <w:t xml:space="preserve">, Firenze, 1965, </w:t>
            </w:r>
            <w:r w:rsidRPr="006F7965">
              <w:rPr>
                <w:rFonts w:ascii="Times New Roman" w:eastAsia="Times New Roman" w:hAnsi="Times New Roman" w:cs="Times New Roman"/>
                <w:bCs/>
                <w:sz w:val="24"/>
                <w:szCs w:val="24"/>
                <w:lang w:val="de-DE" w:eastAsia="en-GB"/>
              </w:rPr>
              <w:t xml:space="preserve">n. 511 ; Girard &amp; Senn, </w:t>
            </w:r>
            <w:r w:rsidRPr="006F7965">
              <w:rPr>
                <w:rFonts w:ascii="Times New Roman" w:eastAsia="Times New Roman" w:hAnsi="Times New Roman" w:cs="Times New Roman"/>
                <w:bCs/>
                <w:i/>
                <w:iCs/>
                <w:sz w:val="24"/>
                <w:szCs w:val="24"/>
                <w:lang w:val="de-DE" w:eastAsia="en-GB"/>
              </w:rPr>
              <w:t>Les lois des Romains</w:t>
            </w:r>
            <w:r w:rsidRPr="006F7965">
              <w:rPr>
                <w:rFonts w:ascii="Times New Roman" w:eastAsia="Times New Roman" w:hAnsi="Times New Roman" w:cs="Times New Roman"/>
                <w:bCs/>
                <w:sz w:val="24"/>
                <w:szCs w:val="24"/>
                <w:lang w:val="de-DE" w:eastAsia="en-GB"/>
              </w:rPr>
              <w:t xml:space="preserve">, Napoli, 1977, pp. 270-273, n. 1, p. 590 ; Schumacher, </w:t>
            </w:r>
            <w:r w:rsidRPr="006F7965">
              <w:rPr>
                <w:rFonts w:ascii="Times New Roman" w:eastAsia="Times New Roman" w:hAnsi="Times New Roman" w:cs="Times New Roman"/>
                <w:bCs/>
                <w:i/>
                <w:iCs/>
                <w:sz w:val="24"/>
                <w:szCs w:val="24"/>
                <w:lang w:val="de-DE" w:eastAsia="en-GB"/>
              </w:rPr>
              <w:t>Römische Inschriften</w:t>
            </w:r>
            <w:r w:rsidRPr="006F7965">
              <w:rPr>
                <w:rFonts w:ascii="Times New Roman" w:eastAsia="Times New Roman" w:hAnsi="Times New Roman" w:cs="Times New Roman"/>
                <w:bCs/>
                <w:sz w:val="24"/>
                <w:szCs w:val="24"/>
                <w:lang w:val="de-DE" w:eastAsia="en-GB"/>
              </w:rPr>
              <w:t>, Stuttgart, 1988, p. 79 ; </w:t>
            </w:r>
            <w:r w:rsidRPr="006F7965">
              <w:rPr>
                <w:rFonts w:ascii="Times New Roman" w:eastAsia="Times New Roman" w:hAnsi="Times New Roman" w:cs="Times New Roman"/>
                <w:bCs/>
                <w:i/>
                <w:iCs/>
                <w:sz w:val="24"/>
                <w:szCs w:val="24"/>
                <w:lang w:val="de-DE" w:eastAsia="en-GB"/>
              </w:rPr>
              <w:t>AE</w:t>
            </w:r>
            <w:r w:rsidRPr="006F7965">
              <w:rPr>
                <w:rFonts w:ascii="Times New Roman" w:eastAsia="Times New Roman" w:hAnsi="Times New Roman" w:cs="Times New Roman"/>
                <w:bCs/>
                <w:sz w:val="24"/>
                <w:szCs w:val="24"/>
                <w:lang w:val="de-DE" w:eastAsia="en-GB"/>
              </w:rPr>
              <w:t xml:space="preserve"> 2000, n. 25 ; Sauzeau, </w:t>
            </w:r>
            <w:r w:rsidRPr="006F7965">
              <w:rPr>
                <w:rFonts w:ascii="Times New Roman" w:eastAsia="Times New Roman" w:hAnsi="Times New Roman" w:cs="Times New Roman"/>
                <w:bCs/>
                <w:i/>
                <w:iCs/>
                <w:sz w:val="24"/>
                <w:szCs w:val="24"/>
                <w:lang w:val="de-DE" w:eastAsia="en-GB"/>
              </w:rPr>
              <w:t>Bacchanales : Actes des colloques Dionysos de Montpellier (1996-1998)</w:t>
            </w:r>
            <w:r w:rsidRPr="006F7965">
              <w:rPr>
                <w:rFonts w:ascii="Times New Roman" w:eastAsia="Times New Roman" w:hAnsi="Times New Roman" w:cs="Times New Roman"/>
                <w:bCs/>
                <w:sz w:val="24"/>
                <w:szCs w:val="24"/>
                <w:lang w:val="de-DE" w:eastAsia="en-GB"/>
              </w:rPr>
              <w:t xml:space="preserve">, Montpellier, 2000 ; Feldman, </w:t>
            </w:r>
            <w:r w:rsidRPr="006F7965">
              <w:rPr>
                <w:rFonts w:ascii="Times New Roman" w:eastAsia="Times New Roman" w:hAnsi="Times New Roman" w:cs="Times New Roman"/>
                <w:bCs/>
                <w:i/>
                <w:iCs/>
                <w:sz w:val="24"/>
                <w:szCs w:val="24"/>
                <w:lang w:val="de-DE" w:eastAsia="en-GB"/>
              </w:rPr>
              <w:t>"Remember Amalek !" : vengeance, zealotry, and group destruction in the Bible according to Philo, Pseudo-Philo, and Josephus</w:t>
            </w:r>
            <w:r w:rsidRPr="006F7965">
              <w:rPr>
                <w:rFonts w:ascii="Times New Roman" w:eastAsia="Times New Roman" w:hAnsi="Times New Roman" w:cs="Times New Roman"/>
                <w:bCs/>
                <w:sz w:val="24"/>
                <w:szCs w:val="24"/>
                <w:lang w:val="de-DE" w:eastAsia="en-GB"/>
              </w:rPr>
              <w:t xml:space="preserve">, Cincinnati, 2004, p. 57 ; Levine &amp; Blickenstaff, </w:t>
            </w:r>
            <w:r w:rsidRPr="006F7965">
              <w:rPr>
                <w:rFonts w:ascii="Times New Roman" w:eastAsia="Times New Roman" w:hAnsi="Times New Roman" w:cs="Times New Roman"/>
                <w:bCs/>
                <w:i/>
                <w:iCs/>
                <w:sz w:val="24"/>
                <w:szCs w:val="24"/>
                <w:lang w:val="de-DE" w:eastAsia="en-GB"/>
              </w:rPr>
              <w:t>A feminist companion to the Acts of the Apostles</w:t>
            </w:r>
            <w:r w:rsidRPr="006F7965">
              <w:rPr>
                <w:rFonts w:ascii="Times New Roman" w:eastAsia="Times New Roman" w:hAnsi="Times New Roman" w:cs="Times New Roman"/>
                <w:bCs/>
                <w:sz w:val="24"/>
                <w:szCs w:val="24"/>
                <w:lang w:val="de-DE" w:eastAsia="en-GB"/>
              </w:rPr>
              <w:t xml:space="preserve">, London-New York, 2004, p. 115 ; Ménard, </w:t>
            </w:r>
            <w:r w:rsidRPr="006F7965">
              <w:rPr>
                <w:rFonts w:ascii="Times New Roman" w:eastAsia="Times New Roman" w:hAnsi="Times New Roman" w:cs="Times New Roman"/>
                <w:bCs/>
                <w:i/>
                <w:iCs/>
                <w:sz w:val="24"/>
                <w:szCs w:val="24"/>
                <w:lang w:val="de-DE" w:eastAsia="en-GB"/>
              </w:rPr>
              <w:t>Maintenir l'ordre à Rome : IIe-IVe siècles Ap. J.-C</w:t>
            </w:r>
            <w:r w:rsidRPr="006F7965">
              <w:rPr>
                <w:rFonts w:ascii="Times New Roman" w:eastAsia="Times New Roman" w:hAnsi="Times New Roman" w:cs="Times New Roman"/>
                <w:bCs/>
                <w:sz w:val="24"/>
                <w:szCs w:val="24"/>
                <w:lang w:val="de-DE" w:eastAsia="en-GB"/>
              </w:rPr>
              <w:t xml:space="preserve">., Seyssel, 2004, p. 134 ; Morstein-Marx, </w:t>
            </w:r>
            <w:r w:rsidRPr="006F7965">
              <w:rPr>
                <w:rFonts w:ascii="Times New Roman" w:eastAsia="Times New Roman" w:hAnsi="Times New Roman" w:cs="Times New Roman"/>
                <w:bCs/>
                <w:i/>
                <w:iCs/>
                <w:sz w:val="24"/>
                <w:szCs w:val="24"/>
                <w:lang w:val="de-DE" w:eastAsia="en-GB"/>
              </w:rPr>
              <w:t>Mass oratory and the political power in the late Roman Republic</w:t>
            </w:r>
            <w:r w:rsidRPr="006F7965">
              <w:rPr>
                <w:rFonts w:ascii="Times New Roman" w:eastAsia="Times New Roman" w:hAnsi="Times New Roman" w:cs="Times New Roman"/>
                <w:bCs/>
                <w:sz w:val="24"/>
                <w:szCs w:val="24"/>
                <w:lang w:val="de-DE" w:eastAsia="en-GB"/>
              </w:rPr>
              <w:t xml:space="preserve">, Cambridge, 2004, p. 8 ; Pagán, </w:t>
            </w:r>
            <w:r w:rsidRPr="006F7965">
              <w:rPr>
                <w:rFonts w:ascii="Times New Roman" w:eastAsia="Times New Roman" w:hAnsi="Times New Roman" w:cs="Times New Roman"/>
                <w:bCs/>
                <w:i/>
                <w:iCs/>
                <w:sz w:val="24"/>
                <w:szCs w:val="24"/>
                <w:lang w:val="de-DE" w:eastAsia="en-GB"/>
              </w:rPr>
              <w:t>Conspiracy Narratives in Roman History</w:t>
            </w:r>
            <w:r w:rsidRPr="006F7965">
              <w:rPr>
                <w:rFonts w:ascii="Times New Roman" w:eastAsia="Times New Roman" w:hAnsi="Times New Roman" w:cs="Times New Roman"/>
                <w:bCs/>
                <w:sz w:val="24"/>
                <w:szCs w:val="24"/>
                <w:lang w:val="de-DE" w:eastAsia="en-GB"/>
              </w:rPr>
              <w:t xml:space="preserve">, Austin, 2004, pp. 145-146 ; Killinger, </w:t>
            </w:r>
            <w:r w:rsidRPr="006F7965">
              <w:rPr>
                <w:rFonts w:ascii="Times New Roman" w:eastAsia="Times New Roman" w:hAnsi="Times New Roman" w:cs="Times New Roman"/>
                <w:bCs/>
                <w:i/>
                <w:iCs/>
                <w:sz w:val="24"/>
                <w:szCs w:val="24"/>
                <w:lang w:val="de-DE" w:eastAsia="en-GB"/>
              </w:rPr>
              <w:t>Culture and customs of Italy</w:t>
            </w:r>
            <w:r w:rsidRPr="006F7965">
              <w:rPr>
                <w:rFonts w:ascii="Times New Roman" w:eastAsia="Times New Roman" w:hAnsi="Times New Roman" w:cs="Times New Roman"/>
                <w:bCs/>
                <w:sz w:val="24"/>
                <w:szCs w:val="24"/>
                <w:lang w:val="de-DE" w:eastAsia="en-GB"/>
              </w:rPr>
              <w:t xml:space="preserve">, Westport, 2005, p. 93 ; Adams, </w:t>
            </w:r>
            <w:r w:rsidRPr="006F7965">
              <w:rPr>
                <w:rFonts w:ascii="Times New Roman" w:eastAsia="Times New Roman" w:hAnsi="Times New Roman" w:cs="Times New Roman"/>
                <w:bCs/>
                <w:i/>
                <w:iCs/>
                <w:sz w:val="24"/>
                <w:szCs w:val="24"/>
                <w:lang w:val="de-DE" w:eastAsia="en-GB"/>
              </w:rPr>
              <w:t>The regional diversification of Latin, 200 BC-AD 600</w:t>
            </w:r>
            <w:r w:rsidRPr="006F7965">
              <w:rPr>
                <w:rFonts w:ascii="Times New Roman" w:eastAsia="Times New Roman" w:hAnsi="Times New Roman" w:cs="Times New Roman"/>
                <w:bCs/>
                <w:sz w:val="24"/>
                <w:szCs w:val="24"/>
                <w:lang w:val="de-DE" w:eastAsia="en-GB"/>
              </w:rPr>
              <w:t xml:space="preserve">, Cambridge, 2007, p. 417 ; Bispham, </w:t>
            </w:r>
            <w:r w:rsidRPr="006F7965">
              <w:rPr>
                <w:rFonts w:ascii="Times New Roman" w:eastAsia="Times New Roman" w:hAnsi="Times New Roman" w:cs="Times New Roman"/>
                <w:bCs/>
                <w:i/>
                <w:iCs/>
                <w:sz w:val="24"/>
                <w:szCs w:val="24"/>
                <w:lang w:val="de-DE" w:eastAsia="en-GB"/>
              </w:rPr>
              <w:t>From Asculum to Actium : the municipalization of Italy from the Social War to Augustus</w:t>
            </w:r>
            <w:r w:rsidRPr="006F7965">
              <w:rPr>
                <w:rFonts w:ascii="Times New Roman" w:eastAsia="Times New Roman" w:hAnsi="Times New Roman" w:cs="Times New Roman"/>
                <w:bCs/>
                <w:sz w:val="24"/>
                <w:szCs w:val="24"/>
                <w:lang w:val="de-DE" w:eastAsia="en-GB"/>
              </w:rPr>
              <w:t xml:space="preserve">, Oxford, 2007, p. 50 ; Chaplin &amp; Kraus, </w:t>
            </w:r>
            <w:r w:rsidRPr="006F7965">
              <w:rPr>
                <w:rFonts w:ascii="Times New Roman" w:eastAsia="Times New Roman" w:hAnsi="Times New Roman" w:cs="Times New Roman"/>
                <w:bCs/>
                <w:i/>
                <w:iCs/>
                <w:sz w:val="24"/>
                <w:szCs w:val="24"/>
                <w:lang w:val="de-DE" w:eastAsia="en-GB"/>
              </w:rPr>
              <w:t>Livy</w:t>
            </w:r>
            <w:r w:rsidRPr="006F7965">
              <w:rPr>
                <w:rFonts w:ascii="Times New Roman" w:eastAsia="Times New Roman" w:hAnsi="Times New Roman" w:cs="Times New Roman"/>
                <w:bCs/>
                <w:sz w:val="24"/>
                <w:szCs w:val="24"/>
                <w:lang w:val="de-DE" w:eastAsia="en-GB"/>
              </w:rPr>
              <w:t>, Oxford, 2009, p. 321.</w:t>
            </w:r>
            <w:r w:rsidRPr="005774CC">
              <w:rPr>
                <w:rFonts w:ascii="Times New Roman" w:eastAsia="Times New Roman" w:hAnsi="Times New Roman" w:cs="Times New Roman"/>
                <w:bCs/>
                <w:sz w:val="24"/>
                <w:szCs w:val="24"/>
                <w:lang w:val="de-DE" w:eastAsia="en-GB"/>
              </w:rPr>
              <w:br/>
            </w:r>
            <w:r w:rsidRPr="006F7965">
              <w:rPr>
                <w:rFonts w:ascii="Times New Roman" w:eastAsia="Times New Roman" w:hAnsi="Times New Roman" w:cs="Times New Roman"/>
                <w:bCs/>
                <w:sz w:val="24"/>
                <w:szCs w:val="24"/>
                <w:lang w:val="de-DE" w:eastAsia="en-GB"/>
              </w:rPr>
              <w:t> </w:t>
            </w:r>
            <w:r w:rsidRPr="005774CC">
              <w:rPr>
                <w:rFonts w:ascii="Times New Roman" w:eastAsia="Times New Roman" w:hAnsi="Times New Roman" w:cs="Times New Roman"/>
                <w:bCs/>
                <w:sz w:val="24"/>
                <w:szCs w:val="24"/>
                <w:lang w:val="de-DE" w:eastAsia="en-GB"/>
              </w:rPr>
              <w:br/>
            </w:r>
            <w:r w:rsidRPr="006F7965">
              <w:rPr>
                <w:rFonts w:ascii="Times New Roman" w:eastAsia="Times New Roman" w:hAnsi="Times New Roman" w:cs="Times New Roman"/>
                <w:bCs/>
                <w:sz w:val="24"/>
                <w:szCs w:val="24"/>
                <w:lang w:val="de-DE" w:eastAsia="en-GB"/>
              </w:rPr>
              <w:t> </w:t>
            </w:r>
            <w:r w:rsidRPr="005774CC">
              <w:rPr>
                <w:rFonts w:ascii="Times New Roman" w:eastAsia="Times New Roman" w:hAnsi="Times New Roman" w:cs="Times New Roman"/>
                <w:bCs/>
                <w:sz w:val="24"/>
                <w:szCs w:val="24"/>
                <w:lang w:val="de-DE" w:eastAsia="en-GB"/>
              </w:rPr>
              <w:br/>
            </w:r>
            <w:r w:rsidRPr="006F7965">
              <w:rPr>
                <w:rFonts w:ascii="Times New Roman" w:eastAsia="Times New Roman" w:hAnsi="Times New Roman" w:cs="Times New Roman"/>
                <w:bCs/>
                <w:color w:val="FF0000"/>
                <w:sz w:val="24"/>
                <w:szCs w:val="24"/>
                <w:lang w:eastAsia="en-GB"/>
              </w:rPr>
              <w:t>►</w:t>
            </w:r>
            <w:r w:rsidRPr="006F7965">
              <w:rPr>
                <w:rFonts w:ascii="Times New Roman" w:eastAsia="Times New Roman" w:hAnsi="Times New Roman" w:cs="Times New Roman"/>
                <w:bCs/>
                <w:sz w:val="24"/>
                <w:szCs w:val="24"/>
                <w:lang w:eastAsia="en-GB"/>
              </w:rPr>
              <w:t> </w:t>
            </w:r>
            <w:proofErr w:type="gramStart"/>
            <w:r w:rsidRPr="006F7965">
              <w:rPr>
                <w:rFonts w:ascii="Times New Roman" w:eastAsia="Times New Roman" w:hAnsi="Times New Roman" w:cs="Times New Roman"/>
                <w:bCs/>
                <w:color w:val="000000"/>
                <w:sz w:val="24"/>
                <w:szCs w:val="24"/>
                <w:u w:val="single"/>
                <w:lang w:eastAsia="en-GB"/>
              </w:rPr>
              <w:t>Source</w:t>
            </w:r>
            <w:r w:rsidRPr="006F7965">
              <w:rPr>
                <w:rFonts w:ascii="Times New Roman" w:eastAsia="Times New Roman" w:hAnsi="Times New Roman" w:cs="Times New Roman"/>
                <w:bCs/>
                <w:color w:val="000000"/>
                <w:sz w:val="24"/>
                <w:szCs w:val="24"/>
                <w:lang w:eastAsia="en-GB"/>
              </w:rPr>
              <w:t> :</w:t>
            </w:r>
            <w:proofErr w:type="gramEnd"/>
            <w:r w:rsidRPr="006F7965">
              <w:rPr>
                <w:rFonts w:ascii="Times New Roman" w:eastAsia="Times New Roman" w:hAnsi="Times New Roman" w:cs="Times New Roman"/>
                <w:bCs/>
                <w:color w:val="000000"/>
                <w:sz w:val="24"/>
                <w:szCs w:val="24"/>
                <w:lang w:eastAsia="en-GB"/>
              </w:rPr>
              <w:t> Bronze tablet discovered at Tiriolo, Italy, in 1640 ( Vienna, Kunsthistorisches Museum )</w:t>
            </w:r>
            <w:r w:rsidRPr="006F7965">
              <w:rPr>
                <w:rFonts w:ascii="Times New Roman" w:eastAsia="Times New Roman" w:hAnsi="Times New Roman" w:cs="Times New Roman"/>
                <w:bCs/>
                <w:color w:val="0000FF"/>
                <w:sz w:val="24"/>
                <w:szCs w:val="24"/>
                <w:lang w:eastAsia="en-GB"/>
              </w:rPr>
              <w:t>.</w:t>
            </w:r>
          </w:p>
        </w:tc>
      </w:tr>
    </w:tbl>
    <w:p w:rsidR="00F31D9F" w:rsidRPr="006F7965" w:rsidRDefault="00A4052F"/>
    <w:p w:rsidR="006F7965" w:rsidRPr="006F7965" w:rsidRDefault="006F7965">
      <w:r w:rsidRPr="006F7965">
        <w:br w:type="page"/>
      </w:r>
    </w:p>
    <w:tbl>
      <w:tblPr>
        <w:tblW w:w="9750" w:type="dxa"/>
        <w:tblCellSpacing w:w="0" w:type="dxa"/>
        <w:tblCellMar>
          <w:left w:w="0" w:type="dxa"/>
          <w:right w:w="0" w:type="dxa"/>
        </w:tblCellMar>
        <w:tblLook w:val="04A0" w:firstRow="1" w:lastRow="0" w:firstColumn="1" w:lastColumn="0" w:noHBand="0" w:noVBand="1"/>
      </w:tblPr>
      <w:tblGrid>
        <w:gridCol w:w="750"/>
        <w:gridCol w:w="9000"/>
      </w:tblGrid>
      <w:tr w:rsidR="006F7965" w:rsidRPr="006F7965" w:rsidTr="006F7965">
        <w:trPr>
          <w:tblCellSpacing w:w="0" w:type="dxa"/>
        </w:trPr>
        <w:tc>
          <w:tcPr>
            <w:tcW w:w="750" w:type="dxa"/>
            <w:hideMark/>
          </w:tcPr>
          <w:p w:rsidR="006F7965" w:rsidRPr="006F7965" w:rsidRDefault="006F7965" w:rsidP="006F7965">
            <w:pPr>
              <w:spacing w:after="0" w:line="240" w:lineRule="auto"/>
              <w:rPr>
                <w:rFonts w:ascii="Times New Roman" w:eastAsia="Times New Roman" w:hAnsi="Times New Roman" w:cs="Times New Roman"/>
                <w:sz w:val="24"/>
                <w:szCs w:val="24"/>
                <w:lang w:eastAsia="en-GB"/>
              </w:rPr>
            </w:pPr>
          </w:p>
        </w:tc>
        <w:tc>
          <w:tcPr>
            <w:tcW w:w="9000" w:type="dxa"/>
            <w:hideMark/>
          </w:tcPr>
          <w:p w:rsidR="006F7965" w:rsidRPr="006F7965" w:rsidRDefault="006F7965" w:rsidP="006F7965">
            <w:pPr>
              <w:spacing w:before="100" w:beforeAutospacing="1" w:after="100" w:afterAutospacing="1" w:line="240" w:lineRule="auto"/>
              <w:outlineLvl w:val="0"/>
              <w:rPr>
                <w:rFonts w:ascii="Times New Roman" w:eastAsia="Times New Roman" w:hAnsi="Times New Roman" w:cs="Times New Roman"/>
                <w:bCs/>
                <w:kern w:val="36"/>
                <w:sz w:val="48"/>
                <w:szCs w:val="48"/>
                <w:lang w:val="fr-FR" w:eastAsia="en-GB"/>
              </w:rPr>
            </w:pPr>
            <w:r w:rsidRPr="006F7965">
              <w:rPr>
                <w:rFonts w:ascii="Times New Roman" w:eastAsia="Times New Roman" w:hAnsi="Times New Roman" w:cs="Times New Roman"/>
                <w:bCs/>
                <w:kern w:val="36"/>
                <w:sz w:val="48"/>
                <w:szCs w:val="48"/>
                <w:lang w:val="fr-FR" w:eastAsia="en-GB"/>
              </w:rPr>
              <w:t>Senatus consultum</w:t>
            </w:r>
          </w:p>
          <w:p w:rsidR="006F7965" w:rsidRPr="006F7965" w:rsidRDefault="006F7965" w:rsidP="006F7965">
            <w:pPr>
              <w:spacing w:before="100" w:beforeAutospacing="1" w:after="100" w:afterAutospacing="1" w:line="240" w:lineRule="auto"/>
              <w:outlineLvl w:val="0"/>
              <w:rPr>
                <w:rFonts w:ascii="Times New Roman" w:eastAsia="Times New Roman" w:hAnsi="Times New Roman" w:cs="Times New Roman"/>
                <w:bCs/>
                <w:kern w:val="36"/>
                <w:sz w:val="48"/>
                <w:szCs w:val="48"/>
                <w:lang w:val="fr-FR" w:eastAsia="en-GB"/>
              </w:rPr>
            </w:pPr>
            <w:r w:rsidRPr="006F7965">
              <w:rPr>
                <w:rFonts w:ascii="Times New Roman" w:eastAsia="Times New Roman" w:hAnsi="Times New Roman" w:cs="Times New Roman"/>
                <w:bCs/>
                <w:kern w:val="36"/>
                <w:sz w:val="48"/>
                <w:szCs w:val="48"/>
                <w:lang w:val="fr-FR" w:eastAsia="en-GB"/>
              </w:rPr>
              <w:t>de Baccanalibus</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val="fr-FR" w:eastAsia="en-GB"/>
              </w:rPr>
            </w:pPr>
            <w:r w:rsidRPr="006F7965">
              <w:rPr>
                <w:rFonts w:ascii="Times New Roman" w:eastAsia="Times New Roman" w:hAnsi="Times New Roman" w:cs="Times New Roman"/>
                <w:sz w:val="24"/>
                <w:szCs w:val="24"/>
                <w:lang w:val="fr-FR" w:eastAsia="en-GB"/>
              </w:rPr>
              <w:t> </w:t>
            </w:r>
          </w:p>
          <w:p w:rsidR="006F7965" w:rsidRPr="006F7965" w:rsidRDefault="006F7965" w:rsidP="006F7965">
            <w:pPr>
              <w:spacing w:before="100" w:beforeAutospacing="1" w:after="100" w:afterAutospacing="1" w:line="240" w:lineRule="auto"/>
              <w:outlineLvl w:val="1"/>
              <w:rPr>
                <w:rFonts w:ascii="Times New Roman" w:eastAsia="Times New Roman" w:hAnsi="Times New Roman" w:cs="Times New Roman"/>
                <w:bCs/>
                <w:sz w:val="36"/>
                <w:szCs w:val="36"/>
                <w:lang w:val="fr-FR" w:eastAsia="en-GB"/>
              </w:rPr>
            </w:pPr>
            <w:r w:rsidRPr="006F7965">
              <w:rPr>
                <w:rFonts w:ascii="Times New Roman" w:eastAsia="Times New Roman" w:hAnsi="Times New Roman" w:cs="Times New Roman"/>
                <w:bCs/>
                <w:sz w:val="36"/>
                <w:szCs w:val="36"/>
                <w:lang w:val="fr-FR" w:eastAsia="en-GB"/>
              </w:rPr>
              <w:t>Textus:</w:t>
            </w:r>
          </w:p>
          <w:p w:rsidR="006F7965" w:rsidRPr="006F7965" w:rsidRDefault="006F7965" w:rsidP="006F7965">
            <w:pPr>
              <w:spacing w:before="100" w:beforeAutospacing="1" w:after="100" w:afterAutospacing="1" w:line="240" w:lineRule="auto"/>
              <w:outlineLvl w:val="1"/>
              <w:rPr>
                <w:rFonts w:ascii="Times New Roman" w:eastAsia="Times New Roman" w:hAnsi="Times New Roman" w:cs="Times New Roman"/>
                <w:bCs/>
                <w:sz w:val="36"/>
                <w:szCs w:val="36"/>
                <w:lang w:val="de-DE" w:eastAsia="en-GB"/>
              </w:rPr>
            </w:pPr>
            <w:r w:rsidRPr="006F7965">
              <w:rPr>
                <w:rFonts w:ascii="Times New Roman" w:eastAsia="Times New Roman" w:hAnsi="Times New Roman" w:cs="Times New Roman"/>
                <w:bCs/>
                <w:sz w:val="36"/>
                <w:szCs w:val="36"/>
                <w:lang w:val="de-DE" w:eastAsia="en-GB"/>
              </w:rPr>
              <w:t>in: Römische Inschriften, p. 79</w:t>
            </w:r>
          </w:p>
          <w:p w:rsidR="006F7965" w:rsidRPr="006F7965" w:rsidRDefault="006F7965" w:rsidP="006F7965">
            <w:pPr>
              <w:spacing w:before="100" w:beforeAutospacing="1" w:after="100" w:afterAutospacing="1" w:line="240" w:lineRule="auto"/>
              <w:outlineLvl w:val="1"/>
              <w:rPr>
                <w:rFonts w:ascii="Times New Roman" w:eastAsia="Times New Roman" w:hAnsi="Times New Roman" w:cs="Times New Roman"/>
                <w:bCs/>
                <w:sz w:val="36"/>
                <w:szCs w:val="36"/>
                <w:lang w:val="de-DE" w:eastAsia="en-GB"/>
              </w:rPr>
            </w:pPr>
            <w:r w:rsidRPr="006F7965">
              <w:rPr>
                <w:rFonts w:ascii="Times New Roman" w:eastAsia="Times New Roman" w:hAnsi="Times New Roman" w:cs="Times New Roman"/>
                <w:bCs/>
                <w:sz w:val="36"/>
                <w:szCs w:val="36"/>
                <w:lang w:val="de-DE" w:eastAsia="en-GB"/>
              </w:rPr>
              <w:t>ed. L. Schumacher, Stuttgart 1988</w:t>
            </w:r>
          </w:p>
          <w:p w:rsidR="006F7965" w:rsidRPr="006F7965" w:rsidRDefault="006F7965" w:rsidP="006F7965">
            <w:pPr>
              <w:spacing w:before="100" w:beforeAutospacing="1" w:after="100" w:afterAutospacing="1" w:line="240" w:lineRule="auto"/>
              <w:outlineLvl w:val="1"/>
              <w:rPr>
                <w:rFonts w:ascii="Times New Roman" w:eastAsia="Times New Roman" w:hAnsi="Times New Roman" w:cs="Times New Roman"/>
                <w:bCs/>
                <w:sz w:val="36"/>
                <w:szCs w:val="36"/>
                <w:lang w:eastAsia="en-GB"/>
              </w:rPr>
            </w:pPr>
            <w:r w:rsidRPr="006F7965">
              <w:rPr>
                <w:rFonts w:ascii="Times New Roman" w:eastAsia="Times New Roman" w:hAnsi="Times New Roman" w:cs="Times New Roman"/>
                <w:bCs/>
                <w:sz w:val="36"/>
                <w:szCs w:val="36"/>
                <w:lang w:eastAsia="en-GB"/>
              </w:rPr>
              <w:t>Versio digitalis:</w:t>
            </w:r>
          </w:p>
          <w:p w:rsidR="006F7965" w:rsidRPr="006F7965" w:rsidRDefault="006F7965" w:rsidP="006F7965">
            <w:pPr>
              <w:spacing w:before="100" w:beforeAutospacing="1" w:after="100" w:afterAutospacing="1" w:line="240" w:lineRule="auto"/>
              <w:outlineLvl w:val="1"/>
              <w:rPr>
                <w:rFonts w:ascii="Times New Roman" w:eastAsia="Times New Roman" w:hAnsi="Times New Roman" w:cs="Times New Roman"/>
                <w:bCs/>
                <w:sz w:val="36"/>
                <w:szCs w:val="36"/>
                <w:lang w:eastAsia="en-GB"/>
              </w:rPr>
            </w:pPr>
            <w:hyperlink r:id="rId6" w:history="1">
              <w:r w:rsidRPr="006F7965">
                <w:rPr>
                  <w:rFonts w:ascii="Times New Roman" w:eastAsia="Times New Roman" w:hAnsi="Times New Roman" w:cs="Times New Roman"/>
                  <w:bCs/>
                  <w:color w:val="0000FF"/>
                  <w:sz w:val="36"/>
                  <w:szCs w:val="36"/>
                  <w:u w:val="single"/>
                  <w:lang w:eastAsia="en-GB"/>
                </w:rPr>
                <w:t>Erich Schweizer-Ferrari</w:t>
              </w:r>
            </w:hyperlink>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eastAsia="en-GB"/>
              </w:rPr>
            </w:pPr>
            <w:r w:rsidRPr="006F7965">
              <w:rPr>
                <w:rFonts w:ascii="Times New Roman" w:eastAsia="Times New Roman" w:hAnsi="Times New Roman" w:cs="Times New Roman"/>
                <w:sz w:val="24"/>
                <w:szCs w:val="24"/>
                <w:lang w:eastAsia="en-GB"/>
              </w:rPr>
              <w:t> </w:t>
            </w:r>
          </w:p>
        </w:tc>
      </w:tr>
      <w:tr w:rsidR="006F7965" w:rsidRPr="006F7965" w:rsidTr="006F7965">
        <w:trPr>
          <w:tblCellSpacing w:w="0" w:type="dxa"/>
        </w:trPr>
        <w:tc>
          <w:tcPr>
            <w:tcW w:w="9750" w:type="dxa"/>
            <w:gridSpan w:val="2"/>
            <w:hideMark/>
          </w:tcPr>
          <w:p w:rsidR="006F7965" w:rsidRPr="006F7965" w:rsidRDefault="006F7965" w:rsidP="006F7965">
            <w:pPr>
              <w:spacing w:before="100" w:beforeAutospacing="1" w:after="100" w:afterAutospacing="1" w:line="240" w:lineRule="auto"/>
              <w:rPr>
                <w:rFonts w:ascii="Times New Roman" w:eastAsia="Times New Roman" w:hAnsi="Times New Roman" w:cs="Times New Roman"/>
                <w:color w:val="993399"/>
                <w:sz w:val="24"/>
                <w:szCs w:val="24"/>
                <w:lang w:eastAsia="en-GB"/>
              </w:rPr>
            </w:pPr>
            <w:r w:rsidRPr="006F7965">
              <w:rPr>
                <w:rFonts w:ascii="Times New Roman" w:eastAsia="Times New Roman" w:hAnsi="Times New Roman" w:cs="Times New Roman"/>
                <w:color w:val="993399"/>
                <w:sz w:val="24"/>
                <w:szCs w:val="24"/>
                <w:lang w:eastAsia="en-GB"/>
              </w:rPr>
              <w:t>___________________________________________________</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eastAsia="en-GB"/>
              </w:rPr>
            </w:pPr>
            <w:r w:rsidRPr="006F7965">
              <w:rPr>
                <w:rFonts w:ascii="Times New Roman" w:eastAsia="Times New Roman" w:hAnsi="Times New Roman" w:cs="Times New Roman"/>
                <w:sz w:val="24"/>
                <w:szCs w:val="24"/>
                <w:lang w:eastAsia="en-GB"/>
              </w:rPr>
              <w:t> </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eastAsia="en-GB"/>
              </w:rPr>
            </w:pPr>
            <w:r w:rsidRPr="006F7965">
              <w:rPr>
                <w:rFonts w:ascii="Times New Roman" w:eastAsia="Times New Roman" w:hAnsi="Times New Roman" w:cs="Times New Roman"/>
                <w:sz w:val="24"/>
                <w:szCs w:val="24"/>
                <w:lang w:eastAsia="en-GB"/>
              </w:rPr>
              <w:t> </w:t>
            </w:r>
          </w:p>
        </w:tc>
      </w:tr>
      <w:tr w:rsidR="006F7965" w:rsidRPr="006F7965" w:rsidTr="006F7965">
        <w:trPr>
          <w:tblCellSpacing w:w="0" w:type="dxa"/>
        </w:trPr>
        <w:tc>
          <w:tcPr>
            <w:tcW w:w="750" w:type="dxa"/>
            <w:hideMark/>
          </w:tcPr>
          <w:p w:rsidR="006F7965" w:rsidRPr="006F7965" w:rsidRDefault="006F7965" w:rsidP="006F7965">
            <w:pPr>
              <w:spacing w:after="0" w:line="240" w:lineRule="auto"/>
              <w:rPr>
                <w:rFonts w:ascii="Times New Roman" w:eastAsia="Times New Roman" w:hAnsi="Times New Roman" w:cs="Times New Roman"/>
                <w:sz w:val="24"/>
                <w:szCs w:val="24"/>
                <w:lang w:eastAsia="en-GB"/>
              </w:rPr>
            </w:pPr>
            <w:r w:rsidRPr="006F7965">
              <w:rPr>
                <w:rFonts w:ascii="Times New Roman" w:eastAsia="Times New Roman" w:hAnsi="Times New Roman" w:cs="Times New Roman"/>
                <w:sz w:val="24"/>
                <w:szCs w:val="24"/>
                <w:lang w:eastAsia="en-GB"/>
              </w:rPr>
              <w:lastRenderedPageBreak/>
              <w:t xml:space="preserve">  </w:t>
            </w:r>
          </w:p>
        </w:tc>
        <w:tc>
          <w:tcPr>
            <w:tcW w:w="9000" w:type="dxa"/>
            <w:hideMark/>
          </w:tcPr>
          <w:p w:rsidR="006F7965" w:rsidRPr="006F7965" w:rsidRDefault="006F7965" w:rsidP="006F7965">
            <w:pPr>
              <w:spacing w:before="100" w:beforeAutospacing="1" w:after="100" w:afterAutospacing="1" w:line="240" w:lineRule="auto"/>
              <w:outlineLvl w:val="3"/>
              <w:rPr>
                <w:rFonts w:ascii="Times New Roman" w:eastAsia="Times New Roman" w:hAnsi="Times New Roman" w:cs="Times New Roman"/>
                <w:bCs/>
                <w:sz w:val="24"/>
                <w:szCs w:val="24"/>
                <w:lang w:eastAsia="en-GB"/>
              </w:rPr>
            </w:pPr>
            <w:r w:rsidRPr="006F7965">
              <w:rPr>
                <w:rFonts w:ascii="Times New Roman" w:eastAsia="Times New Roman" w:hAnsi="Times New Roman" w:cs="Times New Roman"/>
                <w:bCs/>
                <w:noProof/>
                <w:sz w:val="24"/>
                <w:szCs w:val="24"/>
                <w:lang w:eastAsia="en-GB"/>
              </w:rPr>
              <w:drawing>
                <wp:inline distT="0" distB="0" distL="0" distR="0" wp14:anchorId="77C8B009" wp14:editId="69162E45">
                  <wp:extent cx="5322570" cy="4986020"/>
                  <wp:effectExtent l="0" t="0" r="0" b="5080"/>
                  <wp:docPr id="1" name="Picture 1" descr="http://www.hs-augsburg.de/%7Eharsch/Chronologia/Lsante02/Bacchanalia/bac_or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hs-augsburg.de/%7Eharsch/Chronologia/Lsante02/Bacchanalia/bac_orig.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22570" cy="4986020"/>
                          </a:xfrm>
                          <a:prstGeom prst="rect">
                            <a:avLst/>
                          </a:prstGeom>
                          <a:noFill/>
                          <a:ln>
                            <a:noFill/>
                          </a:ln>
                        </pic:spPr>
                      </pic:pic>
                    </a:graphicData>
                  </a:graphic>
                </wp:inline>
              </w:drawing>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eastAsia="en-GB"/>
              </w:rPr>
            </w:pPr>
            <w:r w:rsidRPr="006F7965">
              <w:rPr>
                <w:rFonts w:ascii="Times New Roman" w:eastAsia="Times New Roman" w:hAnsi="Times New Roman" w:cs="Times New Roman"/>
                <w:sz w:val="24"/>
                <w:szCs w:val="24"/>
                <w:lang w:eastAsia="en-GB"/>
              </w:rPr>
              <w:t> </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eastAsia="en-GB"/>
              </w:rPr>
            </w:pPr>
            <w:r w:rsidRPr="006F7965">
              <w:rPr>
                <w:rFonts w:ascii="Times New Roman" w:eastAsia="Times New Roman" w:hAnsi="Times New Roman" w:cs="Times New Roman"/>
                <w:sz w:val="24"/>
                <w:szCs w:val="24"/>
                <w:lang w:eastAsia="en-GB"/>
              </w:rPr>
              <w:t> </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eastAsia="en-GB"/>
              </w:rPr>
            </w:pPr>
            <w:r w:rsidRPr="006F7965">
              <w:rPr>
                <w:rFonts w:ascii="Times New Roman" w:eastAsia="Times New Roman" w:hAnsi="Times New Roman" w:cs="Times New Roman"/>
                <w:bCs/>
                <w:sz w:val="27"/>
                <w:szCs w:val="27"/>
                <w:lang w:eastAsia="en-GB"/>
              </w:rPr>
              <w:t xml:space="preserve">|1| [Q(VINTVS)] MARCIVS L(VCI) F(ILIVS), S(PVRIVS) POSTVMIVS L(VCI) F(ILIVS) CO(N)S(VLES) SENATVM CONSOLVERVNT N(ONIS) OCTOB(RIBVS), APVD AEDEM |2| DVELONAI. SC(RIBVNDO) ARF(VERVNT) M(ARCVS) CLAVDI(VS) M(ARCI) F(ILIVS), L(VCIVS) VALERI(VS) P(VBLI) F(ILIVS), Q(VINTVS) MINVCI(VS) C(AI) F(ILIVS) </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eastAsia="en-GB"/>
              </w:rPr>
            </w:pPr>
            <w:r w:rsidRPr="006F7965">
              <w:rPr>
                <w:rFonts w:ascii="Times New Roman" w:eastAsia="Times New Roman" w:hAnsi="Times New Roman" w:cs="Times New Roman"/>
                <w:bCs/>
                <w:sz w:val="27"/>
                <w:szCs w:val="27"/>
                <w:lang w:eastAsia="en-GB"/>
              </w:rPr>
              <w:t xml:space="preserve">DE BACANALIBVS QVEI FOIDERATEI |3| ESENT, ITA EXDEICENDVM CENSVERE: </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eastAsia="en-GB"/>
              </w:rPr>
            </w:pPr>
            <w:r w:rsidRPr="006F7965">
              <w:rPr>
                <w:rFonts w:ascii="Times New Roman" w:eastAsia="Times New Roman" w:hAnsi="Times New Roman" w:cs="Times New Roman"/>
                <w:bCs/>
                <w:sz w:val="27"/>
                <w:szCs w:val="27"/>
                <w:lang w:eastAsia="en-GB"/>
              </w:rPr>
              <w:t>NEIQVIS EORVM [B</w:t>
            </w:r>
            <w:proofErr w:type="gramStart"/>
            <w:r w:rsidRPr="006F7965">
              <w:rPr>
                <w:rFonts w:ascii="Times New Roman" w:eastAsia="Times New Roman" w:hAnsi="Times New Roman" w:cs="Times New Roman"/>
                <w:bCs/>
                <w:sz w:val="27"/>
                <w:szCs w:val="27"/>
                <w:lang w:eastAsia="en-GB"/>
              </w:rPr>
              <w:t>]ACANAL</w:t>
            </w:r>
            <w:proofErr w:type="gramEnd"/>
            <w:r w:rsidRPr="006F7965">
              <w:rPr>
                <w:rFonts w:ascii="Times New Roman" w:eastAsia="Times New Roman" w:hAnsi="Times New Roman" w:cs="Times New Roman"/>
                <w:bCs/>
                <w:sz w:val="27"/>
                <w:szCs w:val="27"/>
                <w:lang w:eastAsia="en-GB"/>
              </w:rPr>
              <w:t xml:space="preserve"> HABVISE VELET. SEIQVES |4| ESENT, QVEI SIBEI DEICERENT NECESVS ESE BACANAL HABERE, EEIS VTEI AD PR(AITOREM) VRBANVM |5| ROMAM VENIRENT, DEQVE EEIS REBVS, VBEI EORVM V[E]R[B]A AVDITA ESENT, VTEI SENATVS |6| NOSTER DECERNERET, DVM NE MINVS SENATOR[I]BVS C ADESENT, [QVOM E]A RES COSOLERETVR. |7| BACAS VIR NEQVIS ADIESE VELET CEIVIS ROMANVS NEVE NOMINVS LATINI NEVE SOCIVM |8| </w:t>
            </w:r>
            <w:r w:rsidRPr="006F7965">
              <w:rPr>
                <w:rFonts w:ascii="Times New Roman" w:eastAsia="Times New Roman" w:hAnsi="Times New Roman" w:cs="Times New Roman"/>
                <w:bCs/>
                <w:sz w:val="27"/>
                <w:szCs w:val="27"/>
                <w:lang w:eastAsia="en-GB"/>
              </w:rPr>
              <w:lastRenderedPageBreak/>
              <w:t>QVISQVAM, NISEI PR(AITOREM) VRBANVM ADIESENT, ISQVE [D]E SENATVOS SENTENTIAD, DVM NE |9| MINVS SENATORIBVS C ADESENT, QVOM EA RES COSOLERETVR, IOVSISENT.</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fr-FR" w:eastAsia="en-GB"/>
              </w:rPr>
            </w:pPr>
            <w:proofErr w:type="gramStart"/>
            <w:r w:rsidRPr="006F7965">
              <w:rPr>
                <w:rFonts w:ascii="Times New Roman" w:eastAsia="Times New Roman" w:hAnsi="Times New Roman" w:cs="Times New Roman"/>
                <w:bCs/>
                <w:sz w:val="27"/>
                <w:szCs w:val="27"/>
                <w:lang w:val="fr-FR" w:eastAsia="en-GB"/>
              </w:rPr>
              <w:t>CE[</w:t>
            </w:r>
            <w:proofErr w:type="gramEnd"/>
            <w:r w:rsidRPr="006F7965">
              <w:rPr>
                <w:rFonts w:ascii="Times New Roman" w:eastAsia="Times New Roman" w:hAnsi="Times New Roman" w:cs="Times New Roman"/>
                <w:bCs/>
                <w:sz w:val="27"/>
                <w:szCs w:val="27"/>
                <w:lang w:val="fr-FR" w:eastAsia="en-GB"/>
              </w:rPr>
              <w:t xml:space="preserve">N]SVERE. </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fr-FR" w:eastAsia="en-GB"/>
              </w:rPr>
            </w:pPr>
            <w:r w:rsidRPr="006F7965">
              <w:rPr>
                <w:rFonts w:ascii="Times New Roman" w:eastAsia="Times New Roman" w:hAnsi="Times New Roman" w:cs="Times New Roman"/>
                <w:bCs/>
                <w:sz w:val="27"/>
                <w:szCs w:val="27"/>
                <w:lang w:val="fr-FR" w:eastAsia="en-GB"/>
              </w:rPr>
              <w:t xml:space="preserve">|10| SACERDOS NEQVIS VIR ESET. MAGISTER NEQVE VIR NEQVE MVLIER QVISQVAM ESET. |11| NEVE PECVNIAM QVISQVAM EORVM </w:t>
            </w:r>
            <w:proofErr w:type="gramStart"/>
            <w:r w:rsidRPr="006F7965">
              <w:rPr>
                <w:rFonts w:ascii="Times New Roman" w:eastAsia="Times New Roman" w:hAnsi="Times New Roman" w:cs="Times New Roman"/>
                <w:bCs/>
                <w:sz w:val="27"/>
                <w:szCs w:val="27"/>
                <w:lang w:val="fr-FR" w:eastAsia="en-GB"/>
              </w:rPr>
              <w:t>COMOINE[</w:t>
            </w:r>
            <w:proofErr w:type="gramEnd"/>
            <w:r w:rsidRPr="006F7965">
              <w:rPr>
                <w:rFonts w:ascii="Times New Roman" w:eastAsia="Times New Roman" w:hAnsi="Times New Roman" w:cs="Times New Roman"/>
                <w:bCs/>
                <w:sz w:val="27"/>
                <w:szCs w:val="27"/>
                <w:lang w:val="fr-FR" w:eastAsia="en-GB"/>
              </w:rPr>
              <w:t xml:space="preserve">M H]ABVISE VELET. NEVE MAGISTRATVM, |12| NEVE PRO </w:t>
            </w:r>
            <w:proofErr w:type="gramStart"/>
            <w:r w:rsidRPr="006F7965">
              <w:rPr>
                <w:rFonts w:ascii="Times New Roman" w:eastAsia="Times New Roman" w:hAnsi="Times New Roman" w:cs="Times New Roman"/>
                <w:bCs/>
                <w:sz w:val="27"/>
                <w:szCs w:val="27"/>
                <w:lang w:val="fr-FR" w:eastAsia="en-GB"/>
              </w:rPr>
              <w:t>MAGISTRATV[</w:t>
            </w:r>
            <w:proofErr w:type="gramEnd"/>
            <w:r w:rsidRPr="006F7965">
              <w:rPr>
                <w:rFonts w:ascii="Times New Roman" w:eastAsia="Times New Roman" w:hAnsi="Times New Roman" w:cs="Times New Roman"/>
                <w:bCs/>
                <w:sz w:val="27"/>
                <w:szCs w:val="27"/>
                <w:lang w:val="fr-FR" w:eastAsia="en-GB"/>
              </w:rPr>
              <w:t xml:space="preserve">D], NEQVE VIRVM [NEQVE MVL]IEREM QVI[S]QVAM FECISE VELET. |13| NEVE POST HAC INTER SED </w:t>
            </w:r>
            <w:proofErr w:type="gramStart"/>
            <w:r w:rsidRPr="006F7965">
              <w:rPr>
                <w:rFonts w:ascii="Times New Roman" w:eastAsia="Times New Roman" w:hAnsi="Times New Roman" w:cs="Times New Roman"/>
                <w:bCs/>
                <w:sz w:val="27"/>
                <w:szCs w:val="27"/>
                <w:lang w:val="fr-FR" w:eastAsia="en-GB"/>
              </w:rPr>
              <w:t>CONIOVRA[</w:t>
            </w:r>
            <w:proofErr w:type="gramEnd"/>
            <w:r w:rsidRPr="006F7965">
              <w:rPr>
                <w:rFonts w:ascii="Times New Roman" w:eastAsia="Times New Roman" w:hAnsi="Times New Roman" w:cs="Times New Roman"/>
                <w:bCs/>
                <w:sz w:val="27"/>
                <w:szCs w:val="27"/>
                <w:lang w:val="fr-FR" w:eastAsia="en-GB"/>
              </w:rPr>
              <w:t>SE NEV]E COMVOVISE NEVE CONSPONDISE |14| NEVE CONPROMESISE VELET, NEVE QVISQVAM FIDEM INTER SED DEDISE VELET. |15| SACRA IN [O</w:t>
            </w:r>
            <w:proofErr w:type="gramStart"/>
            <w:r w:rsidRPr="006F7965">
              <w:rPr>
                <w:rFonts w:ascii="Times New Roman" w:eastAsia="Times New Roman" w:hAnsi="Times New Roman" w:cs="Times New Roman"/>
                <w:bCs/>
                <w:sz w:val="27"/>
                <w:szCs w:val="27"/>
                <w:lang w:val="fr-FR" w:eastAsia="en-GB"/>
              </w:rPr>
              <w:t>]QVOLTOD</w:t>
            </w:r>
            <w:proofErr w:type="gramEnd"/>
            <w:r w:rsidRPr="006F7965">
              <w:rPr>
                <w:rFonts w:ascii="Times New Roman" w:eastAsia="Times New Roman" w:hAnsi="Times New Roman" w:cs="Times New Roman"/>
                <w:bCs/>
                <w:sz w:val="27"/>
                <w:szCs w:val="27"/>
                <w:lang w:val="fr-FR" w:eastAsia="en-GB"/>
              </w:rPr>
              <w:t xml:space="preserve"> NE QVISQVAM FECISE VELET. NEVE IN POPLICOD NEVE IN |16| PREIVATOD NEVE EXSTRAD VRBEM SACRA QVISQVAM FECISE VELET, NISEI |17| PR(AITOREM) VRBANVM ADIESET, ISQVE DE SENATVOS SENTENTIAD, DVM NE MINVS |18| SENATORIBVS C ADESENT, QVOM EA RES COSOLERETVR, IOVSISENT.</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fr-FR" w:eastAsia="en-GB"/>
              </w:rPr>
            </w:pPr>
            <w:r w:rsidRPr="006F7965">
              <w:rPr>
                <w:rFonts w:ascii="Times New Roman" w:eastAsia="Times New Roman" w:hAnsi="Times New Roman" w:cs="Times New Roman"/>
                <w:bCs/>
                <w:sz w:val="27"/>
                <w:szCs w:val="27"/>
                <w:lang w:val="fr-FR" w:eastAsia="en-GB"/>
              </w:rPr>
              <w:t xml:space="preserve">CENSVERE. </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fr-FR" w:eastAsia="en-GB"/>
              </w:rPr>
            </w:pPr>
            <w:r w:rsidRPr="006F7965">
              <w:rPr>
                <w:rFonts w:ascii="Times New Roman" w:eastAsia="Times New Roman" w:hAnsi="Times New Roman" w:cs="Times New Roman"/>
                <w:bCs/>
                <w:sz w:val="27"/>
                <w:szCs w:val="27"/>
                <w:lang w:val="fr-FR" w:eastAsia="en-GB"/>
              </w:rPr>
              <w:t>|19| HOMINES PLOVS V OINVORSEI VIREI ATQVE MVLIERES SACRA NE QVISQVAM |20| FECISE VELET, NEVE INTER IBEI VIREI PLOVS DVOBVS, MVLIERIBVS PLOVS TRIBVS |21| ARFVISE VELENT, NISEI DE PR(AITORIS) VRBANI SENATVOSQVE SENTENTIAD, VTEI SVPRAD |22| SCRIPTVM EST.</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fr-FR" w:eastAsia="en-GB"/>
              </w:rPr>
            </w:pPr>
            <w:r w:rsidRPr="006F7965">
              <w:rPr>
                <w:rFonts w:ascii="Times New Roman" w:eastAsia="Times New Roman" w:hAnsi="Times New Roman" w:cs="Times New Roman"/>
                <w:bCs/>
                <w:sz w:val="27"/>
                <w:szCs w:val="27"/>
                <w:lang w:val="fr-FR" w:eastAsia="en-GB"/>
              </w:rPr>
              <w:t xml:space="preserve">HAICE VTEI IN COVENTIONID EXDEICATIS NE MINVS TRINVM |23| NOVNDINVM, SENATVOSQVE SENTENTIAM VTEI SCIENTES ESETIS, EORVM |24| SENTENTIA ITA FVIT: SEI QVES ESENT, QVEI ARVORSVM EAD FECISENT, QVAM SVPRAD |25| SCRIPTVM EST, EEIS REM CAPVTALEM FACIENDAM CENSVERE. ATQVE VTEI |26| HOCE IN TABOLAM AHENAM INCEIDERETIS, ITA SENATVS AIQVOM CENSVIT, |27| VTEIQVE EAM FIGIER IOVBEATIS, VBEI FACILVMED GNOSCIER POTISIT. ATQVE |28| VTEI EA BACANALIA, SEI QVA SVNT, EXSTRAD QVAM SEI QVID IBEI SACRI EST, |29| ITA VTEI SVPRAD SCRIPTVM EST, IN DIEBVS X, QVIBVS VOBEIS TABELAI DATAI |30| ERVNT, FACIATIS VTEI DISMOTA SIENT. </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fr-FR" w:eastAsia="en-GB"/>
              </w:rPr>
            </w:pPr>
            <w:r w:rsidRPr="006F7965">
              <w:rPr>
                <w:rFonts w:ascii="Times New Roman" w:eastAsia="Times New Roman" w:hAnsi="Times New Roman" w:cs="Times New Roman"/>
                <w:bCs/>
                <w:sz w:val="27"/>
                <w:szCs w:val="27"/>
                <w:lang w:val="fr-FR" w:eastAsia="en-GB"/>
              </w:rPr>
              <w:t>IN AGRO TEVRANO.</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val="fr-FR" w:eastAsia="en-GB"/>
              </w:rPr>
            </w:pPr>
            <w:r w:rsidRPr="006F7965">
              <w:rPr>
                <w:rFonts w:ascii="Times New Roman" w:eastAsia="Times New Roman" w:hAnsi="Times New Roman" w:cs="Times New Roman"/>
                <w:sz w:val="24"/>
                <w:szCs w:val="24"/>
                <w:lang w:val="fr-FR" w:eastAsia="en-GB"/>
              </w:rPr>
              <w:t> </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val="fr-FR" w:eastAsia="en-GB"/>
              </w:rPr>
            </w:pPr>
            <w:r w:rsidRPr="006F7965">
              <w:rPr>
                <w:rFonts w:ascii="Times New Roman" w:eastAsia="Times New Roman" w:hAnsi="Times New Roman" w:cs="Times New Roman"/>
                <w:sz w:val="24"/>
                <w:szCs w:val="24"/>
                <w:lang w:val="fr-FR" w:eastAsia="en-GB"/>
              </w:rPr>
              <w:t>___________</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val="fr-FR" w:eastAsia="en-GB"/>
              </w:rPr>
            </w:pPr>
            <w:bookmarkStart w:id="0" w:name="_GoBack"/>
            <w:bookmarkEnd w:id="0"/>
            <w:r w:rsidRPr="006F7965">
              <w:rPr>
                <w:rFonts w:ascii="Times New Roman" w:eastAsia="Times New Roman" w:hAnsi="Times New Roman" w:cs="Times New Roman"/>
                <w:sz w:val="24"/>
                <w:szCs w:val="24"/>
                <w:lang w:val="fr-FR" w:eastAsia="en-GB"/>
              </w:rPr>
              <w:t> </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val="fr-FR" w:eastAsia="en-GB"/>
              </w:rPr>
            </w:pPr>
            <w:r w:rsidRPr="006F7965">
              <w:rPr>
                <w:rFonts w:ascii="Times New Roman" w:eastAsia="Times New Roman" w:hAnsi="Times New Roman" w:cs="Times New Roman"/>
                <w:sz w:val="24"/>
                <w:szCs w:val="24"/>
                <w:lang w:val="fr-FR" w:eastAsia="en-GB"/>
              </w:rPr>
              <w:lastRenderedPageBreak/>
              <w:t> </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fr-FR" w:eastAsia="en-GB"/>
              </w:rPr>
            </w:pPr>
            <w:r w:rsidRPr="006F7965">
              <w:rPr>
                <w:rFonts w:ascii="Times New Roman" w:eastAsia="Times New Roman" w:hAnsi="Times New Roman" w:cs="Times New Roman"/>
                <w:bCs/>
                <w:sz w:val="27"/>
                <w:szCs w:val="27"/>
                <w:lang w:val="fr-FR" w:eastAsia="en-GB"/>
              </w:rPr>
              <w:t>|1| Q. Marcius Luci filius, Spurius Postumius Luci filius consules senatum sonsuluerunt Nonis Octobribus apud aedem |2| Bellonae. scribendo adfuerunt M. Claudius Marci filius, L. Valerius Publi filius, Q. Minucius Gai filius.</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fr-FR" w:eastAsia="en-GB"/>
              </w:rPr>
            </w:pPr>
            <w:r w:rsidRPr="006F7965">
              <w:rPr>
                <w:rFonts w:ascii="Times New Roman" w:eastAsia="Times New Roman" w:hAnsi="Times New Roman" w:cs="Times New Roman"/>
                <w:bCs/>
                <w:sz w:val="27"/>
                <w:szCs w:val="27"/>
                <w:lang w:val="fr-FR" w:eastAsia="en-GB"/>
              </w:rPr>
              <w:t>De Bacchanalibus, qui foederati |3| essent, ita edicendum censuere:</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fr-FR" w:eastAsia="en-GB"/>
              </w:rPr>
            </w:pPr>
            <w:r w:rsidRPr="006F7965">
              <w:rPr>
                <w:rFonts w:ascii="Times New Roman" w:eastAsia="Times New Roman" w:hAnsi="Times New Roman" w:cs="Times New Roman"/>
                <w:bCs/>
                <w:sz w:val="27"/>
                <w:szCs w:val="27"/>
                <w:lang w:val="fr-FR" w:eastAsia="en-GB"/>
              </w:rPr>
              <w:t xml:space="preserve">«Ne quis eorum Bacchanal habuisse vellet. si qui |4| essent, qui sibi dicerent necesse esse Bacchanal habere, ei ut ad praetorem urbanum |5| Romam venirent, deque eis rebus, ubi eorum verba audita essent, ut senatus |6| noster decerneret, dum ne minus senatoribus centum adessent, cum ea res consuleretur. |7| Bacchas vir ne quis adisse vellet civis Romanus neve nominis Latini neve sociorum |8| quisquam, nisi praetorem urbanum adissent, isque de senatus sententia, dum ne |9| minus senatoribus centum adessent, cam ea res consuleretur, iussissent. </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fr-FR" w:eastAsia="en-GB"/>
              </w:rPr>
            </w:pPr>
            <w:r w:rsidRPr="006F7965">
              <w:rPr>
                <w:rFonts w:ascii="Times New Roman" w:eastAsia="Times New Roman" w:hAnsi="Times New Roman" w:cs="Times New Roman"/>
                <w:bCs/>
                <w:sz w:val="27"/>
                <w:szCs w:val="27"/>
                <w:lang w:val="fr-FR" w:eastAsia="en-GB"/>
              </w:rPr>
              <w:t>Censuere.</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it-IT" w:eastAsia="en-GB"/>
              </w:rPr>
            </w:pPr>
            <w:r w:rsidRPr="006F7965">
              <w:rPr>
                <w:rFonts w:ascii="Times New Roman" w:eastAsia="Times New Roman" w:hAnsi="Times New Roman" w:cs="Times New Roman"/>
                <w:bCs/>
                <w:sz w:val="27"/>
                <w:szCs w:val="27"/>
                <w:lang w:val="fr-FR" w:eastAsia="en-GB"/>
              </w:rPr>
              <w:t xml:space="preserve">|10| Sacerdos ne quis vir esset. magister neque vir neque mulier quisquam esset. |11| neve pecuniam quisquam eorum communem habuisse vellet. neve magistratum |12| neve pro magistratu neque virum neque mulierem quisquam fecisse vellet. </w:t>
            </w:r>
            <w:r w:rsidRPr="006F7965">
              <w:rPr>
                <w:rFonts w:ascii="Times New Roman" w:eastAsia="Times New Roman" w:hAnsi="Times New Roman" w:cs="Times New Roman"/>
                <w:bCs/>
                <w:sz w:val="27"/>
                <w:szCs w:val="27"/>
                <w:lang w:val="it-IT" w:eastAsia="en-GB"/>
              </w:rPr>
              <w:t xml:space="preserve">|13| neve posthac inter se coniurasse neve convovisse neve conspondisse |14| neve compromisisse vellet, neve quisquam fidem inter se dedisse vellet. |15| Sacra in occulto ne quisquam fecisse vellet. Neve in publico neve in |16| privato neve extra urbem sacra quisquam fecisse vellet, nisi |17| praetorem urbanum adisset isque de senatus sententia, dum ne minus |18| senatoribus centum adessent, cum ea res consuleretur, iussissent. </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it-IT" w:eastAsia="en-GB"/>
              </w:rPr>
            </w:pPr>
            <w:r w:rsidRPr="006F7965">
              <w:rPr>
                <w:rFonts w:ascii="Times New Roman" w:eastAsia="Times New Roman" w:hAnsi="Times New Roman" w:cs="Times New Roman"/>
                <w:bCs/>
                <w:sz w:val="27"/>
                <w:szCs w:val="27"/>
                <w:lang w:val="it-IT" w:eastAsia="en-GB"/>
              </w:rPr>
              <w:t>Censuere.</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it-IT" w:eastAsia="en-GB"/>
              </w:rPr>
            </w:pPr>
            <w:r w:rsidRPr="006F7965">
              <w:rPr>
                <w:rFonts w:ascii="Times New Roman" w:eastAsia="Times New Roman" w:hAnsi="Times New Roman" w:cs="Times New Roman"/>
                <w:bCs/>
                <w:sz w:val="27"/>
                <w:szCs w:val="27"/>
                <w:lang w:val="it-IT" w:eastAsia="en-GB"/>
              </w:rPr>
              <w:t>|19| Homines plus quinque universi, viri atque mulieres, sacra ne quisquam |20| fecisse vellet, neve interibi viri plus duobus, mulieribus plus tribus |21| adfuisse vellent, nisi de praetoris urbani senatusque sententia, ut supra |22| scriptum est.»</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it-IT" w:eastAsia="en-GB"/>
              </w:rPr>
            </w:pPr>
            <w:r w:rsidRPr="006F7965">
              <w:rPr>
                <w:rFonts w:ascii="Times New Roman" w:eastAsia="Times New Roman" w:hAnsi="Times New Roman" w:cs="Times New Roman"/>
                <w:bCs/>
                <w:sz w:val="27"/>
                <w:szCs w:val="27"/>
                <w:lang w:val="it-IT" w:eastAsia="en-GB"/>
              </w:rPr>
              <w:t>Haec ut in contione edicatis ne minus trinum |23| nundinum, senatusque sententiam ut scientes essetis, eorum |24| sententia ita fuit: «Si qui essent, qui adversum ea fecissent, quam supra |25| scriptum est, eis rem capitalem faciendam censuere»; atque ut |26| Hoc in tabulam aeneam incideretis, ita senatus aequum censuit, |27| utque eam figi iubeatis, ubi facillime nosci possit. Atque |28| ut ea Bacchanalia, si qua sunt, extra quam si quid ibi sacri est, |29| ita ut supra scriptum est, in diebus decem, quibus vobis tabellae datae |30| erunt, faciatis, ut dimota sint.</w:t>
            </w:r>
          </w:p>
          <w:p w:rsidR="006F7965" w:rsidRPr="006F7965" w:rsidRDefault="006F7965" w:rsidP="006F7965">
            <w:pPr>
              <w:spacing w:before="100" w:beforeAutospacing="1" w:after="100" w:afterAutospacing="1" w:line="240" w:lineRule="auto"/>
              <w:outlineLvl w:val="2"/>
              <w:rPr>
                <w:rFonts w:ascii="Times New Roman" w:eastAsia="Times New Roman" w:hAnsi="Times New Roman" w:cs="Times New Roman"/>
                <w:bCs/>
                <w:sz w:val="27"/>
                <w:szCs w:val="27"/>
                <w:lang w:val="it-IT" w:eastAsia="en-GB"/>
              </w:rPr>
            </w:pPr>
            <w:r w:rsidRPr="006F7965">
              <w:rPr>
                <w:rFonts w:ascii="Times New Roman" w:eastAsia="Times New Roman" w:hAnsi="Times New Roman" w:cs="Times New Roman"/>
                <w:bCs/>
                <w:sz w:val="27"/>
                <w:szCs w:val="27"/>
                <w:lang w:val="it-IT" w:eastAsia="en-GB"/>
              </w:rPr>
              <w:t>In agro Teurano.</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val="it-IT" w:eastAsia="en-GB"/>
              </w:rPr>
            </w:pPr>
            <w:r w:rsidRPr="006F7965">
              <w:rPr>
                <w:rFonts w:ascii="Times New Roman" w:eastAsia="Times New Roman" w:hAnsi="Times New Roman" w:cs="Times New Roman"/>
                <w:sz w:val="24"/>
                <w:szCs w:val="24"/>
                <w:lang w:val="it-IT" w:eastAsia="en-GB"/>
              </w:rPr>
              <w:t> </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val="it-IT" w:eastAsia="en-GB"/>
              </w:rPr>
            </w:pPr>
            <w:r w:rsidRPr="006F7965">
              <w:rPr>
                <w:rFonts w:ascii="Times New Roman" w:eastAsia="Times New Roman" w:hAnsi="Times New Roman" w:cs="Times New Roman"/>
                <w:sz w:val="24"/>
                <w:szCs w:val="24"/>
                <w:lang w:val="it-IT" w:eastAsia="en-GB"/>
              </w:rPr>
              <w:lastRenderedPageBreak/>
              <w:t>________</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val="it-IT" w:eastAsia="en-GB"/>
              </w:rPr>
            </w:pPr>
            <w:r w:rsidRPr="006F7965">
              <w:rPr>
                <w:rFonts w:ascii="Times New Roman" w:eastAsia="Times New Roman" w:hAnsi="Times New Roman" w:cs="Times New Roman"/>
                <w:sz w:val="24"/>
                <w:szCs w:val="24"/>
                <w:lang w:val="it-IT" w:eastAsia="en-GB"/>
              </w:rPr>
              <w:t> </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val="it-IT" w:eastAsia="en-GB"/>
              </w:rPr>
            </w:pPr>
            <w:r w:rsidRPr="006F7965">
              <w:rPr>
                <w:rFonts w:ascii="Times New Roman" w:eastAsia="Times New Roman" w:hAnsi="Times New Roman" w:cs="Times New Roman"/>
                <w:sz w:val="24"/>
                <w:szCs w:val="24"/>
                <w:lang w:val="it-IT" w:eastAsia="en-GB"/>
              </w:rPr>
              <w:t xml:space="preserve">CIL I ² 581; ILLRP² 511; Degrassi: Imagines, Nº 392; ILS 18 </w:t>
            </w:r>
          </w:p>
          <w:p w:rsidR="006F7965" w:rsidRPr="006F7965" w:rsidRDefault="006F7965" w:rsidP="006F7965">
            <w:pPr>
              <w:spacing w:before="100" w:beforeAutospacing="1" w:after="100" w:afterAutospacing="1" w:line="240" w:lineRule="auto"/>
              <w:rPr>
                <w:rFonts w:ascii="Times New Roman" w:eastAsia="Times New Roman" w:hAnsi="Times New Roman" w:cs="Times New Roman"/>
                <w:sz w:val="24"/>
                <w:szCs w:val="24"/>
                <w:lang w:eastAsia="en-GB"/>
              </w:rPr>
            </w:pPr>
            <w:r w:rsidRPr="006F7965">
              <w:rPr>
                <w:rFonts w:ascii="Times New Roman" w:eastAsia="Times New Roman" w:hAnsi="Times New Roman" w:cs="Times New Roman"/>
                <w:sz w:val="24"/>
                <w:szCs w:val="24"/>
                <w:lang w:eastAsia="en-GB"/>
              </w:rPr>
              <w:t>(Tiriolo; Kunsthistorisches Museum Wien)</w:t>
            </w:r>
          </w:p>
        </w:tc>
      </w:tr>
    </w:tbl>
    <w:p w:rsidR="00A4052F" w:rsidRDefault="00A4052F"/>
    <w:p w:rsidR="00A4052F" w:rsidRDefault="00A4052F">
      <w:r>
        <w:br w:type="page"/>
      </w:r>
    </w:p>
    <w:p w:rsidR="00A4052F" w:rsidRDefault="00A4052F" w:rsidP="00A4052F">
      <w:pPr>
        <w:pStyle w:val="NormalWeb"/>
      </w:pPr>
      <w:r>
        <w:lastRenderedPageBreak/>
        <w:t xml:space="preserve">The </w:t>
      </w:r>
      <w:r>
        <w:rPr>
          <w:b/>
          <w:bCs/>
          <w:i/>
          <w:iCs/>
        </w:rPr>
        <w:t>senatus consultum de Bacchanalibus</w:t>
      </w:r>
      <w:r>
        <w:t xml:space="preserve"> ("senatorial decree concerning the </w:t>
      </w:r>
      <w:hyperlink r:id="rId8" w:tooltip="Bacchanalia" w:history="1">
        <w:r>
          <w:rPr>
            <w:rStyle w:val="Hyperlink"/>
          </w:rPr>
          <w:t>Bacchanalia</w:t>
        </w:r>
      </w:hyperlink>
      <w:r>
        <w:t xml:space="preserve">") is a notable </w:t>
      </w:r>
      <w:hyperlink r:id="rId9" w:tooltip="Old Latin" w:history="1">
        <w:r>
          <w:rPr>
            <w:rStyle w:val="Hyperlink"/>
          </w:rPr>
          <w:t>Old Latin</w:t>
        </w:r>
      </w:hyperlink>
      <w:r>
        <w:t> </w:t>
      </w:r>
      <w:proofErr w:type="gramStart"/>
      <w:r>
        <w:t>inscription</w:t>
      </w:r>
      <w:proofErr w:type="gramEnd"/>
      <w:r>
        <w:rPr>
          <w:vertAlign w:val="superscript"/>
        </w:rPr>
        <w:fldChar w:fldCharType="begin"/>
      </w:r>
      <w:r>
        <w:rPr>
          <w:vertAlign w:val="superscript"/>
        </w:rPr>
        <w:instrText xml:space="preserve"> HYPERLINK "http://en.wikipedia.org/wiki/Senatus_consultum_de_Bacchanalibus" \l "cite_note-1" </w:instrText>
      </w:r>
      <w:r>
        <w:rPr>
          <w:vertAlign w:val="superscript"/>
        </w:rPr>
        <w:fldChar w:fldCharType="separate"/>
      </w:r>
      <w:r>
        <w:rPr>
          <w:rStyle w:val="Hyperlink"/>
          <w:vertAlign w:val="superscript"/>
        </w:rPr>
        <w:t>[1]</w:t>
      </w:r>
      <w:r>
        <w:rPr>
          <w:vertAlign w:val="superscript"/>
        </w:rPr>
        <w:fldChar w:fldCharType="end"/>
      </w:r>
      <w:r>
        <w:t xml:space="preserve"> dating to </w:t>
      </w:r>
      <w:hyperlink r:id="rId10" w:tooltip="Ab urbe condita" w:history="1">
        <w:r>
          <w:rPr>
            <w:rStyle w:val="Hyperlink"/>
          </w:rPr>
          <w:t>AUC</w:t>
        </w:r>
      </w:hyperlink>
      <w:r>
        <w:t xml:space="preserve"> 568, or 186 BC. It was discovered in 1640 at </w:t>
      </w:r>
      <w:hyperlink r:id="rId11" w:tooltip="Tiriolo" w:history="1">
        <w:r>
          <w:rPr>
            <w:rStyle w:val="Hyperlink"/>
          </w:rPr>
          <w:t>Tiriolo</w:t>
        </w:r>
      </w:hyperlink>
      <w:r>
        <w:t xml:space="preserve">, southern Italy. Published by the presiding </w:t>
      </w:r>
      <w:hyperlink r:id="rId12" w:tooltip="Praetor" w:history="1">
        <w:r>
          <w:rPr>
            <w:rStyle w:val="Hyperlink"/>
          </w:rPr>
          <w:t>praetor</w:t>
        </w:r>
      </w:hyperlink>
      <w:r>
        <w:t xml:space="preserve">, it states the substance of a decree of the </w:t>
      </w:r>
      <w:hyperlink r:id="rId13" w:tooltip="Roman Senate" w:history="1">
        <w:r>
          <w:rPr>
            <w:rStyle w:val="Hyperlink"/>
          </w:rPr>
          <w:t>Roman Senate</w:t>
        </w:r>
      </w:hyperlink>
      <w:r>
        <w:t xml:space="preserve"> prohibiting the </w:t>
      </w:r>
      <w:hyperlink r:id="rId14" w:tooltip="Bacchanalia" w:history="1">
        <w:r>
          <w:rPr>
            <w:rStyle w:val="Hyperlink"/>
          </w:rPr>
          <w:t>Bacchanalia</w:t>
        </w:r>
      </w:hyperlink>
      <w:r>
        <w:t xml:space="preserve"> throughout all Italy, except in certain special cases which must be approved specifically by the Senate.</w:t>
      </w:r>
    </w:p>
    <w:p w:rsidR="00A4052F" w:rsidRDefault="00A4052F" w:rsidP="00A4052F">
      <w:pPr>
        <w:pStyle w:val="NormalWeb"/>
      </w:pPr>
      <w:r>
        <w:t xml:space="preserve">When members of the elite began to participate, information was put before the Senate. The cult was held to be a threat to the security of the state, investigators were appointed, rewards were offered to informants, legal processes were put in place and the Senate began the official suppression of the cult throughout Italy. According to the </w:t>
      </w:r>
      <w:hyperlink r:id="rId15" w:tooltip="Augustus" w:history="1">
        <w:r>
          <w:rPr>
            <w:rStyle w:val="Hyperlink"/>
          </w:rPr>
          <w:t>Augustan</w:t>
        </w:r>
      </w:hyperlink>
      <w:r>
        <w:t xml:space="preserve"> historian </w:t>
      </w:r>
      <w:hyperlink r:id="rId16" w:tooltip="Livy" w:history="1">
        <w:r>
          <w:rPr>
            <w:rStyle w:val="Hyperlink"/>
          </w:rPr>
          <w:t>Livy</w:t>
        </w:r>
      </w:hyperlink>
      <w:r>
        <w:t>, the chief historical source, many committed suicide to avoid indictment.</w:t>
      </w:r>
      <w:hyperlink r:id="rId17" w:anchor="cite_note-2" w:history="1">
        <w:r>
          <w:rPr>
            <w:rStyle w:val="Hyperlink"/>
            <w:vertAlign w:val="superscript"/>
          </w:rPr>
          <w:t>[2]</w:t>
        </w:r>
      </w:hyperlink>
      <w:r>
        <w:t xml:space="preserve"> The stated penalty for leadership was capital. Livy stated that there were more executions than imprisonments.</w:t>
      </w:r>
      <w:hyperlink r:id="rId18" w:anchor="cite_note-3" w:history="1">
        <w:r>
          <w:rPr>
            <w:rStyle w:val="Hyperlink"/>
            <w:vertAlign w:val="superscript"/>
          </w:rPr>
          <w:t>[3]</w:t>
        </w:r>
      </w:hyperlink>
      <w:r>
        <w:t xml:space="preserve"> After the conspiracy had been quelled the Bacchanalia survived in Southern Italy.</w:t>
      </w:r>
    </w:p>
    <w:p w:rsidR="00A4052F" w:rsidRDefault="00A4052F" w:rsidP="00A4052F">
      <w:pPr>
        <w:pStyle w:val="Heading2"/>
      </w:pPr>
      <w:r>
        <w:t>Contents</w:t>
      </w:r>
    </w:p>
    <w:p w:rsidR="00A4052F" w:rsidRDefault="00A4052F" w:rsidP="00A4052F">
      <w:pPr>
        <w:numPr>
          <w:ilvl w:val="0"/>
          <w:numId w:val="1"/>
        </w:numPr>
        <w:spacing w:before="100" w:beforeAutospacing="1" w:after="100" w:afterAutospacing="1" w:line="240" w:lineRule="auto"/>
      </w:pPr>
      <w:hyperlink r:id="rId19" w:anchor="Text" w:history="1">
        <w:r>
          <w:rPr>
            <w:rStyle w:val="tocnumber"/>
            <w:color w:val="0000FF"/>
            <w:u w:val="single"/>
          </w:rPr>
          <w:t>1</w:t>
        </w:r>
        <w:r>
          <w:rPr>
            <w:rStyle w:val="Hyperlink"/>
          </w:rPr>
          <w:t xml:space="preserve"> </w:t>
        </w:r>
        <w:r>
          <w:rPr>
            <w:rStyle w:val="toctext"/>
            <w:color w:val="0000FF"/>
            <w:u w:val="single"/>
          </w:rPr>
          <w:t>Text</w:t>
        </w:r>
      </w:hyperlink>
    </w:p>
    <w:p w:rsidR="00A4052F" w:rsidRDefault="00A4052F" w:rsidP="00A4052F">
      <w:pPr>
        <w:numPr>
          <w:ilvl w:val="0"/>
          <w:numId w:val="1"/>
        </w:numPr>
        <w:spacing w:before="100" w:beforeAutospacing="1" w:after="100" w:afterAutospacing="1" w:line="240" w:lineRule="auto"/>
      </w:pPr>
      <w:hyperlink r:id="rId20" w:anchor="Transliteration_into_classical_Latin" w:history="1">
        <w:r>
          <w:rPr>
            <w:rStyle w:val="tocnumber"/>
            <w:color w:val="0000FF"/>
            <w:u w:val="single"/>
          </w:rPr>
          <w:t>2</w:t>
        </w:r>
        <w:r>
          <w:rPr>
            <w:rStyle w:val="Hyperlink"/>
          </w:rPr>
          <w:t xml:space="preserve"> </w:t>
        </w:r>
        <w:r>
          <w:rPr>
            <w:rStyle w:val="toctext"/>
            <w:color w:val="0000FF"/>
            <w:u w:val="single"/>
          </w:rPr>
          <w:t>Transliteration into classical Latin</w:t>
        </w:r>
      </w:hyperlink>
    </w:p>
    <w:p w:rsidR="00A4052F" w:rsidRDefault="00A4052F" w:rsidP="00A4052F">
      <w:pPr>
        <w:numPr>
          <w:ilvl w:val="0"/>
          <w:numId w:val="1"/>
        </w:numPr>
        <w:spacing w:before="100" w:beforeAutospacing="1" w:after="100" w:afterAutospacing="1" w:line="240" w:lineRule="auto"/>
      </w:pPr>
      <w:hyperlink r:id="rId21" w:anchor="Orthography" w:history="1">
        <w:r>
          <w:rPr>
            <w:rStyle w:val="tocnumber"/>
            <w:color w:val="0000FF"/>
            <w:u w:val="single"/>
          </w:rPr>
          <w:t>3</w:t>
        </w:r>
        <w:r>
          <w:rPr>
            <w:rStyle w:val="Hyperlink"/>
          </w:rPr>
          <w:t xml:space="preserve"> </w:t>
        </w:r>
        <w:r>
          <w:rPr>
            <w:rStyle w:val="toctext"/>
            <w:color w:val="0000FF"/>
            <w:u w:val="single"/>
          </w:rPr>
          <w:t>Orthography</w:t>
        </w:r>
      </w:hyperlink>
      <w:r>
        <w:t xml:space="preserve"> </w:t>
      </w:r>
    </w:p>
    <w:p w:rsidR="00A4052F" w:rsidRDefault="00A4052F" w:rsidP="00A4052F">
      <w:pPr>
        <w:numPr>
          <w:ilvl w:val="1"/>
          <w:numId w:val="1"/>
        </w:numPr>
        <w:spacing w:before="100" w:beforeAutospacing="1" w:after="100" w:afterAutospacing="1" w:line="240" w:lineRule="auto"/>
      </w:pPr>
      <w:hyperlink r:id="rId22" w:anchor="Geminate_consonants" w:history="1">
        <w:r>
          <w:rPr>
            <w:rStyle w:val="tocnumber"/>
            <w:color w:val="0000FF"/>
            <w:u w:val="single"/>
          </w:rPr>
          <w:t>3.1</w:t>
        </w:r>
        <w:r>
          <w:rPr>
            <w:rStyle w:val="Hyperlink"/>
          </w:rPr>
          <w:t xml:space="preserve"> </w:t>
        </w:r>
        <w:r>
          <w:rPr>
            <w:rStyle w:val="toctext"/>
            <w:color w:val="0000FF"/>
            <w:u w:val="single"/>
          </w:rPr>
          <w:t>Geminate consonants</w:t>
        </w:r>
      </w:hyperlink>
    </w:p>
    <w:p w:rsidR="00A4052F" w:rsidRDefault="00A4052F" w:rsidP="00A4052F">
      <w:pPr>
        <w:numPr>
          <w:ilvl w:val="1"/>
          <w:numId w:val="1"/>
        </w:numPr>
        <w:spacing w:before="100" w:beforeAutospacing="1" w:after="100" w:afterAutospacing="1" w:line="240" w:lineRule="auto"/>
      </w:pPr>
      <w:hyperlink r:id="rId23" w:anchor="Diphthongs" w:history="1">
        <w:r>
          <w:rPr>
            <w:rStyle w:val="tocnumber"/>
            <w:color w:val="0000FF"/>
            <w:u w:val="single"/>
          </w:rPr>
          <w:t>3.2</w:t>
        </w:r>
        <w:r>
          <w:rPr>
            <w:rStyle w:val="Hyperlink"/>
          </w:rPr>
          <w:t xml:space="preserve"> </w:t>
        </w:r>
        <w:r>
          <w:rPr>
            <w:rStyle w:val="toctext"/>
            <w:color w:val="0000FF"/>
            <w:u w:val="single"/>
          </w:rPr>
          <w:t>Diphthongs</w:t>
        </w:r>
      </w:hyperlink>
    </w:p>
    <w:p w:rsidR="00A4052F" w:rsidRDefault="00A4052F" w:rsidP="00A4052F">
      <w:pPr>
        <w:numPr>
          <w:ilvl w:val="1"/>
          <w:numId w:val="1"/>
        </w:numPr>
        <w:spacing w:before="100" w:beforeAutospacing="1" w:after="100" w:afterAutospacing="1" w:line="240" w:lineRule="auto"/>
      </w:pPr>
      <w:hyperlink r:id="rId24" w:anchor="Short_vowels" w:history="1">
        <w:r>
          <w:rPr>
            <w:rStyle w:val="tocnumber"/>
            <w:color w:val="0000FF"/>
            <w:u w:val="single"/>
          </w:rPr>
          <w:t>3.3</w:t>
        </w:r>
        <w:r>
          <w:rPr>
            <w:rStyle w:val="Hyperlink"/>
          </w:rPr>
          <w:t xml:space="preserve"> </w:t>
        </w:r>
        <w:r>
          <w:rPr>
            <w:rStyle w:val="toctext"/>
            <w:color w:val="0000FF"/>
            <w:u w:val="single"/>
          </w:rPr>
          <w:t>Short vowels</w:t>
        </w:r>
      </w:hyperlink>
    </w:p>
    <w:p w:rsidR="00A4052F" w:rsidRDefault="00A4052F" w:rsidP="00A4052F">
      <w:pPr>
        <w:numPr>
          <w:ilvl w:val="1"/>
          <w:numId w:val="1"/>
        </w:numPr>
        <w:spacing w:before="100" w:beforeAutospacing="1" w:after="100" w:afterAutospacing="1" w:line="240" w:lineRule="auto"/>
      </w:pPr>
      <w:hyperlink r:id="rId25" w:anchor="Archaisms" w:history="1">
        <w:r>
          <w:rPr>
            <w:rStyle w:val="tocnumber"/>
            <w:color w:val="0000FF"/>
            <w:u w:val="single"/>
          </w:rPr>
          <w:t>3.4</w:t>
        </w:r>
        <w:r>
          <w:rPr>
            <w:rStyle w:val="Hyperlink"/>
          </w:rPr>
          <w:t xml:space="preserve"> </w:t>
        </w:r>
        <w:r>
          <w:rPr>
            <w:rStyle w:val="toctext"/>
            <w:color w:val="0000FF"/>
            <w:u w:val="single"/>
          </w:rPr>
          <w:t>Archaisms</w:t>
        </w:r>
      </w:hyperlink>
    </w:p>
    <w:p w:rsidR="00A4052F" w:rsidRDefault="00A4052F" w:rsidP="00A4052F">
      <w:pPr>
        <w:numPr>
          <w:ilvl w:val="1"/>
          <w:numId w:val="1"/>
        </w:numPr>
        <w:spacing w:before="100" w:beforeAutospacing="1" w:after="100" w:afterAutospacing="1" w:line="240" w:lineRule="auto"/>
      </w:pPr>
      <w:hyperlink r:id="rId26" w:anchor="Other_characteristics" w:history="1">
        <w:r>
          <w:rPr>
            <w:rStyle w:val="tocnumber"/>
            <w:color w:val="0000FF"/>
            <w:u w:val="single"/>
          </w:rPr>
          <w:t>3.5</w:t>
        </w:r>
        <w:r>
          <w:rPr>
            <w:rStyle w:val="Hyperlink"/>
          </w:rPr>
          <w:t xml:space="preserve"> </w:t>
        </w:r>
        <w:r>
          <w:rPr>
            <w:rStyle w:val="toctext"/>
            <w:color w:val="0000FF"/>
            <w:u w:val="single"/>
          </w:rPr>
          <w:t>Other characteristics</w:t>
        </w:r>
      </w:hyperlink>
    </w:p>
    <w:p w:rsidR="00A4052F" w:rsidRDefault="00A4052F" w:rsidP="00A4052F">
      <w:pPr>
        <w:numPr>
          <w:ilvl w:val="0"/>
          <w:numId w:val="1"/>
        </w:numPr>
        <w:spacing w:before="100" w:beforeAutospacing="1" w:after="100" w:afterAutospacing="1" w:line="240" w:lineRule="auto"/>
      </w:pPr>
      <w:hyperlink r:id="rId27" w:anchor="Translation_into_English" w:history="1">
        <w:r>
          <w:rPr>
            <w:rStyle w:val="tocnumber"/>
            <w:color w:val="0000FF"/>
            <w:u w:val="single"/>
          </w:rPr>
          <w:t>4</w:t>
        </w:r>
        <w:r>
          <w:rPr>
            <w:rStyle w:val="Hyperlink"/>
          </w:rPr>
          <w:t xml:space="preserve"> </w:t>
        </w:r>
        <w:r>
          <w:rPr>
            <w:rStyle w:val="toctext"/>
            <w:color w:val="0000FF"/>
            <w:u w:val="single"/>
          </w:rPr>
          <w:t>Translation into English</w:t>
        </w:r>
      </w:hyperlink>
    </w:p>
    <w:p w:rsidR="00A4052F" w:rsidRDefault="00A4052F" w:rsidP="00A4052F">
      <w:pPr>
        <w:numPr>
          <w:ilvl w:val="0"/>
          <w:numId w:val="1"/>
        </w:numPr>
        <w:spacing w:before="100" w:beforeAutospacing="1" w:after="100" w:afterAutospacing="1" w:line="240" w:lineRule="auto"/>
      </w:pPr>
      <w:hyperlink r:id="rId28" w:anchor="Notes" w:history="1">
        <w:r>
          <w:rPr>
            <w:rStyle w:val="tocnumber"/>
            <w:color w:val="0000FF"/>
            <w:u w:val="single"/>
          </w:rPr>
          <w:t>5</w:t>
        </w:r>
        <w:r>
          <w:rPr>
            <w:rStyle w:val="Hyperlink"/>
          </w:rPr>
          <w:t xml:space="preserve"> </w:t>
        </w:r>
        <w:r>
          <w:rPr>
            <w:rStyle w:val="toctext"/>
            <w:color w:val="0000FF"/>
            <w:u w:val="single"/>
          </w:rPr>
          <w:t>Notes</w:t>
        </w:r>
      </w:hyperlink>
    </w:p>
    <w:p w:rsidR="00A4052F" w:rsidRDefault="00A4052F" w:rsidP="00A4052F">
      <w:pPr>
        <w:numPr>
          <w:ilvl w:val="0"/>
          <w:numId w:val="1"/>
        </w:numPr>
        <w:spacing w:before="100" w:beforeAutospacing="1" w:after="100" w:afterAutospacing="1" w:line="240" w:lineRule="auto"/>
      </w:pPr>
      <w:hyperlink r:id="rId29" w:anchor="See_also" w:history="1">
        <w:r>
          <w:rPr>
            <w:rStyle w:val="tocnumber"/>
            <w:color w:val="0000FF"/>
            <w:u w:val="single"/>
          </w:rPr>
          <w:t>6</w:t>
        </w:r>
        <w:r>
          <w:rPr>
            <w:rStyle w:val="Hyperlink"/>
          </w:rPr>
          <w:t xml:space="preserve"> </w:t>
        </w:r>
        <w:r>
          <w:rPr>
            <w:rStyle w:val="toctext"/>
            <w:color w:val="0000FF"/>
            <w:u w:val="single"/>
          </w:rPr>
          <w:t>See also</w:t>
        </w:r>
      </w:hyperlink>
    </w:p>
    <w:p w:rsidR="00A4052F" w:rsidRDefault="00A4052F" w:rsidP="00A4052F">
      <w:pPr>
        <w:numPr>
          <w:ilvl w:val="0"/>
          <w:numId w:val="1"/>
        </w:numPr>
        <w:spacing w:before="100" w:beforeAutospacing="1" w:after="100" w:afterAutospacing="1" w:line="240" w:lineRule="auto"/>
      </w:pPr>
      <w:hyperlink r:id="rId30" w:anchor="External_links" w:history="1">
        <w:r>
          <w:rPr>
            <w:rStyle w:val="tocnumber"/>
            <w:color w:val="0000FF"/>
            <w:u w:val="single"/>
          </w:rPr>
          <w:t>7</w:t>
        </w:r>
        <w:r>
          <w:rPr>
            <w:rStyle w:val="Hyperlink"/>
          </w:rPr>
          <w:t xml:space="preserve"> </w:t>
        </w:r>
        <w:r>
          <w:rPr>
            <w:rStyle w:val="toctext"/>
            <w:color w:val="0000FF"/>
            <w:u w:val="single"/>
          </w:rPr>
          <w:t>External links</w:t>
        </w:r>
      </w:hyperlink>
    </w:p>
    <w:p w:rsidR="00A4052F" w:rsidRDefault="00A4052F" w:rsidP="00A4052F">
      <w:pPr>
        <w:pStyle w:val="Heading2"/>
      </w:pPr>
      <w:r>
        <w:rPr>
          <w:rStyle w:val="mw-headline"/>
        </w:rPr>
        <w:t>Text</w:t>
      </w:r>
    </w:p>
    <w:p w:rsidR="00A4052F" w:rsidRDefault="00A4052F" w:rsidP="00A4052F">
      <w:pPr>
        <w:pStyle w:val="NormalWeb"/>
      </w:pPr>
      <w:r>
        <w:t xml:space="preserve">The surviving copy is inscribed on a bronze tablet discovered in </w:t>
      </w:r>
      <w:hyperlink r:id="rId31" w:tooltip="Calabria" w:history="1">
        <w:r>
          <w:rPr>
            <w:rStyle w:val="Hyperlink"/>
          </w:rPr>
          <w:t>Calabria</w:t>
        </w:r>
      </w:hyperlink>
      <w:r>
        <w:t xml:space="preserve"> in Southern Italy (1640), now at the </w:t>
      </w:r>
      <w:hyperlink r:id="rId32" w:tooltip="Kunsthistorisches Museum" w:history="1">
        <w:r>
          <w:rPr>
            <w:rStyle w:val="Hyperlink"/>
          </w:rPr>
          <w:t>Kunsthistorisches Museum</w:t>
        </w:r>
      </w:hyperlink>
      <w:r>
        <w:t xml:space="preserve"> in </w:t>
      </w:r>
      <w:hyperlink r:id="rId33" w:tooltip="Vienna" w:history="1">
        <w:r>
          <w:rPr>
            <w:rStyle w:val="Hyperlink"/>
          </w:rPr>
          <w:t>Vienna</w:t>
        </w:r>
      </w:hyperlink>
      <w:r>
        <w:t>. The text as copied from the inscription is as follows.</w:t>
      </w:r>
      <w:hyperlink r:id="rId34" w:anchor="cite_note-ernout-4" w:history="1">
        <w:r>
          <w:rPr>
            <w:rStyle w:val="Hyperlink"/>
            <w:vertAlign w:val="superscript"/>
          </w:rPr>
          <w:t>[4]</w:t>
        </w:r>
      </w:hyperlink>
    </w:p>
    <w:p w:rsidR="00A4052F" w:rsidRDefault="00A4052F" w:rsidP="00A4052F">
      <w:pPr>
        <w:numPr>
          <w:ilvl w:val="0"/>
          <w:numId w:val="2"/>
        </w:numPr>
        <w:spacing w:before="100" w:beforeAutospacing="1" w:after="100" w:afterAutospacing="1" w:line="240" w:lineRule="auto"/>
      </w:pPr>
      <w:r>
        <w:rPr>
          <w:sz w:val="20"/>
          <w:szCs w:val="20"/>
        </w:rPr>
        <w:t>[Q] MARCIUS L F S POSTUMIUS L F COS SENATUM CONSOLUERUNT N OCTOB APUD AEDEM</w:t>
      </w:r>
    </w:p>
    <w:p w:rsidR="00A4052F" w:rsidRDefault="00A4052F" w:rsidP="00A4052F">
      <w:pPr>
        <w:numPr>
          <w:ilvl w:val="0"/>
          <w:numId w:val="2"/>
        </w:numPr>
        <w:spacing w:before="100" w:beforeAutospacing="1" w:after="100" w:afterAutospacing="1" w:line="240" w:lineRule="auto"/>
      </w:pPr>
      <w:r>
        <w:rPr>
          <w:sz w:val="20"/>
          <w:szCs w:val="20"/>
        </w:rPr>
        <w:t>DUELONAI SC ARF M CLAUDI M F L VALERI P F Q MINUCI C F DE BACANALIBUS QUEI FOIDERATEI</w:t>
      </w:r>
    </w:p>
    <w:p w:rsidR="00A4052F" w:rsidRPr="00A4052F" w:rsidRDefault="00A4052F" w:rsidP="00A4052F">
      <w:pPr>
        <w:numPr>
          <w:ilvl w:val="0"/>
          <w:numId w:val="2"/>
        </w:numPr>
        <w:spacing w:before="100" w:beforeAutospacing="1" w:after="100" w:afterAutospacing="1" w:line="240" w:lineRule="auto"/>
        <w:rPr>
          <w:lang w:val="it-IT"/>
        </w:rPr>
      </w:pPr>
      <w:r w:rsidRPr="00A4052F">
        <w:rPr>
          <w:sz w:val="20"/>
          <w:szCs w:val="20"/>
          <w:lang w:val="it-IT"/>
        </w:rPr>
        <w:t>ESENT ITA EXDEICENDUM CENSUERE NEIQUIS EORUM BACANAL HABUISE VELET SEI QUES</w:t>
      </w:r>
    </w:p>
    <w:p w:rsidR="00A4052F" w:rsidRPr="00A4052F" w:rsidRDefault="00A4052F" w:rsidP="00A4052F">
      <w:pPr>
        <w:numPr>
          <w:ilvl w:val="0"/>
          <w:numId w:val="2"/>
        </w:numPr>
        <w:spacing w:before="100" w:beforeAutospacing="1" w:after="100" w:afterAutospacing="1" w:line="240" w:lineRule="auto"/>
        <w:rPr>
          <w:lang w:val="it-IT"/>
        </w:rPr>
      </w:pPr>
      <w:r w:rsidRPr="00A4052F">
        <w:rPr>
          <w:sz w:val="20"/>
          <w:szCs w:val="20"/>
          <w:lang w:val="it-IT"/>
        </w:rPr>
        <w:t>ESENT QUEI SIBEI DEICERENT NECESUS ESE BACANAL HABERE EEIS UTEI AD PR URBANUM</w:t>
      </w:r>
    </w:p>
    <w:p w:rsidR="00A4052F" w:rsidRDefault="00A4052F" w:rsidP="00A4052F">
      <w:pPr>
        <w:numPr>
          <w:ilvl w:val="0"/>
          <w:numId w:val="2"/>
        </w:numPr>
        <w:spacing w:before="100" w:beforeAutospacing="1" w:after="100" w:afterAutospacing="1" w:line="240" w:lineRule="auto"/>
      </w:pPr>
      <w:r>
        <w:rPr>
          <w:sz w:val="20"/>
          <w:szCs w:val="20"/>
        </w:rPr>
        <w:t>ROMAM VENIRENT DEQUE EEIS REBUS UBEI EORUM VER[B]A AUDITA ESENT UTEI SENATUS</w:t>
      </w:r>
    </w:p>
    <w:p w:rsidR="00A4052F" w:rsidRDefault="00A4052F" w:rsidP="00A4052F">
      <w:pPr>
        <w:numPr>
          <w:ilvl w:val="0"/>
          <w:numId w:val="2"/>
        </w:numPr>
        <w:spacing w:before="100" w:beforeAutospacing="1" w:after="100" w:afterAutospacing="1" w:line="240" w:lineRule="auto"/>
      </w:pPr>
      <w:r>
        <w:rPr>
          <w:sz w:val="20"/>
          <w:szCs w:val="20"/>
        </w:rPr>
        <w:t>NOSTER DECERNERET DUM NE MINUS SENATOR[I]BUS C ADESENT [QUOM E]A RES COSOLORETUR</w:t>
      </w:r>
    </w:p>
    <w:p w:rsidR="00A4052F" w:rsidRDefault="00A4052F" w:rsidP="00A4052F">
      <w:pPr>
        <w:numPr>
          <w:ilvl w:val="0"/>
          <w:numId w:val="2"/>
        </w:numPr>
        <w:spacing w:before="100" w:beforeAutospacing="1" w:after="100" w:afterAutospacing="1" w:line="240" w:lineRule="auto"/>
      </w:pPr>
      <w:r>
        <w:rPr>
          <w:sz w:val="20"/>
          <w:szCs w:val="20"/>
        </w:rPr>
        <w:t>BACAS VIR NEQUIS ADIESE VELET CEIVIS ROMANUS NEVE NOMINUS LATINI NEVE SOCIUM</w:t>
      </w:r>
    </w:p>
    <w:p w:rsidR="00A4052F" w:rsidRPr="00A4052F" w:rsidRDefault="00A4052F" w:rsidP="00A4052F">
      <w:pPr>
        <w:numPr>
          <w:ilvl w:val="0"/>
          <w:numId w:val="2"/>
        </w:numPr>
        <w:spacing w:before="100" w:beforeAutospacing="1" w:after="100" w:afterAutospacing="1" w:line="240" w:lineRule="auto"/>
        <w:rPr>
          <w:lang w:val="fr-FR"/>
        </w:rPr>
      </w:pPr>
      <w:r w:rsidRPr="00A4052F">
        <w:rPr>
          <w:sz w:val="20"/>
          <w:szCs w:val="20"/>
          <w:lang w:val="fr-FR"/>
        </w:rPr>
        <w:t>QUISQUAM NISEI PR URBANUM ADIESENT ISQUE [D]E SENATUOS SENTENTIAD DUM NE</w:t>
      </w:r>
    </w:p>
    <w:p w:rsidR="00A4052F" w:rsidRPr="00A4052F" w:rsidRDefault="00A4052F" w:rsidP="00A4052F">
      <w:pPr>
        <w:numPr>
          <w:ilvl w:val="0"/>
          <w:numId w:val="2"/>
        </w:numPr>
        <w:spacing w:before="100" w:beforeAutospacing="1" w:after="100" w:afterAutospacing="1" w:line="240" w:lineRule="auto"/>
        <w:rPr>
          <w:lang w:val="fr-FR"/>
        </w:rPr>
      </w:pPr>
      <w:r w:rsidRPr="00A4052F">
        <w:rPr>
          <w:sz w:val="20"/>
          <w:szCs w:val="20"/>
          <w:lang w:val="fr-FR"/>
        </w:rPr>
        <w:t>MINUS SENATORIBUS C ADESENT QUOM EA RES COSOLERETUR IOUSISENT CE[N]SUERE</w:t>
      </w:r>
    </w:p>
    <w:p w:rsidR="00A4052F" w:rsidRPr="00A4052F" w:rsidRDefault="00A4052F" w:rsidP="00A4052F">
      <w:pPr>
        <w:numPr>
          <w:ilvl w:val="0"/>
          <w:numId w:val="2"/>
        </w:numPr>
        <w:spacing w:before="100" w:beforeAutospacing="1" w:after="100" w:afterAutospacing="1" w:line="240" w:lineRule="auto"/>
        <w:rPr>
          <w:lang w:val="fr-FR"/>
        </w:rPr>
      </w:pPr>
      <w:r w:rsidRPr="00A4052F">
        <w:rPr>
          <w:sz w:val="20"/>
          <w:szCs w:val="20"/>
          <w:lang w:val="fr-FR"/>
        </w:rPr>
        <w:t>SACERDOS NEQUIS VIR ESET MAGISTER NEQUE VIR NEQUE MULIER QUISQUAM ESET</w:t>
      </w:r>
    </w:p>
    <w:p w:rsidR="00A4052F" w:rsidRPr="00A4052F" w:rsidRDefault="00A4052F" w:rsidP="00A4052F">
      <w:pPr>
        <w:numPr>
          <w:ilvl w:val="0"/>
          <w:numId w:val="2"/>
        </w:numPr>
        <w:spacing w:before="100" w:beforeAutospacing="1" w:after="100" w:afterAutospacing="1" w:line="240" w:lineRule="auto"/>
        <w:rPr>
          <w:lang w:val="fr-FR"/>
        </w:rPr>
      </w:pPr>
      <w:r w:rsidRPr="00A4052F">
        <w:rPr>
          <w:sz w:val="20"/>
          <w:szCs w:val="20"/>
          <w:lang w:val="fr-FR"/>
        </w:rPr>
        <w:t>NEVE PECUNIAM QUISQUAM EORUM COMOINE[M H]ABUISE VE[L]ET NEVE MAGISTRATUM</w:t>
      </w:r>
    </w:p>
    <w:p w:rsidR="00A4052F" w:rsidRPr="00A4052F" w:rsidRDefault="00A4052F" w:rsidP="00A4052F">
      <w:pPr>
        <w:numPr>
          <w:ilvl w:val="0"/>
          <w:numId w:val="2"/>
        </w:numPr>
        <w:spacing w:before="100" w:beforeAutospacing="1" w:after="100" w:afterAutospacing="1" w:line="240" w:lineRule="auto"/>
        <w:rPr>
          <w:lang w:val="it-IT"/>
        </w:rPr>
      </w:pPr>
      <w:r w:rsidRPr="00A4052F">
        <w:rPr>
          <w:sz w:val="20"/>
          <w:szCs w:val="20"/>
          <w:lang w:val="it-IT"/>
        </w:rPr>
        <w:t>NEVE PRO MAGISTRATUD NEQUE VIRUM [NEQUE MUL]IEREM QUISQUAM FECISE VELET</w:t>
      </w:r>
    </w:p>
    <w:p w:rsidR="00A4052F" w:rsidRDefault="00A4052F" w:rsidP="00A4052F">
      <w:pPr>
        <w:numPr>
          <w:ilvl w:val="0"/>
          <w:numId w:val="2"/>
        </w:numPr>
        <w:spacing w:before="100" w:beforeAutospacing="1" w:after="100" w:afterAutospacing="1" w:line="240" w:lineRule="auto"/>
      </w:pPr>
      <w:r>
        <w:rPr>
          <w:sz w:val="20"/>
          <w:szCs w:val="20"/>
        </w:rPr>
        <w:t>NEVE POST HAC INTER SED CONIOURA[SE NEV]E COMVOVISE NEVE CONSPONDISE</w:t>
      </w:r>
    </w:p>
    <w:p w:rsidR="00A4052F" w:rsidRDefault="00A4052F" w:rsidP="00A4052F">
      <w:pPr>
        <w:numPr>
          <w:ilvl w:val="0"/>
          <w:numId w:val="2"/>
        </w:numPr>
        <w:spacing w:before="100" w:beforeAutospacing="1" w:after="100" w:afterAutospacing="1" w:line="240" w:lineRule="auto"/>
      </w:pPr>
      <w:r>
        <w:rPr>
          <w:sz w:val="20"/>
          <w:szCs w:val="20"/>
        </w:rPr>
        <w:t>NEVE CONPROMESISE VELET NEVE QUISQUAM FIDEM INTER SED DEDISE VELET</w:t>
      </w:r>
    </w:p>
    <w:p w:rsidR="00A4052F" w:rsidRPr="00A4052F" w:rsidRDefault="00A4052F" w:rsidP="00A4052F">
      <w:pPr>
        <w:numPr>
          <w:ilvl w:val="0"/>
          <w:numId w:val="2"/>
        </w:numPr>
        <w:spacing w:before="100" w:beforeAutospacing="1" w:after="100" w:afterAutospacing="1" w:line="240" w:lineRule="auto"/>
        <w:rPr>
          <w:lang w:val="it-IT"/>
        </w:rPr>
      </w:pPr>
      <w:r w:rsidRPr="00A4052F">
        <w:rPr>
          <w:sz w:val="20"/>
          <w:szCs w:val="20"/>
          <w:lang w:val="it-IT"/>
        </w:rPr>
        <w:t>SACRA IN OQVOLTOD NE QUISQUAM FECISE VELET NEVE IN POPLICOD NEVE IN</w:t>
      </w:r>
    </w:p>
    <w:p w:rsidR="00A4052F" w:rsidRPr="00A4052F" w:rsidRDefault="00A4052F" w:rsidP="00A4052F">
      <w:pPr>
        <w:numPr>
          <w:ilvl w:val="0"/>
          <w:numId w:val="2"/>
        </w:numPr>
        <w:spacing w:before="100" w:beforeAutospacing="1" w:after="100" w:afterAutospacing="1" w:line="240" w:lineRule="auto"/>
        <w:rPr>
          <w:lang w:val="it-IT"/>
        </w:rPr>
      </w:pPr>
      <w:r w:rsidRPr="00A4052F">
        <w:rPr>
          <w:sz w:val="20"/>
          <w:szCs w:val="20"/>
          <w:lang w:val="it-IT"/>
        </w:rPr>
        <w:t>PREIVATOD NEVE EXSTRAD URBEM SACRA QUISQUAM FECISE VELET NISEI</w:t>
      </w:r>
    </w:p>
    <w:p w:rsidR="00A4052F" w:rsidRPr="00A4052F" w:rsidRDefault="00A4052F" w:rsidP="00A4052F">
      <w:pPr>
        <w:numPr>
          <w:ilvl w:val="0"/>
          <w:numId w:val="2"/>
        </w:numPr>
        <w:spacing w:before="100" w:beforeAutospacing="1" w:after="100" w:afterAutospacing="1" w:line="240" w:lineRule="auto"/>
        <w:rPr>
          <w:lang w:val="fr-FR"/>
        </w:rPr>
      </w:pPr>
      <w:r w:rsidRPr="00A4052F">
        <w:rPr>
          <w:sz w:val="20"/>
          <w:szCs w:val="20"/>
          <w:lang w:val="fr-FR"/>
        </w:rPr>
        <w:lastRenderedPageBreak/>
        <w:t>PR URBANUM ADIESET ISQUE DE SENATUOS SENTENTIAD DUM NE MINUS</w:t>
      </w:r>
    </w:p>
    <w:p w:rsidR="00A4052F" w:rsidRDefault="00A4052F" w:rsidP="00A4052F">
      <w:pPr>
        <w:numPr>
          <w:ilvl w:val="0"/>
          <w:numId w:val="2"/>
        </w:numPr>
        <w:spacing w:before="100" w:beforeAutospacing="1" w:after="100" w:afterAutospacing="1" w:line="240" w:lineRule="auto"/>
      </w:pPr>
      <w:r>
        <w:rPr>
          <w:sz w:val="20"/>
          <w:szCs w:val="20"/>
        </w:rPr>
        <w:t>SENATORIBUS C ADESENT QUOM EA RES COSOLERETUR IOUSISENT CENSUERE</w:t>
      </w:r>
    </w:p>
    <w:p w:rsidR="00A4052F" w:rsidRPr="00A4052F" w:rsidRDefault="00A4052F" w:rsidP="00A4052F">
      <w:pPr>
        <w:numPr>
          <w:ilvl w:val="0"/>
          <w:numId w:val="2"/>
        </w:numPr>
        <w:spacing w:before="100" w:beforeAutospacing="1" w:after="100" w:afterAutospacing="1" w:line="240" w:lineRule="auto"/>
        <w:rPr>
          <w:lang w:val="fr-FR"/>
        </w:rPr>
      </w:pPr>
      <w:r w:rsidRPr="00A4052F">
        <w:rPr>
          <w:sz w:val="20"/>
          <w:szCs w:val="20"/>
          <w:lang w:val="fr-FR"/>
        </w:rPr>
        <w:t>HOMINES PLOUS V OINVORSEI VIREI ATQUE MULIERES SACRA NE QUISQUAM</w:t>
      </w:r>
    </w:p>
    <w:p w:rsidR="00A4052F" w:rsidRDefault="00A4052F" w:rsidP="00A4052F">
      <w:pPr>
        <w:numPr>
          <w:ilvl w:val="0"/>
          <w:numId w:val="2"/>
        </w:numPr>
        <w:spacing w:before="100" w:beforeAutospacing="1" w:after="100" w:afterAutospacing="1" w:line="240" w:lineRule="auto"/>
      </w:pPr>
      <w:r>
        <w:rPr>
          <w:sz w:val="20"/>
          <w:szCs w:val="20"/>
        </w:rPr>
        <w:t>FECISE VELET NEVE INTER IBEI VIREI PLOUS DUOBUS MULIERIBUS PLOUS TRIBUS</w:t>
      </w:r>
    </w:p>
    <w:p w:rsidR="00A4052F" w:rsidRDefault="00A4052F" w:rsidP="00A4052F">
      <w:pPr>
        <w:numPr>
          <w:ilvl w:val="0"/>
          <w:numId w:val="2"/>
        </w:numPr>
        <w:spacing w:before="100" w:beforeAutospacing="1" w:after="100" w:afterAutospacing="1" w:line="240" w:lineRule="auto"/>
      </w:pPr>
      <w:r>
        <w:rPr>
          <w:sz w:val="20"/>
          <w:szCs w:val="20"/>
        </w:rPr>
        <w:t>ARFUISE VELENT NISEI DE PR URBANI SENATUOSQUE SENTENTIAD UTEI SUPRAD</w:t>
      </w:r>
    </w:p>
    <w:p w:rsidR="00A4052F" w:rsidRPr="00A4052F" w:rsidRDefault="00A4052F" w:rsidP="00A4052F">
      <w:pPr>
        <w:numPr>
          <w:ilvl w:val="0"/>
          <w:numId w:val="2"/>
        </w:numPr>
        <w:spacing w:before="100" w:beforeAutospacing="1" w:after="100" w:afterAutospacing="1" w:line="240" w:lineRule="auto"/>
        <w:rPr>
          <w:lang w:val="fr-FR"/>
        </w:rPr>
      </w:pPr>
      <w:r w:rsidRPr="00A4052F">
        <w:rPr>
          <w:sz w:val="20"/>
          <w:szCs w:val="20"/>
          <w:lang w:val="fr-FR"/>
        </w:rPr>
        <w:t>SCRIPTUM EST HAICE UTEI IN COVENTIONID EXDEICATIS NE MINUS TRINUM</w:t>
      </w:r>
    </w:p>
    <w:p w:rsidR="00A4052F" w:rsidRDefault="00A4052F" w:rsidP="00A4052F">
      <w:pPr>
        <w:numPr>
          <w:ilvl w:val="0"/>
          <w:numId w:val="2"/>
        </w:numPr>
        <w:spacing w:before="100" w:beforeAutospacing="1" w:after="100" w:afterAutospacing="1" w:line="240" w:lineRule="auto"/>
      </w:pPr>
      <w:r>
        <w:rPr>
          <w:sz w:val="20"/>
          <w:szCs w:val="20"/>
        </w:rPr>
        <w:t>NOUNDINUM SENATUOSQUE SENTENTIAM UTEI SCIENTES ESETIS EORUM</w:t>
      </w:r>
    </w:p>
    <w:p w:rsidR="00A4052F" w:rsidRPr="00A4052F" w:rsidRDefault="00A4052F" w:rsidP="00A4052F">
      <w:pPr>
        <w:numPr>
          <w:ilvl w:val="0"/>
          <w:numId w:val="2"/>
        </w:numPr>
        <w:spacing w:before="100" w:beforeAutospacing="1" w:after="100" w:afterAutospacing="1" w:line="240" w:lineRule="auto"/>
        <w:rPr>
          <w:lang w:val="it-IT"/>
        </w:rPr>
      </w:pPr>
      <w:r w:rsidRPr="00A4052F">
        <w:rPr>
          <w:sz w:val="20"/>
          <w:szCs w:val="20"/>
          <w:lang w:val="it-IT"/>
        </w:rPr>
        <w:t>SENTENTIA ITA FUIT SEI QUES ESENT QUEI ARVORSUM EAD FECISENT QUAM SUPRAD</w:t>
      </w:r>
    </w:p>
    <w:p w:rsidR="00A4052F" w:rsidRPr="00A4052F" w:rsidRDefault="00A4052F" w:rsidP="00A4052F">
      <w:pPr>
        <w:numPr>
          <w:ilvl w:val="0"/>
          <w:numId w:val="2"/>
        </w:numPr>
        <w:spacing w:before="100" w:beforeAutospacing="1" w:after="100" w:afterAutospacing="1" w:line="240" w:lineRule="auto"/>
        <w:rPr>
          <w:lang w:val="fr-FR"/>
        </w:rPr>
      </w:pPr>
      <w:r w:rsidRPr="00A4052F">
        <w:rPr>
          <w:sz w:val="20"/>
          <w:szCs w:val="20"/>
          <w:lang w:val="fr-FR"/>
        </w:rPr>
        <w:t>SCRIPTUM EST EEIS REM CAPUTALEM FACIENDAM CENSUERE ATQUE UTEI</w:t>
      </w:r>
    </w:p>
    <w:p w:rsidR="00A4052F" w:rsidRDefault="00A4052F" w:rsidP="00A4052F">
      <w:pPr>
        <w:numPr>
          <w:ilvl w:val="0"/>
          <w:numId w:val="2"/>
        </w:numPr>
        <w:spacing w:before="100" w:beforeAutospacing="1" w:after="100" w:afterAutospacing="1" w:line="240" w:lineRule="auto"/>
      </w:pPr>
      <w:r>
        <w:rPr>
          <w:sz w:val="20"/>
          <w:szCs w:val="20"/>
        </w:rPr>
        <w:t>HOCE IN TABOLAM AHENAM INCEIDERETIS ITA SENATUS AIQUOM CENSUIT</w:t>
      </w:r>
    </w:p>
    <w:p w:rsidR="00A4052F" w:rsidRDefault="00A4052F" w:rsidP="00A4052F">
      <w:pPr>
        <w:numPr>
          <w:ilvl w:val="0"/>
          <w:numId w:val="2"/>
        </w:numPr>
        <w:spacing w:before="100" w:beforeAutospacing="1" w:after="100" w:afterAutospacing="1" w:line="240" w:lineRule="auto"/>
      </w:pPr>
      <w:r>
        <w:rPr>
          <w:sz w:val="20"/>
          <w:szCs w:val="20"/>
        </w:rPr>
        <w:t>UTEIQUE EAM FIGIER IOUBEATIS UBI FACILUMED GNOSCIER POTISIT ATQUE</w:t>
      </w:r>
    </w:p>
    <w:p w:rsidR="00A4052F" w:rsidRPr="00A4052F" w:rsidRDefault="00A4052F" w:rsidP="00A4052F">
      <w:pPr>
        <w:numPr>
          <w:ilvl w:val="0"/>
          <w:numId w:val="2"/>
        </w:numPr>
        <w:spacing w:before="100" w:beforeAutospacing="1" w:after="100" w:afterAutospacing="1" w:line="240" w:lineRule="auto"/>
        <w:rPr>
          <w:lang w:val="it-IT"/>
        </w:rPr>
      </w:pPr>
      <w:r w:rsidRPr="00A4052F">
        <w:rPr>
          <w:sz w:val="20"/>
          <w:szCs w:val="20"/>
          <w:lang w:val="it-IT"/>
        </w:rPr>
        <w:t>UTEI EA BACANALIA SEI QUA SUNT EXSTRAD QUAM SEI QUID IBEI SACRI EST</w:t>
      </w:r>
    </w:p>
    <w:p w:rsidR="00A4052F" w:rsidRPr="00A4052F" w:rsidRDefault="00A4052F" w:rsidP="00A4052F">
      <w:pPr>
        <w:numPr>
          <w:ilvl w:val="0"/>
          <w:numId w:val="2"/>
        </w:numPr>
        <w:spacing w:before="100" w:beforeAutospacing="1" w:after="100" w:afterAutospacing="1" w:line="240" w:lineRule="auto"/>
        <w:rPr>
          <w:lang w:val="de-DE"/>
        </w:rPr>
      </w:pPr>
      <w:r w:rsidRPr="00A4052F">
        <w:rPr>
          <w:sz w:val="20"/>
          <w:szCs w:val="20"/>
          <w:lang w:val="de-DE"/>
        </w:rPr>
        <w:t>ITA UTEI SUPRAD SCRIPTUM EST IN DIEBUS X QUIBUS VOBEIS TABELAI DATAI</w:t>
      </w:r>
    </w:p>
    <w:p w:rsidR="00A4052F" w:rsidRDefault="00A4052F" w:rsidP="00A4052F">
      <w:pPr>
        <w:numPr>
          <w:ilvl w:val="0"/>
          <w:numId w:val="2"/>
        </w:numPr>
        <w:spacing w:before="100" w:beforeAutospacing="1" w:after="100" w:afterAutospacing="1" w:line="240" w:lineRule="auto"/>
      </w:pPr>
      <w:r>
        <w:rPr>
          <w:sz w:val="20"/>
          <w:szCs w:val="20"/>
        </w:rPr>
        <w:t>ERUNT FACIATIS UTEI DISMOTA SIENT IN AGRO TEURANO</w:t>
      </w:r>
    </w:p>
    <w:p w:rsidR="00A4052F" w:rsidRDefault="00A4052F" w:rsidP="00A4052F">
      <w:pPr>
        <w:pStyle w:val="Heading2"/>
      </w:pPr>
      <w:r>
        <w:rPr>
          <w:rStyle w:val="mw-headline"/>
        </w:rPr>
        <w:t>Transliteration into classical Latin</w:t>
      </w:r>
    </w:p>
    <w:p w:rsidR="00A4052F" w:rsidRDefault="00A4052F" w:rsidP="00A4052F">
      <w:pPr>
        <w:pStyle w:val="NormalWeb"/>
      </w:pPr>
      <w:r>
        <w:t>The following passage uses classical reflexes of the Old Latin lexical items</w:t>
      </w:r>
      <w:proofErr w:type="gramStart"/>
      <w:r>
        <w:t>:</w:t>
      </w:r>
      <w:proofErr w:type="gramEnd"/>
      <w:r>
        <w:rPr>
          <w:vertAlign w:val="superscript"/>
        </w:rPr>
        <w:fldChar w:fldCharType="begin"/>
      </w:r>
      <w:r>
        <w:rPr>
          <w:vertAlign w:val="superscript"/>
        </w:rPr>
        <w:instrText xml:space="preserve"> HYPERLINK "http://en.wikipedia.org/wiki/Senatus_consultum_de_Bacchanalibus" \l "cite_note-ernout-4" </w:instrText>
      </w:r>
      <w:r>
        <w:rPr>
          <w:vertAlign w:val="superscript"/>
        </w:rPr>
        <w:fldChar w:fldCharType="separate"/>
      </w:r>
      <w:r>
        <w:rPr>
          <w:rStyle w:val="Hyperlink"/>
          <w:vertAlign w:val="superscript"/>
        </w:rPr>
        <w:t>[4]</w:t>
      </w:r>
      <w:r>
        <w:rPr>
          <w:vertAlign w:val="superscript"/>
        </w:rPr>
        <w:fldChar w:fldCharType="end"/>
      </w:r>
    </w:p>
    <w:p w:rsidR="00A4052F" w:rsidRDefault="00A4052F" w:rsidP="00A4052F">
      <w:pPr>
        <w:numPr>
          <w:ilvl w:val="0"/>
          <w:numId w:val="3"/>
        </w:numPr>
        <w:spacing w:before="100" w:beforeAutospacing="1" w:after="100" w:afterAutospacing="1" w:line="240" w:lineRule="auto"/>
      </w:pPr>
      <w:r>
        <w:t>[Quīntus] Mārcius L(ūciī) f(īlius), S(purius) Postumius L(ūciī) f(īlius) cō(n)s(ulēs) senātum cōnsuluērunt N(ōnīs) Octōb(ribus), apud aedem</w:t>
      </w:r>
    </w:p>
    <w:p w:rsidR="00A4052F" w:rsidRDefault="00A4052F" w:rsidP="00A4052F">
      <w:pPr>
        <w:numPr>
          <w:ilvl w:val="0"/>
          <w:numId w:val="3"/>
        </w:numPr>
        <w:spacing w:before="100" w:beforeAutospacing="1" w:after="100" w:afterAutospacing="1" w:line="240" w:lineRule="auto"/>
      </w:pPr>
      <w:r>
        <w:t>Bellōnae. Sc(rībendō) adf(uērunt) M(ārcus) Claudi(us) M(ārcī) f(īlius), L(ūcius) Valeri(us) P(ubliī) f(īlius), Q(uīntus) Minuci(us) C (=Gaiī) f(īlius). Dē Bacchānālibus quī foederātī</w:t>
      </w:r>
    </w:p>
    <w:p w:rsidR="00A4052F" w:rsidRDefault="00A4052F" w:rsidP="00A4052F">
      <w:pPr>
        <w:numPr>
          <w:ilvl w:val="0"/>
          <w:numId w:val="3"/>
        </w:numPr>
        <w:spacing w:before="100" w:beforeAutospacing="1" w:after="100" w:afterAutospacing="1" w:line="240" w:lineRule="auto"/>
      </w:pPr>
      <w:proofErr w:type="gramStart"/>
      <w:r>
        <w:t>essent</w:t>
      </w:r>
      <w:proofErr w:type="gramEnd"/>
      <w:r>
        <w:t>, ita ēdīcendum cēnsuēre: «Nēquis eōrum [B]acchānal habuisse vellet. Sī quis</w:t>
      </w:r>
    </w:p>
    <w:p w:rsidR="00A4052F" w:rsidRDefault="00A4052F" w:rsidP="00A4052F">
      <w:pPr>
        <w:numPr>
          <w:ilvl w:val="0"/>
          <w:numId w:val="3"/>
        </w:numPr>
        <w:spacing w:before="100" w:beforeAutospacing="1" w:after="100" w:afterAutospacing="1" w:line="240" w:lineRule="auto"/>
      </w:pPr>
      <w:r>
        <w:t>essent, quī sibī dīcerent necesse esse Bacchānal habēre, eīs utī ad pr(aetōrem) urbānum</w:t>
      </w:r>
    </w:p>
    <w:p w:rsidR="00A4052F" w:rsidRDefault="00A4052F" w:rsidP="00A4052F">
      <w:pPr>
        <w:numPr>
          <w:ilvl w:val="0"/>
          <w:numId w:val="3"/>
        </w:numPr>
        <w:spacing w:before="100" w:beforeAutospacing="1" w:after="100" w:afterAutospacing="1" w:line="240" w:lineRule="auto"/>
      </w:pPr>
      <w:r>
        <w:t>Rōmam venīrent, dēque eīs rēbus, ubī eōrum v[e]r[b]a audīta essent, utī senātus</w:t>
      </w:r>
    </w:p>
    <w:p w:rsidR="00A4052F" w:rsidRDefault="00A4052F" w:rsidP="00A4052F">
      <w:pPr>
        <w:numPr>
          <w:ilvl w:val="0"/>
          <w:numId w:val="3"/>
        </w:numPr>
        <w:spacing w:before="100" w:beforeAutospacing="1" w:after="100" w:afterAutospacing="1" w:line="240" w:lineRule="auto"/>
      </w:pPr>
      <w:proofErr w:type="gramStart"/>
      <w:r>
        <w:t>noster</w:t>
      </w:r>
      <w:proofErr w:type="gramEnd"/>
      <w:r>
        <w:t xml:space="preserve"> dēcerneret, dum nē minus senatōr[i]bus C adessent, [cum e]a rēs cōnsulerētur.</w:t>
      </w:r>
    </w:p>
    <w:p w:rsidR="00A4052F" w:rsidRDefault="00A4052F" w:rsidP="00A4052F">
      <w:pPr>
        <w:numPr>
          <w:ilvl w:val="0"/>
          <w:numId w:val="3"/>
        </w:numPr>
        <w:spacing w:before="100" w:beforeAutospacing="1" w:after="100" w:afterAutospacing="1" w:line="240" w:lineRule="auto"/>
      </w:pPr>
      <w:r>
        <w:t>Bacchās vir nēquis adiisse vellet cīvis Rōmānus nēve nōminis Latīnī nēve sociōrum</w:t>
      </w:r>
    </w:p>
    <w:p w:rsidR="00A4052F" w:rsidRDefault="00A4052F" w:rsidP="00A4052F">
      <w:pPr>
        <w:numPr>
          <w:ilvl w:val="0"/>
          <w:numId w:val="3"/>
        </w:numPr>
        <w:spacing w:before="100" w:beforeAutospacing="1" w:after="100" w:afterAutospacing="1" w:line="240" w:lineRule="auto"/>
      </w:pPr>
      <w:r>
        <w:t>quisquam, nisi pr(aetōrem) urbānum adiissent, isque [d]ē senātūs sententiā, dum nē</w:t>
      </w:r>
    </w:p>
    <w:p w:rsidR="00A4052F" w:rsidRDefault="00A4052F" w:rsidP="00A4052F">
      <w:pPr>
        <w:numPr>
          <w:ilvl w:val="0"/>
          <w:numId w:val="3"/>
        </w:numPr>
        <w:spacing w:before="100" w:beforeAutospacing="1" w:after="100" w:afterAutospacing="1" w:line="240" w:lineRule="auto"/>
      </w:pPr>
      <w:r w:rsidRPr="00A4052F">
        <w:rPr>
          <w:lang w:val="fr-FR"/>
        </w:rPr>
        <w:t xml:space="preserve">minus senātōribus C adessent, cum ea rēs cōnsulerētur, iussissent. </w:t>
      </w:r>
      <w:r>
        <w:t>Cēnsuēre.</w:t>
      </w:r>
    </w:p>
    <w:p w:rsidR="00A4052F" w:rsidRPr="00A4052F" w:rsidRDefault="00A4052F" w:rsidP="00A4052F">
      <w:pPr>
        <w:numPr>
          <w:ilvl w:val="0"/>
          <w:numId w:val="3"/>
        </w:numPr>
        <w:spacing w:before="100" w:beforeAutospacing="1" w:after="100" w:afterAutospacing="1" w:line="240" w:lineRule="auto"/>
        <w:rPr>
          <w:lang w:val="fr-FR"/>
        </w:rPr>
      </w:pPr>
      <w:r w:rsidRPr="00A4052F">
        <w:rPr>
          <w:lang w:val="fr-FR"/>
        </w:rPr>
        <w:t>Sacerdōs nēquis vir esset; magister neque vir neque mulier quisquam esset.</w:t>
      </w:r>
    </w:p>
    <w:p w:rsidR="00A4052F" w:rsidRPr="00A4052F" w:rsidRDefault="00A4052F" w:rsidP="00A4052F">
      <w:pPr>
        <w:numPr>
          <w:ilvl w:val="0"/>
          <w:numId w:val="3"/>
        </w:numPr>
        <w:spacing w:before="100" w:beforeAutospacing="1" w:after="100" w:afterAutospacing="1" w:line="240" w:lineRule="auto"/>
        <w:rPr>
          <w:lang w:val="fr-FR"/>
        </w:rPr>
      </w:pPr>
      <w:r w:rsidRPr="00A4052F">
        <w:rPr>
          <w:lang w:val="fr-FR"/>
        </w:rPr>
        <w:t>Nēve pecūniam quisquam eōrum commūne[m h]abuisse vellet; nēve magistrātum,</w:t>
      </w:r>
    </w:p>
    <w:p w:rsidR="00A4052F" w:rsidRPr="00A4052F" w:rsidRDefault="00A4052F" w:rsidP="00A4052F">
      <w:pPr>
        <w:numPr>
          <w:ilvl w:val="0"/>
          <w:numId w:val="3"/>
        </w:numPr>
        <w:spacing w:before="100" w:beforeAutospacing="1" w:after="100" w:afterAutospacing="1" w:line="240" w:lineRule="auto"/>
        <w:rPr>
          <w:lang w:val="fr-FR"/>
        </w:rPr>
      </w:pPr>
      <w:r w:rsidRPr="00A4052F">
        <w:rPr>
          <w:lang w:val="fr-FR"/>
        </w:rPr>
        <w:t>nēve prō magistrātū, neque virum [neque mul]ierem qui[s]quam fecisse vellet,</w:t>
      </w:r>
    </w:p>
    <w:p w:rsidR="00A4052F" w:rsidRPr="00A4052F" w:rsidRDefault="00A4052F" w:rsidP="00A4052F">
      <w:pPr>
        <w:numPr>
          <w:ilvl w:val="0"/>
          <w:numId w:val="3"/>
        </w:numPr>
        <w:spacing w:before="100" w:beforeAutospacing="1" w:after="100" w:afterAutospacing="1" w:line="240" w:lineRule="auto"/>
        <w:rPr>
          <w:lang w:val="it-IT"/>
        </w:rPr>
      </w:pPr>
      <w:r w:rsidRPr="00A4052F">
        <w:rPr>
          <w:lang w:val="it-IT"/>
        </w:rPr>
        <w:t>nēve posthāc inter sē coniūrās[se nēv]e convōvisse nēve cōnspondisse</w:t>
      </w:r>
    </w:p>
    <w:p w:rsidR="00A4052F" w:rsidRDefault="00A4052F" w:rsidP="00A4052F">
      <w:pPr>
        <w:numPr>
          <w:ilvl w:val="0"/>
          <w:numId w:val="3"/>
        </w:numPr>
        <w:spacing w:before="100" w:beforeAutospacing="1" w:after="100" w:afterAutospacing="1" w:line="240" w:lineRule="auto"/>
      </w:pPr>
      <w:proofErr w:type="gramStart"/>
      <w:r>
        <w:t>nēve</w:t>
      </w:r>
      <w:proofErr w:type="gramEnd"/>
      <w:r>
        <w:t xml:space="preserve"> comprōmīsisse vellet, nēve quisquam fidem inter sē dedisse vellet.</w:t>
      </w:r>
    </w:p>
    <w:p w:rsidR="00A4052F" w:rsidRDefault="00A4052F" w:rsidP="00A4052F">
      <w:pPr>
        <w:numPr>
          <w:ilvl w:val="0"/>
          <w:numId w:val="3"/>
        </w:numPr>
        <w:spacing w:before="100" w:beforeAutospacing="1" w:after="100" w:afterAutospacing="1" w:line="240" w:lineRule="auto"/>
      </w:pPr>
      <w:r w:rsidRPr="00A4052F">
        <w:rPr>
          <w:lang w:val="it-IT"/>
        </w:rPr>
        <w:t xml:space="preserve">Sacra in occultō nē quisquam fēcisse vellet. </w:t>
      </w:r>
      <w:r>
        <w:t>Nēve in publicō nēve in</w:t>
      </w:r>
    </w:p>
    <w:p w:rsidR="00A4052F" w:rsidRDefault="00A4052F" w:rsidP="00A4052F">
      <w:pPr>
        <w:numPr>
          <w:ilvl w:val="0"/>
          <w:numId w:val="3"/>
        </w:numPr>
        <w:spacing w:before="100" w:beforeAutospacing="1" w:after="100" w:afterAutospacing="1" w:line="240" w:lineRule="auto"/>
      </w:pPr>
      <w:r>
        <w:t>prīvātō nēve extrā urbem sacra quisquam fēcisse vellet, nisi</w:t>
      </w:r>
    </w:p>
    <w:p w:rsidR="00A4052F" w:rsidRDefault="00A4052F" w:rsidP="00A4052F">
      <w:pPr>
        <w:numPr>
          <w:ilvl w:val="0"/>
          <w:numId w:val="3"/>
        </w:numPr>
        <w:spacing w:before="100" w:beforeAutospacing="1" w:after="100" w:afterAutospacing="1" w:line="240" w:lineRule="auto"/>
      </w:pPr>
      <w:r>
        <w:t>pr(aetōrem) urbānum adiisset, isque dē senātūs sententiā, dum nē minus</w:t>
      </w:r>
    </w:p>
    <w:p w:rsidR="00A4052F" w:rsidRDefault="00A4052F" w:rsidP="00A4052F">
      <w:pPr>
        <w:numPr>
          <w:ilvl w:val="0"/>
          <w:numId w:val="3"/>
        </w:numPr>
        <w:spacing w:before="100" w:beforeAutospacing="1" w:after="100" w:afterAutospacing="1" w:line="240" w:lineRule="auto"/>
      </w:pPr>
      <w:r w:rsidRPr="00A4052F">
        <w:rPr>
          <w:lang w:val="fr-FR"/>
        </w:rPr>
        <w:t xml:space="preserve">senatōribus C adessent, cum ea rēs cōnsulerētur, iussissent. </w:t>
      </w:r>
      <w:r>
        <w:t>Cēnsuēre.</w:t>
      </w:r>
    </w:p>
    <w:p w:rsidR="00A4052F" w:rsidRDefault="00A4052F" w:rsidP="00A4052F">
      <w:pPr>
        <w:numPr>
          <w:ilvl w:val="0"/>
          <w:numId w:val="3"/>
        </w:numPr>
        <w:spacing w:before="100" w:beforeAutospacing="1" w:after="100" w:afterAutospacing="1" w:line="240" w:lineRule="auto"/>
      </w:pPr>
      <w:r>
        <w:t>Hominēs plūs V ūniversī virī atque mulierēs sacra nē quisquam</w:t>
      </w:r>
    </w:p>
    <w:p w:rsidR="00A4052F" w:rsidRDefault="00A4052F" w:rsidP="00A4052F">
      <w:pPr>
        <w:numPr>
          <w:ilvl w:val="0"/>
          <w:numId w:val="3"/>
        </w:numPr>
        <w:spacing w:before="100" w:beforeAutospacing="1" w:after="100" w:afterAutospacing="1" w:line="240" w:lineRule="auto"/>
      </w:pPr>
      <w:r>
        <w:t>fēcisse vellet, nēve inter ibī virī plūs duōbus, mulieribus plūs tribus</w:t>
      </w:r>
    </w:p>
    <w:p w:rsidR="00A4052F" w:rsidRDefault="00A4052F" w:rsidP="00A4052F">
      <w:pPr>
        <w:numPr>
          <w:ilvl w:val="0"/>
          <w:numId w:val="3"/>
        </w:numPr>
        <w:spacing w:before="100" w:beforeAutospacing="1" w:after="100" w:afterAutospacing="1" w:line="240" w:lineRule="auto"/>
      </w:pPr>
      <w:r>
        <w:t>adfuisse vellent, nisi dē pr(aetōris) urbānī senātūsque sententiā, utī suprā</w:t>
      </w:r>
    </w:p>
    <w:p w:rsidR="00A4052F" w:rsidRDefault="00A4052F" w:rsidP="00A4052F">
      <w:pPr>
        <w:numPr>
          <w:ilvl w:val="0"/>
          <w:numId w:val="3"/>
        </w:numPr>
        <w:spacing w:before="100" w:beforeAutospacing="1" w:after="100" w:afterAutospacing="1" w:line="240" w:lineRule="auto"/>
      </w:pPr>
      <w:proofErr w:type="gramStart"/>
      <w:r>
        <w:t>scrīptum</w:t>
      </w:r>
      <w:proofErr w:type="gramEnd"/>
      <w:r>
        <w:t xml:space="preserve"> est.» Haec utī in cōntiōne ēdīcātis nē minus trīnum</w:t>
      </w:r>
    </w:p>
    <w:p w:rsidR="00A4052F" w:rsidRDefault="00A4052F" w:rsidP="00A4052F">
      <w:pPr>
        <w:numPr>
          <w:ilvl w:val="0"/>
          <w:numId w:val="3"/>
        </w:numPr>
        <w:spacing w:before="100" w:beforeAutospacing="1" w:after="100" w:afterAutospacing="1" w:line="240" w:lineRule="auto"/>
      </w:pPr>
      <w:r>
        <w:t>nūndinum, senātūsque sententiam utī scientēs essētis, eōrum</w:t>
      </w:r>
    </w:p>
    <w:p w:rsidR="00A4052F" w:rsidRPr="00A4052F" w:rsidRDefault="00A4052F" w:rsidP="00A4052F">
      <w:pPr>
        <w:numPr>
          <w:ilvl w:val="0"/>
          <w:numId w:val="3"/>
        </w:numPr>
        <w:spacing w:before="100" w:beforeAutospacing="1" w:after="100" w:afterAutospacing="1" w:line="240" w:lineRule="auto"/>
        <w:rPr>
          <w:lang w:val="fr-FR"/>
        </w:rPr>
      </w:pPr>
      <w:r w:rsidRPr="00A4052F">
        <w:rPr>
          <w:lang w:val="fr-FR"/>
        </w:rPr>
        <w:t>sententia ita fuit: «Sī quis essent, quī adversum ea fēcissent, quam suprā</w:t>
      </w:r>
    </w:p>
    <w:p w:rsidR="00A4052F" w:rsidRDefault="00A4052F" w:rsidP="00A4052F">
      <w:pPr>
        <w:numPr>
          <w:ilvl w:val="0"/>
          <w:numId w:val="3"/>
        </w:numPr>
        <w:spacing w:before="100" w:beforeAutospacing="1" w:after="100" w:afterAutospacing="1" w:line="240" w:lineRule="auto"/>
      </w:pPr>
      <w:r w:rsidRPr="00A4052F">
        <w:rPr>
          <w:lang w:val="fr-FR"/>
        </w:rPr>
        <w:t xml:space="preserve">scrīptum est, eīs rem capitālem faciendam cēnsuēre». </w:t>
      </w:r>
      <w:r>
        <w:t>Atque utī</w:t>
      </w:r>
    </w:p>
    <w:p w:rsidR="00A4052F" w:rsidRDefault="00A4052F" w:rsidP="00A4052F">
      <w:pPr>
        <w:numPr>
          <w:ilvl w:val="0"/>
          <w:numId w:val="3"/>
        </w:numPr>
        <w:spacing w:before="100" w:beforeAutospacing="1" w:after="100" w:afterAutospacing="1" w:line="240" w:lineRule="auto"/>
      </w:pPr>
      <w:r>
        <w:t>hoc in tabulam ahēnam inciderētis, ita senātus aequum cēnsuit,</w:t>
      </w:r>
    </w:p>
    <w:p w:rsidR="00A4052F" w:rsidRDefault="00A4052F" w:rsidP="00A4052F">
      <w:pPr>
        <w:numPr>
          <w:ilvl w:val="0"/>
          <w:numId w:val="3"/>
        </w:numPr>
        <w:spacing w:before="100" w:beforeAutospacing="1" w:after="100" w:afterAutospacing="1" w:line="240" w:lineRule="auto"/>
      </w:pPr>
      <w:r>
        <w:t>utīque eam fīgī iubeātis, ubī facillimē nōscī possit; atque</w:t>
      </w:r>
    </w:p>
    <w:p w:rsidR="00A4052F" w:rsidRDefault="00A4052F" w:rsidP="00A4052F">
      <w:pPr>
        <w:numPr>
          <w:ilvl w:val="0"/>
          <w:numId w:val="3"/>
        </w:numPr>
        <w:spacing w:before="100" w:beforeAutospacing="1" w:after="100" w:afterAutospacing="1" w:line="240" w:lineRule="auto"/>
      </w:pPr>
      <w:r>
        <w:t>utī ea Bacchānālia, sī quae sunt, extrā quam sī quid ibī sacrī est,</w:t>
      </w:r>
    </w:p>
    <w:p w:rsidR="00A4052F" w:rsidRDefault="00A4052F" w:rsidP="00A4052F">
      <w:pPr>
        <w:numPr>
          <w:ilvl w:val="0"/>
          <w:numId w:val="3"/>
        </w:numPr>
        <w:spacing w:before="100" w:beforeAutospacing="1" w:after="100" w:afterAutospacing="1" w:line="240" w:lineRule="auto"/>
      </w:pPr>
      <w:r>
        <w:t>(ita utī suprā scrīptum est)</w:t>
      </w:r>
      <w:hyperlink r:id="rId35" w:anchor="cite_note-5" w:history="1">
        <w:r>
          <w:rPr>
            <w:rStyle w:val="Hyperlink"/>
            <w:vertAlign w:val="superscript"/>
          </w:rPr>
          <w:t>[5]</w:t>
        </w:r>
      </w:hyperlink>
      <w:r>
        <w:t xml:space="preserve"> in diēbus X, quibus vōbīs tabellae datae</w:t>
      </w:r>
    </w:p>
    <w:p w:rsidR="00A4052F" w:rsidRDefault="00A4052F" w:rsidP="00A4052F">
      <w:pPr>
        <w:numPr>
          <w:ilvl w:val="0"/>
          <w:numId w:val="3"/>
        </w:numPr>
        <w:spacing w:before="100" w:beforeAutospacing="1" w:after="100" w:afterAutospacing="1" w:line="240" w:lineRule="auto"/>
      </w:pPr>
      <w:r w:rsidRPr="00A4052F">
        <w:rPr>
          <w:lang w:val="fr-FR"/>
        </w:rPr>
        <w:t xml:space="preserve">erunt, faciātis utī dīmōta sint. </w:t>
      </w:r>
      <w:r>
        <w:t>In agrō Teurānō.</w:t>
      </w:r>
    </w:p>
    <w:p w:rsidR="00A4052F" w:rsidRDefault="00A4052F" w:rsidP="00A4052F">
      <w:pPr>
        <w:pStyle w:val="Heading2"/>
      </w:pPr>
      <w:r>
        <w:rPr>
          <w:rStyle w:val="mw-headline"/>
        </w:rPr>
        <w:lastRenderedPageBreak/>
        <w:t>Orthography</w:t>
      </w:r>
    </w:p>
    <w:p w:rsidR="00A4052F" w:rsidRDefault="00A4052F" w:rsidP="00A4052F">
      <w:pPr>
        <w:pStyle w:val="NormalWeb"/>
      </w:pPr>
      <w:r>
        <w:t xml:space="preserve">The spelling of the text of the </w:t>
      </w:r>
      <w:r>
        <w:rPr>
          <w:i/>
          <w:iCs/>
        </w:rPr>
        <w:t>Senatus consultum</w:t>
      </w:r>
      <w:r>
        <w:t xml:space="preserve"> differs in many predictable ways from the spelling of Classical Latin. Some of these differences are merely orthographical; others reflect archaic pronunciations or other archaisms in the forms of words.</w:t>
      </w:r>
    </w:p>
    <w:p w:rsidR="00A4052F" w:rsidRDefault="00A4052F" w:rsidP="00A4052F">
      <w:pPr>
        <w:pStyle w:val="Heading3"/>
      </w:pPr>
      <w:r>
        <w:rPr>
          <w:rStyle w:val="mw-headline"/>
        </w:rPr>
        <w:t>Geminate consonants</w:t>
      </w:r>
    </w:p>
    <w:p w:rsidR="00A4052F" w:rsidRDefault="00A4052F" w:rsidP="00A4052F">
      <w:pPr>
        <w:pStyle w:val="NormalWeb"/>
      </w:pPr>
      <w:r>
        <w:t xml:space="preserve">In Classical Latin, geminate (or long) consonants are consistently written with a sequence of two letters: e.g., </w:t>
      </w:r>
      <w:r>
        <w:rPr>
          <w:i/>
          <w:iCs/>
        </w:rPr>
        <w:t>cc</w:t>
      </w:r>
      <w:r>
        <w:t xml:space="preserve">, </w:t>
      </w:r>
      <w:r>
        <w:rPr>
          <w:i/>
          <w:iCs/>
        </w:rPr>
        <w:t>ll</w:t>
      </w:r>
      <w:r>
        <w:t xml:space="preserve">, </w:t>
      </w:r>
      <w:r>
        <w:rPr>
          <w:i/>
          <w:iCs/>
        </w:rPr>
        <w:t>ss</w:t>
      </w:r>
      <w:r>
        <w:t xml:space="preserve"> for [kː], [lː], </w:t>
      </w:r>
      <w:proofErr w:type="gramStart"/>
      <w:r>
        <w:t>[</w:t>
      </w:r>
      <w:proofErr w:type="gramEnd"/>
      <w:r>
        <w:t xml:space="preserve">sː]. These geminate consonants are not represented in the </w:t>
      </w:r>
      <w:r>
        <w:rPr>
          <w:i/>
          <w:iCs/>
        </w:rPr>
        <w:t>Senatus consultum</w:t>
      </w:r>
      <w:r>
        <w:t>:</w:t>
      </w:r>
    </w:p>
    <w:p w:rsidR="00A4052F" w:rsidRDefault="00A4052F" w:rsidP="00A4052F">
      <w:pPr>
        <w:ind w:left="720"/>
      </w:pPr>
      <w:r>
        <w:t xml:space="preserve">C for cc in HOCE (26:1) </w:t>
      </w:r>
      <w:r>
        <w:rPr>
          <w:i/>
          <w:iCs/>
        </w:rPr>
        <w:t>hocce</w:t>
      </w:r>
    </w:p>
    <w:p w:rsidR="00A4052F" w:rsidRDefault="00A4052F" w:rsidP="00A4052F">
      <w:pPr>
        <w:ind w:left="720"/>
      </w:pPr>
      <w:proofErr w:type="gramStart"/>
      <w:r>
        <w:t xml:space="preserve">C for cch in BACANALIBVS (2:17) </w:t>
      </w:r>
      <w:r>
        <w:rPr>
          <w:i/>
          <w:iCs/>
        </w:rPr>
        <w:t>Bacchānālibus</w:t>
      </w:r>
      <w:r>
        <w:t xml:space="preserve">, BACANAL (3:7, 4:7) </w:t>
      </w:r>
      <w:r>
        <w:rPr>
          <w:i/>
          <w:iCs/>
        </w:rPr>
        <w:t>Bacchānal</w:t>
      </w:r>
      <w:r>
        <w:t xml:space="preserve">, BACAS (7:1) </w:t>
      </w:r>
      <w:r>
        <w:rPr>
          <w:i/>
          <w:iCs/>
        </w:rPr>
        <w:t>Bacchās</w:t>
      </w:r>
      <w:r>
        <w:t xml:space="preserve">, BACANALIA (28:3) </w:t>
      </w:r>
      <w:r>
        <w:rPr>
          <w:i/>
          <w:iCs/>
        </w:rPr>
        <w:t>Bacchānālia</w:t>
      </w:r>
      <w:r>
        <w:t>.</w:t>
      </w:r>
      <w:proofErr w:type="gramEnd"/>
      <w:r>
        <w:t xml:space="preserve"> The </w:t>
      </w:r>
      <w:r>
        <w:rPr>
          <w:i/>
          <w:iCs/>
        </w:rPr>
        <w:t>h</w:t>
      </w:r>
      <w:r>
        <w:t xml:space="preserve"> was probably not pronounced.</w:t>
      </w:r>
    </w:p>
    <w:p w:rsidR="00A4052F" w:rsidRDefault="00A4052F" w:rsidP="00A4052F">
      <w:pPr>
        <w:ind w:left="720"/>
      </w:pPr>
      <w:r>
        <w:t xml:space="preserve">L for ll in DVELONAI (2:1) </w:t>
      </w:r>
      <w:r>
        <w:rPr>
          <w:i/>
          <w:iCs/>
        </w:rPr>
        <w:t>Bellōnae</w:t>
      </w:r>
      <w:r>
        <w:t xml:space="preserve">, VELET (3:9 </w:t>
      </w:r>
      <w:proofErr w:type="gramStart"/>
      <w:r>
        <w:rPr>
          <w:i/>
          <w:iCs/>
        </w:rPr>
        <w:t>et</w:t>
      </w:r>
      <w:proofErr w:type="gramEnd"/>
      <w:r>
        <w:rPr>
          <w:i/>
          <w:iCs/>
        </w:rPr>
        <w:t xml:space="preserve"> passim</w:t>
      </w:r>
      <w:r>
        <w:t xml:space="preserve">) </w:t>
      </w:r>
      <w:r>
        <w:rPr>
          <w:i/>
          <w:iCs/>
        </w:rPr>
        <w:t>vellet</w:t>
      </w:r>
      <w:r>
        <w:t xml:space="preserve">, VELENT (21:2) </w:t>
      </w:r>
      <w:r>
        <w:rPr>
          <w:i/>
          <w:iCs/>
        </w:rPr>
        <w:t>vellent</w:t>
      </w:r>
      <w:r>
        <w:t xml:space="preserve">, FACILVMED (27:6) </w:t>
      </w:r>
      <w:r>
        <w:rPr>
          <w:i/>
          <w:iCs/>
        </w:rPr>
        <w:t>facillimē</w:t>
      </w:r>
      <w:r>
        <w:t xml:space="preserve">, TABELAI (29:11) </w:t>
      </w:r>
      <w:r>
        <w:rPr>
          <w:i/>
          <w:iCs/>
        </w:rPr>
        <w:t>tabellae</w:t>
      </w:r>
    </w:p>
    <w:p w:rsidR="00A4052F" w:rsidRDefault="00A4052F" w:rsidP="00A4052F">
      <w:pPr>
        <w:ind w:left="720"/>
      </w:pPr>
      <w:r>
        <w:t xml:space="preserve">M for mm in </w:t>
      </w:r>
      <w:proofErr w:type="gramStart"/>
      <w:r>
        <w:t>COMOINE[</w:t>
      </w:r>
      <w:proofErr w:type="gramEnd"/>
      <w:r>
        <w:t xml:space="preserve">M] (11:5) </w:t>
      </w:r>
      <w:r>
        <w:rPr>
          <w:i/>
          <w:iCs/>
        </w:rPr>
        <w:t>commūnem</w:t>
      </w:r>
    </w:p>
    <w:p w:rsidR="00A4052F" w:rsidRDefault="00A4052F" w:rsidP="00A4052F">
      <w:pPr>
        <w:ind w:left="720"/>
      </w:pPr>
      <w:r>
        <w:t xml:space="preserve">Q for cc in OQVOLTOD (15:3) </w:t>
      </w:r>
      <w:r>
        <w:rPr>
          <w:i/>
          <w:iCs/>
        </w:rPr>
        <w:t>occultō</w:t>
      </w:r>
    </w:p>
    <w:p w:rsidR="00A4052F" w:rsidRDefault="00A4052F" w:rsidP="00A4052F">
      <w:pPr>
        <w:ind w:left="720"/>
      </w:pPr>
      <w:r>
        <w:t xml:space="preserve">S for ss in ADESENT (6:8, 9:4, 18:3) </w:t>
      </w:r>
      <w:r>
        <w:rPr>
          <w:i/>
          <w:iCs/>
        </w:rPr>
        <w:t>adessent</w:t>
      </w:r>
      <w:r>
        <w:t xml:space="preserve">, ADIESE (7:4) </w:t>
      </w:r>
      <w:r>
        <w:rPr>
          <w:i/>
          <w:iCs/>
        </w:rPr>
        <w:t>adiisse</w:t>
      </w:r>
      <w:r>
        <w:t xml:space="preserve">, ADIESENT (8:5) </w:t>
      </w:r>
      <w:r>
        <w:rPr>
          <w:i/>
          <w:iCs/>
        </w:rPr>
        <w:t>adiissent</w:t>
      </w:r>
      <w:r>
        <w:t xml:space="preserve">, ADIESET (17:3) </w:t>
      </w:r>
      <w:r>
        <w:rPr>
          <w:i/>
          <w:iCs/>
        </w:rPr>
        <w:t>adiisset</w:t>
      </w:r>
      <w:r>
        <w:t xml:space="preserve">, ARFVISE (21:1) </w:t>
      </w:r>
      <w:r>
        <w:rPr>
          <w:i/>
          <w:iCs/>
        </w:rPr>
        <w:t>adfuisse</w:t>
      </w:r>
      <w:r>
        <w:t xml:space="preserve">, COMVOVISE (13:8) </w:t>
      </w:r>
      <w:r>
        <w:rPr>
          <w:i/>
          <w:iCs/>
        </w:rPr>
        <w:t>convōvisse</w:t>
      </w:r>
      <w:r>
        <w:t xml:space="preserve">, CONPROMESISE (14:2) </w:t>
      </w:r>
      <w:r>
        <w:rPr>
          <w:i/>
          <w:iCs/>
        </w:rPr>
        <w:t>comprōmīsisse</w:t>
      </w:r>
      <w:r>
        <w:t xml:space="preserve">, CONSPONDISE (13:10) </w:t>
      </w:r>
      <w:r>
        <w:rPr>
          <w:i/>
          <w:iCs/>
        </w:rPr>
        <w:t>conspondisse</w:t>
      </w:r>
      <w:r>
        <w:t xml:space="preserve">, DEDISE (14:9) </w:t>
      </w:r>
      <w:r>
        <w:rPr>
          <w:i/>
          <w:iCs/>
        </w:rPr>
        <w:t>dedisse</w:t>
      </w:r>
      <w:r>
        <w:t xml:space="preserve">, ESE (4:6), ESENT (3:1, 4:1, 5:10, 24:6) </w:t>
      </w:r>
      <w:r>
        <w:rPr>
          <w:i/>
          <w:iCs/>
        </w:rPr>
        <w:t>essent</w:t>
      </w:r>
      <w:r>
        <w:t xml:space="preserve">, ESET (10:4, 10:11), ESETIS (23:6) </w:t>
      </w:r>
      <w:r>
        <w:rPr>
          <w:i/>
          <w:iCs/>
        </w:rPr>
        <w:t>essētis</w:t>
      </w:r>
      <w:r>
        <w:t xml:space="preserve">, FECISE (12:9, 15:6, 16:7, 20:1) </w:t>
      </w:r>
      <w:r>
        <w:rPr>
          <w:i/>
          <w:iCs/>
        </w:rPr>
        <w:t>fēcisse</w:t>
      </w:r>
      <w:r>
        <w:t xml:space="preserve">, FECISENT (24:10) </w:t>
      </w:r>
      <w:r>
        <w:rPr>
          <w:i/>
          <w:iCs/>
        </w:rPr>
        <w:t>fēcissent</w:t>
      </w:r>
      <w:r>
        <w:t xml:space="preserve">, HABVISE (3:8) </w:t>
      </w:r>
      <w:r>
        <w:rPr>
          <w:i/>
          <w:iCs/>
        </w:rPr>
        <w:t>habuisse</w:t>
      </w:r>
      <w:r>
        <w:t xml:space="preserve">, IOVSISENT (9:9) </w:t>
      </w:r>
      <w:r>
        <w:rPr>
          <w:i/>
          <w:iCs/>
        </w:rPr>
        <w:t>iussissent</w:t>
      </w:r>
      <w:r>
        <w:t xml:space="preserve">, NECESVS (4:5) </w:t>
      </w:r>
      <w:r>
        <w:rPr>
          <w:i/>
          <w:iCs/>
        </w:rPr>
        <w:t>necessus</w:t>
      </w:r>
      <w:r>
        <w:t>.</w:t>
      </w:r>
    </w:p>
    <w:p w:rsidR="00A4052F" w:rsidRDefault="00A4052F" w:rsidP="00A4052F">
      <w:pPr>
        <w:pStyle w:val="Heading3"/>
      </w:pPr>
      <w:r>
        <w:rPr>
          <w:rStyle w:val="mw-headline"/>
        </w:rPr>
        <w:t>Diphthongs</w:t>
      </w:r>
    </w:p>
    <w:p w:rsidR="00A4052F" w:rsidRDefault="00A4052F" w:rsidP="00A4052F">
      <w:pPr>
        <w:pStyle w:val="NormalWeb"/>
      </w:pPr>
      <w:r>
        <w:t xml:space="preserve">AI is usually used for Classical </w:t>
      </w:r>
      <w:r>
        <w:rPr>
          <w:i/>
          <w:iCs/>
        </w:rPr>
        <w:t>ae</w:t>
      </w:r>
      <w:r>
        <w:t xml:space="preserve"> in:</w:t>
      </w:r>
    </w:p>
    <w:p w:rsidR="00A4052F" w:rsidRDefault="00A4052F" w:rsidP="00A4052F">
      <w:pPr>
        <w:ind w:left="720"/>
      </w:pPr>
      <w:proofErr w:type="gramStart"/>
      <w:r>
        <w:t xml:space="preserve">DVELONAI (2:1) </w:t>
      </w:r>
      <w:r>
        <w:rPr>
          <w:i/>
          <w:iCs/>
        </w:rPr>
        <w:t>Bellōnae</w:t>
      </w:r>
      <w:r>
        <w:t xml:space="preserve">, HAICE (22:3) </w:t>
      </w:r>
      <w:r>
        <w:rPr>
          <w:i/>
          <w:iCs/>
        </w:rPr>
        <w:t>haec</w:t>
      </w:r>
      <w:r>
        <w:t xml:space="preserve">, AIQVOM (26:8) </w:t>
      </w:r>
      <w:r>
        <w:rPr>
          <w:i/>
          <w:iCs/>
        </w:rPr>
        <w:t>aequum</w:t>
      </w:r>
      <w:r>
        <w:t xml:space="preserve"> and TABELAI DATAI (29:11-12) </w:t>
      </w:r>
      <w:r>
        <w:rPr>
          <w:i/>
          <w:iCs/>
        </w:rPr>
        <w:t>tabellae datae</w:t>
      </w:r>
      <w:r>
        <w:t>.</w:t>
      </w:r>
      <w:proofErr w:type="gramEnd"/>
      <w:r>
        <w:t xml:space="preserve"> But AE is found in AEDEM (1:15).</w:t>
      </w:r>
    </w:p>
    <w:p w:rsidR="00A4052F" w:rsidRDefault="00A4052F" w:rsidP="00A4052F">
      <w:pPr>
        <w:pStyle w:val="NormalWeb"/>
      </w:pPr>
      <w:r>
        <w:t xml:space="preserve">EI became Classical </w:t>
      </w:r>
      <w:r>
        <w:rPr>
          <w:i/>
          <w:iCs/>
        </w:rPr>
        <w:t>ī</w:t>
      </w:r>
      <w:r>
        <w:t xml:space="preserve"> in:</w:t>
      </w:r>
    </w:p>
    <w:p w:rsidR="00A4052F" w:rsidRDefault="00A4052F" w:rsidP="00A4052F">
      <w:pPr>
        <w:ind w:left="720"/>
      </w:pPr>
      <w:r>
        <w:t xml:space="preserve">QVEI (2:18, 4:2, 24:7) </w:t>
      </w:r>
      <w:r>
        <w:rPr>
          <w:i/>
          <w:iCs/>
        </w:rPr>
        <w:t>quī</w:t>
      </w:r>
      <w:r>
        <w:t xml:space="preserve">, SEI (3:10, 24:4, 28:4,9) </w:t>
      </w:r>
      <w:r>
        <w:rPr>
          <w:i/>
          <w:iCs/>
        </w:rPr>
        <w:t>sī</w:t>
      </w:r>
      <w:r>
        <w:t xml:space="preserve">, VIREI (19:5, 20:6) </w:t>
      </w:r>
      <w:r>
        <w:rPr>
          <w:i/>
          <w:iCs/>
        </w:rPr>
        <w:t>virī</w:t>
      </w:r>
      <w:r>
        <w:t xml:space="preserve">, CEIVIS (7:6) </w:t>
      </w:r>
      <w:r>
        <w:rPr>
          <w:i/>
          <w:iCs/>
        </w:rPr>
        <w:t>cīvis</w:t>
      </w:r>
      <w:r>
        <w:t xml:space="preserve">, DEICERENT (4:4) </w:t>
      </w:r>
      <w:r>
        <w:rPr>
          <w:i/>
          <w:iCs/>
        </w:rPr>
        <w:t>dīcerent</w:t>
      </w:r>
      <w:r>
        <w:t xml:space="preserve">, EXDEICATIS (22:7) </w:t>
      </w:r>
      <w:r>
        <w:rPr>
          <w:i/>
          <w:iCs/>
        </w:rPr>
        <w:t>ēdīcātis</w:t>
      </w:r>
      <w:r>
        <w:t xml:space="preserve">, EXDEICENDVM (3:3) </w:t>
      </w:r>
      <w:r>
        <w:rPr>
          <w:i/>
          <w:iCs/>
        </w:rPr>
        <w:t>ēdīcendum</w:t>
      </w:r>
      <w:r>
        <w:t xml:space="preserve">, INCEIDERETIS (26:5) </w:t>
      </w:r>
      <w:r>
        <w:rPr>
          <w:i/>
          <w:iCs/>
        </w:rPr>
        <w:t>incīderētis</w:t>
      </w:r>
      <w:r>
        <w:t xml:space="preserve">, PREIVATOD </w:t>
      </w:r>
      <w:r>
        <w:rPr>
          <w:i/>
          <w:iCs/>
        </w:rPr>
        <w:t>prīvātō</w:t>
      </w:r>
      <w:r>
        <w:t xml:space="preserve"> (16:1), EEIS (4:9, 5:4, 25:3) </w:t>
      </w:r>
      <w:r>
        <w:rPr>
          <w:i/>
          <w:iCs/>
        </w:rPr>
        <w:t>eīs</w:t>
      </w:r>
      <w:r>
        <w:t xml:space="preserve">, VOBEIS (29:10) </w:t>
      </w:r>
      <w:r>
        <w:rPr>
          <w:i/>
          <w:iCs/>
        </w:rPr>
        <w:t>vōbīs</w:t>
      </w:r>
      <w:r>
        <w:t xml:space="preserve">, FOIDERATEI (2:19) </w:t>
      </w:r>
      <w:r>
        <w:rPr>
          <w:i/>
          <w:iCs/>
        </w:rPr>
        <w:t>foederātī</w:t>
      </w:r>
      <w:r>
        <w:t xml:space="preserve">, OINVORSEI (19:4) </w:t>
      </w:r>
      <w:r>
        <w:rPr>
          <w:i/>
          <w:iCs/>
        </w:rPr>
        <w:t>ūniversī</w:t>
      </w:r>
    </w:p>
    <w:p w:rsidR="00A4052F" w:rsidRDefault="00A4052F" w:rsidP="00A4052F">
      <w:pPr>
        <w:pStyle w:val="NormalWeb"/>
      </w:pPr>
      <w:r>
        <w:t xml:space="preserve">Word-finally in many disyllables, EI corresponds to Classical short </w:t>
      </w:r>
      <w:r>
        <w:rPr>
          <w:i/>
          <w:iCs/>
        </w:rPr>
        <w:t>i</w:t>
      </w:r>
      <w:r>
        <w:t xml:space="preserve"> or to no vowel at all. However, in many cases such as </w:t>
      </w:r>
      <w:r>
        <w:rPr>
          <w:i/>
          <w:iCs/>
        </w:rPr>
        <w:t>sibī</w:t>
      </w:r>
      <w:r>
        <w:t xml:space="preserve">, </w:t>
      </w:r>
      <w:r>
        <w:rPr>
          <w:i/>
          <w:iCs/>
        </w:rPr>
        <w:t>utī</w:t>
      </w:r>
      <w:r>
        <w:t xml:space="preserve">, archaizing Classical forms ending in </w:t>
      </w:r>
      <w:proofErr w:type="gramStart"/>
      <w:r>
        <w:rPr>
          <w:i/>
          <w:iCs/>
        </w:rPr>
        <w:t>ī</w:t>
      </w:r>
      <w:proofErr w:type="gramEnd"/>
      <w:r>
        <w:t xml:space="preserve"> are also found, especially in poetry.</w:t>
      </w:r>
    </w:p>
    <w:p w:rsidR="00A4052F" w:rsidRDefault="00A4052F" w:rsidP="00A4052F">
      <w:pPr>
        <w:ind w:left="720"/>
      </w:pPr>
      <w:r>
        <w:lastRenderedPageBreak/>
        <w:t xml:space="preserve">IBEI (20:5, 28:11) </w:t>
      </w:r>
      <w:r>
        <w:rPr>
          <w:i/>
          <w:iCs/>
        </w:rPr>
        <w:t>ibi</w:t>
      </w:r>
      <w:r>
        <w:t xml:space="preserve">, NISEI (8:2, 16:9, 21:3) </w:t>
      </w:r>
      <w:r>
        <w:rPr>
          <w:i/>
          <w:iCs/>
        </w:rPr>
        <w:t>nisi</w:t>
      </w:r>
      <w:r>
        <w:t xml:space="preserve">, SIBEI (4:3) </w:t>
      </w:r>
      <w:r>
        <w:rPr>
          <w:i/>
          <w:iCs/>
        </w:rPr>
        <w:t>sibi</w:t>
      </w:r>
      <w:r>
        <w:t xml:space="preserve">, VBEI </w:t>
      </w:r>
      <w:r>
        <w:rPr>
          <w:i/>
          <w:iCs/>
        </w:rPr>
        <w:t>ubi</w:t>
      </w:r>
      <w:r>
        <w:t xml:space="preserve"> (5:6), VTEI </w:t>
      </w:r>
      <w:r>
        <w:rPr>
          <w:i/>
          <w:iCs/>
        </w:rPr>
        <w:t>ut</w:t>
      </w:r>
      <w:r>
        <w:t xml:space="preserve"> (4:10 </w:t>
      </w:r>
      <w:proofErr w:type="gramStart"/>
      <w:r>
        <w:rPr>
          <w:i/>
          <w:iCs/>
        </w:rPr>
        <w:t>et</w:t>
      </w:r>
      <w:proofErr w:type="gramEnd"/>
      <w:r>
        <w:rPr>
          <w:i/>
          <w:iCs/>
        </w:rPr>
        <w:t xml:space="preserve"> passim</w:t>
      </w:r>
      <w:r>
        <w:t xml:space="preserve">), VTEIQVE (27:1) </w:t>
      </w:r>
      <w:r>
        <w:rPr>
          <w:i/>
          <w:iCs/>
        </w:rPr>
        <w:t>utque</w:t>
      </w:r>
      <w:r>
        <w:t>.</w:t>
      </w:r>
    </w:p>
    <w:p w:rsidR="00A4052F" w:rsidRDefault="00A4052F" w:rsidP="00A4052F">
      <w:pPr>
        <w:pStyle w:val="NormalWeb"/>
      </w:pPr>
      <w:r>
        <w:t xml:space="preserve">OV normally became Classical </w:t>
      </w:r>
      <w:r>
        <w:rPr>
          <w:i/>
          <w:iCs/>
        </w:rPr>
        <w:t>ū</w:t>
      </w:r>
      <w:r>
        <w:t xml:space="preserve"> in:</w:t>
      </w:r>
    </w:p>
    <w:p w:rsidR="00A4052F" w:rsidRDefault="00A4052F" w:rsidP="00A4052F">
      <w:pPr>
        <w:ind w:left="720"/>
      </w:pPr>
      <w:r w:rsidRPr="00A4052F">
        <w:rPr>
          <w:lang w:val="it-IT"/>
        </w:rPr>
        <w:t xml:space="preserve">CONIOVRA[SE] (13:6) </w:t>
      </w:r>
      <w:r w:rsidRPr="00A4052F">
        <w:rPr>
          <w:i/>
          <w:iCs/>
          <w:lang w:val="it-IT"/>
        </w:rPr>
        <w:t>coniūrāsse</w:t>
      </w:r>
      <w:r w:rsidRPr="00A4052F">
        <w:rPr>
          <w:lang w:val="it-IT"/>
        </w:rPr>
        <w:t xml:space="preserve">, NOVNDINVM (23:1) </w:t>
      </w:r>
      <w:r w:rsidRPr="00A4052F">
        <w:rPr>
          <w:i/>
          <w:iCs/>
          <w:lang w:val="it-IT"/>
        </w:rPr>
        <w:t>nūndinum</w:t>
      </w:r>
      <w:r w:rsidRPr="00A4052F">
        <w:rPr>
          <w:lang w:val="it-IT"/>
        </w:rPr>
        <w:t xml:space="preserve">, PLOVS (19:2, 20:7,10) </w:t>
      </w:r>
      <w:r w:rsidRPr="00A4052F">
        <w:rPr>
          <w:i/>
          <w:iCs/>
          <w:lang w:val="it-IT"/>
        </w:rPr>
        <w:t>plūs</w:t>
      </w:r>
      <w:r w:rsidRPr="00A4052F">
        <w:rPr>
          <w:lang w:val="it-IT"/>
        </w:rPr>
        <w:t xml:space="preserve">. </w:t>
      </w:r>
      <w:r>
        <w:t xml:space="preserve">Classical </w:t>
      </w:r>
      <w:r>
        <w:rPr>
          <w:i/>
          <w:iCs/>
        </w:rPr>
        <w:t>iubeātis</w:t>
      </w:r>
      <w:r>
        <w:t xml:space="preserve"> and </w:t>
      </w:r>
      <w:r>
        <w:rPr>
          <w:i/>
          <w:iCs/>
        </w:rPr>
        <w:t>iussissent</w:t>
      </w:r>
      <w:r>
        <w:t xml:space="preserve"> for IOVBEATIS (27:4) and IOVSISENT (9:9, 18:8) show the influence of the participle </w:t>
      </w:r>
      <w:r>
        <w:rPr>
          <w:i/>
          <w:iCs/>
        </w:rPr>
        <w:t>iussus</w:t>
      </w:r>
      <w:r>
        <w:t xml:space="preserve">, with regular short </w:t>
      </w:r>
      <w:r>
        <w:rPr>
          <w:i/>
          <w:iCs/>
        </w:rPr>
        <w:t>u</w:t>
      </w:r>
      <w:r>
        <w:t xml:space="preserve"> in the stem.</w:t>
      </w:r>
    </w:p>
    <w:p w:rsidR="00A4052F" w:rsidRDefault="00A4052F" w:rsidP="00A4052F">
      <w:pPr>
        <w:pStyle w:val="NormalWeb"/>
      </w:pPr>
      <w:r>
        <w:t xml:space="preserve">OI normally became Classical </w:t>
      </w:r>
      <w:r>
        <w:rPr>
          <w:i/>
          <w:iCs/>
        </w:rPr>
        <w:t>ū</w:t>
      </w:r>
      <w:r>
        <w:t xml:space="preserve"> in:</w:t>
      </w:r>
    </w:p>
    <w:p w:rsidR="00A4052F" w:rsidRDefault="00A4052F" w:rsidP="00A4052F">
      <w:pPr>
        <w:ind w:left="720"/>
      </w:pPr>
      <w:proofErr w:type="gramStart"/>
      <w:r>
        <w:t>COMOINE[</w:t>
      </w:r>
      <w:proofErr w:type="gramEnd"/>
      <w:r>
        <w:t xml:space="preserve">M] (11:5) </w:t>
      </w:r>
      <w:r>
        <w:rPr>
          <w:i/>
          <w:iCs/>
        </w:rPr>
        <w:t>commūnem</w:t>
      </w:r>
      <w:r>
        <w:t xml:space="preserve">, OINVORSEI (19:4) </w:t>
      </w:r>
      <w:r>
        <w:rPr>
          <w:i/>
          <w:iCs/>
        </w:rPr>
        <w:t>ūniversī</w:t>
      </w:r>
    </w:p>
    <w:p w:rsidR="00A4052F" w:rsidRDefault="00A4052F" w:rsidP="00A4052F">
      <w:pPr>
        <w:pStyle w:val="NormalWeb"/>
      </w:pPr>
      <w:r>
        <w:t xml:space="preserve">OI exceptionally became Classical </w:t>
      </w:r>
      <w:r>
        <w:rPr>
          <w:i/>
          <w:iCs/>
        </w:rPr>
        <w:t>oe</w:t>
      </w:r>
      <w:r>
        <w:t xml:space="preserve"> in:</w:t>
      </w:r>
    </w:p>
    <w:p w:rsidR="00A4052F" w:rsidRDefault="00A4052F" w:rsidP="00A4052F">
      <w:pPr>
        <w:ind w:left="720"/>
      </w:pPr>
      <w:r>
        <w:t xml:space="preserve">FOIDERATEI (2:19) </w:t>
      </w:r>
      <w:r>
        <w:rPr>
          <w:i/>
          <w:iCs/>
        </w:rPr>
        <w:t>foederātī</w:t>
      </w:r>
    </w:p>
    <w:p w:rsidR="00A4052F" w:rsidRDefault="00A4052F" w:rsidP="00A4052F">
      <w:pPr>
        <w:pStyle w:val="Heading3"/>
      </w:pPr>
      <w:r>
        <w:rPr>
          <w:rStyle w:val="mw-headline"/>
        </w:rPr>
        <w:t>Short vowels</w:t>
      </w:r>
    </w:p>
    <w:p w:rsidR="00A4052F" w:rsidRDefault="00A4052F" w:rsidP="00A4052F">
      <w:pPr>
        <w:ind w:left="720"/>
      </w:pPr>
      <w:r>
        <w:t xml:space="preserve">E appears for Classical Latin </w:t>
      </w:r>
      <w:r>
        <w:rPr>
          <w:i/>
          <w:iCs/>
        </w:rPr>
        <w:t>i</w:t>
      </w:r>
      <w:r>
        <w:t xml:space="preserve"> in QVES </w:t>
      </w:r>
      <w:r>
        <w:rPr>
          <w:i/>
          <w:iCs/>
        </w:rPr>
        <w:t>quis</w:t>
      </w:r>
      <w:r>
        <w:t xml:space="preserve">, SEIQVES </w:t>
      </w:r>
      <w:r>
        <w:rPr>
          <w:i/>
          <w:iCs/>
        </w:rPr>
        <w:t>sīquis</w:t>
      </w:r>
      <w:r>
        <w:t xml:space="preserve"> (but cf. QVISQVAM </w:t>
      </w:r>
      <w:r>
        <w:rPr>
          <w:i/>
          <w:iCs/>
        </w:rPr>
        <w:t>quisquam</w:t>
      </w:r>
      <w:r>
        <w:t>).</w:t>
      </w:r>
    </w:p>
    <w:p w:rsidR="00A4052F" w:rsidRDefault="00A4052F" w:rsidP="00A4052F">
      <w:pPr>
        <w:ind w:left="720"/>
      </w:pPr>
      <w:r>
        <w:t xml:space="preserve">O appears for Classical Latin </w:t>
      </w:r>
      <w:r>
        <w:rPr>
          <w:i/>
          <w:iCs/>
        </w:rPr>
        <w:t>e</w:t>
      </w:r>
      <w:r>
        <w:t xml:space="preserve"> in ARVORSVM </w:t>
      </w:r>
      <w:r>
        <w:rPr>
          <w:i/>
          <w:iCs/>
        </w:rPr>
        <w:t>adversum</w:t>
      </w:r>
      <w:r>
        <w:t xml:space="preserve">, OINVORSEI (19:4) </w:t>
      </w:r>
      <w:r>
        <w:rPr>
          <w:i/>
          <w:iCs/>
        </w:rPr>
        <w:t>ūniversī</w:t>
      </w:r>
    </w:p>
    <w:p w:rsidR="00A4052F" w:rsidRDefault="00A4052F" w:rsidP="00A4052F">
      <w:pPr>
        <w:ind w:left="720"/>
      </w:pPr>
      <w:r>
        <w:t xml:space="preserve">O appears for Classical Latin </w:t>
      </w:r>
      <w:r>
        <w:rPr>
          <w:i/>
          <w:iCs/>
        </w:rPr>
        <w:t>u</w:t>
      </w:r>
      <w:r>
        <w:t xml:space="preserve"> in CONSOLVERUNT </w:t>
      </w:r>
      <w:r>
        <w:rPr>
          <w:i/>
          <w:iCs/>
        </w:rPr>
        <w:t>cōnsuluērunt</w:t>
      </w:r>
      <w:r>
        <w:t xml:space="preserve">, COSOLORETVR </w:t>
      </w:r>
      <w:r>
        <w:rPr>
          <w:i/>
          <w:iCs/>
        </w:rPr>
        <w:t>cōnsulerētur</w:t>
      </w:r>
      <w:r>
        <w:t xml:space="preserve">, OQVOLTOD </w:t>
      </w:r>
      <w:r>
        <w:rPr>
          <w:i/>
          <w:iCs/>
        </w:rPr>
        <w:t>occultō</w:t>
      </w:r>
      <w:r>
        <w:t xml:space="preserve">, TABOLAM </w:t>
      </w:r>
      <w:r>
        <w:rPr>
          <w:i/>
          <w:iCs/>
        </w:rPr>
        <w:t>tabulam</w:t>
      </w:r>
      <w:r>
        <w:t xml:space="preserve">, POPLICOD </w:t>
      </w:r>
      <w:r>
        <w:rPr>
          <w:i/>
          <w:iCs/>
        </w:rPr>
        <w:t>publicō</w:t>
      </w:r>
      <w:r>
        <w:t xml:space="preserve">, and QVOM </w:t>
      </w:r>
      <w:r>
        <w:rPr>
          <w:i/>
          <w:iCs/>
        </w:rPr>
        <w:t>cum</w:t>
      </w:r>
      <w:r>
        <w:t>.</w:t>
      </w:r>
    </w:p>
    <w:p w:rsidR="00A4052F" w:rsidRDefault="00A4052F" w:rsidP="00A4052F">
      <w:pPr>
        <w:ind w:left="720"/>
      </w:pPr>
      <w:r>
        <w:t xml:space="preserve">V appears for Classical Latin </w:t>
      </w:r>
      <w:r>
        <w:rPr>
          <w:i/>
          <w:iCs/>
        </w:rPr>
        <w:t>i</w:t>
      </w:r>
      <w:r>
        <w:t xml:space="preserve"> in FACILVMED (27:6) </w:t>
      </w:r>
      <w:r>
        <w:rPr>
          <w:i/>
          <w:iCs/>
        </w:rPr>
        <w:t>facillimē</w:t>
      </w:r>
      <w:r>
        <w:t xml:space="preserve">, CAPVTALEM </w:t>
      </w:r>
      <w:r>
        <w:rPr>
          <w:i/>
          <w:iCs/>
        </w:rPr>
        <w:t>capitālem</w:t>
      </w:r>
      <w:r>
        <w:t xml:space="preserve"> and NOMINVS </w:t>
      </w:r>
      <w:r>
        <w:rPr>
          <w:i/>
          <w:iCs/>
        </w:rPr>
        <w:t>nōminis</w:t>
      </w:r>
      <w:r>
        <w:t xml:space="preserve">. The spelling of CAPVTALEM recalls its origin from the noun </w:t>
      </w:r>
      <w:r>
        <w:rPr>
          <w:i/>
          <w:iCs/>
        </w:rPr>
        <w:t>caput</w:t>
      </w:r>
      <w:r>
        <w:t xml:space="preserve">. The ending </w:t>
      </w:r>
      <w:r>
        <w:rPr>
          <w:i/>
          <w:iCs/>
        </w:rPr>
        <w:t>-umus</w:t>
      </w:r>
      <w:r>
        <w:t xml:space="preserve"> for </w:t>
      </w:r>
      <w:r>
        <w:rPr>
          <w:i/>
          <w:iCs/>
        </w:rPr>
        <w:t>-imus</w:t>
      </w:r>
      <w:r>
        <w:t xml:space="preserve"> occurs frequently in archaic Classical Latin texts; the vowel represented interchangeably by </w:t>
      </w:r>
      <w:r>
        <w:rPr>
          <w:i/>
          <w:iCs/>
        </w:rPr>
        <w:t>u</w:t>
      </w:r>
      <w:r>
        <w:t xml:space="preserve"> and </w:t>
      </w:r>
      <w:r>
        <w:rPr>
          <w:i/>
          <w:iCs/>
        </w:rPr>
        <w:t>i</w:t>
      </w:r>
      <w:r>
        <w:t xml:space="preserve"> may have been a central vowel distinct in sound from both. Possibly OINVORSEI (19:4) </w:t>
      </w:r>
      <w:r>
        <w:rPr>
          <w:i/>
          <w:iCs/>
        </w:rPr>
        <w:t>ūniversī</w:t>
      </w:r>
      <w:r>
        <w:t xml:space="preserve"> belongs here too, if one may read it as </w:t>
      </w:r>
      <w:proofErr w:type="gramStart"/>
      <w:r>
        <w:rPr>
          <w:i/>
          <w:iCs/>
        </w:rPr>
        <w:t>oinu(</w:t>
      </w:r>
      <w:proofErr w:type="gramEnd"/>
      <w:r>
        <w:rPr>
          <w:i/>
          <w:iCs/>
        </w:rPr>
        <w:t>v)orsei</w:t>
      </w:r>
      <w:r>
        <w:t>.</w:t>
      </w:r>
    </w:p>
    <w:p w:rsidR="00A4052F" w:rsidRDefault="00A4052F" w:rsidP="00A4052F">
      <w:pPr>
        <w:pStyle w:val="Heading3"/>
      </w:pPr>
      <w:r>
        <w:rPr>
          <w:rStyle w:val="mw-headline"/>
        </w:rPr>
        <w:t>Archaisms</w:t>
      </w:r>
    </w:p>
    <w:p w:rsidR="00A4052F" w:rsidRDefault="00A4052F" w:rsidP="00A4052F">
      <w:pPr>
        <w:pStyle w:val="NormalWeb"/>
      </w:pPr>
      <w:r>
        <w:t>The archaic ending -</w:t>
      </w:r>
      <w:proofErr w:type="gramStart"/>
      <w:r>
        <w:t>ce</w:t>
      </w:r>
      <w:proofErr w:type="gramEnd"/>
      <w:r>
        <w:t xml:space="preserve"> added to some forms of the pronoun </w:t>
      </w:r>
      <w:r>
        <w:rPr>
          <w:i/>
          <w:iCs/>
        </w:rPr>
        <w:t>hic</w:t>
      </w:r>
      <w:r>
        <w:t>, is reduced to -c in Classical Latin in most cases:</w:t>
      </w:r>
    </w:p>
    <w:p w:rsidR="00A4052F" w:rsidRDefault="00A4052F" w:rsidP="00A4052F">
      <w:pPr>
        <w:ind w:left="720"/>
      </w:pPr>
      <w:r>
        <w:t xml:space="preserve">HAICE (22:3) </w:t>
      </w:r>
      <w:r>
        <w:rPr>
          <w:i/>
          <w:iCs/>
        </w:rPr>
        <w:t>haec</w:t>
      </w:r>
      <w:r>
        <w:t xml:space="preserve"> and HOCE (26:1) </w:t>
      </w:r>
      <w:r>
        <w:rPr>
          <w:i/>
          <w:iCs/>
        </w:rPr>
        <w:t>hoc</w:t>
      </w:r>
    </w:p>
    <w:p w:rsidR="00A4052F" w:rsidRDefault="00A4052F" w:rsidP="00A4052F">
      <w:pPr>
        <w:pStyle w:val="NormalWeb"/>
      </w:pPr>
      <w:r>
        <w:t>The ending -d, found on some adverbs and ablative singulars of nouns and pronouns, is lost in Classical Latin:</w:t>
      </w:r>
    </w:p>
    <w:p w:rsidR="00A4052F" w:rsidRDefault="00A4052F" w:rsidP="00A4052F">
      <w:pPr>
        <w:ind w:left="720"/>
      </w:pPr>
      <w:proofErr w:type="gramStart"/>
      <w:r>
        <w:t xml:space="preserve">Adverbs SVPRAD (21:10, 24:12, 29:3) </w:t>
      </w:r>
      <w:r>
        <w:rPr>
          <w:i/>
          <w:iCs/>
        </w:rPr>
        <w:t>suprā</w:t>
      </w:r>
      <w:r>
        <w:t xml:space="preserve">, EXSTRAD (16:3, 28:7) </w:t>
      </w:r>
      <w:r>
        <w:rPr>
          <w:i/>
          <w:iCs/>
        </w:rPr>
        <w:t>extrā</w:t>
      </w:r>
      <w:r>
        <w:t xml:space="preserve">, FACILVMED (27:6) </w:t>
      </w:r>
      <w:r>
        <w:rPr>
          <w:i/>
          <w:iCs/>
        </w:rPr>
        <w:t>facillimē</w:t>
      </w:r>
      <w:r>
        <w:t>.</w:t>
      </w:r>
      <w:proofErr w:type="gramEnd"/>
    </w:p>
    <w:p w:rsidR="00A4052F" w:rsidRDefault="00A4052F" w:rsidP="00A4052F">
      <w:pPr>
        <w:ind w:left="720"/>
      </w:pPr>
      <w:proofErr w:type="gramStart"/>
      <w:r>
        <w:t xml:space="preserve">Ablatives EAD (24:9) </w:t>
      </w:r>
      <w:r>
        <w:rPr>
          <w:i/>
          <w:iCs/>
        </w:rPr>
        <w:t>eā</w:t>
      </w:r>
      <w:r>
        <w:t xml:space="preserve">, SED (13:5, 14:8) </w:t>
      </w:r>
      <w:r>
        <w:rPr>
          <w:i/>
          <w:iCs/>
        </w:rPr>
        <w:t>sē</w:t>
      </w:r>
      <w:r>
        <w:t xml:space="preserve">, COVENTIONID (22:6) </w:t>
      </w:r>
      <w:r>
        <w:rPr>
          <w:i/>
          <w:iCs/>
        </w:rPr>
        <w:t>cōntiōne</w:t>
      </w:r>
      <w:r>
        <w:t xml:space="preserve">, MAGISTRATVD </w:t>
      </w:r>
      <w:r>
        <w:rPr>
          <w:i/>
          <w:iCs/>
        </w:rPr>
        <w:t>magistrātū</w:t>
      </w:r>
      <w:r>
        <w:t xml:space="preserve"> (12:3), OQVOLTOD (15:3) </w:t>
      </w:r>
      <w:r>
        <w:rPr>
          <w:i/>
          <w:iCs/>
        </w:rPr>
        <w:t>occultō</w:t>
      </w:r>
      <w:r>
        <w:t xml:space="preserve">, POPLICOD </w:t>
      </w:r>
      <w:r>
        <w:rPr>
          <w:i/>
          <w:iCs/>
        </w:rPr>
        <w:t>publicō</w:t>
      </w:r>
      <w:r>
        <w:t xml:space="preserve"> (15:10), PREIVATOD </w:t>
      </w:r>
      <w:r>
        <w:rPr>
          <w:i/>
          <w:iCs/>
        </w:rPr>
        <w:t>prīvātō</w:t>
      </w:r>
      <w:r>
        <w:t xml:space="preserve"> (16:1), SENTENTIAD (8:9, 17:7, 21:8) </w:t>
      </w:r>
      <w:r>
        <w:rPr>
          <w:i/>
          <w:iCs/>
        </w:rPr>
        <w:t>sententiā</w:t>
      </w:r>
      <w:r>
        <w:t>.</w:t>
      </w:r>
      <w:proofErr w:type="gramEnd"/>
    </w:p>
    <w:p w:rsidR="00A4052F" w:rsidRDefault="00A4052F" w:rsidP="00A4052F">
      <w:pPr>
        <w:pStyle w:val="NormalWeb"/>
      </w:pPr>
      <w:r>
        <w:lastRenderedPageBreak/>
        <w:t>The last two words AGRO TEVRANO (30:7-8) omit the final -d, despite containing the same ablative ending elsewhere written -OD; this fact suggests that at the time of writing, the final -d was no longer pronounced in ordinary speech.</w:t>
      </w:r>
    </w:p>
    <w:p w:rsidR="00A4052F" w:rsidRDefault="00A4052F" w:rsidP="00A4052F">
      <w:pPr>
        <w:pStyle w:val="NormalWeb"/>
      </w:pPr>
      <w:r>
        <w:t xml:space="preserve">Archaic gn- is found for n- at the beginning of the verb </w:t>
      </w:r>
      <w:r>
        <w:rPr>
          <w:i/>
          <w:iCs/>
        </w:rPr>
        <w:t>nosco</w:t>
      </w:r>
    </w:p>
    <w:p w:rsidR="00A4052F" w:rsidRDefault="00A4052F" w:rsidP="00A4052F">
      <w:pPr>
        <w:ind w:left="720"/>
      </w:pPr>
      <w:proofErr w:type="gramStart"/>
      <w:r>
        <w:t xml:space="preserve">GNOSCIER (27:7) </w:t>
      </w:r>
      <w:r>
        <w:rPr>
          <w:i/>
          <w:iCs/>
        </w:rPr>
        <w:t>noscī</w:t>
      </w:r>
      <w:r>
        <w:t>.</w:t>
      </w:r>
      <w:proofErr w:type="gramEnd"/>
    </w:p>
    <w:p w:rsidR="00A4052F" w:rsidRDefault="00A4052F" w:rsidP="00A4052F">
      <w:pPr>
        <w:pStyle w:val="NormalWeb"/>
      </w:pPr>
      <w:r>
        <w:t xml:space="preserve">The archaic passive infinitive ending -ier (for Classical </w:t>
      </w:r>
      <w:r>
        <w:rPr>
          <w:i/>
          <w:iCs/>
        </w:rPr>
        <w:t>ī</w:t>
      </w:r>
      <w:r>
        <w:t>) is used</w:t>
      </w:r>
    </w:p>
    <w:p w:rsidR="00A4052F" w:rsidRDefault="00A4052F" w:rsidP="00A4052F">
      <w:pPr>
        <w:ind w:left="720"/>
      </w:pPr>
      <w:proofErr w:type="gramStart"/>
      <w:r>
        <w:t xml:space="preserve">FIGIER (27:3) </w:t>
      </w:r>
      <w:r>
        <w:rPr>
          <w:i/>
          <w:iCs/>
        </w:rPr>
        <w:t>fīgī</w:t>
      </w:r>
      <w:r>
        <w:t xml:space="preserve">, GNOSCIER (27:7) </w:t>
      </w:r>
      <w:r>
        <w:rPr>
          <w:i/>
          <w:iCs/>
        </w:rPr>
        <w:t>noscī</w:t>
      </w:r>
      <w:r>
        <w:t>.</w:t>
      </w:r>
      <w:proofErr w:type="gramEnd"/>
    </w:p>
    <w:p w:rsidR="00A4052F" w:rsidRDefault="00A4052F" w:rsidP="00A4052F">
      <w:pPr>
        <w:pStyle w:val="NormalWeb"/>
      </w:pPr>
      <w:r>
        <w:t xml:space="preserve">QVOM (18:4) appears for Classical </w:t>
      </w:r>
      <w:r>
        <w:rPr>
          <w:i/>
          <w:iCs/>
        </w:rPr>
        <w:t>cum</w:t>
      </w:r>
      <w:r>
        <w:t xml:space="preserve">, also known in the archaic Classical form </w:t>
      </w:r>
      <w:r>
        <w:rPr>
          <w:i/>
          <w:iCs/>
        </w:rPr>
        <w:t>quum</w:t>
      </w:r>
      <w:r>
        <w:t>.</w:t>
      </w:r>
    </w:p>
    <w:p w:rsidR="00A4052F" w:rsidRDefault="00A4052F" w:rsidP="00A4052F">
      <w:pPr>
        <w:pStyle w:val="NormalWeb"/>
      </w:pPr>
      <w:r>
        <w:t xml:space="preserve">In Classical Latin the prefixes </w:t>
      </w:r>
      <w:r>
        <w:rPr>
          <w:i/>
          <w:iCs/>
        </w:rPr>
        <w:t>ex-</w:t>
      </w:r>
      <w:r>
        <w:t xml:space="preserve"> and </w:t>
      </w:r>
      <w:r>
        <w:rPr>
          <w:i/>
          <w:iCs/>
        </w:rPr>
        <w:t>dis-</w:t>
      </w:r>
      <w:r>
        <w:t xml:space="preserve"> become </w:t>
      </w:r>
      <w:r>
        <w:rPr>
          <w:i/>
          <w:iCs/>
        </w:rPr>
        <w:t>ē-</w:t>
      </w:r>
      <w:r>
        <w:t xml:space="preserve"> and </w:t>
      </w:r>
      <w:r>
        <w:rPr>
          <w:i/>
          <w:iCs/>
        </w:rPr>
        <w:t>dī-</w:t>
      </w:r>
      <w:r>
        <w:t xml:space="preserve"> before voiced consonants. In the </w:t>
      </w:r>
      <w:r>
        <w:rPr>
          <w:i/>
          <w:iCs/>
        </w:rPr>
        <w:t>Senatus consultum</w:t>
      </w:r>
      <w:r>
        <w:t>, they are still written EX and DIS:</w:t>
      </w:r>
    </w:p>
    <w:p w:rsidR="00A4052F" w:rsidRDefault="00A4052F" w:rsidP="00A4052F">
      <w:pPr>
        <w:ind w:left="720"/>
      </w:pPr>
      <w:proofErr w:type="gramStart"/>
      <w:r>
        <w:t xml:space="preserve">EXDEICENDVM (3:3) </w:t>
      </w:r>
      <w:r>
        <w:rPr>
          <w:i/>
          <w:iCs/>
        </w:rPr>
        <w:t>ēdīcendum</w:t>
      </w:r>
      <w:r>
        <w:t xml:space="preserve">, EXDEICATIS </w:t>
      </w:r>
      <w:r>
        <w:rPr>
          <w:i/>
          <w:iCs/>
        </w:rPr>
        <w:t>ēdīcātis</w:t>
      </w:r>
      <w:r>
        <w:t xml:space="preserve"> (22:7), and DISMOTA (30:4) </w:t>
      </w:r>
      <w:r>
        <w:rPr>
          <w:i/>
          <w:iCs/>
        </w:rPr>
        <w:t>dīmōta</w:t>
      </w:r>
      <w:r>
        <w:t>.</w:t>
      </w:r>
      <w:proofErr w:type="gramEnd"/>
    </w:p>
    <w:p w:rsidR="00A4052F" w:rsidRDefault="00A4052F" w:rsidP="00A4052F">
      <w:pPr>
        <w:pStyle w:val="Heading3"/>
      </w:pPr>
      <w:r>
        <w:rPr>
          <w:rStyle w:val="mw-headline"/>
        </w:rPr>
        <w:t>Other characteristics</w:t>
      </w:r>
    </w:p>
    <w:p w:rsidR="00A4052F" w:rsidRDefault="00A4052F" w:rsidP="00A4052F">
      <w:pPr>
        <w:pStyle w:val="NormalWeb"/>
      </w:pPr>
      <w:r>
        <w:t xml:space="preserve">The sequence </w:t>
      </w:r>
      <w:r>
        <w:rPr>
          <w:i/>
          <w:iCs/>
        </w:rPr>
        <w:t>ve</w:t>
      </w:r>
      <w:r>
        <w:t xml:space="preserve"> appears as VO in ARVORSVM </w:t>
      </w:r>
      <w:r>
        <w:rPr>
          <w:i/>
          <w:iCs/>
        </w:rPr>
        <w:t>adversum</w:t>
      </w:r>
      <w:r>
        <w:t xml:space="preserve"> (24:8) and in OINVORSEI (19:4) </w:t>
      </w:r>
      <w:r>
        <w:rPr>
          <w:i/>
          <w:iCs/>
        </w:rPr>
        <w:t>ūniversī</w:t>
      </w:r>
      <w:r>
        <w:t>.</w:t>
      </w:r>
    </w:p>
    <w:p w:rsidR="00A4052F" w:rsidRDefault="00A4052F" w:rsidP="00A4052F">
      <w:pPr>
        <w:pStyle w:val="NormalWeb"/>
      </w:pPr>
      <w:r>
        <w:t xml:space="preserve">The sequence </w:t>
      </w:r>
      <w:r>
        <w:rPr>
          <w:i/>
          <w:iCs/>
        </w:rPr>
        <w:t>ul</w:t>
      </w:r>
      <w:r>
        <w:t xml:space="preserve"> appears as OL in COSOLERETVR (6:12) </w:t>
      </w:r>
      <w:r>
        <w:rPr>
          <w:i/>
          <w:iCs/>
        </w:rPr>
        <w:t>cōnsulerētur</w:t>
      </w:r>
      <w:r>
        <w:t xml:space="preserve">, CONSOLVERVNT (1:11) </w:t>
      </w:r>
      <w:r>
        <w:rPr>
          <w:i/>
          <w:iCs/>
        </w:rPr>
        <w:t>cōnsuluērunt</w:t>
      </w:r>
      <w:r>
        <w:t xml:space="preserve">, TABOLAM (26:3) </w:t>
      </w:r>
      <w:r>
        <w:rPr>
          <w:i/>
          <w:iCs/>
        </w:rPr>
        <w:t>tabulam</w:t>
      </w:r>
      <w:r>
        <w:t xml:space="preserve"> and OQVOLTOD (15:3) </w:t>
      </w:r>
      <w:r>
        <w:rPr>
          <w:i/>
          <w:iCs/>
        </w:rPr>
        <w:t>occultō</w:t>
      </w:r>
      <w:r>
        <w:t>.</w:t>
      </w:r>
    </w:p>
    <w:p w:rsidR="00A4052F" w:rsidRDefault="00A4052F" w:rsidP="00A4052F">
      <w:pPr>
        <w:pStyle w:val="NormalWeb"/>
      </w:pPr>
      <w:r>
        <w:t xml:space="preserve">The consonants </w:t>
      </w:r>
      <w:r>
        <w:rPr>
          <w:i/>
          <w:iCs/>
        </w:rPr>
        <w:t>bl</w:t>
      </w:r>
      <w:r>
        <w:t xml:space="preserve"> appear as PL in POPLICOD </w:t>
      </w:r>
      <w:r>
        <w:rPr>
          <w:i/>
          <w:iCs/>
        </w:rPr>
        <w:t>publicō</w:t>
      </w:r>
      <w:r>
        <w:t xml:space="preserve"> (15:10), recalling its origin from </w:t>
      </w:r>
      <w:r>
        <w:rPr>
          <w:i/>
          <w:iCs/>
        </w:rPr>
        <w:t>populus</w:t>
      </w:r>
      <w:r>
        <w:t>.</w:t>
      </w:r>
    </w:p>
    <w:p w:rsidR="00A4052F" w:rsidRDefault="00A4052F" w:rsidP="00A4052F">
      <w:pPr>
        <w:pStyle w:val="NormalWeb"/>
      </w:pPr>
      <w:r>
        <w:t xml:space="preserve">The prefix </w:t>
      </w:r>
      <w:r>
        <w:rPr>
          <w:i/>
          <w:iCs/>
        </w:rPr>
        <w:t>ad</w:t>
      </w:r>
      <w:r>
        <w:t xml:space="preserve"> appears as AR in ARVORSVM </w:t>
      </w:r>
      <w:r>
        <w:rPr>
          <w:i/>
          <w:iCs/>
        </w:rPr>
        <w:t>adversum</w:t>
      </w:r>
      <w:r>
        <w:t xml:space="preserve"> (24:8), ARFVISE (21:1) </w:t>
      </w:r>
      <w:r>
        <w:rPr>
          <w:i/>
          <w:iCs/>
        </w:rPr>
        <w:t>adfuisse</w:t>
      </w:r>
      <w:r>
        <w:t xml:space="preserve">, and </w:t>
      </w:r>
      <w:proofErr w:type="gramStart"/>
      <w:r>
        <w:t>ARF[</w:t>
      </w:r>
      <w:proofErr w:type="gramEnd"/>
      <w:r>
        <w:t xml:space="preserve">VERVNT] (2:3) </w:t>
      </w:r>
      <w:r>
        <w:rPr>
          <w:i/>
          <w:iCs/>
        </w:rPr>
        <w:t>adfuērunt</w:t>
      </w:r>
      <w:r>
        <w:t>.</w:t>
      </w:r>
    </w:p>
    <w:p w:rsidR="00A4052F" w:rsidRDefault="00A4052F" w:rsidP="00A4052F">
      <w:pPr>
        <w:pStyle w:val="Heading2"/>
      </w:pPr>
      <w:r>
        <w:rPr>
          <w:rStyle w:val="mw-headline"/>
        </w:rPr>
        <w:t>Translation into English</w:t>
      </w:r>
    </w:p>
    <w:p w:rsidR="00A4052F" w:rsidRDefault="00A4052F" w:rsidP="00A4052F">
      <w:pPr>
        <w:pStyle w:val="NormalWeb"/>
      </w:pPr>
      <w:r>
        <w:t>The inscription was translated by Nina E. Weston as follows.</w:t>
      </w:r>
      <w:hyperlink r:id="rId36" w:anchor="cite_note-6" w:history="1">
        <w:r>
          <w:rPr>
            <w:rStyle w:val="Hyperlink"/>
            <w:vertAlign w:val="superscript"/>
          </w:rPr>
          <w:t>[6]</w:t>
        </w:r>
      </w:hyperlink>
    </w:p>
    <w:p w:rsidR="00A4052F" w:rsidRDefault="00A4052F" w:rsidP="00A4052F">
      <w:pPr>
        <w:pStyle w:val="NormalWeb"/>
      </w:pPr>
      <w:r>
        <w:t xml:space="preserve">"Quintus Marcius the son of Lucius, and Spurius Postumius, consulted the senate on the </w:t>
      </w:r>
      <w:hyperlink r:id="rId37" w:tooltip="Calendar" w:history="1">
        <w:r>
          <w:rPr>
            <w:rStyle w:val="Hyperlink"/>
          </w:rPr>
          <w:t>calendar</w:t>
        </w:r>
      </w:hyperlink>
      <w:r>
        <w:t xml:space="preserve"> of October </w:t>
      </w:r>
      <w:r>
        <w:rPr>
          <w:i/>
          <w:iCs/>
        </w:rPr>
        <w:t>(7th)</w:t>
      </w:r>
      <w:r>
        <w:t>, at the temple of the Bellonae. Marcus Claudius, son of Marcus, Lucius Valerius, son of Publius, and Quintus Minucius, son of Gaius, were the committee for drawing up the report.</w:t>
      </w:r>
    </w:p>
    <w:p w:rsidR="00A4052F" w:rsidRDefault="00A4052F" w:rsidP="00A4052F">
      <w:pPr>
        <w:pStyle w:val="NormalWeb"/>
      </w:pPr>
      <w:r>
        <w:t>Regarding the Bacchanalia it was resolved to give the following directions to those who are in alliance with us.</w:t>
      </w:r>
    </w:p>
    <w:p w:rsidR="00A4052F" w:rsidRDefault="00A4052F" w:rsidP="00A4052F">
      <w:pPr>
        <w:pStyle w:val="NormalWeb"/>
      </w:pPr>
      <w:r>
        <w:t xml:space="preserve">No one of them is to possess a place where the festivals of Bacchus are celebrated: if there are any who claim that it is necessary for them to have such a place, they are to come to Rome to the </w:t>
      </w:r>
      <w:hyperlink r:id="rId38" w:tooltip="Praetor urbanus" w:history="1">
        <w:r>
          <w:rPr>
            <w:rStyle w:val="Hyperlink"/>
          </w:rPr>
          <w:t>praetor urbanus</w:t>
        </w:r>
      </w:hyperlink>
      <w:r>
        <w:t xml:space="preserve">, and the senate is to decide on those matters, when their claims have been heard, provided that not less than 100 senators are present when the affair is discussed. No man is to be a Bacchantian, neither a </w:t>
      </w:r>
      <w:hyperlink r:id="rId39" w:tooltip="Roman citizen" w:history="1">
        <w:r>
          <w:rPr>
            <w:rStyle w:val="Hyperlink"/>
          </w:rPr>
          <w:t>Roman citizen</w:t>
        </w:r>
      </w:hyperlink>
      <w:r>
        <w:t xml:space="preserve">, nor one of the </w:t>
      </w:r>
      <w:hyperlink r:id="rId40" w:tooltip="Ius Latinum" w:history="1">
        <w:r>
          <w:rPr>
            <w:rStyle w:val="Hyperlink"/>
          </w:rPr>
          <w:t>Latin name</w:t>
        </w:r>
      </w:hyperlink>
      <w:r>
        <w:t xml:space="preserve">, nor any of </w:t>
      </w:r>
      <w:r>
        <w:lastRenderedPageBreak/>
        <w:t xml:space="preserve">our </w:t>
      </w:r>
      <w:hyperlink r:id="rId41" w:tooltip="Socii" w:history="1">
        <w:r>
          <w:rPr>
            <w:rStyle w:val="Hyperlink"/>
          </w:rPr>
          <w:t>allies</w:t>
        </w:r>
      </w:hyperlink>
      <w:r>
        <w:t xml:space="preserve"> unless they come to the praetor urbanus, and he in accordance with the opinion of the senate expressed when not less than 100 senators are present at the discussion, shall have given leave. </w:t>
      </w:r>
      <w:proofErr w:type="gramStart"/>
      <w:r>
        <w:t>Carried.</w:t>
      </w:r>
      <w:proofErr w:type="gramEnd"/>
    </w:p>
    <w:p w:rsidR="00A4052F" w:rsidRDefault="00A4052F" w:rsidP="00A4052F">
      <w:pPr>
        <w:pStyle w:val="NormalWeb"/>
      </w:pPr>
      <w:r>
        <w:t xml:space="preserve">No man is to be a priest; no one, either man or woman, is to be an officer (to manage the temporal affairs of the organization); nor is anyone of them to have charge of a common treasury; no one shall appoint either man or woman to be master or to act as master; henceforth they shall not form conspiracies among themselves, stir up any disorder, make mutual promises or agreements, or interchange pledges; no one shall observe the sacred rites either in public or private or outside the city, unless he comes to the praetor urbanus, and he, in accordance with the opinion of the senate, expressed when no less than 100 senators are present at the discussion, shall have given leave. </w:t>
      </w:r>
      <w:proofErr w:type="gramStart"/>
      <w:r>
        <w:t>Carried.</w:t>
      </w:r>
      <w:proofErr w:type="gramEnd"/>
    </w:p>
    <w:p w:rsidR="00A4052F" w:rsidRDefault="00A4052F" w:rsidP="00A4052F">
      <w:pPr>
        <w:pStyle w:val="NormalWeb"/>
      </w:pPr>
      <w:r>
        <w:t>No one in a company of more than five persons altogether, men and women, shall observe the sacred rites, nor in that company shall there be present more than two men or three women, unless in accordance with the opinion of the praetor urbanus and the senate as written above.</w:t>
      </w:r>
    </w:p>
    <w:p w:rsidR="00A4052F" w:rsidRDefault="00A4052F" w:rsidP="00A4052F">
      <w:pPr>
        <w:pStyle w:val="NormalWeb"/>
      </w:pPr>
      <w:r>
        <w:t xml:space="preserve">See that you declare it in the </w:t>
      </w:r>
      <w:hyperlink r:id="rId42" w:tooltip="Roman assemblies" w:history="1">
        <w:r>
          <w:rPr>
            <w:rStyle w:val="Hyperlink"/>
          </w:rPr>
          <w:t>assembly (</w:t>
        </w:r>
        <w:r>
          <w:rPr>
            <w:rStyle w:val="Hyperlink"/>
            <w:i/>
            <w:iCs/>
          </w:rPr>
          <w:t>contio</w:t>
        </w:r>
        <w:r>
          <w:rPr>
            <w:rStyle w:val="Hyperlink"/>
          </w:rPr>
          <w:t>)</w:t>
        </w:r>
      </w:hyperlink>
      <w:r>
        <w:t xml:space="preserve"> for not less than three market days; that you may know the opinion of the senate this was their judgment: if there are any who have acted contrary to what was written above, they have decided that a proceeding for a capital offense should be instituted against them; the senate has justly decreed that you should inscribe this on a brazen tablet, and that you should order it to be placed where it can be easiest read; see to it that the revelries of Bacchus, if there be any, except in case there be concerned in the matter something sacred, as was written above, be disbanded within ten days after this letter shall be delivered to you.</w:t>
      </w:r>
    </w:p>
    <w:p w:rsidR="00A4052F" w:rsidRDefault="00A4052F" w:rsidP="00A4052F">
      <w:pPr>
        <w:pStyle w:val="NormalWeb"/>
      </w:pPr>
      <w:proofErr w:type="gramStart"/>
      <w:r>
        <w:t>In the Teuranian field."</w:t>
      </w:r>
      <w:proofErr w:type="gramEnd"/>
    </w:p>
    <w:p w:rsidR="006F7965" w:rsidRPr="006F7965" w:rsidRDefault="006F7965"/>
    <w:sectPr w:rsidR="006F7965" w:rsidRPr="006F7965">
      <w:pgSz w:w="11906" w:h="16838"/>
      <w:pgMar w:top="1417" w:right="1417" w:bottom="1134"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87403F"/>
    <w:multiLevelType w:val="multilevel"/>
    <w:tmpl w:val="D722D4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F0B72EA"/>
    <w:multiLevelType w:val="multilevel"/>
    <w:tmpl w:val="BC5ED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6B26AD8"/>
    <w:multiLevelType w:val="multilevel"/>
    <w:tmpl w:val="7990E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74CC"/>
    <w:rsid w:val="005774CC"/>
    <w:rsid w:val="006F7965"/>
    <w:rsid w:val="009A02A1"/>
    <w:rsid w:val="00A4052F"/>
    <w:rsid w:val="00C45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F796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F796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F796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6F796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k">
    <w:name w:val="ak"/>
    <w:basedOn w:val="DefaultParagraphFont"/>
    <w:rsid w:val="005774CC"/>
  </w:style>
  <w:style w:type="character" w:styleId="Strong">
    <w:name w:val="Strong"/>
    <w:basedOn w:val="DefaultParagraphFont"/>
    <w:uiPriority w:val="22"/>
    <w:qFormat/>
    <w:rsid w:val="005774CC"/>
    <w:rPr>
      <w:b/>
      <w:bCs/>
    </w:rPr>
  </w:style>
  <w:style w:type="paragraph" w:customStyle="1" w:styleId="ak1">
    <w:name w:val="ak1"/>
    <w:basedOn w:val="Normal"/>
    <w:rsid w:val="00577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774CC"/>
    <w:rPr>
      <w:i/>
      <w:iCs/>
    </w:rPr>
  </w:style>
  <w:style w:type="character" w:styleId="HTMLSample">
    <w:name w:val="HTML Sample"/>
    <w:basedOn w:val="DefaultParagraphFont"/>
    <w:uiPriority w:val="99"/>
    <w:semiHidden/>
    <w:unhideWhenUsed/>
    <w:rsid w:val="005774CC"/>
    <w:rPr>
      <w:rFonts w:ascii="Courier New" w:eastAsia="Times New Roman" w:hAnsi="Courier New" w:cs="Courier New"/>
    </w:rPr>
  </w:style>
  <w:style w:type="character" w:customStyle="1" w:styleId="Heading1Char">
    <w:name w:val="Heading 1 Char"/>
    <w:basedOn w:val="DefaultParagraphFont"/>
    <w:link w:val="Heading1"/>
    <w:uiPriority w:val="9"/>
    <w:rsid w:val="006F796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F796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F796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F7965"/>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6F79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F7965"/>
    <w:rPr>
      <w:color w:val="0000FF"/>
      <w:u w:val="single"/>
    </w:rPr>
  </w:style>
  <w:style w:type="character" w:customStyle="1" w:styleId="fcanus">
    <w:name w:val="f_canus"/>
    <w:basedOn w:val="DefaultParagraphFont"/>
    <w:rsid w:val="006F7965"/>
  </w:style>
  <w:style w:type="paragraph" w:styleId="BalloonText">
    <w:name w:val="Balloon Text"/>
    <w:basedOn w:val="Normal"/>
    <w:link w:val="BalloonTextChar"/>
    <w:uiPriority w:val="99"/>
    <w:semiHidden/>
    <w:unhideWhenUsed/>
    <w:rsid w:val="006F79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7965"/>
    <w:rPr>
      <w:rFonts w:ascii="Tahoma" w:hAnsi="Tahoma" w:cs="Tahoma"/>
      <w:sz w:val="16"/>
      <w:szCs w:val="16"/>
    </w:rPr>
  </w:style>
  <w:style w:type="character" w:customStyle="1" w:styleId="tocnumber">
    <w:name w:val="tocnumber"/>
    <w:basedOn w:val="DefaultParagraphFont"/>
    <w:rsid w:val="00A4052F"/>
  </w:style>
  <w:style w:type="character" w:customStyle="1" w:styleId="toctext">
    <w:name w:val="toctext"/>
    <w:basedOn w:val="DefaultParagraphFont"/>
    <w:rsid w:val="00A4052F"/>
  </w:style>
  <w:style w:type="character" w:customStyle="1" w:styleId="mw-headline">
    <w:name w:val="mw-headline"/>
    <w:basedOn w:val="DefaultParagraphFont"/>
    <w:rsid w:val="00A4052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F796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F796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F796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6F796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k">
    <w:name w:val="ak"/>
    <w:basedOn w:val="DefaultParagraphFont"/>
    <w:rsid w:val="005774CC"/>
  </w:style>
  <w:style w:type="character" w:styleId="Strong">
    <w:name w:val="Strong"/>
    <w:basedOn w:val="DefaultParagraphFont"/>
    <w:uiPriority w:val="22"/>
    <w:qFormat/>
    <w:rsid w:val="005774CC"/>
    <w:rPr>
      <w:b/>
      <w:bCs/>
    </w:rPr>
  </w:style>
  <w:style w:type="paragraph" w:customStyle="1" w:styleId="ak1">
    <w:name w:val="ak1"/>
    <w:basedOn w:val="Normal"/>
    <w:rsid w:val="00577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774CC"/>
    <w:rPr>
      <w:i/>
      <w:iCs/>
    </w:rPr>
  </w:style>
  <w:style w:type="character" w:styleId="HTMLSample">
    <w:name w:val="HTML Sample"/>
    <w:basedOn w:val="DefaultParagraphFont"/>
    <w:uiPriority w:val="99"/>
    <w:semiHidden/>
    <w:unhideWhenUsed/>
    <w:rsid w:val="005774CC"/>
    <w:rPr>
      <w:rFonts w:ascii="Courier New" w:eastAsia="Times New Roman" w:hAnsi="Courier New" w:cs="Courier New"/>
    </w:rPr>
  </w:style>
  <w:style w:type="character" w:customStyle="1" w:styleId="Heading1Char">
    <w:name w:val="Heading 1 Char"/>
    <w:basedOn w:val="DefaultParagraphFont"/>
    <w:link w:val="Heading1"/>
    <w:uiPriority w:val="9"/>
    <w:rsid w:val="006F796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F796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F796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F7965"/>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6F79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F7965"/>
    <w:rPr>
      <w:color w:val="0000FF"/>
      <w:u w:val="single"/>
    </w:rPr>
  </w:style>
  <w:style w:type="character" w:customStyle="1" w:styleId="fcanus">
    <w:name w:val="f_canus"/>
    <w:basedOn w:val="DefaultParagraphFont"/>
    <w:rsid w:val="006F7965"/>
  </w:style>
  <w:style w:type="paragraph" w:styleId="BalloonText">
    <w:name w:val="Balloon Text"/>
    <w:basedOn w:val="Normal"/>
    <w:link w:val="BalloonTextChar"/>
    <w:uiPriority w:val="99"/>
    <w:semiHidden/>
    <w:unhideWhenUsed/>
    <w:rsid w:val="006F79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7965"/>
    <w:rPr>
      <w:rFonts w:ascii="Tahoma" w:hAnsi="Tahoma" w:cs="Tahoma"/>
      <w:sz w:val="16"/>
      <w:szCs w:val="16"/>
    </w:rPr>
  </w:style>
  <w:style w:type="character" w:customStyle="1" w:styleId="tocnumber">
    <w:name w:val="tocnumber"/>
    <w:basedOn w:val="DefaultParagraphFont"/>
    <w:rsid w:val="00A4052F"/>
  </w:style>
  <w:style w:type="character" w:customStyle="1" w:styleId="toctext">
    <w:name w:val="toctext"/>
    <w:basedOn w:val="DefaultParagraphFont"/>
    <w:rsid w:val="00A4052F"/>
  </w:style>
  <w:style w:type="character" w:customStyle="1" w:styleId="mw-headline">
    <w:name w:val="mw-headline"/>
    <w:basedOn w:val="DefaultParagraphFont"/>
    <w:rsid w:val="00A405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4266177">
      <w:bodyDiv w:val="1"/>
      <w:marLeft w:val="0"/>
      <w:marRight w:val="0"/>
      <w:marTop w:val="0"/>
      <w:marBottom w:val="0"/>
      <w:divBdr>
        <w:top w:val="none" w:sz="0" w:space="0" w:color="auto"/>
        <w:left w:val="none" w:sz="0" w:space="0" w:color="auto"/>
        <w:bottom w:val="none" w:sz="0" w:space="0" w:color="auto"/>
        <w:right w:val="none" w:sz="0" w:space="0" w:color="auto"/>
      </w:divBdr>
    </w:div>
    <w:div w:id="759713503">
      <w:bodyDiv w:val="1"/>
      <w:marLeft w:val="0"/>
      <w:marRight w:val="0"/>
      <w:marTop w:val="0"/>
      <w:marBottom w:val="0"/>
      <w:divBdr>
        <w:top w:val="none" w:sz="0" w:space="0" w:color="auto"/>
        <w:left w:val="none" w:sz="0" w:space="0" w:color="auto"/>
        <w:bottom w:val="none" w:sz="0" w:space="0" w:color="auto"/>
        <w:right w:val="none" w:sz="0" w:space="0" w:color="auto"/>
      </w:divBdr>
      <w:divsChild>
        <w:div w:id="1176574622">
          <w:marLeft w:val="0"/>
          <w:marRight w:val="0"/>
          <w:marTop w:val="0"/>
          <w:marBottom w:val="0"/>
          <w:divBdr>
            <w:top w:val="none" w:sz="0" w:space="0" w:color="auto"/>
            <w:left w:val="none" w:sz="0" w:space="0" w:color="auto"/>
            <w:bottom w:val="none" w:sz="0" w:space="0" w:color="auto"/>
            <w:right w:val="none" w:sz="0" w:space="0" w:color="auto"/>
          </w:divBdr>
          <w:divsChild>
            <w:div w:id="35069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461298">
      <w:bodyDiv w:val="1"/>
      <w:marLeft w:val="0"/>
      <w:marRight w:val="0"/>
      <w:marTop w:val="0"/>
      <w:marBottom w:val="0"/>
      <w:divBdr>
        <w:top w:val="none" w:sz="0" w:space="0" w:color="auto"/>
        <w:left w:val="none" w:sz="0" w:space="0" w:color="auto"/>
        <w:bottom w:val="none" w:sz="0" w:space="0" w:color="auto"/>
        <w:right w:val="none" w:sz="0" w:space="0" w:color="auto"/>
      </w:divBdr>
      <w:divsChild>
        <w:div w:id="11612650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Bacchanalia" TargetMode="External"/><Relationship Id="rId13" Type="http://schemas.openxmlformats.org/officeDocument/2006/relationships/hyperlink" Target="http://en.wikipedia.org/wiki/Roman_Senate" TargetMode="External"/><Relationship Id="rId18" Type="http://schemas.openxmlformats.org/officeDocument/2006/relationships/hyperlink" Target="http://en.wikipedia.org/wiki/Senatus_consultum_de_Bacchanalibus" TargetMode="External"/><Relationship Id="rId26" Type="http://schemas.openxmlformats.org/officeDocument/2006/relationships/hyperlink" Target="http://en.wikipedia.org/wiki/Senatus_consultum_de_Bacchanalibus" TargetMode="External"/><Relationship Id="rId39" Type="http://schemas.openxmlformats.org/officeDocument/2006/relationships/hyperlink" Target="http://en.wikipedia.org/wiki/Roman_citizen" TargetMode="External"/><Relationship Id="rId3" Type="http://schemas.microsoft.com/office/2007/relationships/stylesWithEffects" Target="stylesWithEffects.xml"/><Relationship Id="rId21" Type="http://schemas.openxmlformats.org/officeDocument/2006/relationships/hyperlink" Target="http://en.wikipedia.org/wiki/Senatus_consultum_de_Bacchanalibus" TargetMode="External"/><Relationship Id="rId34" Type="http://schemas.openxmlformats.org/officeDocument/2006/relationships/hyperlink" Target="http://en.wikipedia.org/wiki/Senatus_consultum_de_Bacchanalibus" TargetMode="External"/><Relationship Id="rId42" Type="http://schemas.openxmlformats.org/officeDocument/2006/relationships/hyperlink" Target="http://en.wikipedia.org/wiki/Roman_assemblies" TargetMode="External"/><Relationship Id="rId7" Type="http://schemas.openxmlformats.org/officeDocument/2006/relationships/image" Target="media/image1.jpeg"/><Relationship Id="rId12" Type="http://schemas.openxmlformats.org/officeDocument/2006/relationships/hyperlink" Target="http://en.wikipedia.org/wiki/Praetor" TargetMode="External"/><Relationship Id="rId17" Type="http://schemas.openxmlformats.org/officeDocument/2006/relationships/hyperlink" Target="http://en.wikipedia.org/wiki/Senatus_consultum_de_Bacchanalibus" TargetMode="External"/><Relationship Id="rId25" Type="http://schemas.openxmlformats.org/officeDocument/2006/relationships/hyperlink" Target="http://en.wikipedia.org/wiki/Senatus_consultum_de_Bacchanalibus" TargetMode="External"/><Relationship Id="rId33" Type="http://schemas.openxmlformats.org/officeDocument/2006/relationships/hyperlink" Target="http://en.wikipedia.org/wiki/Vienna" TargetMode="External"/><Relationship Id="rId38" Type="http://schemas.openxmlformats.org/officeDocument/2006/relationships/hyperlink" Target="http://en.wikipedia.org/wiki/Praetor_urbanus" TargetMode="External"/><Relationship Id="rId2" Type="http://schemas.openxmlformats.org/officeDocument/2006/relationships/styles" Target="styles.xml"/><Relationship Id="rId16" Type="http://schemas.openxmlformats.org/officeDocument/2006/relationships/hyperlink" Target="http://en.wikipedia.org/wiki/Livy" TargetMode="External"/><Relationship Id="rId20" Type="http://schemas.openxmlformats.org/officeDocument/2006/relationships/hyperlink" Target="http://en.wikipedia.org/wiki/Senatus_consultum_de_Bacchanalibus" TargetMode="External"/><Relationship Id="rId29" Type="http://schemas.openxmlformats.org/officeDocument/2006/relationships/hyperlink" Target="http://en.wikipedia.org/wiki/Senatus_consultum_de_Bacchanalibus" TargetMode="External"/><Relationship Id="rId41" Type="http://schemas.openxmlformats.org/officeDocument/2006/relationships/hyperlink" Target="http://en.wikipedia.org/wiki/Socii" TargetMode="External"/><Relationship Id="rId1" Type="http://schemas.openxmlformats.org/officeDocument/2006/relationships/numbering" Target="numbering.xml"/><Relationship Id="rId6" Type="http://schemas.openxmlformats.org/officeDocument/2006/relationships/hyperlink" Target="mailto:schweizer.ferrari@bluewin.ch" TargetMode="External"/><Relationship Id="rId11" Type="http://schemas.openxmlformats.org/officeDocument/2006/relationships/hyperlink" Target="http://en.wikipedia.org/wiki/Tiriolo" TargetMode="External"/><Relationship Id="rId24" Type="http://schemas.openxmlformats.org/officeDocument/2006/relationships/hyperlink" Target="http://en.wikipedia.org/wiki/Senatus_consultum_de_Bacchanalibus" TargetMode="External"/><Relationship Id="rId32" Type="http://schemas.openxmlformats.org/officeDocument/2006/relationships/hyperlink" Target="http://en.wikipedia.org/wiki/Kunsthistorisches_Museum" TargetMode="External"/><Relationship Id="rId37" Type="http://schemas.openxmlformats.org/officeDocument/2006/relationships/hyperlink" Target="http://en.wikipedia.org/wiki/Calendar" TargetMode="External"/><Relationship Id="rId40" Type="http://schemas.openxmlformats.org/officeDocument/2006/relationships/hyperlink" Target="http://en.wikipedia.org/wiki/Ius_Latinum" TargetMode="External"/><Relationship Id="rId5" Type="http://schemas.openxmlformats.org/officeDocument/2006/relationships/webSettings" Target="webSettings.xml"/><Relationship Id="rId15" Type="http://schemas.openxmlformats.org/officeDocument/2006/relationships/hyperlink" Target="http://en.wikipedia.org/wiki/Augustus" TargetMode="External"/><Relationship Id="rId23" Type="http://schemas.openxmlformats.org/officeDocument/2006/relationships/hyperlink" Target="http://en.wikipedia.org/wiki/Senatus_consultum_de_Bacchanalibus" TargetMode="External"/><Relationship Id="rId28" Type="http://schemas.openxmlformats.org/officeDocument/2006/relationships/hyperlink" Target="http://en.wikipedia.org/wiki/Senatus_consultum_de_Bacchanalibus" TargetMode="External"/><Relationship Id="rId36" Type="http://schemas.openxmlformats.org/officeDocument/2006/relationships/hyperlink" Target="http://en.wikipedia.org/wiki/Senatus_consultum_de_Bacchanalibus" TargetMode="External"/><Relationship Id="rId10" Type="http://schemas.openxmlformats.org/officeDocument/2006/relationships/hyperlink" Target="http://en.wikipedia.org/wiki/Ab_urbe_condita" TargetMode="External"/><Relationship Id="rId19" Type="http://schemas.openxmlformats.org/officeDocument/2006/relationships/hyperlink" Target="http://en.wikipedia.org/wiki/Senatus_consultum_de_Bacchanalibus" TargetMode="External"/><Relationship Id="rId31" Type="http://schemas.openxmlformats.org/officeDocument/2006/relationships/hyperlink" Target="http://en.wikipedia.org/wiki/Calabria"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en.wikipedia.org/wiki/Old_Latin" TargetMode="External"/><Relationship Id="rId14" Type="http://schemas.openxmlformats.org/officeDocument/2006/relationships/hyperlink" Target="http://en.wikipedia.org/wiki/Bacchanalia" TargetMode="External"/><Relationship Id="rId22" Type="http://schemas.openxmlformats.org/officeDocument/2006/relationships/hyperlink" Target="http://en.wikipedia.org/wiki/Senatus_consultum_de_Bacchanalibus" TargetMode="External"/><Relationship Id="rId27" Type="http://schemas.openxmlformats.org/officeDocument/2006/relationships/hyperlink" Target="http://en.wikipedia.org/wiki/Senatus_consultum_de_Bacchanalibus" TargetMode="External"/><Relationship Id="rId30" Type="http://schemas.openxmlformats.org/officeDocument/2006/relationships/hyperlink" Target="http://en.wikipedia.org/wiki/Senatus_consultum_de_Bacchanalibus" TargetMode="External"/><Relationship Id="rId35" Type="http://schemas.openxmlformats.org/officeDocument/2006/relationships/hyperlink" Target="http://en.wikipedia.org/wiki/Senatus_consultum_de_Bacchanalibu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4444</Words>
  <Characters>25335</Characters>
  <Application>Microsoft Office Word</Application>
  <DocSecurity>0</DocSecurity>
  <Lines>211</Lines>
  <Paragraphs>59</Paragraphs>
  <ScaleCrop>false</ScaleCrop>
  <Company/>
  <LinksUpToDate>false</LinksUpToDate>
  <CharactersWithSpaces>29720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Ralph</dc:creator>
  <cp:lastModifiedBy>Ralph</cp:lastModifiedBy>
  <cp:revision>3</cp:revision>
  <dcterms:created xsi:type="dcterms:W3CDTF">2013-12-04T15:51:00Z</dcterms:created>
  <dcterms:modified xsi:type="dcterms:W3CDTF">2013-12-04T15:54:00Z</dcterms:modified>
</cp:coreProperties>
</file>