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0C733D" w14:textId="26C36A48" w:rsidR="005A377B" w:rsidRPr="00D96958" w:rsidRDefault="005A377B" w:rsidP="00AF6FB4">
      <w:pPr>
        <w:spacing w:line="360" w:lineRule="auto"/>
        <w:rPr>
          <w:rFonts w:ascii="Times New Roman" w:hAnsi="Times New Roman" w:cs="Times New Roman"/>
        </w:rPr>
      </w:pPr>
      <w:r w:rsidRPr="00D96958">
        <w:rPr>
          <w:rFonts w:ascii="Times New Roman" w:hAnsi="Times New Roman" w:cs="Times New Roman"/>
        </w:rPr>
        <w:t>Name:  Athoul Chowdhury</w:t>
      </w:r>
    </w:p>
    <w:p w14:paraId="6BAD9711" w14:textId="703ACE5F" w:rsidR="005A377B" w:rsidRPr="00D96958" w:rsidRDefault="005A377B" w:rsidP="00AF6FB4">
      <w:pPr>
        <w:spacing w:line="360" w:lineRule="auto"/>
        <w:rPr>
          <w:rFonts w:ascii="Times New Roman" w:hAnsi="Times New Roman" w:cs="Times New Roman"/>
        </w:rPr>
      </w:pPr>
      <w:r w:rsidRPr="00D96958">
        <w:rPr>
          <w:rFonts w:ascii="Times New Roman" w:hAnsi="Times New Roman" w:cs="Times New Roman"/>
        </w:rPr>
        <w:t>Student ID:2508845</w:t>
      </w:r>
    </w:p>
    <w:p w14:paraId="7D8951F2" w14:textId="77777777" w:rsidR="005A377B" w:rsidRPr="00D96958" w:rsidRDefault="005A377B" w:rsidP="00AF6FB4">
      <w:pPr>
        <w:spacing w:line="360" w:lineRule="auto"/>
        <w:rPr>
          <w:rFonts w:ascii="Times New Roman" w:hAnsi="Times New Roman" w:cs="Times New Roman"/>
        </w:rPr>
      </w:pPr>
      <w:r w:rsidRPr="00D96958">
        <w:rPr>
          <w:rFonts w:ascii="Times New Roman" w:hAnsi="Times New Roman" w:cs="Times New Roman"/>
        </w:rPr>
        <w:t>LLB Law – Level 4 / Foundation Year</w:t>
      </w:r>
    </w:p>
    <w:p w14:paraId="1819AAFA" w14:textId="77777777" w:rsidR="005A377B" w:rsidRPr="00D96958" w:rsidRDefault="005A377B" w:rsidP="00AF6FB4">
      <w:pPr>
        <w:spacing w:line="360" w:lineRule="auto"/>
        <w:rPr>
          <w:rFonts w:ascii="Times New Roman" w:hAnsi="Times New Roman" w:cs="Times New Roman"/>
        </w:rPr>
      </w:pPr>
      <w:r w:rsidRPr="00D96958">
        <w:rPr>
          <w:rFonts w:ascii="Times New Roman" w:hAnsi="Times New Roman" w:cs="Times New Roman"/>
        </w:rPr>
        <w:t>Assignment Title: A Duty to Act in English Criminal Law</w:t>
      </w:r>
    </w:p>
    <w:p w14:paraId="2BC0E840" w14:textId="77777777" w:rsidR="005A377B" w:rsidRPr="00D96958" w:rsidRDefault="005A377B" w:rsidP="00AF6FB4">
      <w:pPr>
        <w:spacing w:line="360" w:lineRule="auto"/>
        <w:rPr>
          <w:rFonts w:ascii="Times New Roman" w:hAnsi="Times New Roman" w:cs="Times New Roman"/>
        </w:rPr>
      </w:pPr>
      <w:r w:rsidRPr="00D96958">
        <w:rPr>
          <w:rFonts w:ascii="Times New Roman" w:hAnsi="Times New Roman" w:cs="Times New Roman"/>
        </w:rPr>
        <w:t>Module: Criminal Law (BMLC4000)</w:t>
      </w:r>
    </w:p>
    <w:p w14:paraId="229AB844" w14:textId="77777777" w:rsidR="005A377B" w:rsidRPr="00D96958" w:rsidRDefault="005A377B" w:rsidP="00AF6FB4">
      <w:pPr>
        <w:spacing w:line="360" w:lineRule="auto"/>
        <w:rPr>
          <w:rFonts w:ascii="Times New Roman" w:hAnsi="Times New Roman" w:cs="Times New Roman"/>
        </w:rPr>
      </w:pPr>
    </w:p>
    <w:p w14:paraId="76A698BF" w14:textId="77777777" w:rsidR="005A377B" w:rsidRPr="00D96958" w:rsidRDefault="005A377B" w:rsidP="00AF6FB4">
      <w:pPr>
        <w:spacing w:line="360" w:lineRule="auto"/>
        <w:rPr>
          <w:rFonts w:ascii="Times New Roman" w:hAnsi="Times New Roman" w:cs="Times New Roman"/>
        </w:rPr>
      </w:pPr>
    </w:p>
    <w:p w14:paraId="34018320" w14:textId="77777777" w:rsidR="005A377B" w:rsidRPr="00D96958" w:rsidRDefault="005A377B" w:rsidP="00AF6FB4">
      <w:pPr>
        <w:spacing w:line="360" w:lineRule="auto"/>
        <w:rPr>
          <w:rFonts w:ascii="Times New Roman" w:hAnsi="Times New Roman" w:cs="Times New Roman"/>
        </w:rPr>
      </w:pPr>
    </w:p>
    <w:p w14:paraId="3E84F78F" w14:textId="77777777" w:rsidR="005A377B" w:rsidRPr="00D96958" w:rsidRDefault="005A377B" w:rsidP="00AF6FB4">
      <w:pPr>
        <w:spacing w:line="360" w:lineRule="auto"/>
        <w:rPr>
          <w:rFonts w:ascii="Times New Roman" w:hAnsi="Times New Roman" w:cs="Times New Roman"/>
        </w:rPr>
      </w:pPr>
    </w:p>
    <w:p w14:paraId="2E946A6B" w14:textId="77777777" w:rsidR="005A377B" w:rsidRPr="00D96958" w:rsidRDefault="005A377B" w:rsidP="00AF6FB4">
      <w:pPr>
        <w:spacing w:line="360" w:lineRule="auto"/>
        <w:rPr>
          <w:rFonts w:ascii="Times New Roman" w:hAnsi="Times New Roman" w:cs="Times New Roman"/>
        </w:rPr>
      </w:pPr>
    </w:p>
    <w:p w14:paraId="766089CA" w14:textId="77777777" w:rsidR="005A377B" w:rsidRPr="00D96958" w:rsidRDefault="005A377B" w:rsidP="00AF6FB4">
      <w:pPr>
        <w:spacing w:line="360" w:lineRule="auto"/>
        <w:rPr>
          <w:rFonts w:ascii="Times New Roman" w:hAnsi="Times New Roman" w:cs="Times New Roman"/>
        </w:rPr>
      </w:pPr>
    </w:p>
    <w:p w14:paraId="5385B430" w14:textId="77777777" w:rsidR="005A377B" w:rsidRPr="00D96958" w:rsidRDefault="005A377B" w:rsidP="00AF6FB4">
      <w:pPr>
        <w:spacing w:line="360" w:lineRule="auto"/>
        <w:rPr>
          <w:rFonts w:ascii="Times New Roman" w:hAnsi="Times New Roman" w:cs="Times New Roman"/>
        </w:rPr>
      </w:pPr>
    </w:p>
    <w:p w14:paraId="018680F8" w14:textId="77777777" w:rsidR="005A377B" w:rsidRPr="00D96958" w:rsidRDefault="005A377B" w:rsidP="00AF6FB4">
      <w:pPr>
        <w:spacing w:line="360" w:lineRule="auto"/>
        <w:rPr>
          <w:rFonts w:ascii="Times New Roman" w:hAnsi="Times New Roman" w:cs="Times New Roman"/>
        </w:rPr>
      </w:pPr>
    </w:p>
    <w:p w14:paraId="60C40BBF" w14:textId="77777777" w:rsidR="005A377B" w:rsidRPr="00D96958" w:rsidRDefault="005A377B" w:rsidP="00AF6FB4">
      <w:pPr>
        <w:spacing w:line="360" w:lineRule="auto"/>
        <w:rPr>
          <w:rFonts w:ascii="Times New Roman" w:hAnsi="Times New Roman" w:cs="Times New Roman"/>
        </w:rPr>
      </w:pPr>
    </w:p>
    <w:p w14:paraId="0FA7827F" w14:textId="77777777" w:rsidR="005A377B" w:rsidRPr="00D96958" w:rsidRDefault="005A377B" w:rsidP="00AF6FB4">
      <w:pPr>
        <w:spacing w:line="360" w:lineRule="auto"/>
        <w:rPr>
          <w:rFonts w:ascii="Times New Roman" w:hAnsi="Times New Roman" w:cs="Times New Roman"/>
        </w:rPr>
      </w:pPr>
    </w:p>
    <w:p w14:paraId="2278B0D8" w14:textId="77777777" w:rsidR="005A377B" w:rsidRPr="00D96958" w:rsidRDefault="005A377B" w:rsidP="00AF6FB4">
      <w:pPr>
        <w:spacing w:line="360" w:lineRule="auto"/>
        <w:rPr>
          <w:rFonts w:ascii="Times New Roman" w:hAnsi="Times New Roman" w:cs="Times New Roman"/>
        </w:rPr>
      </w:pPr>
    </w:p>
    <w:p w14:paraId="2607AFBE" w14:textId="77777777" w:rsidR="005A377B" w:rsidRPr="00D96958" w:rsidRDefault="005A377B" w:rsidP="00AF6FB4">
      <w:pPr>
        <w:spacing w:line="360" w:lineRule="auto"/>
        <w:rPr>
          <w:rFonts w:ascii="Times New Roman" w:hAnsi="Times New Roman" w:cs="Times New Roman"/>
        </w:rPr>
      </w:pPr>
    </w:p>
    <w:p w14:paraId="327039CA" w14:textId="77777777" w:rsidR="005A377B" w:rsidRPr="00D96958" w:rsidRDefault="005A377B" w:rsidP="00AF6FB4">
      <w:pPr>
        <w:spacing w:line="360" w:lineRule="auto"/>
        <w:rPr>
          <w:rFonts w:ascii="Times New Roman" w:hAnsi="Times New Roman" w:cs="Times New Roman"/>
        </w:rPr>
      </w:pPr>
    </w:p>
    <w:p w14:paraId="595239FC" w14:textId="77777777" w:rsidR="005A377B" w:rsidRPr="00D96958" w:rsidRDefault="005A377B" w:rsidP="00AF6FB4">
      <w:pPr>
        <w:spacing w:line="360" w:lineRule="auto"/>
        <w:rPr>
          <w:rFonts w:ascii="Times New Roman" w:hAnsi="Times New Roman" w:cs="Times New Roman"/>
        </w:rPr>
      </w:pPr>
    </w:p>
    <w:p w14:paraId="5DEBE090" w14:textId="77777777" w:rsidR="005A377B" w:rsidRPr="00D96958" w:rsidRDefault="005A377B" w:rsidP="00AF6FB4">
      <w:pPr>
        <w:spacing w:line="360" w:lineRule="auto"/>
        <w:rPr>
          <w:rFonts w:ascii="Times New Roman" w:hAnsi="Times New Roman" w:cs="Times New Roman"/>
        </w:rPr>
      </w:pPr>
    </w:p>
    <w:p w14:paraId="1A218A4D" w14:textId="77777777" w:rsidR="005A377B" w:rsidRPr="00D96958" w:rsidRDefault="005A377B" w:rsidP="00AF6FB4">
      <w:pPr>
        <w:spacing w:line="360" w:lineRule="auto"/>
        <w:rPr>
          <w:rFonts w:ascii="Times New Roman" w:hAnsi="Times New Roman" w:cs="Times New Roman"/>
        </w:rPr>
      </w:pPr>
    </w:p>
    <w:p w14:paraId="4C286E4F" w14:textId="77777777" w:rsidR="005A377B" w:rsidRPr="00D96958" w:rsidRDefault="005A377B" w:rsidP="00AF6FB4">
      <w:pPr>
        <w:spacing w:line="360" w:lineRule="auto"/>
        <w:rPr>
          <w:rFonts w:ascii="Times New Roman" w:hAnsi="Times New Roman" w:cs="Times New Roman"/>
        </w:rPr>
      </w:pPr>
    </w:p>
    <w:p w14:paraId="520BA660" w14:textId="77777777" w:rsidR="005A377B" w:rsidRPr="00D96958" w:rsidRDefault="005A377B" w:rsidP="00AF6FB4">
      <w:pPr>
        <w:spacing w:line="360" w:lineRule="auto"/>
        <w:rPr>
          <w:rFonts w:ascii="Times New Roman" w:hAnsi="Times New Roman" w:cs="Times New Roman"/>
        </w:rPr>
      </w:pPr>
    </w:p>
    <w:p w14:paraId="5FF2C5C5" w14:textId="77777777" w:rsidR="005A377B" w:rsidRPr="00D96958" w:rsidRDefault="005A377B" w:rsidP="00AF6FB4">
      <w:pPr>
        <w:spacing w:line="360" w:lineRule="auto"/>
        <w:rPr>
          <w:rFonts w:ascii="Times New Roman" w:hAnsi="Times New Roman" w:cs="Times New Roman"/>
        </w:rPr>
      </w:pPr>
    </w:p>
    <w:p w14:paraId="2B43E100" w14:textId="77777777" w:rsidR="00A25707" w:rsidRPr="00D96958" w:rsidRDefault="005A377B" w:rsidP="00AF6FB4">
      <w:pPr>
        <w:spacing w:line="360" w:lineRule="auto"/>
        <w:rPr>
          <w:rFonts w:ascii="Times New Roman" w:hAnsi="Times New Roman" w:cs="Times New Roman"/>
        </w:rPr>
      </w:pPr>
      <w:r w:rsidRPr="00D96958">
        <w:rPr>
          <w:rFonts w:ascii="Times New Roman" w:hAnsi="Times New Roman" w:cs="Times New Roman"/>
        </w:rPr>
        <w:t>Word count:</w:t>
      </w:r>
      <w:r w:rsidR="006F2F55" w:rsidRPr="00D96958">
        <w:rPr>
          <w:rFonts w:ascii="Times New Roman" w:hAnsi="Times New Roman" w:cs="Times New Roman"/>
        </w:rPr>
        <w:t xml:space="preserve"> 1600</w:t>
      </w:r>
    </w:p>
    <w:p w14:paraId="78556407" w14:textId="77777777" w:rsidR="00944DE0" w:rsidRDefault="00944DE0" w:rsidP="00AF6FB4">
      <w:pPr>
        <w:spacing w:line="360" w:lineRule="auto"/>
        <w:rPr>
          <w:rFonts w:ascii="Times New Roman" w:hAnsi="Times New Roman" w:cs="Times New Roman"/>
        </w:rPr>
      </w:pPr>
    </w:p>
    <w:p w14:paraId="25EBBB71" w14:textId="1C40ADB9" w:rsidR="0080337A" w:rsidRPr="00D96958" w:rsidRDefault="00DF310C" w:rsidP="00AF6FB4">
      <w:pPr>
        <w:spacing w:line="360" w:lineRule="auto"/>
        <w:rPr>
          <w:rFonts w:ascii="Times New Roman" w:hAnsi="Times New Roman" w:cs="Times New Roman"/>
        </w:rPr>
      </w:pPr>
      <w:r w:rsidRPr="00D96958">
        <w:rPr>
          <w:rFonts w:ascii="Times New Roman" w:hAnsi="Times New Roman" w:cs="Times New Roman"/>
        </w:rPr>
        <w:lastRenderedPageBreak/>
        <w:t xml:space="preserve">1  ANS </w:t>
      </w:r>
      <w:r w:rsidR="00517F1F" w:rsidRPr="00D96958">
        <w:rPr>
          <w:rFonts w:ascii="Times New Roman" w:hAnsi="Times New Roman" w:cs="Times New Roman"/>
        </w:rPr>
        <w:t xml:space="preserve"> </w:t>
      </w:r>
    </w:p>
    <w:p w14:paraId="4340708B" w14:textId="3F8C3781" w:rsidR="009D3B66" w:rsidRPr="00D96958" w:rsidRDefault="009D3B66" w:rsidP="008E0842">
      <w:pPr>
        <w:tabs>
          <w:tab w:val="left" w:pos="1280"/>
        </w:tabs>
        <w:spacing w:line="360" w:lineRule="auto"/>
        <w:jc w:val="both"/>
        <w:rPr>
          <w:rFonts w:ascii="Times New Roman" w:hAnsi="Times New Roman" w:cs="Times New Roman"/>
        </w:rPr>
      </w:pPr>
      <w:r w:rsidRPr="00D96958">
        <w:rPr>
          <w:rFonts w:ascii="Times New Roman" w:hAnsi="Times New Roman" w:cs="Times New Roman"/>
        </w:rPr>
        <w:t>There is no general “duty of act” in English Law (herring, 2024) A defendant is never criminally liable for an omission a defendant can be criminally liable unless there is a legal duty to act in a particular way. “The criminal law on omissions a defendant (D) is only guilty of a crime when failing to act, where a duty to act breached the duty and caused harm to the victim.” There are many types of offenses, including assault, battery, and murder. Every single case is separated by categories. Certain crimes cannot be committed through omission. “These are statutory crimes which, in their definition, require an act to be committed.” there is Statutory duty, Duties of law enforcement, Contractual duty and voluntary duty, cases like R v Pitt wood (1902). R v Stone; R v Dobinson (1977). In conclusion, there is general” duty of act” for parent–child relationships or “wark environment” we have to follow English and Wales law. As Andrew Ashworth’s detailed analysis concludes (Herring, 2024)</w:t>
      </w:r>
      <w:r w:rsidR="00A25707" w:rsidRPr="00D96958">
        <w:rPr>
          <w:rFonts w:ascii="Times New Roman" w:hAnsi="Times New Roman" w:cs="Times New Roman"/>
        </w:rPr>
        <w:t>.</w:t>
      </w:r>
    </w:p>
    <w:p w14:paraId="2BB71431" w14:textId="51519EA8" w:rsidR="00B42437" w:rsidRPr="00D96958" w:rsidRDefault="00A7406B" w:rsidP="00AF6FB4">
      <w:pPr>
        <w:tabs>
          <w:tab w:val="left" w:pos="1280"/>
        </w:tabs>
        <w:spacing w:line="360" w:lineRule="auto"/>
        <w:rPr>
          <w:rFonts w:ascii="Times New Roman" w:hAnsi="Times New Roman" w:cs="Times New Roman"/>
        </w:rPr>
      </w:pPr>
      <w:r w:rsidRPr="00D96958">
        <w:rPr>
          <w:rFonts w:ascii="Times New Roman" w:hAnsi="Times New Roman" w:cs="Times New Roman"/>
        </w:rPr>
        <w:t xml:space="preserve">2 ANS </w:t>
      </w:r>
      <w:r w:rsidR="00EC4BAA" w:rsidRPr="00D96958">
        <w:rPr>
          <w:rFonts w:ascii="Times New Roman" w:hAnsi="Times New Roman" w:cs="Times New Roman"/>
        </w:rPr>
        <w:t>.</w:t>
      </w:r>
    </w:p>
    <w:p w14:paraId="73FB6526" w14:textId="65419765" w:rsidR="00DD219E" w:rsidRPr="00D96958" w:rsidRDefault="00A42790" w:rsidP="00585288">
      <w:pPr>
        <w:tabs>
          <w:tab w:val="left" w:pos="1280"/>
        </w:tabs>
        <w:spacing w:line="360" w:lineRule="auto"/>
        <w:jc w:val="both"/>
        <w:rPr>
          <w:rFonts w:ascii="Times New Roman" w:hAnsi="Times New Roman" w:cs="Times New Roman"/>
        </w:rPr>
      </w:pPr>
      <w:r w:rsidRPr="00D96958">
        <w:rPr>
          <w:rFonts w:ascii="Times New Roman" w:hAnsi="Times New Roman" w:cs="Times New Roman"/>
        </w:rPr>
        <w:t xml:space="preserve">Failure to act is not a crime unless it occurs breaches legal duty. criminal liability for crimes of commission is required within certain limits. “The actus reus of numerous statutory crimes consists of some form of failure of omission counterposed of such crimes of, omission, a statutory or common law crime of commission may exceptionally, be committed by omission for this to be possible the following minimum requirements must be </w:t>
      </w:r>
      <w:r w:rsidR="00DD219E" w:rsidRPr="00D96958">
        <w:rPr>
          <w:rFonts w:ascii="Times New Roman" w:hAnsi="Times New Roman" w:cs="Times New Roman"/>
        </w:rPr>
        <w:t>satisfied, (</w:t>
      </w:r>
      <w:r w:rsidRPr="00D96958">
        <w:rPr>
          <w:rFonts w:ascii="Times New Roman" w:hAnsi="Times New Roman" w:cs="Times New Roman"/>
        </w:rPr>
        <w:t xml:space="preserve">William Wilson 1998) p.74. Example Road traffic act 1988, Ashworth 1989. “Law Requiring for criminal liability by omission are three-fold. The first defendant must recognize the legal duty to act. 2nd, they must have breached this duty by failing to do what was reasonably required. 3rd, this breach must have caused the prohibited outcome, (MacDonald 2018). case like R v </w:t>
      </w:r>
      <w:r w:rsidR="00DD219E" w:rsidRPr="00D96958">
        <w:rPr>
          <w:rFonts w:ascii="Times New Roman" w:hAnsi="Times New Roman" w:cs="Times New Roman"/>
        </w:rPr>
        <w:t>Miller (</w:t>
      </w:r>
      <w:r w:rsidRPr="00D96958">
        <w:rPr>
          <w:rFonts w:ascii="Times New Roman" w:hAnsi="Times New Roman" w:cs="Times New Roman"/>
        </w:rPr>
        <w:t>1983 ). This case demonstrates that omission liability applies only when a defendant’s failure to act follows the creation of danger or a recognised duty (Taylor, 2018)</w:t>
      </w:r>
      <w:r w:rsidR="00585288" w:rsidRPr="00D96958">
        <w:rPr>
          <w:rFonts w:ascii="Times New Roman" w:hAnsi="Times New Roman" w:cs="Times New Roman"/>
        </w:rPr>
        <w:t>.</w:t>
      </w:r>
    </w:p>
    <w:p w14:paraId="2AF69482" w14:textId="1771634E" w:rsidR="00A7406B" w:rsidRPr="00D96958" w:rsidRDefault="00DD219E" w:rsidP="00AF6FB4">
      <w:pPr>
        <w:tabs>
          <w:tab w:val="left" w:pos="1280"/>
        </w:tabs>
        <w:spacing w:line="360" w:lineRule="auto"/>
        <w:rPr>
          <w:rFonts w:ascii="Times New Roman" w:hAnsi="Times New Roman" w:cs="Times New Roman"/>
        </w:rPr>
      </w:pPr>
      <w:r w:rsidRPr="00D96958">
        <w:rPr>
          <w:rFonts w:ascii="Times New Roman" w:hAnsi="Times New Roman" w:cs="Times New Roman"/>
        </w:rPr>
        <w:t>3 ANS</w:t>
      </w:r>
    </w:p>
    <w:p w14:paraId="2A370251" w14:textId="3036D6EF" w:rsidR="00A81CE3" w:rsidRPr="00D96958" w:rsidRDefault="000216E0" w:rsidP="00585288">
      <w:pPr>
        <w:tabs>
          <w:tab w:val="left" w:pos="1280"/>
        </w:tabs>
        <w:spacing w:line="360" w:lineRule="auto"/>
        <w:jc w:val="both"/>
        <w:rPr>
          <w:rFonts w:ascii="Times New Roman" w:hAnsi="Times New Roman" w:cs="Times New Roman"/>
        </w:rPr>
      </w:pPr>
      <w:r w:rsidRPr="00D96958">
        <w:rPr>
          <w:rFonts w:ascii="Times New Roman" w:hAnsi="Times New Roman" w:cs="Times New Roman"/>
        </w:rPr>
        <w:t>“Some statutory is a legal obligation imposed by parliament, status impose duty to act of law, A defendant may be criminally liable for failing to act when a statute clearly impose such a duty ” Macdonald (2018) Examples failure to stop at a road traffic accident, failure to breath test to police officer, the prevention of an act of terrorism, allowing the death of a child or vulnerable person living in the same household (familial homicide), The Road Traffic Act 1988.170 , the Terrorism Act 2000s., and the Domestic Violence Act 2004. Example vulnerable people at risk. R v Gibbins and Proctor (1918). R v Stone &amp; Dobinson (1977). R. V. Sinclaire, John, &amp; Smith (1998). These statutory duties show that English law imposes liability for omissions where Parliament or common law recognises a clear legal obligation to act (Taylor, 2018. Herring, 2024).also “The definition of an offence may allow for conviction where the defendant is in a situation which the law forbids the defendant to be in” William Wilson (1998) p69</w:t>
      </w:r>
      <w:r w:rsidR="00585288" w:rsidRPr="00D96958">
        <w:rPr>
          <w:rFonts w:ascii="Times New Roman" w:hAnsi="Times New Roman" w:cs="Times New Roman"/>
        </w:rPr>
        <w:t>.</w:t>
      </w:r>
    </w:p>
    <w:p w14:paraId="67D98395" w14:textId="77777777" w:rsidR="00A81CE3" w:rsidRPr="00D96958" w:rsidRDefault="000216E0" w:rsidP="00AF6FB4">
      <w:pPr>
        <w:tabs>
          <w:tab w:val="left" w:pos="1280"/>
        </w:tabs>
        <w:spacing w:line="360" w:lineRule="auto"/>
        <w:rPr>
          <w:rFonts w:ascii="Times New Roman" w:hAnsi="Times New Roman" w:cs="Times New Roman"/>
        </w:rPr>
      </w:pPr>
      <w:r w:rsidRPr="00D96958">
        <w:rPr>
          <w:rFonts w:ascii="Times New Roman" w:hAnsi="Times New Roman" w:cs="Times New Roman"/>
        </w:rPr>
        <w:lastRenderedPageBreak/>
        <w:t xml:space="preserve"> 4 ANS</w:t>
      </w:r>
    </w:p>
    <w:p w14:paraId="58F3665D" w14:textId="299F3C68" w:rsidR="00F85CBF" w:rsidRPr="00D96958" w:rsidRDefault="000216E0" w:rsidP="00585288">
      <w:pPr>
        <w:tabs>
          <w:tab w:val="left" w:pos="1280"/>
        </w:tabs>
        <w:spacing w:line="360" w:lineRule="auto"/>
        <w:jc w:val="both"/>
        <w:rPr>
          <w:rFonts w:ascii="Times New Roman" w:hAnsi="Times New Roman" w:cs="Times New Roman"/>
        </w:rPr>
      </w:pPr>
      <w:r w:rsidRPr="00D96958">
        <w:rPr>
          <w:rFonts w:ascii="Times New Roman" w:hAnsi="Times New Roman" w:cs="Times New Roman"/>
        </w:rPr>
        <w:t>A defendant “ may have” a contractual duty to act, most of the time it is a contract of employment. It is important to prove that a breach of duty has resulted in harm. Such duties are recognized by as a basis for omissions liability. “Contracts can give rise to duties between parties where D is contracted to protect V or her property” ( Ormerod, ( 20</w:t>
      </w:r>
      <w:r w:rsidR="0058701E" w:rsidRPr="00D96958">
        <w:rPr>
          <w:rFonts w:ascii="Times New Roman" w:hAnsi="Times New Roman" w:cs="Times New Roman"/>
        </w:rPr>
        <w:t>2</w:t>
      </w:r>
      <w:r w:rsidR="00EB61AA" w:rsidRPr="00D96958">
        <w:rPr>
          <w:rFonts w:ascii="Times New Roman" w:hAnsi="Times New Roman" w:cs="Times New Roman"/>
        </w:rPr>
        <w:t>2</w:t>
      </w:r>
      <w:r w:rsidRPr="00D96958">
        <w:rPr>
          <w:rFonts w:ascii="Times New Roman" w:hAnsi="Times New Roman" w:cs="Times New Roman"/>
        </w:rPr>
        <w:t>), 4th edition, Employees such as carers, health professionals, government employers, lifeguards, NHS staff have leghal obligation to act when needed. “ It is your legal duty to full fill it. A well-established basis for imposing criminal liability for omission is where (D has contractually accepted the obligation” Ormerod (2018) 15th edition. R v Pitt wood (1902). The landmark case R v Pitt wood (1902). Donoghue v Stevenson (1932) AC 562, A duty of care in negligence can exist</w:t>
      </w:r>
      <w:r w:rsidR="00585288" w:rsidRPr="00D96958">
        <w:rPr>
          <w:rFonts w:ascii="Times New Roman" w:hAnsi="Times New Roman" w:cs="Times New Roman"/>
        </w:rPr>
        <w:t xml:space="preserve"> </w:t>
      </w:r>
      <w:r w:rsidRPr="00D96958">
        <w:rPr>
          <w:rFonts w:ascii="Times New Roman" w:hAnsi="Times New Roman" w:cs="Times New Roman"/>
        </w:rPr>
        <w:t xml:space="preserve">independently of a contractual relationship. (Caparo Industries plc v Dickman test) to avoid </w:t>
      </w:r>
      <w:r w:rsidR="005D78B9" w:rsidRPr="00D96958">
        <w:rPr>
          <w:rFonts w:ascii="Times New Roman" w:hAnsi="Times New Roman" w:cs="Times New Roman"/>
        </w:rPr>
        <w:t>causing foreseeable harm to a neighbour, beyond the contract.</w:t>
      </w:r>
    </w:p>
    <w:p w14:paraId="16D82A27" w14:textId="140D1B3C" w:rsidR="00B918F7" w:rsidRPr="00D96958" w:rsidRDefault="00A80A2C" w:rsidP="00AF6FB4">
      <w:pPr>
        <w:tabs>
          <w:tab w:val="left" w:pos="1280"/>
        </w:tabs>
        <w:spacing w:line="360" w:lineRule="auto"/>
        <w:rPr>
          <w:rFonts w:ascii="Times New Roman" w:hAnsi="Times New Roman" w:cs="Times New Roman"/>
        </w:rPr>
      </w:pPr>
      <w:r w:rsidRPr="00D96958">
        <w:rPr>
          <w:rFonts w:ascii="Times New Roman" w:hAnsi="Times New Roman" w:cs="Times New Roman"/>
        </w:rPr>
        <w:t>5 .ANS</w:t>
      </w:r>
    </w:p>
    <w:p w14:paraId="6DD6BAD0" w14:textId="5C78E447" w:rsidR="003A77E9" w:rsidRPr="00D96958" w:rsidRDefault="00671E05" w:rsidP="007D6943">
      <w:pPr>
        <w:tabs>
          <w:tab w:val="left" w:pos="1280"/>
        </w:tabs>
        <w:spacing w:line="360" w:lineRule="auto"/>
        <w:jc w:val="both"/>
        <w:rPr>
          <w:rFonts w:ascii="Times New Roman" w:hAnsi="Times New Roman" w:cs="Times New Roman"/>
        </w:rPr>
      </w:pPr>
      <w:r w:rsidRPr="00D96958">
        <w:rPr>
          <w:rFonts w:ascii="Times New Roman" w:hAnsi="Times New Roman" w:cs="Times New Roman"/>
        </w:rPr>
        <w:t>Assumed responsibility occurs when a person voluntarily takes a duty of care and then fails to fulfil it, resulting in harm or death. The law imposes criminal liability for an omission, such as failing to act to protect an elderly parent, a relative, or a sick friend. The law states that once responsibility is assumed but neglected, liability may follow.</w:t>
      </w:r>
      <w:r w:rsidR="00585288" w:rsidRPr="00D96958">
        <w:rPr>
          <w:rFonts w:ascii="Times New Roman" w:hAnsi="Times New Roman" w:cs="Times New Roman"/>
        </w:rPr>
        <w:t xml:space="preserve"> </w:t>
      </w:r>
      <w:r w:rsidRPr="00D96958">
        <w:rPr>
          <w:rFonts w:ascii="Times New Roman" w:hAnsi="Times New Roman" w:cs="Times New Roman"/>
        </w:rPr>
        <w:t xml:space="preserve">Examples include </w:t>
      </w:r>
      <w:r w:rsidRPr="00D96958">
        <w:rPr>
          <w:rFonts w:ascii="Times New Roman" w:hAnsi="Times New Roman" w:cs="Times New Roman"/>
          <w:i/>
          <w:iCs/>
        </w:rPr>
        <w:t>R v Stone and Dobinson</w:t>
      </w:r>
      <w:r w:rsidRPr="00D96958">
        <w:rPr>
          <w:rFonts w:ascii="Times New Roman" w:hAnsi="Times New Roman" w:cs="Times New Roman"/>
        </w:rPr>
        <w:t xml:space="preserve"> (1977) (Macdonald, 2018) and </w:t>
      </w:r>
      <w:r w:rsidRPr="00D96958">
        <w:rPr>
          <w:rFonts w:ascii="Times New Roman" w:hAnsi="Times New Roman" w:cs="Times New Roman"/>
          <w:i/>
          <w:iCs/>
        </w:rPr>
        <w:t>Home Office v Dorset Yacht Co Ltd</w:t>
      </w:r>
      <w:r w:rsidRPr="00D96958">
        <w:rPr>
          <w:rFonts w:ascii="Times New Roman" w:hAnsi="Times New Roman" w:cs="Times New Roman"/>
        </w:rPr>
        <w:t xml:space="preserve"> [1970] AC 1004. This case established that a duty of care can be owed for harm caused by third parties in certain circumstances. The Home Office was liable for damage caused by escaping young offenders because the officer in charge had assumed responsibility and control over them.</w:t>
      </w:r>
      <w:r w:rsidR="00585288" w:rsidRPr="00D96958">
        <w:rPr>
          <w:rFonts w:ascii="Times New Roman" w:hAnsi="Times New Roman" w:cs="Times New Roman"/>
        </w:rPr>
        <w:t xml:space="preserve"> </w:t>
      </w:r>
      <w:r w:rsidRPr="00D96958">
        <w:rPr>
          <w:rFonts w:ascii="Times New Roman" w:hAnsi="Times New Roman" w:cs="Times New Roman"/>
        </w:rPr>
        <w:t>According to Macdonald (2018), “The law of omission in criminal liability recognises that a person is generally not criminally liable for failing to act, unless a duty to act exists. Two important categories where such a duty arises are assumed responsibility and creation of danger</w:t>
      </w:r>
      <w:r w:rsidR="007D6943" w:rsidRPr="00D96958">
        <w:rPr>
          <w:rFonts w:ascii="Times New Roman" w:hAnsi="Times New Roman" w:cs="Times New Roman"/>
        </w:rPr>
        <w:t>”.</w:t>
      </w:r>
    </w:p>
    <w:p w14:paraId="198C2A69" w14:textId="74D36BAD" w:rsidR="008F7E18" w:rsidRPr="00D96958" w:rsidRDefault="005A377B" w:rsidP="00AF6FB4">
      <w:pPr>
        <w:tabs>
          <w:tab w:val="left" w:pos="1280"/>
        </w:tabs>
        <w:spacing w:line="360" w:lineRule="auto"/>
        <w:rPr>
          <w:rFonts w:ascii="Times New Roman" w:hAnsi="Times New Roman" w:cs="Times New Roman"/>
        </w:rPr>
      </w:pPr>
      <w:r w:rsidRPr="00D96958">
        <w:rPr>
          <w:rFonts w:ascii="Times New Roman" w:hAnsi="Times New Roman" w:cs="Times New Roman"/>
        </w:rPr>
        <w:t>6 A</w:t>
      </w:r>
      <w:r w:rsidR="003472A2" w:rsidRPr="00D96958">
        <w:rPr>
          <w:rFonts w:ascii="Times New Roman" w:hAnsi="Times New Roman" w:cs="Times New Roman"/>
        </w:rPr>
        <w:t>ns</w:t>
      </w:r>
    </w:p>
    <w:p w14:paraId="59764210" w14:textId="0B0C85F9" w:rsidR="003472A2" w:rsidRPr="00D96958" w:rsidRDefault="003A5E25" w:rsidP="005353D5">
      <w:pPr>
        <w:tabs>
          <w:tab w:val="left" w:pos="1280"/>
        </w:tabs>
        <w:spacing w:line="360" w:lineRule="auto"/>
        <w:jc w:val="both"/>
        <w:rPr>
          <w:rFonts w:ascii="Times New Roman" w:hAnsi="Times New Roman" w:cs="Times New Roman"/>
        </w:rPr>
      </w:pPr>
      <w:r w:rsidRPr="00D96958">
        <w:rPr>
          <w:rFonts w:ascii="Times New Roman" w:hAnsi="Times New Roman" w:cs="Times New Roman"/>
        </w:rPr>
        <w:t xml:space="preserve">In English criminal law, there is no general duty to act to prevent harm to another person. A person is generally not liable for a “mere omission,” even if it would be morally reprehensible not to intervene, such as watching a child drown in a shallow pond (Hussain, 2017). Cases like </w:t>
      </w:r>
      <w:r w:rsidRPr="00D96958">
        <w:rPr>
          <w:rFonts w:ascii="Times New Roman" w:hAnsi="Times New Roman" w:cs="Times New Roman"/>
          <w:i/>
          <w:iCs/>
        </w:rPr>
        <w:t>R v Miller</w:t>
      </w:r>
      <w:r w:rsidRPr="00D96958">
        <w:rPr>
          <w:rFonts w:ascii="Times New Roman" w:hAnsi="Times New Roman" w:cs="Times New Roman"/>
        </w:rPr>
        <w:t xml:space="preserve"> (1983) and </w:t>
      </w:r>
      <w:r w:rsidRPr="00D96958">
        <w:rPr>
          <w:rFonts w:ascii="Times New Roman" w:hAnsi="Times New Roman" w:cs="Times New Roman"/>
          <w:i/>
          <w:iCs/>
        </w:rPr>
        <w:t>R v Stone and Dobinson</w:t>
      </w:r>
      <w:r w:rsidRPr="00D96958">
        <w:rPr>
          <w:rFonts w:ascii="Times New Roman" w:hAnsi="Times New Roman" w:cs="Times New Roman"/>
        </w:rPr>
        <w:t xml:space="preserve"> (1977) helped me to develop understanding in the legal world. A defendant’s initial omission would not be punishable if he took the right action, such as calling emergency services, which could have saved the victim.</w:t>
      </w:r>
      <w:r w:rsidR="00316512" w:rsidRPr="00D96958">
        <w:rPr>
          <w:rFonts w:ascii="Times New Roman" w:hAnsi="Times New Roman" w:cs="Times New Roman"/>
        </w:rPr>
        <w:t xml:space="preserve"> </w:t>
      </w:r>
      <w:r w:rsidRPr="00D96958">
        <w:rPr>
          <w:rFonts w:ascii="Times New Roman" w:hAnsi="Times New Roman" w:cs="Times New Roman"/>
        </w:rPr>
        <w:t>However, defendants have responsibilities. English and Welsh criminal law imposes liability on those who fail to protect the person or property for which they are responsible. Failure to act can result in criminal liability. The law does impose a duty to act, such as when a person has a special relationship with the victim (e.g., parent/child), has assumed responsibility, holds a public office (e.g., police officer), has created a dangerous situation, or where the law requires action.</w:t>
      </w:r>
      <w:r w:rsidR="00316512" w:rsidRPr="00D96958">
        <w:rPr>
          <w:rFonts w:ascii="Times New Roman" w:hAnsi="Times New Roman" w:cs="Times New Roman"/>
        </w:rPr>
        <w:t xml:space="preserve"> </w:t>
      </w:r>
      <w:r w:rsidRPr="00D96958">
        <w:rPr>
          <w:rFonts w:ascii="Times New Roman" w:hAnsi="Times New Roman" w:cs="Times New Roman"/>
        </w:rPr>
        <w:t xml:space="preserve">In the circumstance of </w:t>
      </w:r>
      <w:r w:rsidRPr="00D96958">
        <w:rPr>
          <w:rFonts w:ascii="Times New Roman" w:hAnsi="Times New Roman" w:cs="Times New Roman"/>
          <w:i/>
          <w:iCs/>
        </w:rPr>
        <w:t>R v Khan and Khan</w:t>
      </w:r>
      <w:r w:rsidRPr="00D96958">
        <w:rPr>
          <w:rFonts w:ascii="Times New Roman" w:hAnsi="Times New Roman" w:cs="Times New Roman"/>
        </w:rPr>
        <w:t xml:space="preserve"> (1998), the drug traffickers were not held responsible for failing to call medical help for a girl who overdosed, showing a deep moral concern. When it comes </w:t>
      </w:r>
      <w:r w:rsidRPr="00D96958">
        <w:rPr>
          <w:rFonts w:ascii="Times New Roman" w:hAnsi="Times New Roman" w:cs="Times New Roman"/>
        </w:rPr>
        <w:lastRenderedPageBreak/>
        <w:t>to moral versus legal duties, “The criminal law distinguishes between moral obligations and legal duties; not every moral failure to act can or should give rise to criminal liability” (Finch &amp; Fafinski, 2021, p.45).However, it has been heavily criticised by some academics who argue that the moral basis of the law is undermined by a situation which allows people to ignore a drowning child whom they could have easily saved and incur no criminal liability so long as they are strangers (Taylor, 2018). Imposing a duty to act, however, forces individuals to interrupt their own lives, potentially at their own inconvenience or risk, to assist others.</w:t>
      </w:r>
      <w:r w:rsidR="00DC5F35" w:rsidRPr="00D96958">
        <w:rPr>
          <w:rFonts w:ascii="Times New Roman" w:hAnsi="Times New Roman" w:cs="Times New Roman"/>
        </w:rPr>
        <w:t xml:space="preserve"> </w:t>
      </w:r>
      <w:r w:rsidRPr="00D96958">
        <w:rPr>
          <w:rFonts w:ascii="Times New Roman" w:hAnsi="Times New Roman" w:cs="Times New Roman"/>
        </w:rPr>
        <w:t xml:space="preserve">This is viewed by many prominent legal scholars. In the </w:t>
      </w:r>
      <w:r w:rsidRPr="00D96958">
        <w:rPr>
          <w:rFonts w:ascii="Times New Roman" w:hAnsi="Times New Roman" w:cs="Times New Roman"/>
          <w:i/>
          <w:iCs/>
        </w:rPr>
        <w:t>Miller</w:t>
      </w:r>
      <w:r w:rsidRPr="00D96958">
        <w:rPr>
          <w:rFonts w:ascii="Times New Roman" w:hAnsi="Times New Roman" w:cs="Times New Roman"/>
        </w:rPr>
        <w:t xml:space="preserve"> case, the defendant created a fire and failed to stop it; he therefore had a legal duty to take the right action, and his failure became criminal. The defence argument might respond that “the defendant was unaware of the fire at the time, so no duty arose.” Sometimes it is complex. “There are powerful arguments of principle and practicality against the imposition of general criminal liability for failing in circumstances which give rise to a prohibited harm” (Laird, 2018, p.45).</w:t>
      </w:r>
      <w:r w:rsidR="00DC5F35" w:rsidRPr="00D96958">
        <w:rPr>
          <w:rFonts w:ascii="Times New Roman" w:hAnsi="Times New Roman" w:cs="Times New Roman"/>
        </w:rPr>
        <w:t xml:space="preserve"> </w:t>
      </w:r>
      <w:r w:rsidRPr="00D96958">
        <w:rPr>
          <w:rFonts w:ascii="Times New Roman" w:hAnsi="Times New Roman" w:cs="Times New Roman"/>
        </w:rPr>
        <w:t>The strongest argument imposes criminal liability while balancing individual autonomy in situations where liability is imposed for positive action. In some circumstances, the law can appear inconsistent with autonomy in imposing liability for omission. For example, holding somebody under water to drown is a criminal act, but at the same time, a stranger who sees a child drowning has no legal liability to save the child.</w:t>
      </w:r>
      <w:r w:rsidR="00DC5F35" w:rsidRPr="00D96958">
        <w:rPr>
          <w:rFonts w:ascii="Times New Roman" w:hAnsi="Times New Roman" w:cs="Times New Roman"/>
        </w:rPr>
        <w:t xml:space="preserve"> </w:t>
      </w:r>
      <w:r w:rsidRPr="00D96958">
        <w:rPr>
          <w:rFonts w:ascii="Times New Roman" w:hAnsi="Times New Roman" w:cs="Times New Roman"/>
        </w:rPr>
        <w:t>It is a moral responsibility to call 999 for rescue, but by the time rescuers arrive, the child may die  showing how the argument of individual autonomy is challenged by social responsibility when potential harm or death may occur.</w:t>
      </w:r>
      <w:r w:rsidR="00DC5F35" w:rsidRPr="00D96958">
        <w:rPr>
          <w:rFonts w:ascii="Times New Roman" w:hAnsi="Times New Roman" w:cs="Times New Roman"/>
        </w:rPr>
        <w:t xml:space="preserve"> </w:t>
      </w:r>
      <w:r w:rsidRPr="00D96958">
        <w:rPr>
          <w:rFonts w:ascii="Times New Roman" w:hAnsi="Times New Roman" w:cs="Times New Roman"/>
        </w:rPr>
        <w:t>It is important that the law be transparent and fair. If this complicated common law were replaced with a single statutory requirement, it would provide clarity. Similar reforms have been introduced in European countries like France and Germany, which have had a duty to rescue for a long time and have enforced it successfully. This shows that such requirements can work in our legal system without causing major problems.</w:t>
      </w:r>
      <w:r w:rsidR="00DC5F35" w:rsidRPr="00D96958">
        <w:rPr>
          <w:rFonts w:ascii="Times New Roman" w:hAnsi="Times New Roman" w:cs="Times New Roman"/>
        </w:rPr>
        <w:t xml:space="preserve"> </w:t>
      </w:r>
      <w:r w:rsidRPr="00D96958">
        <w:rPr>
          <w:rFonts w:ascii="Times New Roman" w:hAnsi="Times New Roman" w:cs="Times New Roman"/>
        </w:rPr>
        <w:t>Looking at the arguments and obligations, I found that they are not impossible to overcome. You should not ignore or act negligently if you can save someone from dying with a simple and safe action. The law already requires people to do things for the common good, including paying taxes and serving on a jury. Therefore, forcing someone to call for help is a small step in the right direction.</w:t>
      </w:r>
      <w:r w:rsidR="00DC5F35" w:rsidRPr="00D96958">
        <w:rPr>
          <w:rFonts w:ascii="Times New Roman" w:hAnsi="Times New Roman" w:cs="Times New Roman"/>
        </w:rPr>
        <w:t xml:space="preserve"> </w:t>
      </w:r>
      <w:r w:rsidRPr="00D96958">
        <w:rPr>
          <w:rFonts w:ascii="Times New Roman" w:hAnsi="Times New Roman" w:cs="Times New Roman"/>
        </w:rPr>
        <w:t>The difficulties in law can be managed by carefully drafting the legislation. The Law Commission (2023) has examined models for a “duty of easy rescue.” A general duty to act highlights the tension between individual freedom and social responsibility. Reformists like Ashworth (2013) and Herring (2022) make strong cases. They point out how the law currently fails to match basic moral expectations.</w:t>
      </w:r>
      <w:r w:rsidR="00DC5F35" w:rsidRPr="00D96958">
        <w:rPr>
          <w:rFonts w:ascii="Times New Roman" w:hAnsi="Times New Roman" w:cs="Times New Roman"/>
        </w:rPr>
        <w:t xml:space="preserve"> </w:t>
      </w:r>
      <w:r w:rsidRPr="00D96958">
        <w:rPr>
          <w:rFonts w:ascii="Times New Roman" w:hAnsi="Times New Roman" w:cs="Times New Roman"/>
        </w:rPr>
        <w:t xml:space="preserve">Because of this, I believe that making a legal responsibility to help someone in need is a necessary and fair change. It would fix the existing system, as seen in </w:t>
      </w:r>
      <w:r w:rsidRPr="00D96958">
        <w:rPr>
          <w:rFonts w:ascii="Times New Roman" w:hAnsi="Times New Roman" w:cs="Times New Roman"/>
          <w:i/>
          <w:iCs/>
        </w:rPr>
        <w:t>Khan</w:t>
      </w:r>
      <w:r w:rsidRPr="00D96958">
        <w:rPr>
          <w:rFonts w:ascii="Times New Roman" w:hAnsi="Times New Roman" w:cs="Times New Roman"/>
        </w:rPr>
        <w:t xml:space="preserve">, and make the law </w:t>
      </w:r>
      <w:r w:rsidR="000829B8" w:rsidRPr="00D96958">
        <w:rPr>
          <w:rFonts w:ascii="Times New Roman" w:hAnsi="Times New Roman" w:cs="Times New Roman"/>
        </w:rPr>
        <w:t>fairer and more humane</w:t>
      </w:r>
      <w:r w:rsidRPr="00D96958">
        <w:rPr>
          <w:rFonts w:ascii="Times New Roman" w:hAnsi="Times New Roman" w:cs="Times New Roman"/>
        </w:rPr>
        <w:t xml:space="preserve"> without forcing people to become heroes.</w:t>
      </w:r>
    </w:p>
    <w:p w14:paraId="70727B80" w14:textId="77777777" w:rsidR="008154C2" w:rsidRPr="00D96958" w:rsidRDefault="008154C2" w:rsidP="00AF6FB4">
      <w:pPr>
        <w:tabs>
          <w:tab w:val="left" w:pos="1280"/>
        </w:tabs>
        <w:spacing w:line="360" w:lineRule="auto"/>
        <w:rPr>
          <w:rFonts w:ascii="Times New Roman" w:hAnsi="Times New Roman" w:cs="Times New Roman"/>
        </w:rPr>
      </w:pPr>
    </w:p>
    <w:p w14:paraId="51132C10" w14:textId="77777777" w:rsidR="008154C2" w:rsidRPr="00D96958" w:rsidRDefault="008154C2" w:rsidP="00AF6FB4">
      <w:pPr>
        <w:tabs>
          <w:tab w:val="left" w:pos="1280"/>
        </w:tabs>
        <w:spacing w:line="360" w:lineRule="auto"/>
        <w:rPr>
          <w:rFonts w:ascii="Times New Roman" w:hAnsi="Times New Roman" w:cs="Times New Roman"/>
        </w:rPr>
      </w:pPr>
    </w:p>
    <w:p w14:paraId="78C06ADF" w14:textId="5EC5F8FF" w:rsidR="0038418D" w:rsidRPr="00D96958" w:rsidRDefault="0038418D" w:rsidP="00944DE0">
      <w:pPr>
        <w:rPr>
          <w:rFonts w:ascii="Times New Roman" w:hAnsi="Times New Roman" w:cs="Times New Roman"/>
        </w:rPr>
      </w:pPr>
      <w:r w:rsidRPr="00D96958">
        <w:rPr>
          <w:rFonts w:ascii="Times New Roman" w:hAnsi="Times New Roman" w:cs="Times New Roman"/>
        </w:rPr>
        <w:lastRenderedPageBreak/>
        <w:t>References</w:t>
      </w:r>
    </w:p>
    <w:p w14:paraId="7007BDCB" w14:textId="1E712C77" w:rsidR="00750AF8" w:rsidRPr="00D96958" w:rsidRDefault="00750AF8" w:rsidP="00AF6FB4">
      <w:pPr>
        <w:tabs>
          <w:tab w:val="left" w:pos="1280"/>
        </w:tabs>
        <w:spacing w:line="360" w:lineRule="auto"/>
        <w:rPr>
          <w:rFonts w:ascii="Times New Roman" w:hAnsi="Times New Roman" w:cs="Times New Roman"/>
        </w:rPr>
      </w:pPr>
      <w:r w:rsidRPr="00D96958">
        <w:rPr>
          <w:rFonts w:ascii="Times New Roman" w:hAnsi="Times New Roman" w:cs="Times New Roman"/>
        </w:rPr>
        <w:t>Finch, E. and Fafinski, S. (2021) Criminal Law. 8th edn. Harlow</w:t>
      </w:r>
      <w:r w:rsidR="00944DE0">
        <w:rPr>
          <w:rFonts w:ascii="Times New Roman" w:hAnsi="Times New Roman" w:cs="Times New Roman"/>
        </w:rPr>
        <w:t xml:space="preserve">. </w:t>
      </w:r>
      <w:r w:rsidRPr="00D96958">
        <w:rPr>
          <w:rFonts w:ascii="Times New Roman" w:hAnsi="Times New Roman" w:cs="Times New Roman"/>
        </w:rPr>
        <w:t>Pearson Education.</w:t>
      </w:r>
    </w:p>
    <w:p w14:paraId="19B7F3FF" w14:textId="47C0CEAA" w:rsidR="00750AF8" w:rsidRPr="00D96958" w:rsidRDefault="00750AF8" w:rsidP="00AF6FB4">
      <w:pPr>
        <w:tabs>
          <w:tab w:val="left" w:pos="1280"/>
        </w:tabs>
        <w:spacing w:line="360" w:lineRule="auto"/>
        <w:rPr>
          <w:rFonts w:ascii="Times New Roman" w:hAnsi="Times New Roman" w:cs="Times New Roman"/>
        </w:rPr>
      </w:pPr>
      <w:r w:rsidRPr="00D96958">
        <w:rPr>
          <w:rFonts w:ascii="Times New Roman" w:hAnsi="Times New Roman" w:cs="Times New Roman"/>
        </w:rPr>
        <w:t>Herring, J. (2022) Criminal Law</w:t>
      </w:r>
      <w:r w:rsidR="00944DE0">
        <w:rPr>
          <w:rFonts w:ascii="Times New Roman" w:hAnsi="Times New Roman" w:cs="Times New Roman"/>
        </w:rPr>
        <w:t>.</w:t>
      </w:r>
      <w:r w:rsidRPr="00D96958">
        <w:rPr>
          <w:rFonts w:ascii="Times New Roman" w:hAnsi="Times New Roman" w:cs="Times New Roman"/>
        </w:rPr>
        <w:t xml:space="preserve"> Text, Cases, and Materials. 10th edn. Oxford</w:t>
      </w:r>
      <w:r w:rsidR="00AE69F7" w:rsidRPr="00D96958">
        <w:rPr>
          <w:rFonts w:ascii="Times New Roman" w:hAnsi="Times New Roman" w:cs="Times New Roman"/>
        </w:rPr>
        <w:t xml:space="preserve"> </w:t>
      </w:r>
      <w:r w:rsidRPr="00D96958">
        <w:rPr>
          <w:rFonts w:ascii="Times New Roman" w:hAnsi="Times New Roman" w:cs="Times New Roman"/>
        </w:rPr>
        <w:t>Oxford University Press.</w:t>
      </w:r>
    </w:p>
    <w:p w14:paraId="5BCFCCC9" w14:textId="56C5048A" w:rsidR="00750AF8" w:rsidRPr="00D96958" w:rsidRDefault="00750AF8" w:rsidP="00AF6FB4">
      <w:pPr>
        <w:tabs>
          <w:tab w:val="left" w:pos="1280"/>
        </w:tabs>
        <w:spacing w:line="360" w:lineRule="auto"/>
        <w:rPr>
          <w:rFonts w:ascii="Times New Roman" w:hAnsi="Times New Roman" w:cs="Times New Roman"/>
        </w:rPr>
      </w:pPr>
      <w:r w:rsidRPr="00D96958">
        <w:rPr>
          <w:rFonts w:ascii="Times New Roman" w:hAnsi="Times New Roman" w:cs="Times New Roman"/>
        </w:rPr>
        <w:t>Macdonald, S.K. (2018) Text, Cases, and Materials on Criminal Law. 2</w:t>
      </w:r>
      <w:r w:rsidR="00C8188D" w:rsidRPr="00D96958">
        <w:rPr>
          <w:rFonts w:ascii="Times New Roman" w:hAnsi="Times New Roman" w:cs="Times New Roman"/>
          <w:vertAlign w:val="superscript"/>
        </w:rPr>
        <w:t>nd</w:t>
      </w:r>
      <w:r w:rsidR="00C8188D" w:rsidRPr="00D96958">
        <w:rPr>
          <w:rFonts w:ascii="Times New Roman" w:hAnsi="Times New Roman" w:cs="Times New Roman"/>
        </w:rPr>
        <w:t xml:space="preserve"> edn</w:t>
      </w:r>
      <w:r w:rsidRPr="00D96958">
        <w:rPr>
          <w:rFonts w:ascii="Times New Roman" w:hAnsi="Times New Roman" w:cs="Times New Roman"/>
        </w:rPr>
        <w:t>. Harlow</w:t>
      </w:r>
      <w:r w:rsidR="00AE69F7" w:rsidRPr="00D96958">
        <w:rPr>
          <w:rFonts w:ascii="Times New Roman" w:hAnsi="Times New Roman" w:cs="Times New Roman"/>
        </w:rPr>
        <w:t>.</w:t>
      </w:r>
      <w:r w:rsidRPr="00D96958">
        <w:rPr>
          <w:rFonts w:ascii="Times New Roman" w:hAnsi="Times New Roman" w:cs="Times New Roman"/>
        </w:rPr>
        <w:t xml:space="preserve"> Pearson Education Limited.</w:t>
      </w:r>
    </w:p>
    <w:p w14:paraId="5FE0ABD2" w14:textId="01D4A836" w:rsidR="00556444" w:rsidRPr="00D96958" w:rsidRDefault="00750AF8" w:rsidP="00AF6FB4">
      <w:pPr>
        <w:tabs>
          <w:tab w:val="left" w:pos="1280"/>
        </w:tabs>
        <w:spacing w:line="360" w:lineRule="auto"/>
        <w:rPr>
          <w:rFonts w:ascii="Times New Roman" w:hAnsi="Times New Roman" w:cs="Times New Roman"/>
        </w:rPr>
      </w:pPr>
      <w:r w:rsidRPr="00D96958">
        <w:rPr>
          <w:rFonts w:ascii="Times New Roman" w:hAnsi="Times New Roman" w:cs="Times New Roman"/>
        </w:rPr>
        <w:t>Taylor, R. (2018) Elliott and Quinn’s Criminal Law. 12th edn. Harlow</w:t>
      </w:r>
      <w:r w:rsidR="00AE69F7" w:rsidRPr="00D96958">
        <w:rPr>
          <w:rFonts w:ascii="Times New Roman" w:hAnsi="Times New Roman" w:cs="Times New Roman"/>
        </w:rPr>
        <w:t>.</w:t>
      </w:r>
      <w:r w:rsidRPr="00D96958">
        <w:rPr>
          <w:rFonts w:ascii="Times New Roman" w:hAnsi="Times New Roman" w:cs="Times New Roman"/>
        </w:rPr>
        <w:t xml:space="preserve"> Pearson Education </w:t>
      </w:r>
      <w:r w:rsidR="00C8188D" w:rsidRPr="00D96958">
        <w:rPr>
          <w:rFonts w:ascii="Times New Roman" w:hAnsi="Times New Roman" w:cs="Times New Roman"/>
        </w:rPr>
        <w:t xml:space="preserve">Limited. </w:t>
      </w:r>
    </w:p>
    <w:p w14:paraId="52DB60B5" w14:textId="4D504D75" w:rsidR="0038418D" w:rsidRPr="00D96958" w:rsidRDefault="00C8188D" w:rsidP="00AF6FB4">
      <w:pPr>
        <w:tabs>
          <w:tab w:val="left" w:pos="1280"/>
        </w:tabs>
        <w:spacing w:line="360" w:lineRule="auto"/>
        <w:rPr>
          <w:rFonts w:ascii="Times New Roman" w:hAnsi="Times New Roman" w:cs="Times New Roman"/>
        </w:rPr>
      </w:pPr>
      <w:r w:rsidRPr="00D96958">
        <w:rPr>
          <w:rFonts w:ascii="Times New Roman" w:hAnsi="Times New Roman" w:cs="Times New Roman"/>
        </w:rPr>
        <w:t>Ashworth</w:t>
      </w:r>
      <w:r w:rsidR="0038418D" w:rsidRPr="00D96958">
        <w:rPr>
          <w:rFonts w:ascii="Times New Roman" w:hAnsi="Times New Roman" w:cs="Times New Roman"/>
        </w:rPr>
        <w:t>, A. (1989) Principles of Criminal Law. Oxford</w:t>
      </w:r>
      <w:r w:rsidR="00AE69F7" w:rsidRPr="00D96958">
        <w:rPr>
          <w:rFonts w:ascii="Times New Roman" w:hAnsi="Times New Roman" w:cs="Times New Roman"/>
        </w:rPr>
        <w:t>.</w:t>
      </w:r>
      <w:r w:rsidR="0038418D" w:rsidRPr="00D96958">
        <w:rPr>
          <w:rFonts w:ascii="Times New Roman" w:hAnsi="Times New Roman" w:cs="Times New Roman"/>
        </w:rPr>
        <w:t xml:space="preserve"> Oxford University Press.</w:t>
      </w:r>
    </w:p>
    <w:p w14:paraId="0EABAC24" w14:textId="3A5ECEE4" w:rsidR="0038418D" w:rsidRPr="00D96958" w:rsidRDefault="0038418D" w:rsidP="00AF6FB4">
      <w:pPr>
        <w:tabs>
          <w:tab w:val="left" w:pos="1280"/>
        </w:tabs>
        <w:spacing w:line="360" w:lineRule="auto"/>
        <w:rPr>
          <w:rFonts w:ascii="Times New Roman" w:hAnsi="Times New Roman" w:cs="Times New Roman"/>
        </w:rPr>
      </w:pPr>
      <w:r w:rsidRPr="00D96958">
        <w:rPr>
          <w:rFonts w:ascii="Times New Roman" w:hAnsi="Times New Roman" w:cs="Times New Roman"/>
        </w:rPr>
        <w:t>Ashworth, A. (2013) Positive Obligations in Criminal Law. Oxford</w:t>
      </w:r>
      <w:r w:rsidR="00D54098" w:rsidRPr="00D96958">
        <w:rPr>
          <w:rFonts w:ascii="Times New Roman" w:hAnsi="Times New Roman" w:cs="Times New Roman"/>
        </w:rPr>
        <w:t>.</w:t>
      </w:r>
      <w:r w:rsidRPr="00D96958">
        <w:rPr>
          <w:rFonts w:ascii="Times New Roman" w:hAnsi="Times New Roman" w:cs="Times New Roman"/>
        </w:rPr>
        <w:t xml:space="preserve"> Oxford University Press.</w:t>
      </w:r>
    </w:p>
    <w:p w14:paraId="2D7C8C02" w14:textId="492F7D89" w:rsidR="0038418D" w:rsidRPr="00D96958" w:rsidRDefault="0038418D" w:rsidP="00AF6FB4">
      <w:pPr>
        <w:tabs>
          <w:tab w:val="left" w:pos="1280"/>
        </w:tabs>
        <w:spacing w:line="360" w:lineRule="auto"/>
        <w:rPr>
          <w:rFonts w:ascii="Times New Roman" w:hAnsi="Times New Roman" w:cs="Times New Roman"/>
        </w:rPr>
      </w:pPr>
      <w:r w:rsidRPr="00D96958">
        <w:rPr>
          <w:rFonts w:ascii="Times New Roman" w:hAnsi="Times New Roman" w:cs="Times New Roman"/>
        </w:rPr>
        <w:t>Ashworth, A. and Herring, J. (2022) Principles of Criminal Law. 9th edn. Oxford</w:t>
      </w:r>
      <w:r w:rsidR="00827A44" w:rsidRPr="00D96958">
        <w:rPr>
          <w:rFonts w:ascii="Times New Roman" w:hAnsi="Times New Roman" w:cs="Times New Roman"/>
        </w:rPr>
        <w:t>.</w:t>
      </w:r>
      <w:r w:rsidRPr="00D96958">
        <w:rPr>
          <w:rFonts w:ascii="Times New Roman" w:hAnsi="Times New Roman" w:cs="Times New Roman"/>
        </w:rPr>
        <w:t xml:space="preserve"> Oxford University Press.</w:t>
      </w:r>
    </w:p>
    <w:p w14:paraId="1E13FDA0" w14:textId="77777777" w:rsidR="0038418D" w:rsidRPr="00D96958" w:rsidRDefault="0038418D" w:rsidP="00AF6FB4">
      <w:pPr>
        <w:tabs>
          <w:tab w:val="left" w:pos="1280"/>
        </w:tabs>
        <w:spacing w:line="360" w:lineRule="auto"/>
        <w:rPr>
          <w:rFonts w:ascii="Times New Roman" w:hAnsi="Times New Roman" w:cs="Times New Roman"/>
        </w:rPr>
      </w:pPr>
      <w:r w:rsidRPr="00D96958">
        <w:rPr>
          <w:rFonts w:ascii="Times New Roman" w:hAnsi="Times New Roman" w:cs="Times New Roman"/>
        </w:rPr>
        <w:t>Hussain, S. (2017) ‘Duty to Act in English Criminal Law’, Law Review Journal, 181(3), pp. 102–115.</w:t>
      </w:r>
    </w:p>
    <w:p w14:paraId="348D79A7" w14:textId="3209022F" w:rsidR="00F27A05" w:rsidRPr="00D96958" w:rsidRDefault="005479AD" w:rsidP="00AF6FB4">
      <w:pPr>
        <w:tabs>
          <w:tab w:val="left" w:pos="1280"/>
        </w:tabs>
        <w:spacing w:line="360" w:lineRule="auto"/>
        <w:rPr>
          <w:rFonts w:ascii="Times New Roman" w:hAnsi="Times New Roman" w:cs="Times New Roman"/>
        </w:rPr>
      </w:pPr>
      <w:r w:rsidRPr="00D96958">
        <w:rPr>
          <w:rFonts w:ascii="Times New Roman" w:hAnsi="Times New Roman" w:cs="Times New Roman"/>
        </w:rPr>
        <w:t>Laird, K. (2018) Criminal Law</w:t>
      </w:r>
      <w:r w:rsidR="00D54098" w:rsidRPr="00D96958">
        <w:rPr>
          <w:rFonts w:ascii="Times New Roman" w:hAnsi="Times New Roman" w:cs="Times New Roman"/>
        </w:rPr>
        <w:t>.</w:t>
      </w:r>
      <w:r w:rsidRPr="00D96958">
        <w:rPr>
          <w:rFonts w:ascii="Times New Roman" w:hAnsi="Times New Roman" w:cs="Times New Roman"/>
        </w:rPr>
        <w:t xml:space="preserve"> Directions. 6th edn. Oxford</w:t>
      </w:r>
      <w:r w:rsidR="00827A44" w:rsidRPr="00D96958">
        <w:rPr>
          <w:rFonts w:ascii="Times New Roman" w:hAnsi="Times New Roman" w:cs="Times New Roman"/>
        </w:rPr>
        <w:t>.</w:t>
      </w:r>
      <w:r w:rsidRPr="00D96958">
        <w:rPr>
          <w:rFonts w:ascii="Times New Roman" w:hAnsi="Times New Roman" w:cs="Times New Roman"/>
        </w:rPr>
        <w:t xml:space="preserve"> Oxford University Press.</w:t>
      </w:r>
    </w:p>
    <w:p w14:paraId="4B438123" w14:textId="41CC459B" w:rsidR="005479AD" w:rsidRPr="00D96958" w:rsidRDefault="005479AD" w:rsidP="00AF6FB4">
      <w:pPr>
        <w:tabs>
          <w:tab w:val="left" w:pos="1280"/>
        </w:tabs>
        <w:spacing w:line="360" w:lineRule="auto"/>
        <w:rPr>
          <w:rFonts w:ascii="Times New Roman" w:hAnsi="Times New Roman" w:cs="Times New Roman"/>
        </w:rPr>
      </w:pPr>
      <w:r w:rsidRPr="00D96958">
        <w:rPr>
          <w:rFonts w:ascii="Times New Roman" w:hAnsi="Times New Roman" w:cs="Times New Roman"/>
        </w:rPr>
        <w:t>Ormerod, D. (20</w:t>
      </w:r>
      <w:r w:rsidR="009F2151" w:rsidRPr="00D96958">
        <w:rPr>
          <w:rFonts w:ascii="Times New Roman" w:hAnsi="Times New Roman" w:cs="Times New Roman"/>
        </w:rPr>
        <w:t>22</w:t>
      </w:r>
      <w:r w:rsidRPr="00D96958">
        <w:rPr>
          <w:rFonts w:ascii="Times New Roman" w:hAnsi="Times New Roman" w:cs="Times New Roman"/>
        </w:rPr>
        <w:t>) Smith, Hogan and Ormerod’s Criminal Law. 15th edn. Oxford</w:t>
      </w:r>
      <w:r w:rsidR="00D54098" w:rsidRPr="00D96958">
        <w:rPr>
          <w:rFonts w:ascii="Times New Roman" w:hAnsi="Times New Roman" w:cs="Times New Roman"/>
        </w:rPr>
        <w:t>.</w:t>
      </w:r>
      <w:r w:rsidRPr="00D96958">
        <w:rPr>
          <w:rFonts w:ascii="Times New Roman" w:hAnsi="Times New Roman" w:cs="Times New Roman"/>
        </w:rPr>
        <w:t xml:space="preserve"> Oxford University Press.</w:t>
      </w:r>
    </w:p>
    <w:p w14:paraId="4EB5AC6B" w14:textId="5EB65BA0" w:rsidR="005479AD" w:rsidRPr="00D96958" w:rsidRDefault="005479AD" w:rsidP="00AF6FB4">
      <w:pPr>
        <w:tabs>
          <w:tab w:val="left" w:pos="1280"/>
        </w:tabs>
        <w:spacing w:line="360" w:lineRule="auto"/>
        <w:rPr>
          <w:rFonts w:ascii="Times New Roman" w:hAnsi="Times New Roman" w:cs="Times New Roman"/>
        </w:rPr>
      </w:pPr>
      <w:r w:rsidRPr="00D96958">
        <w:rPr>
          <w:rFonts w:ascii="Times New Roman" w:hAnsi="Times New Roman" w:cs="Times New Roman"/>
        </w:rPr>
        <w:t>The Law Commission (2023) Reform of the Law on Omissions and Duty to Act</w:t>
      </w:r>
      <w:r w:rsidR="00D54098" w:rsidRPr="00D96958">
        <w:rPr>
          <w:rFonts w:ascii="Times New Roman" w:hAnsi="Times New Roman" w:cs="Times New Roman"/>
        </w:rPr>
        <w:t>.</w:t>
      </w:r>
      <w:r w:rsidRPr="00D96958">
        <w:rPr>
          <w:rFonts w:ascii="Times New Roman" w:hAnsi="Times New Roman" w:cs="Times New Roman"/>
        </w:rPr>
        <w:t xml:space="preserve"> Discussion Paper No. 425. London</w:t>
      </w:r>
      <w:r w:rsidR="00D54098" w:rsidRPr="00D96958">
        <w:rPr>
          <w:rFonts w:ascii="Times New Roman" w:hAnsi="Times New Roman" w:cs="Times New Roman"/>
        </w:rPr>
        <w:t>.</w:t>
      </w:r>
      <w:r w:rsidRPr="00D96958">
        <w:rPr>
          <w:rFonts w:ascii="Times New Roman" w:hAnsi="Times New Roman" w:cs="Times New Roman"/>
        </w:rPr>
        <w:t xml:space="preserve"> Law Commission.</w:t>
      </w:r>
    </w:p>
    <w:p w14:paraId="0E42AE93" w14:textId="6949C3E2" w:rsidR="00067D6D" w:rsidRPr="00D96958" w:rsidRDefault="005479AD" w:rsidP="00AF6FB4">
      <w:pPr>
        <w:tabs>
          <w:tab w:val="left" w:pos="1280"/>
        </w:tabs>
        <w:spacing w:line="360" w:lineRule="auto"/>
        <w:rPr>
          <w:rFonts w:ascii="Times New Roman" w:hAnsi="Times New Roman" w:cs="Times New Roman"/>
        </w:rPr>
      </w:pPr>
      <w:r w:rsidRPr="00D96958">
        <w:rPr>
          <w:rFonts w:ascii="Times New Roman" w:hAnsi="Times New Roman" w:cs="Times New Roman"/>
        </w:rPr>
        <w:t>Wilson, W. (1998) Criminal Law</w:t>
      </w:r>
      <w:r w:rsidR="00D54098" w:rsidRPr="00D96958">
        <w:rPr>
          <w:rFonts w:ascii="Times New Roman" w:hAnsi="Times New Roman" w:cs="Times New Roman"/>
        </w:rPr>
        <w:t>.</w:t>
      </w:r>
      <w:r w:rsidRPr="00D96958">
        <w:rPr>
          <w:rFonts w:ascii="Times New Roman" w:hAnsi="Times New Roman" w:cs="Times New Roman"/>
        </w:rPr>
        <w:t xml:space="preserve"> Doctrine and Theory. London</w:t>
      </w:r>
      <w:r w:rsidR="00954C1B" w:rsidRPr="00D96958">
        <w:rPr>
          <w:rFonts w:ascii="Times New Roman" w:hAnsi="Times New Roman" w:cs="Times New Roman"/>
        </w:rPr>
        <w:t>.</w:t>
      </w:r>
      <w:r w:rsidRPr="00D96958">
        <w:rPr>
          <w:rFonts w:ascii="Times New Roman" w:hAnsi="Times New Roman" w:cs="Times New Roman"/>
        </w:rPr>
        <w:t xml:space="preserve"> Longman.</w:t>
      </w:r>
    </w:p>
    <w:p w14:paraId="5DA034C1" w14:textId="5B621675" w:rsidR="00067D6D" w:rsidRPr="00D96958" w:rsidRDefault="00067D6D" w:rsidP="00AF6FB4">
      <w:pPr>
        <w:tabs>
          <w:tab w:val="left" w:pos="1280"/>
        </w:tabs>
        <w:spacing w:line="360" w:lineRule="auto"/>
        <w:rPr>
          <w:rFonts w:ascii="Times New Roman" w:hAnsi="Times New Roman" w:cs="Times New Roman"/>
        </w:rPr>
      </w:pPr>
      <w:r w:rsidRPr="00D96958">
        <w:rPr>
          <w:rFonts w:ascii="Times New Roman" w:hAnsi="Times New Roman" w:cs="Times New Roman"/>
        </w:rPr>
        <w:t>Caparo Industries plc v Dickman [1990] 2 AC 605</w:t>
      </w:r>
      <w:r w:rsidR="00954C1B" w:rsidRPr="00D96958">
        <w:rPr>
          <w:rFonts w:ascii="Times New Roman" w:hAnsi="Times New Roman" w:cs="Times New Roman"/>
        </w:rPr>
        <w:t>.</w:t>
      </w:r>
    </w:p>
    <w:p w14:paraId="427AFF4B" w14:textId="2B2D3A2C" w:rsidR="00067D6D" w:rsidRPr="00D96958" w:rsidRDefault="00067D6D" w:rsidP="00AF6FB4">
      <w:pPr>
        <w:tabs>
          <w:tab w:val="left" w:pos="1280"/>
        </w:tabs>
        <w:spacing w:line="360" w:lineRule="auto"/>
        <w:rPr>
          <w:rFonts w:ascii="Times New Roman" w:hAnsi="Times New Roman" w:cs="Times New Roman"/>
        </w:rPr>
      </w:pPr>
      <w:r w:rsidRPr="00D96958">
        <w:rPr>
          <w:rFonts w:ascii="Times New Roman" w:hAnsi="Times New Roman" w:cs="Times New Roman"/>
        </w:rPr>
        <w:t>Domestic Violence, Crime and Victims Act 2004</w:t>
      </w:r>
      <w:r w:rsidR="00F71D45" w:rsidRPr="00D96958">
        <w:rPr>
          <w:rFonts w:ascii="Times New Roman" w:hAnsi="Times New Roman" w:cs="Times New Roman"/>
        </w:rPr>
        <w:t>.</w:t>
      </w:r>
    </w:p>
    <w:p w14:paraId="49F299F0" w14:textId="64A577A2" w:rsidR="00067D6D" w:rsidRPr="00D96958" w:rsidRDefault="00067D6D" w:rsidP="00AF6FB4">
      <w:pPr>
        <w:tabs>
          <w:tab w:val="left" w:pos="1280"/>
        </w:tabs>
        <w:spacing w:line="360" w:lineRule="auto"/>
        <w:rPr>
          <w:rFonts w:ascii="Times New Roman" w:hAnsi="Times New Roman" w:cs="Times New Roman"/>
        </w:rPr>
      </w:pPr>
      <w:r w:rsidRPr="00D96958">
        <w:rPr>
          <w:rFonts w:ascii="Times New Roman" w:hAnsi="Times New Roman" w:cs="Times New Roman"/>
        </w:rPr>
        <w:t>Road Traffic Act 1988</w:t>
      </w:r>
      <w:r w:rsidR="00F71D45" w:rsidRPr="00D96958">
        <w:rPr>
          <w:rFonts w:ascii="Times New Roman" w:hAnsi="Times New Roman" w:cs="Times New Roman"/>
        </w:rPr>
        <w:t>.</w:t>
      </w:r>
    </w:p>
    <w:p w14:paraId="5A328F2A" w14:textId="2DE27B6B" w:rsidR="009B58B8" w:rsidRPr="00D96958" w:rsidRDefault="00067D6D" w:rsidP="00AF6FB4">
      <w:pPr>
        <w:tabs>
          <w:tab w:val="left" w:pos="1280"/>
        </w:tabs>
        <w:spacing w:line="360" w:lineRule="auto"/>
        <w:rPr>
          <w:rFonts w:ascii="Times New Roman" w:hAnsi="Times New Roman" w:cs="Times New Roman"/>
        </w:rPr>
      </w:pPr>
      <w:r w:rsidRPr="00D96958">
        <w:rPr>
          <w:rFonts w:ascii="Times New Roman" w:hAnsi="Times New Roman" w:cs="Times New Roman"/>
        </w:rPr>
        <w:t>Terrorism Act 2000</w:t>
      </w:r>
      <w:r w:rsidR="00F71D45" w:rsidRPr="00D96958">
        <w:rPr>
          <w:rFonts w:ascii="Times New Roman" w:hAnsi="Times New Roman" w:cs="Times New Roman"/>
        </w:rPr>
        <w:t>.</w:t>
      </w:r>
    </w:p>
    <w:p w14:paraId="1ECB28A0" w14:textId="180BD17C" w:rsidR="009B58B8" w:rsidRPr="00D96958" w:rsidRDefault="009B58B8" w:rsidP="00AF6FB4">
      <w:pPr>
        <w:tabs>
          <w:tab w:val="left" w:pos="1280"/>
        </w:tabs>
        <w:spacing w:line="360" w:lineRule="auto"/>
        <w:rPr>
          <w:rFonts w:ascii="Times New Roman" w:hAnsi="Times New Roman" w:cs="Times New Roman"/>
        </w:rPr>
      </w:pPr>
      <w:r w:rsidRPr="00D96958">
        <w:rPr>
          <w:rFonts w:ascii="Times New Roman" w:hAnsi="Times New Roman" w:cs="Times New Roman"/>
        </w:rPr>
        <w:t xml:space="preserve">Donoghue v Stevenson [1932] AC 562 </w:t>
      </w:r>
    </w:p>
    <w:p w14:paraId="72E25764" w14:textId="78E272EE" w:rsidR="009B58B8" w:rsidRPr="00D96958" w:rsidRDefault="009B58B8" w:rsidP="00AF6FB4">
      <w:pPr>
        <w:tabs>
          <w:tab w:val="left" w:pos="1280"/>
        </w:tabs>
        <w:spacing w:line="360" w:lineRule="auto"/>
        <w:rPr>
          <w:rFonts w:ascii="Times New Roman" w:hAnsi="Times New Roman" w:cs="Times New Roman"/>
        </w:rPr>
      </w:pPr>
      <w:r w:rsidRPr="00D96958">
        <w:rPr>
          <w:rFonts w:ascii="Times New Roman" w:hAnsi="Times New Roman" w:cs="Times New Roman"/>
        </w:rPr>
        <w:t xml:space="preserve">Home Office v Dorset Yacht Co Ltd [1970] AC 1004 </w:t>
      </w:r>
    </w:p>
    <w:p w14:paraId="50F5E18D" w14:textId="2621C3DB" w:rsidR="009B58B8" w:rsidRPr="00D96958" w:rsidRDefault="009B58B8" w:rsidP="00AF6FB4">
      <w:pPr>
        <w:tabs>
          <w:tab w:val="left" w:pos="1280"/>
        </w:tabs>
        <w:spacing w:line="360" w:lineRule="auto"/>
        <w:rPr>
          <w:rFonts w:ascii="Times New Roman" w:hAnsi="Times New Roman" w:cs="Times New Roman"/>
        </w:rPr>
      </w:pPr>
      <w:r w:rsidRPr="00D96958">
        <w:rPr>
          <w:rFonts w:ascii="Times New Roman" w:hAnsi="Times New Roman" w:cs="Times New Roman"/>
        </w:rPr>
        <w:t xml:space="preserve">R v Gibbins and Proctor [1918] 13 Cr App R 134 </w:t>
      </w:r>
    </w:p>
    <w:p w14:paraId="5E8B4579" w14:textId="0D3450AD" w:rsidR="009B58B8" w:rsidRPr="00D96958" w:rsidRDefault="009B58B8" w:rsidP="00AF6FB4">
      <w:pPr>
        <w:tabs>
          <w:tab w:val="left" w:pos="1280"/>
        </w:tabs>
        <w:spacing w:line="360" w:lineRule="auto"/>
        <w:rPr>
          <w:rFonts w:ascii="Times New Roman" w:hAnsi="Times New Roman" w:cs="Times New Roman"/>
        </w:rPr>
      </w:pPr>
      <w:r w:rsidRPr="00D96958">
        <w:rPr>
          <w:rFonts w:ascii="Times New Roman" w:hAnsi="Times New Roman" w:cs="Times New Roman"/>
        </w:rPr>
        <w:t xml:space="preserve">R v Khan and Khan [1998] Crim LR 830 </w:t>
      </w:r>
    </w:p>
    <w:p w14:paraId="17B0B782" w14:textId="47F6A229" w:rsidR="009B58B8" w:rsidRPr="00D96958" w:rsidRDefault="009B58B8" w:rsidP="00AF6FB4">
      <w:pPr>
        <w:tabs>
          <w:tab w:val="left" w:pos="1280"/>
        </w:tabs>
        <w:spacing w:line="360" w:lineRule="auto"/>
        <w:rPr>
          <w:rFonts w:ascii="Times New Roman" w:hAnsi="Times New Roman" w:cs="Times New Roman"/>
        </w:rPr>
      </w:pPr>
      <w:r w:rsidRPr="00D96958">
        <w:rPr>
          <w:rFonts w:ascii="Times New Roman" w:hAnsi="Times New Roman" w:cs="Times New Roman"/>
        </w:rPr>
        <w:t xml:space="preserve">R v Miller [1983] 2 AC 161 </w:t>
      </w:r>
    </w:p>
    <w:p w14:paraId="572DE88F" w14:textId="5471C912" w:rsidR="009B58B8" w:rsidRPr="00D96958" w:rsidRDefault="009B58B8" w:rsidP="00AF6FB4">
      <w:pPr>
        <w:tabs>
          <w:tab w:val="left" w:pos="1280"/>
        </w:tabs>
        <w:spacing w:line="360" w:lineRule="auto"/>
        <w:rPr>
          <w:rFonts w:ascii="Times New Roman" w:hAnsi="Times New Roman" w:cs="Times New Roman"/>
        </w:rPr>
      </w:pPr>
      <w:r w:rsidRPr="00D96958">
        <w:rPr>
          <w:rFonts w:ascii="Times New Roman" w:hAnsi="Times New Roman" w:cs="Times New Roman"/>
        </w:rPr>
        <w:t xml:space="preserve">R v Pittwood [1902] 19 TLR 37 </w:t>
      </w:r>
    </w:p>
    <w:p w14:paraId="00D757E1" w14:textId="68F5F8E2" w:rsidR="009B58B8" w:rsidRPr="00D96958" w:rsidRDefault="009B58B8" w:rsidP="00AF6FB4">
      <w:pPr>
        <w:tabs>
          <w:tab w:val="left" w:pos="1280"/>
        </w:tabs>
        <w:spacing w:line="360" w:lineRule="auto"/>
        <w:rPr>
          <w:rFonts w:ascii="Times New Roman" w:hAnsi="Times New Roman" w:cs="Times New Roman"/>
        </w:rPr>
      </w:pPr>
      <w:r w:rsidRPr="00D96958">
        <w:rPr>
          <w:rFonts w:ascii="Times New Roman" w:hAnsi="Times New Roman" w:cs="Times New Roman"/>
        </w:rPr>
        <w:lastRenderedPageBreak/>
        <w:t xml:space="preserve">R v Sinclair, John and Smith [1998] Crim LR 830 </w:t>
      </w:r>
    </w:p>
    <w:p w14:paraId="34C96AC0" w14:textId="32DB672B" w:rsidR="008154C2" w:rsidRPr="00D96958" w:rsidRDefault="009B58B8" w:rsidP="00AF6FB4">
      <w:pPr>
        <w:tabs>
          <w:tab w:val="left" w:pos="1280"/>
        </w:tabs>
        <w:spacing w:line="360" w:lineRule="auto"/>
        <w:rPr>
          <w:rFonts w:ascii="Times New Roman" w:hAnsi="Times New Roman" w:cs="Times New Roman"/>
        </w:rPr>
      </w:pPr>
      <w:r w:rsidRPr="00D96958">
        <w:rPr>
          <w:rFonts w:ascii="Times New Roman" w:hAnsi="Times New Roman" w:cs="Times New Roman"/>
        </w:rPr>
        <w:t xml:space="preserve">R v Stone and Dobinson [1977] QB 354 </w:t>
      </w:r>
    </w:p>
    <w:sectPr w:rsidR="008154C2" w:rsidRPr="00D96958" w:rsidSect="005A377B">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D9E0E0" w14:textId="77777777" w:rsidR="005169DF" w:rsidRDefault="005169DF" w:rsidP="005A377B">
      <w:pPr>
        <w:spacing w:after="0" w:line="240" w:lineRule="auto"/>
      </w:pPr>
      <w:r>
        <w:separator/>
      </w:r>
    </w:p>
  </w:endnote>
  <w:endnote w:type="continuationSeparator" w:id="0">
    <w:p w14:paraId="4770C643" w14:textId="77777777" w:rsidR="005169DF" w:rsidRDefault="005169DF" w:rsidP="005A37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1374197"/>
      <w:docPartObj>
        <w:docPartGallery w:val="Page Numbers (Bottom of Page)"/>
        <w:docPartUnique/>
      </w:docPartObj>
    </w:sdtPr>
    <w:sdtContent>
      <w:p w14:paraId="096C7480" w14:textId="36EC42FE" w:rsidR="005A377B" w:rsidRDefault="005A377B">
        <w:pPr>
          <w:pStyle w:val="Footer"/>
        </w:pPr>
        <w:r>
          <w:fldChar w:fldCharType="begin"/>
        </w:r>
        <w:r>
          <w:instrText>PAGE   \* MERGEFORMAT</w:instrText>
        </w:r>
        <w:r>
          <w:fldChar w:fldCharType="separate"/>
        </w:r>
        <w:r>
          <w:t>2</w:t>
        </w:r>
        <w:r>
          <w:fldChar w:fldCharType="end"/>
        </w:r>
      </w:p>
    </w:sdtContent>
  </w:sdt>
  <w:p w14:paraId="6834E1CB" w14:textId="77777777" w:rsidR="005A377B" w:rsidRDefault="005A37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5C2143" w14:textId="77777777" w:rsidR="005169DF" w:rsidRDefault="005169DF" w:rsidP="005A377B">
      <w:pPr>
        <w:spacing w:after="0" w:line="240" w:lineRule="auto"/>
      </w:pPr>
      <w:r>
        <w:separator/>
      </w:r>
    </w:p>
  </w:footnote>
  <w:footnote w:type="continuationSeparator" w:id="0">
    <w:p w14:paraId="5C03BDFC" w14:textId="77777777" w:rsidR="005169DF" w:rsidRDefault="005169DF" w:rsidP="005A37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10C"/>
    <w:rsid w:val="000050C9"/>
    <w:rsid w:val="0000720B"/>
    <w:rsid w:val="00011B2B"/>
    <w:rsid w:val="0001468F"/>
    <w:rsid w:val="00021442"/>
    <w:rsid w:val="000216E0"/>
    <w:rsid w:val="00021D21"/>
    <w:rsid w:val="0004178C"/>
    <w:rsid w:val="0004521B"/>
    <w:rsid w:val="00046357"/>
    <w:rsid w:val="000465C4"/>
    <w:rsid w:val="00054833"/>
    <w:rsid w:val="00056EBE"/>
    <w:rsid w:val="0006156B"/>
    <w:rsid w:val="000617E0"/>
    <w:rsid w:val="000645B7"/>
    <w:rsid w:val="00067D6D"/>
    <w:rsid w:val="00072E37"/>
    <w:rsid w:val="00073826"/>
    <w:rsid w:val="00077F4F"/>
    <w:rsid w:val="000829B8"/>
    <w:rsid w:val="000947CD"/>
    <w:rsid w:val="0009675D"/>
    <w:rsid w:val="000B5B6A"/>
    <w:rsid w:val="000B5C3B"/>
    <w:rsid w:val="000C29D9"/>
    <w:rsid w:val="000D30AA"/>
    <w:rsid w:val="000D4187"/>
    <w:rsid w:val="000D4909"/>
    <w:rsid w:val="000E163C"/>
    <w:rsid w:val="000E6C47"/>
    <w:rsid w:val="000F4DB8"/>
    <w:rsid w:val="00100B72"/>
    <w:rsid w:val="001065DB"/>
    <w:rsid w:val="0010796C"/>
    <w:rsid w:val="00114F2E"/>
    <w:rsid w:val="001170C6"/>
    <w:rsid w:val="001205AC"/>
    <w:rsid w:val="00126AB6"/>
    <w:rsid w:val="00127987"/>
    <w:rsid w:val="00130E7A"/>
    <w:rsid w:val="001427C7"/>
    <w:rsid w:val="0014584D"/>
    <w:rsid w:val="00146C3A"/>
    <w:rsid w:val="00147401"/>
    <w:rsid w:val="00151012"/>
    <w:rsid w:val="0015308E"/>
    <w:rsid w:val="00154AAE"/>
    <w:rsid w:val="001731C3"/>
    <w:rsid w:val="00175817"/>
    <w:rsid w:val="00184A18"/>
    <w:rsid w:val="0019120A"/>
    <w:rsid w:val="001977F1"/>
    <w:rsid w:val="001A06BB"/>
    <w:rsid w:val="001A521B"/>
    <w:rsid w:val="001B0C1D"/>
    <w:rsid w:val="001B192F"/>
    <w:rsid w:val="001B3388"/>
    <w:rsid w:val="001C03E2"/>
    <w:rsid w:val="001C756D"/>
    <w:rsid w:val="001C7A1D"/>
    <w:rsid w:val="001D3A8C"/>
    <w:rsid w:val="001D781F"/>
    <w:rsid w:val="001E526A"/>
    <w:rsid w:val="001F0D86"/>
    <w:rsid w:val="001F243C"/>
    <w:rsid w:val="001F761B"/>
    <w:rsid w:val="0020125B"/>
    <w:rsid w:val="00227C26"/>
    <w:rsid w:val="0023054B"/>
    <w:rsid w:val="0023792A"/>
    <w:rsid w:val="00243797"/>
    <w:rsid w:val="002479E8"/>
    <w:rsid w:val="00251328"/>
    <w:rsid w:val="0025177F"/>
    <w:rsid w:val="0026092C"/>
    <w:rsid w:val="00260BCF"/>
    <w:rsid w:val="00263920"/>
    <w:rsid w:val="00264542"/>
    <w:rsid w:val="00265C20"/>
    <w:rsid w:val="00272594"/>
    <w:rsid w:val="002725AA"/>
    <w:rsid w:val="00274534"/>
    <w:rsid w:val="0027581D"/>
    <w:rsid w:val="0027701D"/>
    <w:rsid w:val="00280316"/>
    <w:rsid w:val="0028132B"/>
    <w:rsid w:val="00287A3A"/>
    <w:rsid w:val="00291556"/>
    <w:rsid w:val="002928E8"/>
    <w:rsid w:val="00295DAC"/>
    <w:rsid w:val="002A0D01"/>
    <w:rsid w:val="002A1AAC"/>
    <w:rsid w:val="002B0024"/>
    <w:rsid w:val="002B1B50"/>
    <w:rsid w:val="002C27B3"/>
    <w:rsid w:val="002C6317"/>
    <w:rsid w:val="002D66C2"/>
    <w:rsid w:val="002D757C"/>
    <w:rsid w:val="002D775A"/>
    <w:rsid w:val="00316512"/>
    <w:rsid w:val="00335DC2"/>
    <w:rsid w:val="0033752D"/>
    <w:rsid w:val="0034166E"/>
    <w:rsid w:val="00341A10"/>
    <w:rsid w:val="00342D20"/>
    <w:rsid w:val="003472A2"/>
    <w:rsid w:val="003520A2"/>
    <w:rsid w:val="00352102"/>
    <w:rsid w:val="0035476B"/>
    <w:rsid w:val="00362925"/>
    <w:rsid w:val="00372D2E"/>
    <w:rsid w:val="00373549"/>
    <w:rsid w:val="0037705B"/>
    <w:rsid w:val="0038418D"/>
    <w:rsid w:val="00385D8C"/>
    <w:rsid w:val="003863F2"/>
    <w:rsid w:val="003A3BC5"/>
    <w:rsid w:val="003A5384"/>
    <w:rsid w:val="003A5E25"/>
    <w:rsid w:val="003A68FF"/>
    <w:rsid w:val="003A77E9"/>
    <w:rsid w:val="003B046A"/>
    <w:rsid w:val="003B2AF7"/>
    <w:rsid w:val="003B74E5"/>
    <w:rsid w:val="003B76CE"/>
    <w:rsid w:val="003C26BF"/>
    <w:rsid w:val="003C7821"/>
    <w:rsid w:val="003D0277"/>
    <w:rsid w:val="003D16A5"/>
    <w:rsid w:val="003D175F"/>
    <w:rsid w:val="003D443D"/>
    <w:rsid w:val="003D49D8"/>
    <w:rsid w:val="003E60E2"/>
    <w:rsid w:val="003F2D64"/>
    <w:rsid w:val="003F6123"/>
    <w:rsid w:val="004018CF"/>
    <w:rsid w:val="00402DD9"/>
    <w:rsid w:val="00405C77"/>
    <w:rsid w:val="00420430"/>
    <w:rsid w:val="0042172C"/>
    <w:rsid w:val="00421790"/>
    <w:rsid w:val="0042179B"/>
    <w:rsid w:val="00424E12"/>
    <w:rsid w:val="00425CA5"/>
    <w:rsid w:val="004332C8"/>
    <w:rsid w:val="0043375D"/>
    <w:rsid w:val="0043696F"/>
    <w:rsid w:val="00442C12"/>
    <w:rsid w:val="00445AA7"/>
    <w:rsid w:val="00450986"/>
    <w:rsid w:val="0045336C"/>
    <w:rsid w:val="004561D1"/>
    <w:rsid w:val="00457FFD"/>
    <w:rsid w:val="00463BB0"/>
    <w:rsid w:val="00465205"/>
    <w:rsid w:val="00466931"/>
    <w:rsid w:val="00477A0B"/>
    <w:rsid w:val="00477ECE"/>
    <w:rsid w:val="00483B05"/>
    <w:rsid w:val="004905FE"/>
    <w:rsid w:val="0049155B"/>
    <w:rsid w:val="0049401F"/>
    <w:rsid w:val="00497F5B"/>
    <w:rsid w:val="004A3251"/>
    <w:rsid w:val="004B0728"/>
    <w:rsid w:val="004B17D4"/>
    <w:rsid w:val="004B1A05"/>
    <w:rsid w:val="004B3006"/>
    <w:rsid w:val="004B3394"/>
    <w:rsid w:val="004B34A7"/>
    <w:rsid w:val="004B7426"/>
    <w:rsid w:val="004C1957"/>
    <w:rsid w:val="004C2008"/>
    <w:rsid w:val="004C244C"/>
    <w:rsid w:val="004D4314"/>
    <w:rsid w:val="004D7FF9"/>
    <w:rsid w:val="004E41B2"/>
    <w:rsid w:val="004E4665"/>
    <w:rsid w:val="004E66D3"/>
    <w:rsid w:val="005002E0"/>
    <w:rsid w:val="00506AAC"/>
    <w:rsid w:val="00507B72"/>
    <w:rsid w:val="00511856"/>
    <w:rsid w:val="00512302"/>
    <w:rsid w:val="005169DF"/>
    <w:rsid w:val="005177F9"/>
    <w:rsid w:val="00517CFF"/>
    <w:rsid w:val="00517F1F"/>
    <w:rsid w:val="00520CCA"/>
    <w:rsid w:val="00532078"/>
    <w:rsid w:val="00534C70"/>
    <w:rsid w:val="005353D5"/>
    <w:rsid w:val="00541708"/>
    <w:rsid w:val="00541BBA"/>
    <w:rsid w:val="00543CD4"/>
    <w:rsid w:val="0054449D"/>
    <w:rsid w:val="005479AD"/>
    <w:rsid w:val="00551266"/>
    <w:rsid w:val="005514B6"/>
    <w:rsid w:val="00553F98"/>
    <w:rsid w:val="00556444"/>
    <w:rsid w:val="00560350"/>
    <w:rsid w:val="0056124E"/>
    <w:rsid w:val="00561259"/>
    <w:rsid w:val="00563810"/>
    <w:rsid w:val="00566A64"/>
    <w:rsid w:val="0056742D"/>
    <w:rsid w:val="00567547"/>
    <w:rsid w:val="00567B4C"/>
    <w:rsid w:val="00582AF8"/>
    <w:rsid w:val="00585288"/>
    <w:rsid w:val="00586B75"/>
    <w:rsid w:val="0058701E"/>
    <w:rsid w:val="0059049D"/>
    <w:rsid w:val="00595466"/>
    <w:rsid w:val="005A1780"/>
    <w:rsid w:val="005A377B"/>
    <w:rsid w:val="005A74FC"/>
    <w:rsid w:val="005B142F"/>
    <w:rsid w:val="005B2AC3"/>
    <w:rsid w:val="005B441B"/>
    <w:rsid w:val="005C055C"/>
    <w:rsid w:val="005C1BDA"/>
    <w:rsid w:val="005C1EA2"/>
    <w:rsid w:val="005C7482"/>
    <w:rsid w:val="005D128F"/>
    <w:rsid w:val="005D1733"/>
    <w:rsid w:val="005D222F"/>
    <w:rsid w:val="005D56FF"/>
    <w:rsid w:val="005D5C4D"/>
    <w:rsid w:val="005D78B9"/>
    <w:rsid w:val="005D7B85"/>
    <w:rsid w:val="005E128B"/>
    <w:rsid w:val="005E30AF"/>
    <w:rsid w:val="005E65D1"/>
    <w:rsid w:val="005F1A38"/>
    <w:rsid w:val="005F1B46"/>
    <w:rsid w:val="005F55BE"/>
    <w:rsid w:val="005F5EDA"/>
    <w:rsid w:val="005F6AF9"/>
    <w:rsid w:val="00604695"/>
    <w:rsid w:val="006057CD"/>
    <w:rsid w:val="0060728D"/>
    <w:rsid w:val="00613288"/>
    <w:rsid w:val="0061504E"/>
    <w:rsid w:val="00616CC2"/>
    <w:rsid w:val="00617159"/>
    <w:rsid w:val="00620B04"/>
    <w:rsid w:val="006217F0"/>
    <w:rsid w:val="00622FCE"/>
    <w:rsid w:val="0062736C"/>
    <w:rsid w:val="006353F6"/>
    <w:rsid w:val="006378C2"/>
    <w:rsid w:val="006427D4"/>
    <w:rsid w:val="00650A0E"/>
    <w:rsid w:val="006547D3"/>
    <w:rsid w:val="0065492C"/>
    <w:rsid w:val="006561AA"/>
    <w:rsid w:val="00671E05"/>
    <w:rsid w:val="00673D76"/>
    <w:rsid w:val="00680F06"/>
    <w:rsid w:val="00683594"/>
    <w:rsid w:val="00683E4C"/>
    <w:rsid w:val="006A17C2"/>
    <w:rsid w:val="006A1A87"/>
    <w:rsid w:val="006B05C3"/>
    <w:rsid w:val="006B15C6"/>
    <w:rsid w:val="006C07D5"/>
    <w:rsid w:val="006C58CE"/>
    <w:rsid w:val="006D1AB3"/>
    <w:rsid w:val="006D5FA1"/>
    <w:rsid w:val="006D7FBE"/>
    <w:rsid w:val="006E3018"/>
    <w:rsid w:val="006F2F55"/>
    <w:rsid w:val="006F5527"/>
    <w:rsid w:val="007063DE"/>
    <w:rsid w:val="00706611"/>
    <w:rsid w:val="00710193"/>
    <w:rsid w:val="007128B6"/>
    <w:rsid w:val="007164C9"/>
    <w:rsid w:val="0072233F"/>
    <w:rsid w:val="00726ABB"/>
    <w:rsid w:val="007350CD"/>
    <w:rsid w:val="0074265E"/>
    <w:rsid w:val="00742748"/>
    <w:rsid w:val="007443C4"/>
    <w:rsid w:val="00750AF8"/>
    <w:rsid w:val="00750D9E"/>
    <w:rsid w:val="00756A56"/>
    <w:rsid w:val="00765B95"/>
    <w:rsid w:val="00766D09"/>
    <w:rsid w:val="00777990"/>
    <w:rsid w:val="00777D39"/>
    <w:rsid w:val="007817C3"/>
    <w:rsid w:val="00781EC8"/>
    <w:rsid w:val="00782CC9"/>
    <w:rsid w:val="00783749"/>
    <w:rsid w:val="0078735C"/>
    <w:rsid w:val="00791870"/>
    <w:rsid w:val="00796979"/>
    <w:rsid w:val="007A77FA"/>
    <w:rsid w:val="007B294B"/>
    <w:rsid w:val="007B6A36"/>
    <w:rsid w:val="007B7C8F"/>
    <w:rsid w:val="007C42EA"/>
    <w:rsid w:val="007C4D50"/>
    <w:rsid w:val="007C5322"/>
    <w:rsid w:val="007C75D4"/>
    <w:rsid w:val="007C77AC"/>
    <w:rsid w:val="007C7A3B"/>
    <w:rsid w:val="007D037E"/>
    <w:rsid w:val="007D0CA2"/>
    <w:rsid w:val="007D6943"/>
    <w:rsid w:val="007E4492"/>
    <w:rsid w:val="007F4471"/>
    <w:rsid w:val="00802510"/>
    <w:rsid w:val="0080337A"/>
    <w:rsid w:val="008072F5"/>
    <w:rsid w:val="00812338"/>
    <w:rsid w:val="0081345A"/>
    <w:rsid w:val="008154C2"/>
    <w:rsid w:val="00820660"/>
    <w:rsid w:val="00820FE4"/>
    <w:rsid w:val="0082134F"/>
    <w:rsid w:val="008236AB"/>
    <w:rsid w:val="00827A44"/>
    <w:rsid w:val="008305CE"/>
    <w:rsid w:val="00834734"/>
    <w:rsid w:val="008416EE"/>
    <w:rsid w:val="0084253F"/>
    <w:rsid w:val="00845897"/>
    <w:rsid w:val="00846D3E"/>
    <w:rsid w:val="00847951"/>
    <w:rsid w:val="00855FC9"/>
    <w:rsid w:val="00857BD0"/>
    <w:rsid w:val="008629D6"/>
    <w:rsid w:val="00863CEE"/>
    <w:rsid w:val="00864A2F"/>
    <w:rsid w:val="0086568C"/>
    <w:rsid w:val="0087234E"/>
    <w:rsid w:val="008751A8"/>
    <w:rsid w:val="00877D0F"/>
    <w:rsid w:val="00881BBC"/>
    <w:rsid w:val="0088323C"/>
    <w:rsid w:val="00885E27"/>
    <w:rsid w:val="008860A3"/>
    <w:rsid w:val="008B2952"/>
    <w:rsid w:val="008B6198"/>
    <w:rsid w:val="008C3550"/>
    <w:rsid w:val="008C65B3"/>
    <w:rsid w:val="008C6910"/>
    <w:rsid w:val="008D0E2A"/>
    <w:rsid w:val="008D2C1B"/>
    <w:rsid w:val="008D7204"/>
    <w:rsid w:val="008E0842"/>
    <w:rsid w:val="008E5E73"/>
    <w:rsid w:val="008F4B4F"/>
    <w:rsid w:val="008F7E18"/>
    <w:rsid w:val="00905E54"/>
    <w:rsid w:val="0091158C"/>
    <w:rsid w:val="00913B46"/>
    <w:rsid w:val="009163FA"/>
    <w:rsid w:val="00931494"/>
    <w:rsid w:val="0093745F"/>
    <w:rsid w:val="00944DE0"/>
    <w:rsid w:val="00946CFD"/>
    <w:rsid w:val="00951BB0"/>
    <w:rsid w:val="00954C1B"/>
    <w:rsid w:val="0095655F"/>
    <w:rsid w:val="00963E40"/>
    <w:rsid w:val="00964C9F"/>
    <w:rsid w:val="009713B2"/>
    <w:rsid w:val="0097143C"/>
    <w:rsid w:val="009742D2"/>
    <w:rsid w:val="00977ECE"/>
    <w:rsid w:val="00983C23"/>
    <w:rsid w:val="00990161"/>
    <w:rsid w:val="00992D3F"/>
    <w:rsid w:val="009A4FA0"/>
    <w:rsid w:val="009A7C53"/>
    <w:rsid w:val="009B14D0"/>
    <w:rsid w:val="009B58B8"/>
    <w:rsid w:val="009B5BBB"/>
    <w:rsid w:val="009C2CCC"/>
    <w:rsid w:val="009C6C89"/>
    <w:rsid w:val="009C7BEB"/>
    <w:rsid w:val="009D3B66"/>
    <w:rsid w:val="009D4DF0"/>
    <w:rsid w:val="009E3E44"/>
    <w:rsid w:val="009E5128"/>
    <w:rsid w:val="009E6943"/>
    <w:rsid w:val="009F2151"/>
    <w:rsid w:val="009F6B82"/>
    <w:rsid w:val="00A0022C"/>
    <w:rsid w:val="00A02B06"/>
    <w:rsid w:val="00A07282"/>
    <w:rsid w:val="00A10814"/>
    <w:rsid w:val="00A11C06"/>
    <w:rsid w:val="00A15B85"/>
    <w:rsid w:val="00A2378E"/>
    <w:rsid w:val="00A25707"/>
    <w:rsid w:val="00A303BC"/>
    <w:rsid w:val="00A30855"/>
    <w:rsid w:val="00A31EFB"/>
    <w:rsid w:val="00A3216E"/>
    <w:rsid w:val="00A33051"/>
    <w:rsid w:val="00A3778F"/>
    <w:rsid w:val="00A42790"/>
    <w:rsid w:val="00A44643"/>
    <w:rsid w:val="00A50382"/>
    <w:rsid w:val="00A646E1"/>
    <w:rsid w:val="00A64EAD"/>
    <w:rsid w:val="00A7181F"/>
    <w:rsid w:val="00A733BC"/>
    <w:rsid w:val="00A7406B"/>
    <w:rsid w:val="00A75BA7"/>
    <w:rsid w:val="00A8067B"/>
    <w:rsid w:val="00A80A2C"/>
    <w:rsid w:val="00A81CE3"/>
    <w:rsid w:val="00A85292"/>
    <w:rsid w:val="00A90D4F"/>
    <w:rsid w:val="00A91BC9"/>
    <w:rsid w:val="00A93B66"/>
    <w:rsid w:val="00A95592"/>
    <w:rsid w:val="00A95D81"/>
    <w:rsid w:val="00A96F84"/>
    <w:rsid w:val="00AA4D8D"/>
    <w:rsid w:val="00AC5496"/>
    <w:rsid w:val="00AC6473"/>
    <w:rsid w:val="00AC79FA"/>
    <w:rsid w:val="00AD77C6"/>
    <w:rsid w:val="00AE2960"/>
    <w:rsid w:val="00AE5687"/>
    <w:rsid w:val="00AE5E82"/>
    <w:rsid w:val="00AE69F7"/>
    <w:rsid w:val="00AF0FD5"/>
    <w:rsid w:val="00AF2EBB"/>
    <w:rsid w:val="00AF6383"/>
    <w:rsid w:val="00AF6FB4"/>
    <w:rsid w:val="00AF7CC0"/>
    <w:rsid w:val="00B04755"/>
    <w:rsid w:val="00B04D50"/>
    <w:rsid w:val="00B14847"/>
    <w:rsid w:val="00B15DEB"/>
    <w:rsid w:val="00B21B55"/>
    <w:rsid w:val="00B22BC5"/>
    <w:rsid w:val="00B27167"/>
    <w:rsid w:val="00B31989"/>
    <w:rsid w:val="00B35F89"/>
    <w:rsid w:val="00B419F1"/>
    <w:rsid w:val="00B42437"/>
    <w:rsid w:val="00B447A6"/>
    <w:rsid w:val="00B47C05"/>
    <w:rsid w:val="00B55A90"/>
    <w:rsid w:val="00B61E46"/>
    <w:rsid w:val="00B63496"/>
    <w:rsid w:val="00B71C04"/>
    <w:rsid w:val="00B73753"/>
    <w:rsid w:val="00B75686"/>
    <w:rsid w:val="00B769C2"/>
    <w:rsid w:val="00B918F7"/>
    <w:rsid w:val="00B91F1A"/>
    <w:rsid w:val="00B95C5B"/>
    <w:rsid w:val="00B96F08"/>
    <w:rsid w:val="00B974EC"/>
    <w:rsid w:val="00BB246F"/>
    <w:rsid w:val="00BB560D"/>
    <w:rsid w:val="00BB5A7F"/>
    <w:rsid w:val="00BB7028"/>
    <w:rsid w:val="00BC4255"/>
    <w:rsid w:val="00BC614B"/>
    <w:rsid w:val="00BD0A25"/>
    <w:rsid w:val="00BD4CA0"/>
    <w:rsid w:val="00BD6F4E"/>
    <w:rsid w:val="00BE3D50"/>
    <w:rsid w:val="00BF0CBA"/>
    <w:rsid w:val="00BF19D3"/>
    <w:rsid w:val="00C01C62"/>
    <w:rsid w:val="00C029E7"/>
    <w:rsid w:val="00C1491D"/>
    <w:rsid w:val="00C3136D"/>
    <w:rsid w:val="00C40527"/>
    <w:rsid w:val="00C551EB"/>
    <w:rsid w:val="00C56848"/>
    <w:rsid w:val="00C57C35"/>
    <w:rsid w:val="00C6355A"/>
    <w:rsid w:val="00C64FCD"/>
    <w:rsid w:val="00C719DC"/>
    <w:rsid w:val="00C73263"/>
    <w:rsid w:val="00C74914"/>
    <w:rsid w:val="00C77970"/>
    <w:rsid w:val="00C8188D"/>
    <w:rsid w:val="00C93328"/>
    <w:rsid w:val="00C974AD"/>
    <w:rsid w:val="00CA1D5F"/>
    <w:rsid w:val="00CB0640"/>
    <w:rsid w:val="00CB6983"/>
    <w:rsid w:val="00CB7FAF"/>
    <w:rsid w:val="00CC0F2E"/>
    <w:rsid w:val="00CC1999"/>
    <w:rsid w:val="00CD1231"/>
    <w:rsid w:val="00CD6075"/>
    <w:rsid w:val="00CE0646"/>
    <w:rsid w:val="00CE28D7"/>
    <w:rsid w:val="00CE3696"/>
    <w:rsid w:val="00D0667E"/>
    <w:rsid w:val="00D11F8F"/>
    <w:rsid w:val="00D20867"/>
    <w:rsid w:val="00D37CD5"/>
    <w:rsid w:val="00D44ABD"/>
    <w:rsid w:val="00D51EAE"/>
    <w:rsid w:val="00D54098"/>
    <w:rsid w:val="00D561E0"/>
    <w:rsid w:val="00D80C89"/>
    <w:rsid w:val="00D93593"/>
    <w:rsid w:val="00D9367C"/>
    <w:rsid w:val="00D93DD7"/>
    <w:rsid w:val="00D93DF3"/>
    <w:rsid w:val="00D95A94"/>
    <w:rsid w:val="00D96958"/>
    <w:rsid w:val="00DB211B"/>
    <w:rsid w:val="00DB483D"/>
    <w:rsid w:val="00DC5F35"/>
    <w:rsid w:val="00DD219E"/>
    <w:rsid w:val="00DD5EB8"/>
    <w:rsid w:val="00DE2955"/>
    <w:rsid w:val="00DF310C"/>
    <w:rsid w:val="00DF4BF8"/>
    <w:rsid w:val="00DF6C90"/>
    <w:rsid w:val="00E02141"/>
    <w:rsid w:val="00E05376"/>
    <w:rsid w:val="00E069CF"/>
    <w:rsid w:val="00E06B54"/>
    <w:rsid w:val="00E07249"/>
    <w:rsid w:val="00E115EC"/>
    <w:rsid w:val="00E125C6"/>
    <w:rsid w:val="00E135B9"/>
    <w:rsid w:val="00E1403C"/>
    <w:rsid w:val="00E16918"/>
    <w:rsid w:val="00E17C24"/>
    <w:rsid w:val="00E26474"/>
    <w:rsid w:val="00E26C99"/>
    <w:rsid w:val="00E31329"/>
    <w:rsid w:val="00E32CA0"/>
    <w:rsid w:val="00E35329"/>
    <w:rsid w:val="00E37050"/>
    <w:rsid w:val="00E44578"/>
    <w:rsid w:val="00E45B8C"/>
    <w:rsid w:val="00E45F71"/>
    <w:rsid w:val="00E5530D"/>
    <w:rsid w:val="00E6239B"/>
    <w:rsid w:val="00E623CB"/>
    <w:rsid w:val="00E64F6D"/>
    <w:rsid w:val="00E71894"/>
    <w:rsid w:val="00E7364F"/>
    <w:rsid w:val="00E77E39"/>
    <w:rsid w:val="00E80566"/>
    <w:rsid w:val="00E837CA"/>
    <w:rsid w:val="00E862DF"/>
    <w:rsid w:val="00E9221A"/>
    <w:rsid w:val="00E976E1"/>
    <w:rsid w:val="00EB0244"/>
    <w:rsid w:val="00EB33CF"/>
    <w:rsid w:val="00EB4260"/>
    <w:rsid w:val="00EB61AA"/>
    <w:rsid w:val="00EC0D5B"/>
    <w:rsid w:val="00EC48EC"/>
    <w:rsid w:val="00EC4BAA"/>
    <w:rsid w:val="00EC511C"/>
    <w:rsid w:val="00EC7A9C"/>
    <w:rsid w:val="00ED32F0"/>
    <w:rsid w:val="00ED3DCF"/>
    <w:rsid w:val="00ED507B"/>
    <w:rsid w:val="00ED53D4"/>
    <w:rsid w:val="00ED5805"/>
    <w:rsid w:val="00EE2B61"/>
    <w:rsid w:val="00EE2D2D"/>
    <w:rsid w:val="00EF3F5C"/>
    <w:rsid w:val="00EF5CB1"/>
    <w:rsid w:val="00F0028A"/>
    <w:rsid w:val="00F016A0"/>
    <w:rsid w:val="00F0325F"/>
    <w:rsid w:val="00F04154"/>
    <w:rsid w:val="00F14157"/>
    <w:rsid w:val="00F239E2"/>
    <w:rsid w:val="00F240A4"/>
    <w:rsid w:val="00F252B9"/>
    <w:rsid w:val="00F255C4"/>
    <w:rsid w:val="00F273D7"/>
    <w:rsid w:val="00F27A05"/>
    <w:rsid w:val="00F310CF"/>
    <w:rsid w:val="00F34A33"/>
    <w:rsid w:val="00F46CA2"/>
    <w:rsid w:val="00F619E4"/>
    <w:rsid w:val="00F62258"/>
    <w:rsid w:val="00F6296D"/>
    <w:rsid w:val="00F65CC1"/>
    <w:rsid w:val="00F71D45"/>
    <w:rsid w:val="00F8198B"/>
    <w:rsid w:val="00F85671"/>
    <w:rsid w:val="00F85CBF"/>
    <w:rsid w:val="00F908B3"/>
    <w:rsid w:val="00F95DE7"/>
    <w:rsid w:val="00F973D9"/>
    <w:rsid w:val="00FA160B"/>
    <w:rsid w:val="00FB02E0"/>
    <w:rsid w:val="00FB34C4"/>
    <w:rsid w:val="00FB3A96"/>
    <w:rsid w:val="00FB6CE6"/>
    <w:rsid w:val="00FC3734"/>
    <w:rsid w:val="00FC4D68"/>
    <w:rsid w:val="00FC5A4C"/>
    <w:rsid w:val="00FE2946"/>
    <w:rsid w:val="00FE680B"/>
    <w:rsid w:val="00FF0084"/>
    <w:rsid w:val="00FF1049"/>
    <w:rsid w:val="00FF2498"/>
    <w:rsid w:val="00FF4A56"/>
    <w:rsid w:val="00FF5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FC8E0"/>
  <w15:chartTrackingRefBased/>
  <w15:docId w15:val="{5EAD4DE6-F6D8-4327-BF23-17F6A0421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31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31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31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31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31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31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31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31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31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1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31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31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31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31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31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31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31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310C"/>
    <w:rPr>
      <w:rFonts w:eastAsiaTheme="majorEastAsia" w:cstheme="majorBidi"/>
      <w:color w:val="272727" w:themeColor="text1" w:themeTint="D8"/>
    </w:rPr>
  </w:style>
  <w:style w:type="paragraph" w:styleId="Title">
    <w:name w:val="Title"/>
    <w:basedOn w:val="Normal"/>
    <w:next w:val="Normal"/>
    <w:link w:val="TitleChar"/>
    <w:uiPriority w:val="10"/>
    <w:qFormat/>
    <w:rsid w:val="00DF31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31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31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31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310C"/>
    <w:pPr>
      <w:spacing w:before="160"/>
      <w:jc w:val="center"/>
    </w:pPr>
    <w:rPr>
      <w:i/>
      <w:iCs/>
      <w:color w:val="404040" w:themeColor="text1" w:themeTint="BF"/>
    </w:rPr>
  </w:style>
  <w:style w:type="character" w:customStyle="1" w:styleId="QuoteChar">
    <w:name w:val="Quote Char"/>
    <w:basedOn w:val="DefaultParagraphFont"/>
    <w:link w:val="Quote"/>
    <w:uiPriority w:val="29"/>
    <w:rsid w:val="00DF310C"/>
    <w:rPr>
      <w:i/>
      <w:iCs/>
      <w:color w:val="404040" w:themeColor="text1" w:themeTint="BF"/>
    </w:rPr>
  </w:style>
  <w:style w:type="paragraph" w:styleId="ListParagraph">
    <w:name w:val="List Paragraph"/>
    <w:basedOn w:val="Normal"/>
    <w:uiPriority w:val="34"/>
    <w:qFormat/>
    <w:rsid w:val="00DF310C"/>
    <w:pPr>
      <w:ind w:left="720"/>
      <w:contextualSpacing/>
    </w:pPr>
  </w:style>
  <w:style w:type="character" w:styleId="IntenseEmphasis">
    <w:name w:val="Intense Emphasis"/>
    <w:basedOn w:val="DefaultParagraphFont"/>
    <w:uiPriority w:val="21"/>
    <w:qFormat/>
    <w:rsid w:val="00DF310C"/>
    <w:rPr>
      <w:i/>
      <w:iCs/>
      <w:color w:val="0F4761" w:themeColor="accent1" w:themeShade="BF"/>
    </w:rPr>
  </w:style>
  <w:style w:type="paragraph" w:styleId="IntenseQuote">
    <w:name w:val="Intense Quote"/>
    <w:basedOn w:val="Normal"/>
    <w:next w:val="Normal"/>
    <w:link w:val="IntenseQuoteChar"/>
    <w:uiPriority w:val="30"/>
    <w:qFormat/>
    <w:rsid w:val="00DF31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310C"/>
    <w:rPr>
      <w:i/>
      <w:iCs/>
      <w:color w:val="0F4761" w:themeColor="accent1" w:themeShade="BF"/>
    </w:rPr>
  </w:style>
  <w:style w:type="character" w:styleId="IntenseReference">
    <w:name w:val="Intense Reference"/>
    <w:basedOn w:val="DefaultParagraphFont"/>
    <w:uiPriority w:val="32"/>
    <w:qFormat/>
    <w:rsid w:val="00DF310C"/>
    <w:rPr>
      <w:b/>
      <w:bCs/>
      <w:smallCaps/>
      <w:color w:val="0F4761" w:themeColor="accent1" w:themeShade="BF"/>
      <w:spacing w:val="5"/>
    </w:rPr>
  </w:style>
  <w:style w:type="paragraph" w:styleId="NoSpacing">
    <w:name w:val="No Spacing"/>
    <w:link w:val="NoSpacingChar"/>
    <w:uiPriority w:val="1"/>
    <w:qFormat/>
    <w:rsid w:val="005A377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A377B"/>
    <w:rPr>
      <w:rFonts w:eastAsiaTheme="minorEastAsia"/>
      <w:kern w:val="0"/>
      <w:lang w:eastAsia="en-GB"/>
      <w14:ligatures w14:val="none"/>
    </w:rPr>
  </w:style>
  <w:style w:type="paragraph" w:styleId="Header">
    <w:name w:val="header"/>
    <w:basedOn w:val="Normal"/>
    <w:link w:val="HeaderChar"/>
    <w:uiPriority w:val="99"/>
    <w:unhideWhenUsed/>
    <w:rsid w:val="005A37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77B"/>
  </w:style>
  <w:style w:type="paragraph" w:styleId="Footer">
    <w:name w:val="footer"/>
    <w:basedOn w:val="Normal"/>
    <w:link w:val="FooterChar"/>
    <w:uiPriority w:val="99"/>
    <w:unhideWhenUsed/>
    <w:rsid w:val="005A37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77B"/>
  </w:style>
  <w:style w:type="paragraph" w:styleId="NormalWeb">
    <w:name w:val="Normal (Web)"/>
    <w:basedOn w:val="Normal"/>
    <w:uiPriority w:val="99"/>
    <w:semiHidden/>
    <w:unhideWhenUsed/>
    <w:rsid w:val="00DF4BF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589</TotalTime>
  <Pages>6</Pages>
  <Words>1713</Words>
  <Characters>9765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Athoul Chowdhury</dc:creator>
  <cp:keywords/>
  <dc:description/>
  <cp:lastModifiedBy>Athoul Chowdhury</cp:lastModifiedBy>
  <cp:revision>297</cp:revision>
  <dcterms:created xsi:type="dcterms:W3CDTF">2025-11-07T01:30:00Z</dcterms:created>
  <dcterms:modified xsi:type="dcterms:W3CDTF">2025-11-07T23:12:00Z</dcterms:modified>
</cp:coreProperties>
</file>