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1AA59" w14:textId="77777777" w:rsidR="00F00EB5" w:rsidRDefault="00F00EB5" w:rsidP="001E1C10">
      <w:pPr>
        <w:jc w:val="center"/>
        <w:rPr>
          <w:sz w:val="52"/>
          <w:szCs w:val="52"/>
        </w:rPr>
      </w:pPr>
    </w:p>
    <w:p w14:paraId="3BEE1068" w14:textId="55EB41D7" w:rsidR="00F00EB5" w:rsidRDefault="00005217" w:rsidP="00005217">
      <w:pPr>
        <w:pStyle w:val="ListParagraph"/>
        <w:rPr>
          <w:sz w:val="52"/>
          <w:szCs w:val="52"/>
        </w:rPr>
      </w:pPr>
      <w:proofErr w:type="spellStart"/>
      <w:r>
        <w:rPr>
          <w:sz w:val="52"/>
          <w:szCs w:val="52"/>
        </w:rPr>
        <w:t>Lecturel</w:t>
      </w:r>
      <w:proofErr w:type="spellEnd"/>
      <w:r>
        <w:rPr>
          <w:sz w:val="52"/>
          <w:szCs w:val="52"/>
        </w:rPr>
        <w:t xml:space="preserve"> </w:t>
      </w:r>
      <w:r w:rsidR="00891081">
        <w:rPr>
          <w:sz w:val="52"/>
          <w:szCs w:val="52"/>
        </w:rPr>
        <w:t xml:space="preserve">Name </w:t>
      </w:r>
      <w:r w:rsidR="00E25CDA">
        <w:rPr>
          <w:sz w:val="52"/>
          <w:szCs w:val="52"/>
        </w:rPr>
        <w:t xml:space="preserve">:Dr </w:t>
      </w:r>
      <w:proofErr w:type="spellStart"/>
      <w:r w:rsidR="00B3443E">
        <w:rPr>
          <w:sz w:val="52"/>
          <w:szCs w:val="52"/>
        </w:rPr>
        <w:t>Faizu</w:t>
      </w:r>
      <w:proofErr w:type="spellEnd"/>
      <w:r w:rsidR="0067170A">
        <w:rPr>
          <w:sz w:val="52"/>
          <w:szCs w:val="52"/>
        </w:rPr>
        <w:t xml:space="preserve"> Edu</w:t>
      </w:r>
    </w:p>
    <w:p w14:paraId="3D49AC06" w14:textId="504A3BC3" w:rsidR="00C05C18" w:rsidRDefault="00EA7F23" w:rsidP="00005217">
      <w:pPr>
        <w:pStyle w:val="ListParagraph"/>
        <w:rPr>
          <w:sz w:val="52"/>
          <w:szCs w:val="52"/>
        </w:rPr>
      </w:pPr>
      <w:r>
        <w:rPr>
          <w:sz w:val="52"/>
          <w:szCs w:val="52"/>
        </w:rPr>
        <w:t>Student</w:t>
      </w:r>
      <w:r w:rsidR="004D65B0">
        <w:rPr>
          <w:sz w:val="52"/>
          <w:szCs w:val="52"/>
        </w:rPr>
        <w:t xml:space="preserve"> number:211</w:t>
      </w:r>
      <w:r w:rsidR="007F0897">
        <w:rPr>
          <w:sz w:val="52"/>
          <w:szCs w:val="52"/>
        </w:rPr>
        <w:t>2586</w:t>
      </w:r>
    </w:p>
    <w:p w14:paraId="75DC72ED" w14:textId="77777777" w:rsidR="0031714B" w:rsidRDefault="00142685" w:rsidP="00142685">
      <w:pPr>
        <w:rPr>
          <w:sz w:val="52"/>
          <w:szCs w:val="52"/>
        </w:rPr>
      </w:pPr>
      <w:r>
        <w:rPr>
          <w:sz w:val="52"/>
          <w:szCs w:val="52"/>
        </w:rPr>
        <w:t xml:space="preserve">     Module</w:t>
      </w:r>
      <w:r w:rsidR="00AA3A66">
        <w:rPr>
          <w:sz w:val="52"/>
          <w:szCs w:val="52"/>
        </w:rPr>
        <w:t xml:space="preserve"> </w:t>
      </w:r>
      <w:r w:rsidR="0031714B">
        <w:rPr>
          <w:sz w:val="52"/>
          <w:szCs w:val="52"/>
        </w:rPr>
        <w:t>:</w:t>
      </w:r>
      <w:r w:rsidR="001E1C10" w:rsidRPr="001E1C10">
        <w:rPr>
          <w:sz w:val="52"/>
          <w:szCs w:val="52"/>
        </w:rPr>
        <w:t xml:space="preserve">LCBB4002 </w:t>
      </w:r>
    </w:p>
    <w:p w14:paraId="05B2A731" w14:textId="4EAC848A" w:rsidR="0031714B" w:rsidRDefault="0031714B" w:rsidP="00142685">
      <w:pPr>
        <w:rPr>
          <w:sz w:val="52"/>
          <w:szCs w:val="52"/>
        </w:rPr>
      </w:pPr>
      <w:r>
        <w:rPr>
          <w:sz w:val="52"/>
          <w:szCs w:val="52"/>
        </w:rPr>
        <w:t xml:space="preserve">    </w:t>
      </w:r>
      <w:r w:rsidR="001E1C10" w:rsidRPr="001E1C10">
        <w:rPr>
          <w:sz w:val="52"/>
          <w:szCs w:val="52"/>
        </w:rPr>
        <w:t xml:space="preserve">Community Engagement </w:t>
      </w:r>
    </w:p>
    <w:p w14:paraId="4AF378F1" w14:textId="4B658929" w:rsidR="009A6AA0" w:rsidRDefault="0031714B" w:rsidP="00142685">
      <w:pPr>
        <w:rPr>
          <w:sz w:val="52"/>
          <w:szCs w:val="52"/>
        </w:rPr>
      </w:pPr>
      <w:r>
        <w:rPr>
          <w:sz w:val="52"/>
          <w:szCs w:val="52"/>
        </w:rPr>
        <w:t xml:space="preserve">     </w:t>
      </w:r>
      <w:r w:rsidR="001E1C10" w:rsidRPr="001E1C10">
        <w:rPr>
          <w:sz w:val="52"/>
          <w:szCs w:val="52"/>
        </w:rPr>
        <w:t>Assessment 1</w:t>
      </w:r>
    </w:p>
    <w:p w14:paraId="114BBA5F" w14:textId="21398523" w:rsidR="0031714B" w:rsidRDefault="0031714B" w:rsidP="00142685">
      <w:pPr>
        <w:rPr>
          <w:sz w:val="52"/>
          <w:szCs w:val="52"/>
        </w:rPr>
      </w:pPr>
    </w:p>
    <w:p w14:paraId="36B55327" w14:textId="6543C4ED" w:rsidR="0031714B" w:rsidRDefault="0031714B" w:rsidP="00142685">
      <w:pPr>
        <w:rPr>
          <w:sz w:val="52"/>
          <w:szCs w:val="52"/>
        </w:rPr>
      </w:pPr>
    </w:p>
    <w:p w14:paraId="73E6960E" w14:textId="70178EBE" w:rsidR="0031714B" w:rsidRDefault="0031714B" w:rsidP="00142685">
      <w:pPr>
        <w:rPr>
          <w:sz w:val="52"/>
          <w:szCs w:val="52"/>
        </w:rPr>
      </w:pPr>
    </w:p>
    <w:p w14:paraId="52CC125F" w14:textId="79E9B062" w:rsidR="0031714B" w:rsidRDefault="0031714B" w:rsidP="00142685">
      <w:pPr>
        <w:rPr>
          <w:sz w:val="52"/>
          <w:szCs w:val="52"/>
        </w:rPr>
      </w:pPr>
    </w:p>
    <w:p w14:paraId="152092B2" w14:textId="1DA86A24" w:rsidR="0031714B" w:rsidRDefault="0031714B" w:rsidP="00142685">
      <w:pPr>
        <w:rPr>
          <w:sz w:val="52"/>
          <w:szCs w:val="52"/>
        </w:rPr>
      </w:pPr>
    </w:p>
    <w:p w14:paraId="60FCB8C0" w14:textId="5A487723" w:rsidR="0031714B" w:rsidRDefault="0031714B" w:rsidP="00142685">
      <w:pPr>
        <w:rPr>
          <w:sz w:val="52"/>
          <w:szCs w:val="52"/>
        </w:rPr>
      </w:pPr>
    </w:p>
    <w:p w14:paraId="290F6E4E" w14:textId="50077216" w:rsidR="0031714B" w:rsidRDefault="0031714B" w:rsidP="00142685">
      <w:pPr>
        <w:rPr>
          <w:sz w:val="52"/>
          <w:szCs w:val="52"/>
        </w:rPr>
      </w:pPr>
    </w:p>
    <w:p w14:paraId="48B0A855" w14:textId="3C36A5C3" w:rsidR="0031714B" w:rsidRDefault="0031714B" w:rsidP="00142685">
      <w:pPr>
        <w:rPr>
          <w:sz w:val="52"/>
          <w:szCs w:val="52"/>
        </w:rPr>
      </w:pPr>
    </w:p>
    <w:p w14:paraId="1781FE5D" w14:textId="77777777" w:rsidR="0031714B" w:rsidRPr="001E1C10" w:rsidRDefault="0031714B" w:rsidP="00142685">
      <w:pPr>
        <w:rPr>
          <w:sz w:val="52"/>
          <w:szCs w:val="52"/>
        </w:rPr>
      </w:pPr>
    </w:p>
    <w:p w14:paraId="6153A0DE" w14:textId="77777777" w:rsidR="009A6AA0" w:rsidRDefault="009A6AA0">
      <w:pPr>
        <w:rPr>
          <w:color w:val="2F5496" w:themeColor="accent1" w:themeShade="BF"/>
        </w:rPr>
      </w:pPr>
      <w:r>
        <w:br w:type="page"/>
      </w:r>
    </w:p>
    <w:sdt>
      <w:sdtPr>
        <w:rPr>
          <w:rFonts w:ascii="Times New Roman" w:eastAsiaTheme="minorHAnsi" w:hAnsi="Times New Roman" w:cs="Times New Roman"/>
          <w:b w:val="0"/>
          <w:bCs w:val="0"/>
          <w:color w:val="auto"/>
          <w:sz w:val="24"/>
          <w:szCs w:val="24"/>
          <w:lang w:val="en-GB"/>
        </w:rPr>
        <w:id w:val="2058657836"/>
        <w:docPartObj>
          <w:docPartGallery w:val="Table of Contents"/>
          <w:docPartUnique/>
        </w:docPartObj>
      </w:sdtPr>
      <w:sdtEndPr>
        <w:rPr>
          <w:noProof/>
        </w:rPr>
      </w:sdtEndPr>
      <w:sdtContent>
        <w:p w14:paraId="5CD8D321" w14:textId="73518079" w:rsidR="009A6AA0" w:rsidRPr="009A6AA0" w:rsidRDefault="009A6AA0" w:rsidP="003D7C47">
          <w:pPr>
            <w:pStyle w:val="TOCHeading"/>
          </w:pPr>
          <w:r w:rsidRPr="009A6AA0">
            <w:t>Table of Contents</w:t>
          </w:r>
        </w:p>
        <w:p w14:paraId="3BDB63FF" w14:textId="63CA1A41" w:rsidR="00C900D4" w:rsidRDefault="009A6AA0">
          <w:pPr>
            <w:pStyle w:val="TOC1"/>
            <w:tabs>
              <w:tab w:val="right" w:leader="dot" w:pos="9350"/>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02771495" w:history="1">
            <w:r w:rsidR="00C900D4" w:rsidRPr="00072082">
              <w:rPr>
                <w:rStyle w:val="Hyperlink"/>
                <w:noProof/>
              </w:rPr>
              <w:t>Introduction</w:t>
            </w:r>
            <w:r w:rsidR="00C900D4">
              <w:rPr>
                <w:noProof/>
                <w:webHidden/>
              </w:rPr>
              <w:tab/>
            </w:r>
            <w:r w:rsidR="00C900D4">
              <w:rPr>
                <w:noProof/>
                <w:webHidden/>
              </w:rPr>
              <w:fldChar w:fldCharType="begin"/>
            </w:r>
            <w:r w:rsidR="00C900D4">
              <w:rPr>
                <w:noProof/>
                <w:webHidden/>
              </w:rPr>
              <w:instrText xml:space="preserve"> PAGEREF _Toc102771495 \h </w:instrText>
            </w:r>
            <w:r w:rsidR="00C900D4">
              <w:rPr>
                <w:noProof/>
                <w:webHidden/>
              </w:rPr>
            </w:r>
            <w:r w:rsidR="00C900D4">
              <w:rPr>
                <w:noProof/>
                <w:webHidden/>
              </w:rPr>
              <w:fldChar w:fldCharType="separate"/>
            </w:r>
            <w:r w:rsidR="00C900D4">
              <w:rPr>
                <w:noProof/>
                <w:webHidden/>
              </w:rPr>
              <w:t>1</w:t>
            </w:r>
            <w:r w:rsidR="00C900D4">
              <w:rPr>
                <w:noProof/>
                <w:webHidden/>
              </w:rPr>
              <w:fldChar w:fldCharType="end"/>
            </w:r>
          </w:hyperlink>
        </w:p>
        <w:p w14:paraId="6A97FA83" w14:textId="0690C398" w:rsidR="00C900D4" w:rsidRDefault="00664601">
          <w:pPr>
            <w:pStyle w:val="TOC1"/>
            <w:tabs>
              <w:tab w:val="right" w:leader="dot" w:pos="9350"/>
            </w:tabs>
            <w:rPr>
              <w:rFonts w:asciiTheme="minorHAnsi" w:eastAsiaTheme="minorEastAsia" w:hAnsiTheme="minorHAnsi" w:cstheme="minorBidi"/>
              <w:noProof/>
              <w:sz w:val="22"/>
              <w:szCs w:val="22"/>
              <w:lang w:eastAsia="en-GB"/>
            </w:rPr>
          </w:pPr>
          <w:hyperlink w:anchor="_Toc102771496" w:history="1">
            <w:r w:rsidR="00C900D4" w:rsidRPr="00072082">
              <w:rPr>
                <w:rStyle w:val="Hyperlink"/>
                <w:noProof/>
              </w:rPr>
              <w:t>Concept of Community engagement</w:t>
            </w:r>
            <w:r w:rsidR="00C900D4">
              <w:rPr>
                <w:noProof/>
                <w:webHidden/>
              </w:rPr>
              <w:tab/>
            </w:r>
            <w:r w:rsidR="00C900D4">
              <w:rPr>
                <w:noProof/>
                <w:webHidden/>
              </w:rPr>
              <w:fldChar w:fldCharType="begin"/>
            </w:r>
            <w:r w:rsidR="00C900D4">
              <w:rPr>
                <w:noProof/>
                <w:webHidden/>
              </w:rPr>
              <w:instrText xml:space="preserve"> PAGEREF _Toc102771496 \h </w:instrText>
            </w:r>
            <w:r w:rsidR="00C900D4">
              <w:rPr>
                <w:noProof/>
                <w:webHidden/>
              </w:rPr>
            </w:r>
            <w:r w:rsidR="00C900D4">
              <w:rPr>
                <w:noProof/>
                <w:webHidden/>
              </w:rPr>
              <w:fldChar w:fldCharType="separate"/>
            </w:r>
            <w:r w:rsidR="00C900D4">
              <w:rPr>
                <w:noProof/>
                <w:webHidden/>
              </w:rPr>
              <w:t>2</w:t>
            </w:r>
            <w:r w:rsidR="00C900D4">
              <w:rPr>
                <w:noProof/>
                <w:webHidden/>
              </w:rPr>
              <w:fldChar w:fldCharType="end"/>
            </w:r>
          </w:hyperlink>
        </w:p>
        <w:p w14:paraId="63725B5D" w14:textId="6DD5B7F0" w:rsidR="00C900D4" w:rsidRDefault="00664601">
          <w:pPr>
            <w:pStyle w:val="TOC1"/>
            <w:tabs>
              <w:tab w:val="right" w:leader="dot" w:pos="9350"/>
            </w:tabs>
            <w:rPr>
              <w:rFonts w:asciiTheme="minorHAnsi" w:eastAsiaTheme="minorEastAsia" w:hAnsiTheme="minorHAnsi" w:cstheme="minorBidi"/>
              <w:noProof/>
              <w:sz w:val="22"/>
              <w:szCs w:val="22"/>
              <w:lang w:eastAsia="en-GB"/>
            </w:rPr>
          </w:pPr>
          <w:hyperlink w:anchor="_Toc102771497" w:history="1">
            <w:r w:rsidR="00C900D4" w:rsidRPr="00072082">
              <w:rPr>
                <w:rStyle w:val="Hyperlink"/>
                <w:noProof/>
              </w:rPr>
              <w:t>Importance of the subject matter</w:t>
            </w:r>
            <w:r w:rsidR="00C900D4">
              <w:rPr>
                <w:noProof/>
                <w:webHidden/>
              </w:rPr>
              <w:tab/>
            </w:r>
            <w:r w:rsidR="00C900D4">
              <w:rPr>
                <w:noProof/>
                <w:webHidden/>
              </w:rPr>
              <w:fldChar w:fldCharType="begin"/>
            </w:r>
            <w:r w:rsidR="00C900D4">
              <w:rPr>
                <w:noProof/>
                <w:webHidden/>
              </w:rPr>
              <w:instrText xml:space="preserve"> PAGEREF _Toc102771497 \h </w:instrText>
            </w:r>
            <w:r w:rsidR="00C900D4">
              <w:rPr>
                <w:noProof/>
                <w:webHidden/>
              </w:rPr>
            </w:r>
            <w:r w:rsidR="00C900D4">
              <w:rPr>
                <w:noProof/>
                <w:webHidden/>
              </w:rPr>
              <w:fldChar w:fldCharType="separate"/>
            </w:r>
            <w:r w:rsidR="00C900D4">
              <w:rPr>
                <w:noProof/>
                <w:webHidden/>
              </w:rPr>
              <w:t>2</w:t>
            </w:r>
            <w:r w:rsidR="00C900D4">
              <w:rPr>
                <w:noProof/>
                <w:webHidden/>
              </w:rPr>
              <w:fldChar w:fldCharType="end"/>
            </w:r>
          </w:hyperlink>
        </w:p>
        <w:p w14:paraId="3527EE94" w14:textId="23662233" w:rsidR="00C900D4" w:rsidRDefault="00664601">
          <w:pPr>
            <w:pStyle w:val="TOC1"/>
            <w:tabs>
              <w:tab w:val="right" w:leader="dot" w:pos="9350"/>
            </w:tabs>
            <w:rPr>
              <w:rFonts w:asciiTheme="minorHAnsi" w:eastAsiaTheme="minorEastAsia" w:hAnsiTheme="minorHAnsi" w:cstheme="minorBidi"/>
              <w:noProof/>
              <w:sz w:val="22"/>
              <w:szCs w:val="22"/>
              <w:lang w:eastAsia="en-GB"/>
            </w:rPr>
          </w:pPr>
          <w:hyperlink w:anchor="_Toc102771498" w:history="1">
            <w:r w:rsidR="00C900D4" w:rsidRPr="00072082">
              <w:rPr>
                <w:rStyle w:val="Hyperlink"/>
                <w:noProof/>
              </w:rPr>
              <w:t>Role of community engagement</w:t>
            </w:r>
            <w:r w:rsidR="00C900D4">
              <w:rPr>
                <w:noProof/>
                <w:webHidden/>
              </w:rPr>
              <w:tab/>
            </w:r>
            <w:r w:rsidR="00C900D4">
              <w:rPr>
                <w:noProof/>
                <w:webHidden/>
              </w:rPr>
              <w:fldChar w:fldCharType="begin"/>
            </w:r>
            <w:r w:rsidR="00C900D4">
              <w:rPr>
                <w:noProof/>
                <w:webHidden/>
              </w:rPr>
              <w:instrText xml:space="preserve"> PAGEREF _Toc102771498 \h </w:instrText>
            </w:r>
            <w:r w:rsidR="00C900D4">
              <w:rPr>
                <w:noProof/>
                <w:webHidden/>
              </w:rPr>
            </w:r>
            <w:r w:rsidR="00C900D4">
              <w:rPr>
                <w:noProof/>
                <w:webHidden/>
              </w:rPr>
              <w:fldChar w:fldCharType="separate"/>
            </w:r>
            <w:r w:rsidR="00C900D4">
              <w:rPr>
                <w:noProof/>
                <w:webHidden/>
              </w:rPr>
              <w:t>3</w:t>
            </w:r>
            <w:r w:rsidR="00C900D4">
              <w:rPr>
                <w:noProof/>
                <w:webHidden/>
              </w:rPr>
              <w:fldChar w:fldCharType="end"/>
            </w:r>
          </w:hyperlink>
        </w:p>
        <w:p w14:paraId="57F87DE7" w14:textId="70814613" w:rsidR="00C900D4" w:rsidRDefault="00664601">
          <w:pPr>
            <w:pStyle w:val="TOC1"/>
            <w:tabs>
              <w:tab w:val="right" w:leader="dot" w:pos="9350"/>
            </w:tabs>
            <w:rPr>
              <w:rFonts w:asciiTheme="minorHAnsi" w:eastAsiaTheme="minorEastAsia" w:hAnsiTheme="minorHAnsi" w:cstheme="minorBidi"/>
              <w:noProof/>
              <w:sz w:val="22"/>
              <w:szCs w:val="22"/>
              <w:lang w:eastAsia="en-GB"/>
            </w:rPr>
          </w:pPr>
          <w:hyperlink w:anchor="_Toc102771499" w:history="1">
            <w:r w:rsidR="00C900D4" w:rsidRPr="00072082">
              <w:rPr>
                <w:rStyle w:val="Hyperlink"/>
                <w:noProof/>
              </w:rPr>
              <w:t>Need to analyse the social media platforms</w:t>
            </w:r>
            <w:r w:rsidR="00C900D4">
              <w:rPr>
                <w:noProof/>
                <w:webHidden/>
              </w:rPr>
              <w:tab/>
            </w:r>
            <w:r w:rsidR="00C900D4">
              <w:rPr>
                <w:noProof/>
                <w:webHidden/>
              </w:rPr>
              <w:fldChar w:fldCharType="begin"/>
            </w:r>
            <w:r w:rsidR="00C900D4">
              <w:rPr>
                <w:noProof/>
                <w:webHidden/>
              </w:rPr>
              <w:instrText xml:space="preserve"> PAGEREF _Toc102771499 \h </w:instrText>
            </w:r>
            <w:r w:rsidR="00C900D4">
              <w:rPr>
                <w:noProof/>
                <w:webHidden/>
              </w:rPr>
            </w:r>
            <w:r w:rsidR="00C900D4">
              <w:rPr>
                <w:noProof/>
                <w:webHidden/>
              </w:rPr>
              <w:fldChar w:fldCharType="separate"/>
            </w:r>
            <w:r w:rsidR="00C900D4">
              <w:rPr>
                <w:noProof/>
                <w:webHidden/>
              </w:rPr>
              <w:t>3</w:t>
            </w:r>
            <w:r w:rsidR="00C900D4">
              <w:rPr>
                <w:noProof/>
                <w:webHidden/>
              </w:rPr>
              <w:fldChar w:fldCharType="end"/>
            </w:r>
          </w:hyperlink>
        </w:p>
        <w:p w14:paraId="7302F476" w14:textId="04CC11BD" w:rsidR="00C900D4" w:rsidRDefault="00664601">
          <w:pPr>
            <w:pStyle w:val="TOC1"/>
            <w:tabs>
              <w:tab w:val="right" w:leader="dot" w:pos="9350"/>
            </w:tabs>
            <w:rPr>
              <w:rFonts w:asciiTheme="minorHAnsi" w:eastAsiaTheme="minorEastAsia" w:hAnsiTheme="minorHAnsi" w:cstheme="minorBidi"/>
              <w:noProof/>
              <w:sz w:val="22"/>
              <w:szCs w:val="22"/>
              <w:lang w:eastAsia="en-GB"/>
            </w:rPr>
          </w:pPr>
          <w:hyperlink w:anchor="_Toc102771500" w:history="1">
            <w:r w:rsidR="00C900D4" w:rsidRPr="00072082">
              <w:rPr>
                <w:rStyle w:val="Hyperlink"/>
                <w:noProof/>
              </w:rPr>
              <w:t>Application of the forward-looking approach and need for training</w:t>
            </w:r>
            <w:r w:rsidR="00C900D4">
              <w:rPr>
                <w:noProof/>
                <w:webHidden/>
              </w:rPr>
              <w:tab/>
            </w:r>
            <w:r w:rsidR="00C900D4">
              <w:rPr>
                <w:noProof/>
                <w:webHidden/>
              </w:rPr>
              <w:fldChar w:fldCharType="begin"/>
            </w:r>
            <w:r w:rsidR="00C900D4">
              <w:rPr>
                <w:noProof/>
                <w:webHidden/>
              </w:rPr>
              <w:instrText xml:space="preserve"> PAGEREF _Toc102771500 \h </w:instrText>
            </w:r>
            <w:r w:rsidR="00C900D4">
              <w:rPr>
                <w:noProof/>
                <w:webHidden/>
              </w:rPr>
            </w:r>
            <w:r w:rsidR="00C900D4">
              <w:rPr>
                <w:noProof/>
                <w:webHidden/>
              </w:rPr>
              <w:fldChar w:fldCharType="separate"/>
            </w:r>
            <w:r w:rsidR="00C900D4">
              <w:rPr>
                <w:noProof/>
                <w:webHidden/>
              </w:rPr>
              <w:t>5</w:t>
            </w:r>
            <w:r w:rsidR="00C900D4">
              <w:rPr>
                <w:noProof/>
                <w:webHidden/>
              </w:rPr>
              <w:fldChar w:fldCharType="end"/>
            </w:r>
          </w:hyperlink>
        </w:p>
        <w:p w14:paraId="53694223" w14:textId="44C47D80" w:rsidR="00C900D4" w:rsidRDefault="00664601">
          <w:pPr>
            <w:pStyle w:val="TOC1"/>
            <w:tabs>
              <w:tab w:val="right" w:leader="dot" w:pos="9350"/>
            </w:tabs>
            <w:rPr>
              <w:rFonts w:asciiTheme="minorHAnsi" w:eastAsiaTheme="minorEastAsia" w:hAnsiTheme="minorHAnsi" w:cstheme="minorBidi"/>
              <w:noProof/>
              <w:sz w:val="22"/>
              <w:szCs w:val="22"/>
              <w:lang w:eastAsia="en-GB"/>
            </w:rPr>
          </w:pPr>
          <w:hyperlink w:anchor="_Toc102771501" w:history="1">
            <w:r w:rsidR="00C900D4" w:rsidRPr="00072082">
              <w:rPr>
                <w:rStyle w:val="Hyperlink"/>
                <w:noProof/>
              </w:rPr>
              <w:t>Conclusion</w:t>
            </w:r>
            <w:r w:rsidR="00C900D4">
              <w:rPr>
                <w:noProof/>
                <w:webHidden/>
              </w:rPr>
              <w:tab/>
            </w:r>
            <w:r w:rsidR="00C900D4">
              <w:rPr>
                <w:noProof/>
                <w:webHidden/>
              </w:rPr>
              <w:fldChar w:fldCharType="begin"/>
            </w:r>
            <w:r w:rsidR="00C900D4">
              <w:rPr>
                <w:noProof/>
                <w:webHidden/>
              </w:rPr>
              <w:instrText xml:space="preserve"> PAGEREF _Toc102771501 \h </w:instrText>
            </w:r>
            <w:r w:rsidR="00C900D4">
              <w:rPr>
                <w:noProof/>
                <w:webHidden/>
              </w:rPr>
            </w:r>
            <w:r w:rsidR="00C900D4">
              <w:rPr>
                <w:noProof/>
                <w:webHidden/>
              </w:rPr>
              <w:fldChar w:fldCharType="separate"/>
            </w:r>
            <w:r w:rsidR="00C900D4">
              <w:rPr>
                <w:noProof/>
                <w:webHidden/>
              </w:rPr>
              <w:t>7</w:t>
            </w:r>
            <w:r w:rsidR="00C900D4">
              <w:rPr>
                <w:noProof/>
                <w:webHidden/>
              </w:rPr>
              <w:fldChar w:fldCharType="end"/>
            </w:r>
          </w:hyperlink>
        </w:p>
        <w:p w14:paraId="081B0884" w14:textId="720840EB" w:rsidR="00C900D4" w:rsidRDefault="00664601">
          <w:pPr>
            <w:pStyle w:val="TOC1"/>
            <w:tabs>
              <w:tab w:val="right" w:leader="dot" w:pos="9350"/>
            </w:tabs>
            <w:rPr>
              <w:rFonts w:asciiTheme="minorHAnsi" w:eastAsiaTheme="minorEastAsia" w:hAnsiTheme="minorHAnsi" w:cstheme="minorBidi"/>
              <w:noProof/>
              <w:sz w:val="22"/>
              <w:szCs w:val="22"/>
              <w:lang w:eastAsia="en-GB"/>
            </w:rPr>
          </w:pPr>
          <w:hyperlink w:anchor="_Toc102771502" w:history="1">
            <w:r w:rsidR="00C900D4" w:rsidRPr="00072082">
              <w:rPr>
                <w:rStyle w:val="Hyperlink"/>
                <w:noProof/>
              </w:rPr>
              <w:t>References</w:t>
            </w:r>
            <w:r w:rsidR="00C900D4">
              <w:rPr>
                <w:noProof/>
                <w:webHidden/>
              </w:rPr>
              <w:tab/>
            </w:r>
            <w:r w:rsidR="00C900D4">
              <w:rPr>
                <w:noProof/>
                <w:webHidden/>
              </w:rPr>
              <w:fldChar w:fldCharType="begin"/>
            </w:r>
            <w:r w:rsidR="00C900D4">
              <w:rPr>
                <w:noProof/>
                <w:webHidden/>
              </w:rPr>
              <w:instrText xml:space="preserve"> PAGEREF _Toc102771502 \h </w:instrText>
            </w:r>
            <w:r w:rsidR="00C900D4">
              <w:rPr>
                <w:noProof/>
                <w:webHidden/>
              </w:rPr>
            </w:r>
            <w:r w:rsidR="00C900D4">
              <w:rPr>
                <w:noProof/>
                <w:webHidden/>
              </w:rPr>
              <w:fldChar w:fldCharType="separate"/>
            </w:r>
            <w:r w:rsidR="00C900D4">
              <w:rPr>
                <w:noProof/>
                <w:webHidden/>
              </w:rPr>
              <w:t>8</w:t>
            </w:r>
            <w:r w:rsidR="00C900D4">
              <w:rPr>
                <w:noProof/>
                <w:webHidden/>
              </w:rPr>
              <w:fldChar w:fldCharType="end"/>
            </w:r>
          </w:hyperlink>
        </w:p>
        <w:p w14:paraId="05288830" w14:textId="10227497" w:rsidR="009A6AA0" w:rsidRDefault="009A6AA0">
          <w:r>
            <w:rPr>
              <w:b/>
              <w:bCs/>
              <w:noProof/>
            </w:rPr>
            <w:fldChar w:fldCharType="end"/>
          </w:r>
        </w:p>
      </w:sdtContent>
    </w:sdt>
    <w:p w14:paraId="603058A0" w14:textId="77777777" w:rsidR="009A6AA0" w:rsidRDefault="009A6AA0" w:rsidP="009A6AA0"/>
    <w:p w14:paraId="504FB7B1" w14:textId="77777777" w:rsidR="009A6AA0" w:rsidRDefault="009A6AA0">
      <w:pPr>
        <w:rPr>
          <w:color w:val="2F5496" w:themeColor="accent1" w:themeShade="BF"/>
        </w:rPr>
      </w:pPr>
      <w:r>
        <w:br w:type="page"/>
      </w:r>
    </w:p>
    <w:p w14:paraId="0A282FAD" w14:textId="77777777" w:rsidR="00C47425" w:rsidRDefault="00C47425" w:rsidP="003D7C47">
      <w:pPr>
        <w:pStyle w:val="Heading1"/>
        <w:sectPr w:rsidR="00C47425" w:rsidSect="000428C3">
          <w:headerReference w:type="default" r:id="rId8"/>
          <w:pgSz w:w="12240" w:h="15840"/>
          <w:pgMar w:top="1440" w:right="1440" w:bottom="1440" w:left="1440" w:header="720" w:footer="720" w:gutter="0"/>
          <w:cols w:space="720"/>
          <w:docGrid w:linePitch="360"/>
        </w:sectPr>
      </w:pPr>
    </w:p>
    <w:p w14:paraId="4BBD64D0" w14:textId="39C4DC99" w:rsidR="00E560B8" w:rsidRPr="00E560B8" w:rsidRDefault="00E560B8" w:rsidP="003D7C47">
      <w:pPr>
        <w:pStyle w:val="Heading1"/>
      </w:pPr>
      <w:bookmarkStart w:id="0" w:name="_Toc102771495"/>
      <w:r w:rsidRPr="00E560B8">
        <w:t>Introduction</w:t>
      </w:r>
      <w:bookmarkEnd w:id="0"/>
    </w:p>
    <w:p w14:paraId="2D65DDE2" w14:textId="312B8E07" w:rsidR="00454C24" w:rsidRDefault="00C93C05" w:rsidP="00E560B8">
      <w:r w:rsidRPr="00C93C05">
        <w:t xml:space="preserve">In robust, integrated communities with shared rights, duties, and opportunities, individuals from all walks of life may live, work, study, and interact with one another. The Integrated Communities Action Plan incorporates a variety of cross-government actions to support the government's goal </w:t>
      </w:r>
      <w:r w:rsidR="00BC09F0">
        <w:t>of</w:t>
      </w:r>
      <w:r w:rsidRPr="00C93C05">
        <w:t xml:space="preserve"> constructing strong, integrated communities where people of all backgrounds may live, work, study, and socialize together. This report offers a comprehensive analysis of the fellow project's whole community participation approach. It has many suggestions.</w:t>
      </w:r>
      <w:r>
        <w:t xml:space="preserve"> </w:t>
      </w:r>
      <w:r w:rsidR="00661420" w:rsidRPr="00661420">
        <w:t xml:space="preserve">The project work establishes and shows the appropriate concept of community participation </w:t>
      </w:r>
      <w:r w:rsidR="004D79B0">
        <w:t>in</w:t>
      </w:r>
      <w:r w:rsidR="00661420" w:rsidRPr="00661420">
        <w:t xml:space="preserve"> the project's objectives. This section elaborates on and introduces </w:t>
      </w:r>
      <w:r w:rsidR="001D131E">
        <w:t>several</w:t>
      </w:r>
      <w:r w:rsidR="00661420" w:rsidRPr="00661420">
        <w:t xml:space="preserve"> advantages that the individual concern may obtain. </w:t>
      </w:r>
      <w:r w:rsidR="002208B0">
        <w:t>The report works</w:t>
      </w:r>
      <w:r w:rsidR="00661420" w:rsidRPr="00661420">
        <w:t xml:space="preserve"> effectively </w:t>
      </w:r>
      <w:r w:rsidR="001D131E">
        <w:t xml:space="preserve">to </w:t>
      </w:r>
      <w:r w:rsidR="00661420" w:rsidRPr="00661420">
        <w:t xml:space="preserve">conduct research and assessment of the multiple stages of a social organization, in this instance an orphanage, but it also effectively elaborates on the different sets of problems that must be addressed. To overcome hurdles and complexity, the research recommends that a variety of social media strategies be used effectively </w:t>
      </w:r>
      <w:r w:rsidR="001D131E">
        <w:t>to</w:t>
      </w:r>
      <w:r w:rsidR="00661420" w:rsidRPr="00661420">
        <w:t xml:space="preserve"> take a forward-thinking approach to issue resolution. To gain a competitive advantage, social organizations may explore adopting relevant and adaptable concepts while managing their network connections. This is the article's central argument.</w:t>
      </w:r>
    </w:p>
    <w:p w14:paraId="6E1D4E41" w14:textId="77777777" w:rsidR="00454C24" w:rsidRDefault="00454C24">
      <w:r>
        <w:br w:type="page"/>
      </w:r>
    </w:p>
    <w:p w14:paraId="2D019EE7" w14:textId="77777777" w:rsidR="00661420" w:rsidRPr="00E560B8" w:rsidRDefault="00661420" w:rsidP="00E560B8"/>
    <w:p w14:paraId="6B8E9B2F" w14:textId="77777777" w:rsidR="00E560B8" w:rsidRPr="00E560B8" w:rsidRDefault="00E560B8" w:rsidP="003D7C47">
      <w:pPr>
        <w:pStyle w:val="Heading1"/>
      </w:pPr>
      <w:bookmarkStart w:id="1" w:name="_Toc102771496"/>
      <w:r w:rsidRPr="00E560B8">
        <w:t>Concept of Community engagement</w:t>
      </w:r>
      <w:bookmarkEnd w:id="1"/>
    </w:p>
    <w:p w14:paraId="62E36E94" w14:textId="51CBFA61" w:rsidR="005B3419" w:rsidRPr="00E560B8" w:rsidRDefault="005B3419" w:rsidP="00E560B8">
      <w:r w:rsidRPr="005B3419">
        <w:t xml:space="preserve">According to Khazaei and colleagues, community members who participate in collaborative work operations with and through the involvement of a group of people engage in an elaborative process focused on collaborative work operations execution with and through the involvement of the group of people, which is a </w:t>
      </w:r>
      <w:r w:rsidR="000E7B20">
        <w:t>group-centred</w:t>
      </w:r>
      <w:r w:rsidRPr="005B3419">
        <w:t xml:space="preserve"> process (2015). Moreover, according to the author, it is a potent vehicle for enacting environmental and </w:t>
      </w:r>
      <w:r w:rsidR="000E7B20">
        <w:t>behavioural</w:t>
      </w:r>
      <w:r w:rsidRPr="005B3419">
        <w:t xml:space="preserve"> changes that will have a significant impact on the health of both its members and the overall health of the community. This leads to the author emphasizing the need </w:t>
      </w:r>
      <w:r w:rsidR="000E7B20">
        <w:t>for</w:t>
      </w:r>
      <w:r w:rsidRPr="005B3419">
        <w:t xml:space="preserve"> community engagement as a painstakingly managed procedure with the main purpose of collaborating with a certain group of persons. In particular, according to Chamberlain and colleagues (2013), the word "community" alludes to engagement for the common good, with the focus moving away from individual participation and toward collective participation (Cyril, et. al., 2015).</w:t>
      </w:r>
    </w:p>
    <w:p w14:paraId="474936ED" w14:textId="77777777" w:rsidR="00E560B8" w:rsidRPr="00E560B8" w:rsidRDefault="00E560B8" w:rsidP="003D7C47">
      <w:pPr>
        <w:pStyle w:val="Heading1"/>
      </w:pPr>
      <w:bookmarkStart w:id="2" w:name="_Toc102771497"/>
      <w:r w:rsidRPr="00E560B8">
        <w:t>Importance of the subject matter</w:t>
      </w:r>
      <w:bookmarkEnd w:id="2"/>
    </w:p>
    <w:p w14:paraId="62A9A2AA" w14:textId="167C72BB" w:rsidR="00633A60" w:rsidRDefault="005B3419" w:rsidP="00E560B8">
      <w:r w:rsidRPr="005B3419">
        <w:t xml:space="preserve">Eighty projects are included in the Integrated Communities Action Plan, which the government is attempting to undertake </w:t>
      </w:r>
      <w:r w:rsidR="000E7B20">
        <w:t>to</w:t>
      </w:r>
      <w:r w:rsidRPr="005B3419">
        <w:t xml:space="preserve"> increase integration across the nation. The administration has said that it will put these measures into effect (released in 2019). English language learning, increasing leadership qualities, and assisting refugees are just a few examples of the kind of activities that come under this group. With the release of the 2018 Action Plan for Integrated Communities, we can provide an update on progress made since the introduction of the Integrated Communities Strategy Green Paper, as well as progress made in each of the five local integration areas identified in the Green Paper, among other things. It is anticipated that all levels of government and non-governmental groups will work together to execute the Integrated Communities Action Plan </w:t>
      </w:r>
      <w:r w:rsidR="000E7B20">
        <w:t>shortly</w:t>
      </w:r>
      <w:r w:rsidRPr="005B3419">
        <w:t>, based on current expectations. The early interaction with the five Integration Areas has shown that using a place-based approach may be useful in assisting local partners in articulating their priorities and determining the most effective approaches for accomplishing those goals and objectives.</w:t>
      </w:r>
    </w:p>
    <w:p w14:paraId="7837C4D0" w14:textId="77777777" w:rsidR="005B3419" w:rsidRDefault="005B3419" w:rsidP="00E560B8"/>
    <w:p w14:paraId="3C51368E" w14:textId="77777777" w:rsidR="00633A60" w:rsidRPr="00E560B8" w:rsidRDefault="00633A60" w:rsidP="00E560B8"/>
    <w:p w14:paraId="7B487C91" w14:textId="77777777" w:rsidR="00E560B8" w:rsidRPr="00E560B8" w:rsidRDefault="00E560B8" w:rsidP="003D7C47">
      <w:pPr>
        <w:pStyle w:val="Heading1"/>
      </w:pPr>
      <w:bookmarkStart w:id="3" w:name="_Toc102771498"/>
      <w:r w:rsidRPr="00E560B8">
        <w:t>Role of community engagement</w:t>
      </w:r>
      <w:bookmarkEnd w:id="3"/>
    </w:p>
    <w:p w14:paraId="69D290DA" w14:textId="1F01EC94" w:rsidR="005B3419" w:rsidRDefault="00EF2D96" w:rsidP="007730EF">
      <w:r>
        <w:t xml:space="preserve">Goh and colleagues discovered that this group possessed a variety of characteristics that are associated with its affiliation, as well as the ability to maintain </w:t>
      </w:r>
      <w:r w:rsidR="000E7B20">
        <w:t xml:space="preserve">the </w:t>
      </w:r>
      <w:r>
        <w:t>long-term sustainability of collective resources (2013). Effective community involvement command organizations may assist in the extension of their operations to a greater scale, as well as the adoption of correct command overgrowth and diversification aspects. The author also asserts that through engaging with the community, the organization in question will have a better grasp of the link between individuals and social institutions, as well as the features we have discussed in this article. Through our collaboration with Global Orphan Care, it became clear that community participation would be critical in providing adequate resources for better addressing an individual's physiological and social requirements, as well as in providing adequate resources for better addressing an individual's physiological and social requirements (Goh, et. al., 2013). It is anticipated that this will have a positive impact on the health of the person as well as the progress of the community as a whole. According to the author, a feeling of belonging to a larger community is associated with a range of beneficial results, such as happiness, physical well-being, and loneliness, amongst other outcomes.</w:t>
      </w:r>
    </w:p>
    <w:p w14:paraId="6B9D107E" w14:textId="21B93BFF" w:rsidR="00E560B8" w:rsidRPr="00E560B8" w:rsidRDefault="00E560B8" w:rsidP="003D7C47">
      <w:pPr>
        <w:pStyle w:val="Heading1"/>
      </w:pPr>
      <w:bookmarkStart w:id="4" w:name="_Toc102771499"/>
      <w:r w:rsidRPr="00E560B8">
        <w:t xml:space="preserve">Need to </w:t>
      </w:r>
      <w:r w:rsidR="001D131E">
        <w:t>analyse</w:t>
      </w:r>
      <w:r w:rsidRPr="00E560B8">
        <w:t xml:space="preserve"> the social media platforms</w:t>
      </w:r>
      <w:bookmarkEnd w:id="4"/>
    </w:p>
    <w:p w14:paraId="32B0174A" w14:textId="4D0CFD45" w:rsidR="00F679A8" w:rsidRDefault="00F679A8" w:rsidP="00F679A8">
      <w:r>
        <w:t xml:space="preserve">It is, according to Haworth and colleagues (2015), essential to comprehend the nature of community involvement and how it is related to social structure </w:t>
      </w:r>
      <w:r w:rsidR="000E7B20">
        <w:t>to</w:t>
      </w:r>
      <w:r>
        <w:t xml:space="preserve"> be a productive member </w:t>
      </w:r>
      <w:r w:rsidR="000E7B20">
        <w:t>of</w:t>
      </w:r>
      <w:r>
        <w:t xml:space="preserve"> a democratic society. A wide range of social media channels </w:t>
      </w:r>
      <w:r w:rsidR="000E7B20">
        <w:t>is</w:t>
      </w:r>
      <w:r>
        <w:t xml:space="preserve"> discussed as a result, including internet sources, social networking sites (such as Facebook and Twitter), print media outlets, and electronic news agencies, among others (such as CNN). In addition, the author shows how a person might get essential information by using social media sites such as Twitter and Facebook, among other avenues of communication. In addition, the individual's primary focus may be on gaining an awareness of the positives and drawbacks of his or her current circumstance, among other things. As a result of this arrangement, the necessary assistance will be provided while the necessary decisions are made </w:t>
      </w:r>
      <w:r w:rsidR="000E7B20">
        <w:t>promptly</w:t>
      </w:r>
      <w:r>
        <w:t xml:space="preserve">. According to one account, the misuse of technical terms in common language was also a driving force for the creation of this document. </w:t>
      </w:r>
      <w:r w:rsidR="000E7B20">
        <w:t>To</w:t>
      </w:r>
      <w:r>
        <w:t xml:space="preserve"> obtain significant and complete information, the author elaborates and recommends that the person in question perform </w:t>
      </w:r>
      <w:r w:rsidR="000E7B20">
        <w:t xml:space="preserve">a </w:t>
      </w:r>
      <w:r>
        <w:t>thorough study and surveillance of social media platforms, which the author believes would be beneficial (Haworth, et. al., 2015). To have a more comprehensive picture of a situation, it is necessary to include all relevant facts and viewpoints while doing research and conducting an analysis of that situation.</w:t>
      </w:r>
    </w:p>
    <w:p w14:paraId="73F78990" w14:textId="69A5A82F" w:rsidR="00F679A8" w:rsidRDefault="000E7B20" w:rsidP="00F679A8">
      <w:r>
        <w:t>Several challenges might</w:t>
      </w:r>
      <w:r w:rsidR="00F679A8">
        <w:t xml:space="preserve"> occur while managing the operations and work activities of a particular business, and they can be rather complicated. These obstacles and complexity may make it difficult for stakeholders to communicate constructively and for the community to participate in the decision-making process (Cunha and </w:t>
      </w:r>
      <w:proofErr w:type="spellStart"/>
      <w:r w:rsidR="00F679A8">
        <w:t>Benneworth</w:t>
      </w:r>
      <w:proofErr w:type="spellEnd"/>
      <w:r w:rsidR="00F679A8">
        <w:t xml:space="preserve">, 2013). The author's experience working with the organization has shown that the issue of cultural differences has been a big cause of stress and difficulties, which he goes on to discuss in further depth. Many people address the problem, and they come from a broad range of different origins, as well as having a </w:t>
      </w:r>
      <w:r>
        <w:t>varied</w:t>
      </w:r>
      <w:r w:rsidR="00F679A8">
        <w:t xml:space="preserve"> range of ideas and points of view, all of which contribute to the current state of the situation. There have been </w:t>
      </w:r>
      <w:r>
        <w:t>several</w:t>
      </w:r>
      <w:r w:rsidR="00F679A8">
        <w:t xml:space="preserve"> conflicts as a consequence of this, some of which have the potential to have a considerable impact on the running of the organization. Kickstarter's entire potential, according to the author, </w:t>
      </w:r>
      <w:r>
        <w:t>may</w:t>
      </w:r>
      <w:r w:rsidR="000F4627">
        <w:t xml:space="preserve"> </w:t>
      </w:r>
      <w:r>
        <w:t>be</w:t>
      </w:r>
      <w:r w:rsidR="00F679A8">
        <w:t xml:space="preserve"> hindered by severe constraints and processes that prevent it from reaching its full potential. </w:t>
      </w:r>
      <w:r>
        <w:t>To</w:t>
      </w:r>
      <w:r w:rsidR="00F679A8">
        <w:t xml:space="preserve"> carry out effective work operations and respond to issues as quickly as possible, the authorities involved must concentrate their efforts on the formulation and implementation of suitable rules and procedures</w:t>
      </w:r>
      <w:r w:rsidR="000F4627">
        <w:t>,</w:t>
      </w:r>
      <w:r w:rsidR="00F679A8">
        <w:t xml:space="preserve"> and policies.</w:t>
      </w:r>
    </w:p>
    <w:p w14:paraId="192B7C8A" w14:textId="4EA2FAC0" w:rsidR="00F679A8" w:rsidRDefault="00F679A8" w:rsidP="00F679A8">
      <w:r>
        <w:t xml:space="preserve">Global Orphan Care employees, according to Dessart (2017), gain from their participation in the community in </w:t>
      </w:r>
      <w:r w:rsidR="000E7B20">
        <w:t>several</w:t>
      </w:r>
      <w:r>
        <w:t xml:space="preserve"> various means (to support orphanage children worldwide). When working for a certain company, an individual may be eligible for a variety of benefits, all of which will assist him or her in gaining a competitive advantage in the marketplace. The cooperation of the organization's most important stakeholders may help enhance the organization's operations and efficiency on a local level, but the organization can also broaden its reach by expanding its worldwide reach with their assistance. More importantly, developing strong working relationships with stakeholders may make it simpler for communities to contribute </w:t>
      </w:r>
      <w:r w:rsidR="000E7B20">
        <w:t>to</w:t>
      </w:r>
      <w:r>
        <w:t xml:space="preserve"> raising awareness and knowledge of problems while also allowing communities to make their own decisions. As a consequence of this development, a person's capacity to participate fully and better his or her competitive position grows as a result of that development. </w:t>
      </w:r>
    </w:p>
    <w:p w14:paraId="09CEF945" w14:textId="66255664" w:rsidR="00F679A8" w:rsidRPr="00E560B8" w:rsidRDefault="00F679A8" w:rsidP="00C3480C">
      <w:r>
        <w:t xml:space="preserve">As stated by </w:t>
      </w:r>
      <w:proofErr w:type="spellStart"/>
      <w:r>
        <w:t>Kamuya</w:t>
      </w:r>
      <w:proofErr w:type="spellEnd"/>
      <w:r>
        <w:t xml:space="preserve"> et al. (2013), when the concept of community is adopted, </w:t>
      </w:r>
      <w:r w:rsidR="000E7B20">
        <w:t>several</w:t>
      </w:r>
      <w:r>
        <w:t xml:space="preserve"> sociocultural issues that are prevalent in society and have a substantial influence on stakeholder relationships may be recognized and addressed. The author examines and highlights the significance of training </w:t>
      </w:r>
      <w:r w:rsidR="000E7B20">
        <w:t>to</w:t>
      </w:r>
      <w:r>
        <w:t xml:space="preserve"> manage and execute operations via the work of a good social organization </w:t>
      </w:r>
      <w:r w:rsidR="000E7B20">
        <w:t>to</w:t>
      </w:r>
      <w:r>
        <w:t xml:space="preserve"> manage and execute operations as a consequence of these problems (Global Orphan Care). Workers must be trained </w:t>
      </w:r>
      <w:r w:rsidR="000E7B20">
        <w:t>to</w:t>
      </w:r>
      <w:r>
        <w:t xml:space="preserve"> carry out their responsibilities as successfully as possible, according to the author, and good training approaches are essential in this regard. Aside from that, training is required to guarantee that current information and procedures are handled in an acceptable manner and </w:t>
      </w:r>
      <w:r w:rsidR="000E7B20">
        <w:t>by</w:t>
      </w:r>
      <w:r>
        <w:t xml:space="preserve"> applicable laws. In this section, the author highlights the necessity of authority issues that address the members' talents and capabilities </w:t>
      </w:r>
      <w:r w:rsidR="000E7B20">
        <w:t>to</w:t>
      </w:r>
      <w:r>
        <w:t xml:space="preserve"> give them the essential information to carry out their obligations successfully and efficiently (</w:t>
      </w:r>
      <w:proofErr w:type="spellStart"/>
      <w:r>
        <w:t>Kamuya</w:t>
      </w:r>
      <w:proofErr w:type="spellEnd"/>
      <w:r>
        <w:t xml:space="preserve">, et. al., 2013). </w:t>
      </w:r>
    </w:p>
    <w:p w14:paraId="03D3601F" w14:textId="7BA7F9C4" w:rsidR="00E560B8" w:rsidRPr="00E560B8" w:rsidRDefault="00E560B8" w:rsidP="003D7C47">
      <w:pPr>
        <w:pStyle w:val="Heading1"/>
      </w:pPr>
      <w:bookmarkStart w:id="5" w:name="_Toc102771500"/>
      <w:r w:rsidRPr="00E560B8">
        <w:t xml:space="preserve">Application of the </w:t>
      </w:r>
      <w:r w:rsidR="001D131E">
        <w:t>forward-looking</w:t>
      </w:r>
      <w:r w:rsidRPr="00E560B8">
        <w:t xml:space="preserve"> approach and need for training</w:t>
      </w:r>
      <w:bookmarkEnd w:id="5"/>
    </w:p>
    <w:p w14:paraId="67DEC731" w14:textId="18902449" w:rsidR="00AF7C41" w:rsidRDefault="00AF7C41" w:rsidP="00AF7C41">
      <w:r>
        <w:t xml:space="preserve">According to Chamberlain et al., a variety of environmental conditions, such as temperature, humidity, and visibility, can have a significant impact on the performance of occupational tasks performed in an open environment. The author says that, under such situations, it is vital to implement a strategy that is effective in overcoming the hurdles that have been placed in the path of progress. Because, as the author notes, the strategy must be progressive while also </w:t>
      </w:r>
      <w:r w:rsidR="000E7B20" w:rsidRPr="000E7B20">
        <w:t>considering the need for instructional resources</w:t>
      </w:r>
      <w:r>
        <w:t xml:space="preserve"> (Dare, et. al., 2014). Another point raised by the author is the fact that the orphanage sector must deal with external challenges that may have the potential to have a significant impact on the sector's operations and operations.</w:t>
      </w:r>
    </w:p>
    <w:p w14:paraId="7287BAE0" w14:textId="3A413C29" w:rsidR="00AF7C41" w:rsidRDefault="00AF7C41" w:rsidP="00AF7C41">
      <w:r>
        <w:t xml:space="preserve">Furthermore, there is evidence that the management of the orphanage is concerned with providing an environment that is conducive to the learning of the children at the facility. The author also emphasizes the need of providing training sessions on a timely basis that meet the knowledge acquisition objectives of the participants, according to the author. Because of this, students will be more prepared to excel in their studies even when they are competing against other students from across the world. </w:t>
      </w:r>
    </w:p>
    <w:p w14:paraId="1236E991" w14:textId="417023FA" w:rsidR="001D131E" w:rsidRDefault="00AF7C41" w:rsidP="00205575">
      <w:r>
        <w:t xml:space="preserve">According to Cunha and </w:t>
      </w:r>
      <w:proofErr w:type="spellStart"/>
      <w:r>
        <w:t>Benneworth</w:t>
      </w:r>
      <w:proofErr w:type="spellEnd"/>
      <w:r>
        <w:t xml:space="preserve">, there is a healthy and constructive interaction between the orphanage's operations and the engagement of the community at large (2013). (2013). </w:t>
      </w:r>
      <w:r w:rsidR="000E7B20">
        <w:t>To</w:t>
      </w:r>
      <w:r>
        <w:t xml:space="preserve"> win the trust and transparency of its stakeholders, the global orphan care authority must have a clear grip </w:t>
      </w:r>
      <w:r w:rsidR="000E7B20">
        <w:t>on</w:t>
      </w:r>
      <w:r>
        <w:t xml:space="preserve"> the problems of community engagement and inclusion. In turn, their capacity to make educated choices about </w:t>
      </w:r>
      <w:r w:rsidR="000E7B20">
        <w:t xml:space="preserve">the </w:t>
      </w:r>
      <w:r>
        <w:t xml:space="preserve">present and future operations will be improved as a result of the information obtained. According to the conclusions of the authors, a successful community engagement program will assist government agencies in making better use of their resources </w:t>
      </w:r>
      <w:r w:rsidR="000E7B20">
        <w:t>over time</w:t>
      </w:r>
      <w:r>
        <w:t xml:space="preserve">. One of the points raised by the author is the inextricable link that exists between community participation and orphanage care operations all over the globe, particularly in impoverished countries, and how important it is to maintain this connection. When an organization conducts great work operations, it builds the community's trust and transparency, which aids the organization in achieving its full potential and success (Cunha and </w:t>
      </w:r>
      <w:proofErr w:type="spellStart"/>
      <w:r>
        <w:t>Benneworth</w:t>
      </w:r>
      <w:proofErr w:type="spellEnd"/>
      <w:r>
        <w:t xml:space="preserve">, 2013). </w:t>
      </w:r>
      <w:r w:rsidR="00454C24">
        <w:br w:type="page"/>
      </w:r>
    </w:p>
    <w:p w14:paraId="023156BE" w14:textId="09A99D61" w:rsidR="00E560B8" w:rsidRPr="00E560B8" w:rsidRDefault="00E560B8" w:rsidP="003D7C47">
      <w:pPr>
        <w:pStyle w:val="Heading1"/>
      </w:pPr>
      <w:bookmarkStart w:id="6" w:name="_Toc102771501"/>
      <w:r w:rsidRPr="00E560B8">
        <w:t>Conclusion</w:t>
      </w:r>
      <w:bookmarkEnd w:id="6"/>
    </w:p>
    <w:p w14:paraId="6B0DBA48" w14:textId="7F69A581" w:rsidR="003D7C47" w:rsidRPr="00C900D4" w:rsidRDefault="00F562B5" w:rsidP="00C900D4">
      <w:r w:rsidRPr="00F562B5">
        <w:t xml:space="preserve">It is possible to ascribe a significant percentage of this to an in-depth analysis of interactions among the company's stakeholders, which results in a conclusion that is appropriate for the report's entire scope. More significantly yet, the aforementioned work makes use of articles </w:t>
      </w:r>
      <w:r>
        <w:t>to</w:t>
      </w:r>
      <w:r w:rsidRPr="00F562B5">
        <w:t xml:space="preserve"> discover the thoughts and viewpoints of other writers. This, in turn, assists the user in choosing the most appropriate and effective option possible. Following this debate, which is a continuation of the prior argument, the article goes on to highlight the critical need </w:t>
      </w:r>
      <w:r>
        <w:t>for</w:t>
      </w:r>
      <w:r w:rsidRPr="00F562B5">
        <w:t xml:space="preserve"> training for dealing with socio-cultural difficulties and complexity. Last but not least, the paper provides recommendations on how to build and implement a forward-thinking strategy for creating commercial relationships between organizations and their networking partners. </w:t>
      </w:r>
      <w:r>
        <w:t>On</w:t>
      </w:r>
      <w:r w:rsidRPr="00F562B5">
        <w:t xml:space="preserve"> its whole, the research reveals key fundamental notions that may be used </w:t>
      </w:r>
      <w:r>
        <w:t>in</w:t>
      </w:r>
      <w:r w:rsidRPr="00F562B5">
        <w:t xml:space="preserve"> future operations </w:t>
      </w:r>
      <w:r>
        <w:t>to</w:t>
      </w:r>
      <w:r w:rsidRPr="00F562B5">
        <w:t xml:space="preserve"> assist them in making </w:t>
      </w:r>
      <w:r>
        <w:t>better-informed</w:t>
      </w:r>
      <w:r w:rsidRPr="00F562B5">
        <w:t xml:space="preserve"> decisions in the future, according to the authors. With a rise in the number of orphanages in the community, it is essential to establish stringent criteria </w:t>
      </w:r>
      <w:r>
        <w:t>to</w:t>
      </w:r>
      <w:r w:rsidRPr="00F562B5">
        <w:t xml:space="preserve"> guarantee that orphans </w:t>
      </w:r>
      <w:r>
        <w:t>can</w:t>
      </w:r>
      <w:r w:rsidRPr="00F562B5">
        <w:t xml:space="preserve"> contribute positively to the general development of the community. Keeping precise and accurate records </w:t>
      </w:r>
      <w:r>
        <w:t>of</w:t>
      </w:r>
      <w:r w:rsidRPr="00F562B5">
        <w:t xml:space="preserve"> </w:t>
      </w:r>
      <w:r>
        <w:t>every</w:t>
      </w:r>
      <w:r w:rsidRPr="00F562B5">
        <w:t xml:space="preserve"> child should be the first step in this process. This should be self-explanatory at this point. It should be self-explanatory at this point as to what I'm talking about. The search for and identification of children whose parents have gone missing must be carried out to the greatest degree possible within the available resources. </w:t>
      </w:r>
      <w:r w:rsidR="00C900D4">
        <w:t>To guarantee that children get an excellent education while still acquiring enough nutrition, it is necessary to make a determined effort on their behalf. Furthermore, in addition to being provided with all of the necessary resources, they should be allowed to make significant contributions to the community.</w:t>
      </w:r>
      <w:r w:rsidR="003D7C47">
        <w:rPr>
          <w:b/>
          <w:bCs/>
        </w:rPr>
        <w:br w:type="page"/>
      </w:r>
    </w:p>
    <w:p w14:paraId="10618797" w14:textId="6719FD0D" w:rsidR="00E560B8" w:rsidRPr="00E560B8" w:rsidRDefault="00E560B8" w:rsidP="003D7C47">
      <w:pPr>
        <w:pStyle w:val="Heading1"/>
      </w:pPr>
      <w:bookmarkStart w:id="7" w:name="_Toc102771502"/>
      <w:r w:rsidRPr="00E560B8">
        <w:t>References</w:t>
      </w:r>
      <w:bookmarkEnd w:id="7"/>
    </w:p>
    <w:p w14:paraId="6E2BFCB0" w14:textId="77777777" w:rsidR="003D7C47" w:rsidRPr="00E560B8" w:rsidRDefault="003D7C47" w:rsidP="003D7C47">
      <w:r w:rsidRPr="00E560B8">
        <w:t xml:space="preserve">Chamberlain, A., Crabtree, A. and Davies, M., 2013, June. Community engagement for research: contextual design in rural CSCW system development. </w:t>
      </w:r>
      <w:r w:rsidRPr="003D7C47">
        <w:rPr>
          <w:i/>
          <w:iCs/>
        </w:rPr>
        <w:t>In Proceedings of the 6th International Conference on Communities and Technologies</w:t>
      </w:r>
      <w:r w:rsidRPr="00E560B8">
        <w:t> (pp. 131-139).</w:t>
      </w:r>
    </w:p>
    <w:p w14:paraId="2889DB95" w14:textId="77777777" w:rsidR="003D7C47" w:rsidRPr="003D7C47" w:rsidRDefault="003D7C47" w:rsidP="003D7C47">
      <w:pPr>
        <w:rPr>
          <w:i/>
          <w:iCs/>
        </w:rPr>
      </w:pPr>
      <w:r w:rsidRPr="00E560B8">
        <w:t xml:space="preserve">Cunha, J. and </w:t>
      </w:r>
      <w:proofErr w:type="spellStart"/>
      <w:r w:rsidRPr="00E560B8">
        <w:t>Benneworth</w:t>
      </w:r>
      <w:proofErr w:type="spellEnd"/>
      <w:r w:rsidRPr="00E560B8">
        <w:t xml:space="preserve">, P., 2013. </w:t>
      </w:r>
      <w:r w:rsidRPr="003D7C47">
        <w:rPr>
          <w:i/>
          <w:iCs/>
        </w:rPr>
        <w:t>Universities' contributions to social innovation: towards a theoretical framework.</w:t>
      </w:r>
    </w:p>
    <w:p w14:paraId="2D8DDF0C" w14:textId="77777777" w:rsidR="003D7C47" w:rsidRPr="00E560B8" w:rsidRDefault="003D7C47" w:rsidP="003D7C47">
      <w:r w:rsidRPr="00E560B8">
        <w:t xml:space="preserve">Cyril, S., Smith, B.J., </w:t>
      </w:r>
      <w:proofErr w:type="spellStart"/>
      <w:r w:rsidRPr="00E560B8">
        <w:t>Possamai-Inesedy</w:t>
      </w:r>
      <w:proofErr w:type="spellEnd"/>
      <w:r w:rsidRPr="00E560B8">
        <w:t xml:space="preserve">, A. and </w:t>
      </w:r>
      <w:proofErr w:type="spellStart"/>
      <w:r w:rsidRPr="00E560B8">
        <w:t>Renzaho</w:t>
      </w:r>
      <w:proofErr w:type="spellEnd"/>
      <w:r w:rsidRPr="00E560B8">
        <w:t xml:space="preserve">, A.M., 2015. Exploring the role of community engagement in improving the health of disadvantaged populations: </w:t>
      </w:r>
      <w:r w:rsidRPr="003D7C47">
        <w:rPr>
          <w:i/>
          <w:iCs/>
        </w:rPr>
        <w:t>a systematic review. Global health action</w:t>
      </w:r>
      <w:r w:rsidRPr="00E560B8">
        <w:t>, 8(1), p.29842.</w:t>
      </w:r>
    </w:p>
    <w:p w14:paraId="36B28F46" w14:textId="77777777" w:rsidR="003D7C47" w:rsidRPr="00E560B8" w:rsidRDefault="003D7C47" w:rsidP="003D7C47">
      <w:r w:rsidRPr="00E560B8">
        <w:t xml:space="preserve">Dare, M., Schirmer, J. and </w:t>
      </w:r>
      <w:proofErr w:type="spellStart"/>
      <w:r w:rsidRPr="00E560B8">
        <w:t>Vanclay</w:t>
      </w:r>
      <w:proofErr w:type="spellEnd"/>
      <w:r w:rsidRPr="00E560B8">
        <w:t xml:space="preserve">, F., 2014. </w:t>
      </w:r>
      <w:r w:rsidRPr="003D7C47">
        <w:rPr>
          <w:i/>
          <w:iCs/>
        </w:rPr>
        <w:t>Community engagement and social licence to operate. Impact assessment and project appraisal,</w:t>
      </w:r>
      <w:r w:rsidRPr="00E560B8">
        <w:t> 32(3), pp.188-197.</w:t>
      </w:r>
    </w:p>
    <w:p w14:paraId="7B2F47F1" w14:textId="77777777" w:rsidR="003D7C47" w:rsidRPr="00E560B8" w:rsidRDefault="003D7C47" w:rsidP="003D7C47">
      <w:r w:rsidRPr="00E560B8">
        <w:t xml:space="preserve">Dessart, L., 2017. </w:t>
      </w:r>
      <w:r w:rsidRPr="003D7C47">
        <w:rPr>
          <w:i/>
          <w:iCs/>
        </w:rPr>
        <w:t>Social media engagement: a model of antecedents and relational outcomes. Journal of Marketing Management</w:t>
      </w:r>
      <w:r w:rsidRPr="00E560B8">
        <w:t>, 33(5-6), pp.375-399.</w:t>
      </w:r>
    </w:p>
    <w:p w14:paraId="5FE7EEBF" w14:textId="77777777" w:rsidR="003D7C47" w:rsidRPr="00E560B8" w:rsidRDefault="003D7C47" w:rsidP="003D7C47">
      <w:r w:rsidRPr="00E560B8">
        <w:t xml:space="preserve">Goh, K.Y., Heng, C.S. and Lin, Z., 2013. Social media brand community and consumer </w:t>
      </w:r>
      <w:r>
        <w:t>behaviour</w:t>
      </w:r>
      <w:r w:rsidRPr="00E560B8">
        <w:t>: Quantifying the relative impact of user-and marketer-generated content. </w:t>
      </w:r>
      <w:r w:rsidRPr="003D7C47">
        <w:rPr>
          <w:i/>
          <w:iCs/>
        </w:rPr>
        <w:t>Information Systems Research</w:t>
      </w:r>
      <w:r w:rsidRPr="00E560B8">
        <w:t>, 24(1), pp.88-107.</w:t>
      </w:r>
    </w:p>
    <w:p w14:paraId="5FBEFB83" w14:textId="77777777" w:rsidR="003D7C47" w:rsidRPr="00E560B8" w:rsidRDefault="003D7C47" w:rsidP="003D7C47">
      <w:r w:rsidRPr="00E560B8">
        <w:t>Haworth, B., Bruce, E. and Middleton, P., 2015. Emerging technologies for risk reduction: assessing the potential use of social media and VGI for increasing community engagement. </w:t>
      </w:r>
      <w:r w:rsidRPr="003D7C47">
        <w:rPr>
          <w:i/>
          <w:iCs/>
        </w:rPr>
        <w:t>Australian Journal of Emergency Management,</w:t>
      </w:r>
      <w:r w:rsidRPr="00E560B8">
        <w:t xml:space="preserve"> The, 30(3), p.36.</w:t>
      </w:r>
    </w:p>
    <w:p w14:paraId="3CC3C089" w14:textId="77777777" w:rsidR="003D7C47" w:rsidRPr="00E560B8" w:rsidRDefault="003D7C47" w:rsidP="003D7C47">
      <w:proofErr w:type="spellStart"/>
      <w:r w:rsidRPr="00E560B8">
        <w:t>Kamuya</w:t>
      </w:r>
      <w:proofErr w:type="spellEnd"/>
      <w:r w:rsidRPr="00E560B8">
        <w:t xml:space="preserve">, D.M., Marsh, V., Kombe, F.K., Geissler, P.W. and Molyneux, S.C., 2013. Engaging Communities to Strengthen Research Ethics in </w:t>
      </w:r>
      <w:proofErr w:type="spellStart"/>
      <w:r w:rsidRPr="00E560B8">
        <w:t>Low?Income</w:t>
      </w:r>
      <w:proofErr w:type="spellEnd"/>
      <w:r w:rsidRPr="00E560B8">
        <w:t xml:space="preserve"> Settings: Selection and Perceptions of Members of a </w:t>
      </w:r>
      <w:r w:rsidRPr="003D7C47">
        <w:rPr>
          <w:i/>
          <w:iCs/>
        </w:rPr>
        <w:t>Network of Representatives in Coastal K Enya. Developing world bioethics</w:t>
      </w:r>
      <w:r w:rsidRPr="00E560B8">
        <w:t>, 13(1), pp.10-20.</w:t>
      </w:r>
    </w:p>
    <w:p w14:paraId="3CBE097B" w14:textId="77777777" w:rsidR="003D7C47" w:rsidRPr="00E560B8" w:rsidRDefault="003D7C47" w:rsidP="003D7C47">
      <w:r w:rsidRPr="00E560B8">
        <w:t xml:space="preserve">Khazaei, A., Elliot, S. and Joppe, M., 2015. An application of stakeholder theory to advance community participation in tourism planning: </w:t>
      </w:r>
      <w:r w:rsidRPr="003D7C47">
        <w:rPr>
          <w:i/>
          <w:iCs/>
        </w:rPr>
        <w:t>The case for engaging immigrants as fringe stakeholders. Journal of sustainable tourism</w:t>
      </w:r>
      <w:r w:rsidRPr="00E560B8">
        <w:t>, 23(7), pp.1049-1062.</w:t>
      </w:r>
    </w:p>
    <w:p w14:paraId="669AB284" w14:textId="77777777" w:rsidR="00B84789" w:rsidRDefault="00B84789" w:rsidP="003D7C47"/>
    <w:sectPr w:rsidR="00B84789" w:rsidSect="003D7C47">
      <w:headerReference w:type="default" r:id="rId9"/>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CCA85" w14:textId="77777777" w:rsidR="007E6C39" w:rsidRDefault="007E6C39" w:rsidP="00C47425">
      <w:pPr>
        <w:spacing w:before="0" w:after="0" w:line="240" w:lineRule="auto"/>
      </w:pPr>
      <w:r>
        <w:separator/>
      </w:r>
    </w:p>
  </w:endnote>
  <w:endnote w:type="continuationSeparator" w:id="0">
    <w:p w14:paraId="7B9704A3" w14:textId="77777777" w:rsidR="007E6C39" w:rsidRDefault="007E6C39" w:rsidP="00C474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43644" w14:textId="77777777" w:rsidR="007E6C39" w:rsidRDefault="007E6C39" w:rsidP="00C47425">
      <w:pPr>
        <w:spacing w:before="0" w:after="0" w:line="240" w:lineRule="auto"/>
      </w:pPr>
      <w:r>
        <w:separator/>
      </w:r>
    </w:p>
  </w:footnote>
  <w:footnote w:type="continuationSeparator" w:id="0">
    <w:p w14:paraId="20E86374" w14:textId="77777777" w:rsidR="007E6C39" w:rsidRDefault="007E6C39" w:rsidP="00C4742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473D9" w14:textId="6AD177B1" w:rsidR="00C47425" w:rsidRDefault="00C47425">
    <w:pPr>
      <w:pStyle w:val="Header"/>
    </w:pPr>
  </w:p>
  <w:p w14:paraId="4BD2C430" w14:textId="77777777" w:rsidR="00C47425" w:rsidRDefault="00C474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771965"/>
      <w:docPartObj>
        <w:docPartGallery w:val="Page Numbers (Top of Page)"/>
        <w:docPartUnique/>
      </w:docPartObj>
    </w:sdtPr>
    <w:sdtEndPr>
      <w:rPr>
        <w:noProof/>
      </w:rPr>
    </w:sdtEndPr>
    <w:sdtContent>
      <w:p w14:paraId="2958E245" w14:textId="77777777" w:rsidR="00C47425" w:rsidRDefault="00C47425">
        <w:pPr>
          <w:pStyle w:val="Header"/>
        </w:pPr>
        <w:r>
          <w:fldChar w:fldCharType="begin"/>
        </w:r>
        <w:r>
          <w:instrText xml:space="preserve"> PAGE   \* MERGEFORMAT </w:instrText>
        </w:r>
        <w:r>
          <w:fldChar w:fldCharType="separate"/>
        </w:r>
        <w:r>
          <w:rPr>
            <w:noProof/>
          </w:rPr>
          <w:t>2</w:t>
        </w:r>
        <w:r>
          <w:rPr>
            <w:noProof/>
          </w:rPr>
          <w:fldChar w:fldCharType="end"/>
        </w:r>
      </w:p>
    </w:sdtContent>
  </w:sdt>
  <w:p w14:paraId="51ED3DB8" w14:textId="77777777" w:rsidR="00C47425" w:rsidRDefault="00C47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20EEA"/>
    <w:multiLevelType w:val="multilevel"/>
    <w:tmpl w:val="84F2DA96"/>
    <w:lvl w:ilvl="0">
      <w:start w:val="1"/>
      <w:numFmt w:val="decimal"/>
      <w:lvlText w:val="%1."/>
      <w:lvlJc w:val="left"/>
      <w:pPr>
        <w:tabs>
          <w:tab w:val="num" w:pos="720"/>
        </w:tabs>
        <w:ind w:left="720" w:hanging="360"/>
      </w:pPr>
      <w:rPr>
        <w:rFonts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770BA8"/>
    <w:multiLevelType w:val="hybridMultilevel"/>
    <w:tmpl w:val="A0EC06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66822"/>
    <w:multiLevelType w:val="hybridMultilevel"/>
    <w:tmpl w:val="67A6E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hideSpellingErrors/>
  <w:hideGrammaticalErrors/>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U0NTYytDA2NDAyMbBQ0lEKTi0uzszPAykwqQUAtLqVvSwAAAA="/>
  </w:docVars>
  <w:rsids>
    <w:rsidRoot w:val="00A65453"/>
    <w:rsid w:val="00005217"/>
    <w:rsid w:val="000428C3"/>
    <w:rsid w:val="000E7B20"/>
    <w:rsid w:val="000F4627"/>
    <w:rsid w:val="00111AEB"/>
    <w:rsid w:val="00120953"/>
    <w:rsid w:val="00142685"/>
    <w:rsid w:val="001D131E"/>
    <w:rsid w:val="001D53A4"/>
    <w:rsid w:val="001E1C10"/>
    <w:rsid w:val="001E60D0"/>
    <w:rsid w:val="00205575"/>
    <w:rsid w:val="002208B0"/>
    <w:rsid w:val="0026627C"/>
    <w:rsid w:val="002E35D5"/>
    <w:rsid w:val="0031714B"/>
    <w:rsid w:val="00320076"/>
    <w:rsid w:val="003408E1"/>
    <w:rsid w:val="003D7C47"/>
    <w:rsid w:val="003F68E6"/>
    <w:rsid w:val="00454C24"/>
    <w:rsid w:val="004848C9"/>
    <w:rsid w:val="004D65B0"/>
    <w:rsid w:val="004D79B0"/>
    <w:rsid w:val="0052071A"/>
    <w:rsid w:val="005B3419"/>
    <w:rsid w:val="005D6026"/>
    <w:rsid w:val="00633A60"/>
    <w:rsid w:val="00661420"/>
    <w:rsid w:val="0067170A"/>
    <w:rsid w:val="007730EF"/>
    <w:rsid w:val="007B4B5F"/>
    <w:rsid w:val="007E6C39"/>
    <w:rsid w:val="007F0897"/>
    <w:rsid w:val="008279ED"/>
    <w:rsid w:val="00891081"/>
    <w:rsid w:val="008964AD"/>
    <w:rsid w:val="008B5C45"/>
    <w:rsid w:val="0095106B"/>
    <w:rsid w:val="009A6AA0"/>
    <w:rsid w:val="00A564A1"/>
    <w:rsid w:val="00A65453"/>
    <w:rsid w:val="00A876E4"/>
    <w:rsid w:val="00AA3A66"/>
    <w:rsid w:val="00AF45C7"/>
    <w:rsid w:val="00AF7C41"/>
    <w:rsid w:val="00B3443E"/>
    <w:rsid w:val="00B757A4"/>
    <w:rsid w:val="00B84789"/>
    <w:rsid w:val="00B95DF7"/>
    <w:rsid w:val="00BC09F0"/>
    <w:rsid w:val="00C05C18"/>
    <w:rsid w:val="00C3480C"/>
    <w:rsid w:val="00C47425"/>
    <w:rsid w:val="00C900D4"/>
    <w:rsid w:val="00C93C05"/>
    <w:rsid w:val="00D41C58"/>
    <w:rsid w:val="00D576D4"/>
    <w:rsid w:val="00DE40AD"/>
    <w:rsid w:val="00E25CDA"/>
    <w:rsid w:val="00E560B8"/>
    <w:rsid w:val="00E60616"/>
    <w:rsid w:val="00EA7F23"/>
    <w:rsid w:val="00EF2D96"/>
    <w:rsid w:val="00F00EB5"/>
    <w:rsid w:val="00F04B40"/>
    <w:rsid w:val="00F53B07"/>
    <w:rsid w:val="00F562B5"/>
    <w:rsid w:val="00F679A8"/>
    <w:rsid w:val="00FF6D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C54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D7C47"/>
    <w:pPr>
      <w:outlineLvl w:val="0"/>
    </w:pPr>
    <w:rPr>
      <w:b/>
      <w:bCs/>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C47"/>
    <w:rPr>
      <w:b/>
      <w:bCs/>
      <w:color w:val="2F5496" w:themeColor="accent1" w:themeShade="BF"/>
      <w:sz w:val="32"/>
      <w:szCs w:val="32"/>
    </w:rPr>
  </w:style>
  <w:style w:type="character" w:styleId="Hyperlink">
    <w:name w:val="Hyperlink"/>
    <w:basedOn w:val="DefaultParagraphFont"/>
    <w:uiPriority w:val="99"/>
    <w:unhideWhenUsed/>
    <w:rsid w:val="00E560B8"/>
    <w:rPr>
      <w:color w:val="0563C1" w:themeColor="hyperlink"/>
      <w:u w:val="single"/>
    </w:rPr>
  </w:style>
  <w:style w:type="character" w:styleId="UnresolvedMention">
    <w:name w:val="Unresolved Mention"/>
    <w:basedOn w:val="DefaultParagraphFont"/>
    <w:uiPriority w:val="99"/>
    <w:semiHidden/>
    <w:unhideWhenUsed/>
    <w:rsid w:val="00E560B8"/>
    <w:rPr>
      <w:color w:val="605E5C"/>
      <w:shd w:val="clear" w:color="auto" w:fill="E1DFDD"/>
    </w:rPr>
  </w:style>
  <w:style w:type="paragraph" w:styleId="TOCHeading">
    <w:name w:val="TOC Heading"/>
    <w:basedOn w:val="Heading1"/>
    <w:next w:val="Normal"/>
    <w:uiPriority w:val="39"/>
    <w:unhideWhenUsed/>
    <w:qFormat/>
    <w:rsid w:val="009A6AA0"/>
    <w:pPr>
      <w:keepNext/>
      <w:keepLines/>
      <w:spacing w:after="0" w:line="259" w:lineRule="auto"/>
      <w:jc w:val="left"/>
      <w:outlineLvl w:val="9"/>
    </w:pPr>
    <w:rPr>
      <w:rFonts w:asciiTheme="majorHAnsi" w:eastAsiaTheme="majorEastAsia" w:hAnsiTheme="majorHAnsi" w:cstheme="majorBidi"/>
      <w:lang w:val="en-US"/>
    </w:rPr>
  </w:style>
  <w:style w:type="paragraph" w:styleId="TOC1">
    <w:name w:val="toc 1"/>
    <w:basedOn w:val="Normal"/>
    <w:next w:val="Normal"/>
    <w:autoRedefine/>
    <w:uiPriority w:val="39"/>
    <w:unhideWhenUsed/>
    <w:rsid w:val="009A6AA0"/>
    <w:pPr>
      <w:spacing w:after="100"/>
    </w:pPr>
  </w:style>
  <w:style w:type="paragraph" w:styleId="Header">
    <w:name w:val="header"/>
    <w:basedOn w:val="Normal"/>
    <w:link w:val="HeaderChar"/>
    <w:uiPriority w:val="99"/>
    <w:unhideWhenUsed/>
    <w:rsid w:val="00C4742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47425"/>
  </w:style>
  <w:style w:type="paragraph" w:styleId="Footer">
    <w:name w:val="footer"/>
    <w:basedOn w:val="Normal"/>
    <w:link w:val="FooterChar"/>
    <w:uiPriority w:val="99"/>
    <w:unhideWhenUsed/>
    <w:rsid w:val="00C4742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47425"/>
  </w:style>
  <w:style w:type="paragraph" w:styleId="ListParagraph">
    <w:name w:val="List Paragraph"/>
    <w:basedOn w:val="Normal"/>
    <w:uiPriority w:val="34"/>
    <w:qFormat/>
    <w:rsid w:val="003D7C47"/>
    <w:pPr>
      <w:ind w:left="720"/>
      <w:contextualSpacing/>
    </w:pPr>
  </w:style>
  <w:style w:type="character" w:styleId="CommentReference">
    <w:name w:val="annotation reference"/>
    <w:basedOn w:val="DefaultParagraphFont"/>
    <w:uiPriority w:val="99"/>
    <w:semiHidden/>
    <w:unhideWhenUsed/>
    <w:rsid w:val="003D7C47"/>
    <w:rPr>
      <w:sz w:val="16"/>
      <w:szCs w:val="16"/>
    </w:rPr>
  </w:style>
  <w:style w:type="paragraph" w:styleId="CommentText">
    <w:name w:val="annotation text"/>
    <w:basedOn w:val="Normal"/>
    <w:link w:val="CommentTextChar"/>
    <w:uiPriority w:val="99"/>
    <w:semiHidden/>
    <w:unhideWhenUsed/>
    <w:rsid w:val="003D7C47"/>
    <w:pPr>
      <w:spacing w:line="240" w:lineRule="auto"/>
    </w:pPr>
    <w:rPr>
      <w:sz w:val="20"/>
      <w:szCs w:val="20"/>
    </w:rPr>
  </w:style>
  <w:style w:type="character" w:customStyle="1" w:styleId="CommentTextChar">
    <w:name w:val="Comment Text Char"/>
    <w:basedOn w:val="DefaultParagraphFont"/>
    <w:link w:val="CommentText"/>
    <w:uiPriority w:val="99"/>
    <w:semiHidden/>
    <w:rsid w:val="003D7C47"/>
    <w:rPr>
      <w:sz w:val="20"/>
      <w:szCs w:val="20"/>
    </w:rPr>
  </w:style>
  <w:style w:type="paragraph" w:styleId="CommentSubject">
    <w:name w:val="annotation subject"/>
    <w:basedOn w:val="CommentText"/>
    <w:next w:val="CommentText"/>
    <w:link w:val="CommentSubjectChar"/>
    <w:uiPriority w:val="99"/>
    <w:semiHidden/>
    <w:unhideWhenUsed/>
    <w:rsid w:val="003D7C47"/>
    <w:rPr>
      <w:b/>
      <w:bCs/>
    </w:rPr>
  </w:style>
  <w:style w:type="character" w:customStyle="1" w:styleId="CommentSubjectChar">
    <w:name w:val="Comment Subject Char"/>
    <w:basedOn w:val="CommentTextChar"/>
    <w:link w:val="CommentSubject"/>
    <w:uiPriority w:val="99"/>
    <w:semiHidden/>
    <w:rsid w:val="003D7C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15606">
      <w:bodyDiv w:val="1"/>
      <w:marLeft w:val="0"/>
      <w:marRight w:val="0"/>
      <w:marTop w:val="0"/>
      <w:marBottom w:val="0"/>
      <w:divBdr>
        <w:top w:val="none" w:sz="0" w:space="0" w:color="auto"/>
        <w:left w:val="none" w:sz="0" w:space="0" w:color="auto"/>
        <w:bottom w:val="none" w:sz="0" w:space="0" w:color="auto"/>
        <w:right w:val="none" w:sz="0" w:space="0" w:color="auto"/>
      </w:divBdr>
    </w:div>
    <w:div w:id="758065843">
      <w:bodyDiv w:val="1"/>
      <w:marLeft w:val="0"/>
      <w:marRight w:val="0"/>
      <w:marTop w:val="0"/>
      <w:marBottom w:val="0"/>
      <w:divBdr>
        <w:top w:val="none" w:sz="0" w:space="0" w:color="auto"/>
        <w:left w:val="none" w:sz="0" w:space="0" w:color="auto"/>
        <w:bottom w:val="none" w:sz="0" w:space="0" w:color="auto"/>
        <w:right w:val="none" w:sz="0" w:space="0" w:color="auto"/>
      </w:divBdr>
    </w:div>
    <w:div w:id="179648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85CCF6-C1ED-4155-82D0-4CFCD71DE6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2544</Words>
  <Characters>14504</Characters>
  <Application>Microsoft Office Word</Application>
  <DocSecurity>0</DocSecurity>
  <Lines>120</Lines>
  <Paragraphs>34</Paragraphs>
  <ScaleCrop>false</ScaleCrop>
  <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2022-05-06T21:07:00Z</dcterms:created>
  <dcterms:modified xsi:type="dcterms:W3CDTF">2022-05-06T21:07:00Z</dcterms:modified>
</cp:coreProperties>
</file>