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D16D5" w14:textId="77777777" w:rsidR="004D40CB" w:rsidRDefault="00540068">
      <w:pPr>
        <w:spacing w:line="360" w:lineRule="auto"/>
        <w:jc w:val="both"/>
        <w:rPr>
          <w:rFonts w:ascii="Times New Roman" w:eastAsia="Times New Roman" w:hAnsi="Times New Roman" w:cs="Times New Roman"/>
          <w:b/>
          <w:bCs/>
          <w:sz w:val="30"/>
          <w:szCs w:val="30"/>
        </w:rPr>
      </w:pPr>
      <w:r>
        <w:rPr>
          <w:rFonts w:ascii="Times New Roman" w:eastAsia="Times New Roman" w:hAnsi="Times New Roman" w:cs="Times New Roman"/>
          <w:b/>
          <w:bCs/>
          <w:noProof/>
          <w:sz w:val="30"/>
          <w:szCs w:val="30"/>
        </w:rPr>
        <w:drawing>
          <wp:inline distT="114300" distB="114300" distL="114300" distR="114300" wp14:anchorId="0D4D5D2C" wp14:editId="6BFC1ECC">
            <wp:extent cx="3290888" cy="182584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290888" cy="1825841"/>
                    </a:xfrm>
                    <a:prstGeom prst="rect">
                      <a:avLst/>
                    </a:prstGeom>
                    <a:ln/>
                  </pic:spPr>
                </pic:pic>
              </a:graphicData>
            </a:graphic>
          </wp:inline>
        </w:drawing>
      </w:r>
    </w:p>
    <w:p w14:paraId="54E1BCED" w14:textId="77777777" w:rsidR="004D40CB" w:rsidRDefault="004D40CB">
      <w:pPr>
        <w:spacing w:line="360" w:lineRule="auto"/>
        <w:jc w:val="both"/>
        <w:rPr>
          <w:rFonts w:ascii="Times New Roman" w:eastAsia="Times New Roman" w:hAnsi="Times New Roman" w:cs="Times New Roman"/>
          <w:b/>
          <w:bCs/>
          <w:sz w:val="30"/>
          <w:szCs w:val="30"/>
        </w:rPr>
      </w:pPr>
    </w:p>
    <w:p w14:paraId="7319A643" w14:textId="77777777" w:rsidR="004D40CB" w:rsidRDefault="00540068">
      <w:pPr>
        <w:spacing w:line="480" w:lineRule="auto"/>
        <w:jc w:val="both"/>
        <w:rPr>
          <w:b/>
          <w:bCs/>
          <w:sz w:val="32"/>
          <w:szCs w:val="32"/>
        </w:rPr>
      </w:pPr>
      <w:r>
        <w:rPr>
          <w:b/>
          <w:bCs/>
          <w:sz w:val="32"/>
          <w:szCs w:val="32"/>
        </w:rPr>
        <w:t>Leading And Developing People</w:t>
      </w:r>
    </w:p>
    <w:p w14:paraId="3A0C5432" w14:textId="77777777" w:rsidR="004D40CB" w:rsidRDefault="00540068">
      <w:pPr>
        <w:spacing w:line="480" w:lineRule="auto"/>
        <w:jc w:val="both"/>
        <w:rPr>
          <w:b/>
          <w:bCs/>
          <w:sz w:val="32"/>
          <w:szCs w:val="32"/>
        </w:rPr>
      </w:pPr>
      <w:r>
        <w:rPr>
          <w:b/>
          <w:bCs/>
          <w:sz w:val="32"/>
          <w:szCs w:val="32"/>
        </w:rPr>
        <w:t>IUBA6005</w:t>
      </w:r>
    </w:p>
    <w:p w14:paraId="0606E5BF" w14:textId="77777777" w:rsidR="004D40CB" w:rsidRDefault="00540068">
      <w:pPr>
        <w:spacing w:line="480" w:lineRule="auto"/>
        <w:jc w:val="both"/>
        <w:rPr>
          <w:b/>
          <w:bCs/>
          <w:sz w:val="32"/>
          <w:szCs w:val="32"/>
        </w:rPr>
      </w:pPr>
      <w:r>
        <w:rPr>
          <w:b/>
          <w:bCs/>
          <w:sz w:val="32"/>
          <w:szCs w:val="32"/>
        </w:rPr>
        <w:t>LEVEL 6</w:t>
      </w:r>
    </w:p>
    <w:p w14:paraId="51A89339" w14:textId="77777777" w:rsidR="004D40CB" w:rsidRDefault="004D40CB">
      <w:pPr>
        <w:spacing w:line="480" w:lineRule="auto"/>
        <w:jc w:val="both"/>
        <w:rPr>
          <w:b/>
          <w:bCs/>
          <w:sz w:val="32"/>
          <w:szCs w:val="32"/>
        </w:rPr>
      </w:pPr>
    </w:p>
    <w:p w14:paraId="4B24CC72" w14:textId="77777777" w:rsidR="004D40CB" w:rsidRDefault="00540068">
      <w:pPr>
        <w:spacing w:line="480" w:lineRule="auto"/>
        <w:jc w:val="both"/>
        <w:rPr>
          <w:b/>
          <w:bCs/>
          <w:sz w:val="32"/>
          <w:szCs w:val="32"/>
        </w:rPr>
      </w:pPr>
      <w:r>
        <w:rPr>
          <w:b/>
          <w:bCs/>
          <w:sz w:val="32"/>
          <w:szCs w:val="32"/>
        </w:rPr>
        <w:t>Summer 2025</w:t>
      </w:r>
    </w:p>
    <w:p w14:paraId="5DC409FA" w14:textId="77777777" w:rsidR="004D40CB" w:rsidRDefault="00540068">
      <w:pPr>
        <w:spacing w:line="480" w:lineRule="auto"/>
        <w:jc w:val="both"/>
        <w:rPr>
          <w:b/>
          <w:bCs/>
          <w:sz w:val="32"/>
          <w:szCs w:val="32"/>
        </w:rPr>
      </w:pPr>
      <w:r>
        <w:rPr>
          <w:b/>
          <w:bCs/>
          <w:sz w:val="32"/>
          <w:szCs w:val="32"/>
        </w:rPr>
        <w:t>Module Lead: Emma Roberts</w:t>
      </w:r>
    </w:p>
    <w:p w14:paraId="44BFB07C" w14:textId="77777777" w:rsidR="004D40CB" w:rsidRDefault="00540068">
      <w:pPr>
        <w:spacing w:line="480" w:lineRule="auto"/>
        <w:jc w:val="both"/>
        <w:rPr>
          <w:rFonts w:ascii="Times New Roman" w:eastAsia="Times New Roman" w:hAnsi="Times New Roman" w:cs="Times New Roman"/>
          <w:sz w:val="24"/>
          <w:szCs w:val="24"/>
        </w:rPr>
      </w:pPr>
      <w:hyperlink r:id="rId7">
        <w:r>
          <w:rPr>
            <w:b/>
            <w:bCs/>
            <w:color w:val="1155CC"/>
            <w:sz w:val="32"/>
            <w:szCs w:val="32"/>
            <w:u w:val="single"/>
          </w:rPr>
          <w:t>e.roberts@uwtsd.ac.uk</w:t>
        </w:r>
      </w:hyperlink>
      <w:r>
        <w:br w:type="page"/>
      </w:r>
    </w:p>
    <w:p w14:paraId="08E257C5" w14:textId="77777777" w:rsidR="004D40CB" w:rsidRDefault="00540068">
      <w:pPr>
        <w:spacing w:line="360" w:lineRule="auto"/>
        <w:jc w:val="center"/>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lastRenderedPageBreak/>
        <w:t>Table of Contents</w:t>
      </w:r>
    </w:p>
    <w:p w14:paraId="6E4DE86C" w14:textId="77777777" w:rsidR="004D40CB" w:rsidRDefault="004D40CB">
      <w:pPr>
        <w:spacing w:line="360" w:lineRule="auto"/>
        <w:jc w:val="center"/>
        <w:rPr>
          <w:rFonts w:ascii="Times New Roman" w:eastAsia="Times New Roman" w:hAnsi="Times New Roman" w:cs="Times New Roman"/>
          <w:b/>
          <w:bCs/>
          <w:i/>
          <w:iCs/>
          <w:sz w:val="24"/>
          <w:szCs w:val="24"/>
        </w:rPr>
      </w:pPr>
    </w:p>
    <w:p w14:paraId="3DDA587E"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1.0 INTRODUCTION………………………………………………………………………..3</w:t>
      </w:r>
    </w:p>
    <w:p w14:paraId="7C81AAC4"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1.1 Purpose and Scope………………………………………………………………...3</w:t>
      </w:r>
    </w:p>
    <w:p w14:paraId="15812EF8"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1.2 Selection of BMW and Perodua…………………………………………………...3</w:t>
      </w:r>
    </w:p>
    <w:p w14:paraId="17F3AD0C"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2.0 ORGANISATIONAL BACKGROUND………………………………………………...4</w:t>
      </w:r>
    </w:p>
    <w:p w14:paraId="7A426DBD"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2.1 BMW Group……………………………………………………………………….4</w:t>
      </w:r>
    </w:p>
    <w:p w14:paraId="6178D755"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2.2 Perodua…………………………………………………………………………….4</w:t>
      </w:r>
    </w:p>
    <w:p w14:paraId="73E9B277"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2.3 Industry Context…………………………………………………………………...4</w:t>
      </w:r>
    </w:p>
    <w:p w14:paraId="67707038"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3.0 RECRUITMENT AND TALENT MANAGEMENT………………………………….5</w:t>
      </w:r>
    </w:p>
    <w:p w14:paraId="5F8E113F"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3.1 Recruitment Approaches ………………………………………………………….5</w:t>
      </w:r>
    </w:p>
    <w:p w14:paraId="68389638"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3.2 Talent Management Practices……………………………….……………………..5</w:t>
      </w:r>
    </w:p>
    <w:p w14:paraId="5DE7D79B"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4.0 TRAINING AND DEVELOPMENT…………………………………………………...6</w:t>
      </w:r>
    </w:p>
    <w:p w14:paraId="2247396A"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4.1 Training Strategy and Learning Culture…………………………………………..6</w:t>
      </w:r>
    </w:p>
    <w:p w14:paraId="217264C3"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4.2 Implementation and Effectiveness………………………………………………...6</w:t>
      </w:r>
    </w:p>
    <w:p w14:paraId="3C904ABB"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5.0 EQUALITY, DIVERSITY AND INCLUSION………………………………………...7</w:t>
      </w:r>
    </w:p>
    <w:p w14:paraId="068FC320"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5.1 EDI Policies………………………………………………………………………..7</w:t>
      </w:r>
    </w:p>
    <w:p w14:paraId="543D5846"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5.2 Effectiveness and Organisational Culture…………………………………………7</w:t>
      </w:r>
    </w:p>
    <w:p w14:paraId="5070515E"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6.0 PERFORMANCE MANAGEMENT AND PAY……………………………………….8</w:t>
      </w:r>
    </w:p>
    <w:p w14:paraId="7FEE581D"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6.1 Performance Management Systems……………………………………………….8</w:t>
      </w:r>
    </w:p>
    <w:p w14:paraId="75B74FFC"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6.2 Compensation and Reward Approaches…………………………………………..8</w:t>
      </w:r>
    </w:p>
    <w:p w14:paraId="148475B4"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7.0 CRITICAL DISCUSSION OF PEOPLE STRATEGIES……………………………...9</w:t>
      </w:r>
    </w:p>
    <w:p w14:paraId="38A4374F"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7.1 Theoretical Alignment……………………………………………………………..9</w:t>
      </w:r>
    </w:p>
    <w:p w14:paraId="0EEA9F07"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7.2 Strengths and Weaknesses…………………………………………………………9</w:t>
      </w:r>
    </w:p>
    <w:p w14:paraId="59E39467"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8.0 FUTURE ORGANISATIONAL NEEDS……………………………………………...10</w:t>
      </w:r>
    </w:p>
    <w:p w14:paraId="0AC10A7D"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8.1 Strategic Workforce Requirements………………………………………………10</w:t>
      </w:r>
    </w:p>
    <w:p w14:paraId="2ABC136F"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8.2 Recommendations for Both Organisations……………………………………….10</w:t>
      </w:r>
    </w:p>
    <w:p w14:paraId="0C4261BE"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9.0 CONCLUSION………………………………………………………………………….11</w:t>
      </w:r>
    </w:p>
    <w:p w14:paraId="69AC7662"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10.0 REFERENCES………………………………………………………………………...12</w:t>
      </w:r>
    </w:p>
    <w:p w14:paraId="18468EEE" w14:textId="77777777" w:rsidR="004D40CB" w:rsidRDefault="004D40CB">
      <w:pPr>
        <w:spacing w:line="360" w:lineRule="auto"/>
        <w:jc w:val="both"/>
        <w:rPr>
          <w:rFonts w:ascii="Times New Roman" w:eastAsia="Times New Roman" w:hAnsi="Times New Roman" w:cs="Times New Roman"/>
          <w:sz w:val="24"/>
          <w:szCs w:val="24"/>
        </w:rPr>
      </w:pPr>
    </w:p>
    <w:p w14:paraId="65E60791"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Presentation Link:</w:t>
      </w:r>
    </w:p>
    <w:p w14:paraId="44BD2DFA" w14:textId="77777777" w:rsidR="004D40CB" w:rsidRDefault="00540068">
      <w:pPr>
        <w:spacing w:line="360" w:lineRule="auto"/>
        <w:jc w:val="both"/>
        <w:rPr>
          <w:rFonts w:ascii="Times New Roman" w:eastAsia="Times New Roman" w:hAnsi="Times New Roman" w:cs="Times New Roman"/>
          <w:sz w:val="24"/>
          <w:szCs w:val="24"/>
        </w:rPr>
      </w:pPr>
      <w:hyperlink r:id="rId8">
        <w:r>
          <w:rPr>
            <w:rFonts w:ascii="Times New Roman" w:eastAsia="Times New Roman" w:hAnsi="Times New Roman" w:cs="Times New Roman"/>
            <w:color w:val="0000EE"/>
            <w:sz w:val="24"/>
            <w:szCs w:val="24"/>
            <w:u w:val="single"/>
          </w:rPr>
          <w:t>IUBA6005 Resit Presentation - Stephanie Yong (2244733).mp4</w:t>
        </w:r>
      </w:hyperlink>
    </w:p>
    <w:p w14:paraId="2899A3AB" w14:textId="77777777" w:rsidR="004D40CB" w:rsidRDefault="00540068">
      <w:pPr>
        <w:spacing w:line="360" w:lineRule="auto"/>
        <w:jc w:val="both"/>
        <w:rPr>
          <w:rFonts w:ascii="Times New Roman" w:eastAsia="Times New Roman" w:hAnsi="Times New Roman" w:cs="Times New Roman"/>
          <w:sz w:val="24"/>
          <w:szCs w:val="24"/>
        </w:rPr>
      </w:pPr>
      <w:r>
        <w:br w:type="page"/>
      </w:r>
    </w:p>
    <w:p w14:paraId="2928946A"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1.0 INTRODUCTION</w:t>
      </w:r>
    </w:p>
    <w:p w14:paraId="14D27051" w14:textId="77777777" w:rsidR="004D40CB" w:rsidRDefault="004D40CB">
      <w:pPr>
        <w:spacing w:line="360" w:lineRule="auto"/>
        <w:jc w:val="both"/>
        <w:rPr>
          <w:rFonts w:ascii="Times New Roman" w:eastAsia="Times New Roman" w:hAnsi="Times New Roman" w:cs="Times New Roman"/>
          <w:b/>
          <w:bCs/>
          <w:sz w:val="24"/>
          <w:szCs w:val="24"/>
        </w:rPr>
      </w:pPr>
    </w:p>
    <w:p w14:paraId="682B83AD"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1.1 Purpose and Scope</w:t>
      </w:r>
    </w:p>
    <w:p w14:paraId="68678326"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compares the personnel techniques employed by BMW and Perodua. Though they represent the car business, they have rather dissimilar market orientation, company profile, and strategic goals. The differences impact the manner in which businesses design and implement HR policies and the manner in which businesses deal with people. The study centers on four foundational areas of HR policies, the recruitment and talent management, the training and development, equality and diversity, and pay perform</w:t>
      </w:r>
      <w:r>
        <w:rPr>
          <w:rFonts w:ascii="Times New Roman" w:eastAsia="Times New Roman" w:hAnsi="Times New Roman" w:cs="Times New Roman"/>
          <w:sz w:val="24"/>
          <w:szCs w:val="24"/>
        </w:rPr>
        <w:t>ance management, which are the pillars of an effective people strategy. These areas play a vital role towards long term ability and performance.</w:t>
      </w:r>
    </w:p>
    <w:p w14:paraId="661F39F2" w14:textId="77777777" w:rsidR="004D40CB" w:rsidRDefault="004D40CB">
      <w:pPr>
        <w:spacing w:line="360" w:lineRule="auto"/>
        <w:jc w:val="both"/>
        <w:rPr>
          <w:rFonts w:ascii="Times New Roman" w:eastAsia="Times New Roman" w:hAnsi="Times New Roman" w:cs="Times New Roman"/>
          <w:sz w:val="24"/>
          <w:szCs w:val="24"/>
        </w:rPr>
      </w:pPr>
    </w:p>
    <w:p w14:paraId="56FEDD64"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1.2 Selection of BMW and Perodua</w:t>
      </w:r>
    </w:p>
    <w:p w14:paraId="0A80356D"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BMW is a global, luxury motor vehicle manufacturer that is engaged in extremely competitive and technologically advanced regions. Conversely, Perodua is a domestic manufacturer, which values low price, reliability of operations, and domestic market presence. These differences provide a valuable baseline of comparison, illustrating how the strategies of individuals evolve to organizational contexts, technical requirements and competitive limitations.</w:t>
      </w:r>
    </w:p>
    <w:p w14:paraId="738E3FE1" w14:textId="77777777" w:rsidR="004D40CB" w:rsidRDefault="00540068">
      <w:pPr>
        <w:spacing w:line="360" w:lineRule="auto"/>
        <w:jc w:val="both"/>
        <w:rPr>
          <w:rFonts w:ascii="Times New Roman" w:eastAsia="Times New Roman" w:hAnsi="Times New Roman" w:cs="Times New Roman"/>
          <w:b/>
          <w:bCs/>
          <w:sz w:val="24"/>
          <w:szCs w:val="24"/>
        </w:rPr>
      </w:pPr>
      <w:r>
        <w:br w:type="page"/>
      </w:r>
    </w:p>
    <w:p w14:paraId="33359E2A"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2.0 ORGANISATIONAL BACKGROUND</w:t>
      </w:r>
    </w:p>
    <w:p w14:paraId="2B017BAA" w14:textId="77777777" w:rsidR="004D40CB" w:rsidRDefault="004D40CB">
      <w:pPr>
        <w:spacing w:line="360" w:lineRule="auto"/>
        <w:jc w:val="both"/>
        <w:rPr>
          <w:rFonts w:ascii="Times New Roman" w:eastAsia="Times New Roman" w:hAnsi="Times New Roman" w:cs="Times New Roman"/>
          <w:b/>
          <w:bCs/>
          <w:sz w:val="24"/>
          <w:szCs w:val="24"/>
        </w:rPr>
      </w:pPr>
    </w:p>
    <w:p w14:paraId="72F1EA64"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2.1 BMW Group</w:t>
      </w:r>
    </w:p>
    <w:p w14:paraId="45BA0307"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b/>
      </w:r>
      <w:r>
        <w:rPr>
          <w:rFonts w:ascii="Times New Roman" w:eastAsia="Times New Roman" w:hAnsi="Times New Roman" w:cs="Times New Roman"/>
          <w:sz w:val="24"/>
          <w:szCs w:val="24"/>
        </w:rPr>
        <w:t>BMW is headquartered in Munich and invites the whole world to its passion of technical perfection, digital advancement, and high car quality. BMW is a company that operates at the global level and invests in such innovations of the future as e-car, driver-assistance systems, and data-driven production (BMW Group, 2024). Consequently, BMW needs a highly trained human resource and aligns its human resource policy to hire and develop human resources that can generate long-term innovations.</w:t>
      </w:r>
    </w:p>
    <w:p w14:paraId="0C12F166" w14:textId="77777777" w:rsidR="004D40CB" w:rsidRDefault="004D40CB">
      <w:pPr>
        <w:spacing w:line="360" w:lineRule="auto"/>
        <w:jc w:val="both"/>
        <w:rPr>
          <w:rFonts w:ascii="Times New Roman" w:eastAsia="Times New Roman" w:hAnsi="Times New Roman" w:cs="Times New Roman"/>
          <w:sz w:val="24"/>
          <w:szCs w:val="24"/>
        </w:rPr>
      </w:pPr>
    </w:p>
    <w:p w14:paraId="4DC37EF7"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2.2 Perodua</w:t>
      </w:r>
    </w:p>
    <w:p w14:paraId="5FEAAA50"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Perodua is the biggest and the most successful car brand in Malaysia, which offers affordable and reliable cars that meet the needs of local consumers. The way the company does business focuses on efficiency in its operations, cost management, and close collaboration with local vendors and vocational institutions (Perodua, 2023). Stability of the workforce and technical know-how are also essential to the success of Perodua which leads to the focus on local hiring, technical training and lean production pra</w:t>
      </w:r>
      <w:r>
        <w:rPr>
          <w:rFonts w:ascii="Times New Roman" w:eastAsia="Times New Roman" w:hAnsi="Times New Roman" w:cs="Times New Roman"/>
          <w:sz w:val="24"/>
          <w:szCs w:val="24"/>
        </w:rPr>
        <w:t>ctices.</w:t>
      </w:r>
    </w:p>
    <w:p w14:paraId="48949E12" w14:textId="77777777" w:rsidR="004D40CB" w:rsidRDefault="004D40CB">
      <w:pPr>
        <w:spacing w:line="360" w:lineRule="auto"/>
        <w:jc w:val="both"/>
        <w:rPr>
          <w:rFonts w:ascii="Times New Roman" w:eastAsia="Times New Roman" w:hAnsi="Times New Roman" w:cs="Times New Roman"/>
          <w:sz w:val="24"/>
          <w:szCs w:val="24"/>
        </w:rPr>
      </w:pPr>
    </w:p>
    <w:p w14:paraId="0880FEAC"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2.3 Industry Context</w:t>
      </w:r>
    </w:p>
    <w:p w14:paraId="57B6AFB3"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automobile industry is changing due to electrification, digitization and sustainability. BMW is competing in the world with other companies like Mercedes-Benz, Tesla, and Audi where the demands in digital and technical fields are enhancing the pressure of recruitment. Perodua is mostly a competitor in Malaysia where low-cost automobiles are in demand and the transition to hybrid and electric technology is increasing. This industrial background defines the HR strategy of both organizations and the basis</w:t>
      </w:r>
      <w:r>
        <w:rPr>
          <w:rFonts w:ascii="Times New Roman" w:eastAsia="Times New Roman" w:hAnsi="Times New Roman" w:cs="Times New Roman"/>
          <w:sz w:val="24"/>
          <w:szCs w:val="24"/>
        </w:rPr>
        <w:t xml:space="preserve"> of the further comparison.</w:t>
      </w:r>
    </w:p>
    <w:p w14:paraId="167F4E1B" w14:textId="77777777" w:rsidR="004D40CB" w:rsidRDefault="004D40CB">
      <w:pPr>
        <w:spacing w:line="360" w:lineRule="auto"/>
        <w:jc w:val="both"/>
        <w:rPr>
          <w:rFonts w:ascii="Times New Roman" w:eastAsia="Times New Roman" w:hAnsi="Times New Roman" w:cs="Times New Roman"/>
          <w:sz w:val="24"/>
          <w:szCs w:val="24"/>
        </w:rPr>
      </w:pPr>
    </w:p>
    <w:p w14:paraId="2CE420C0" w14:textId="77777777" w:rsidR="004D40CB" w:rsidRDefault="004D40CB">
      <w:pPr>
        <w:spacing w:line="360" w:lineRule="auto"/>
        <w:jc w:val="both"/>
        <w:rPr>
          <w:rFonts w:ascii="Times New Roman" w:eastAsia="Times New Roman" w:hAnsi="Times New Roman" w:cs="Times New Roman"/>
          <w:sz w:val="24"/>
          <w:szCs w:val="24"/>
        </w:rPr>
      </w:pPr>
    </w:p>
    <w:p w14:paraId="46C92F68" w14:textId="77777777" w:rsidR="004D40CB" w:rsidRDefault="00540068">
      <w:pPr>
        <w:spacing w:line="360" w:lineRule="auto"/>
        <w:jc w:val="both"/>
        <w:rPr>
          <w:rFonts w:ascii="Times New Roman" w:eastAsia="Times New Roman" w:hAnsi="Times New Roman" w:cs="Times New Roman"/>
          <w:sz w:val="24"/>
          <w:szCs w:val="24"/>
        </w:rPr>
      </w:pPr>
      <w:r>
        <w:br w:type="page"/>
      </w:r>
    </w:p>
    <w:p w14:paraId="2F2C7177"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3.0 RECRUITMENT AND TALENT MANAGEMENT</w:t>
      </w:r>
    </w:p>
    <w:p w14:paraId="57099D0C" w14:textId="77777777" w:rsidR="004D40CB" w:rsidRDefault="004D40CB">
      <w:pPr>
        <w:spacing w:line="360" w:lineRule="auto"/>
        <w:jc w:val="both"/>
        <w:rPr>
          <w:rFonts w:ascii="Times New Roman" w:eastAsia="Times New Roman" w:hAnsi="Times New Roman" w:cs="Times New Roman"/>
          <w:b/>
          <w:bCs/>
          <w:sz w:val="24"/>
          <w:szCs w:val="24"/>
        </w:rPr>
      </w:pPr>
    </w:p>
    <w:p w14:paraId="26DAC5C1"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3.1 Recruitment Approaches</w:t>
      </w:r>
    </w:p>
    <w:p w14:paraId="31E14246"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BMW has a global, competency based hiring system which is supported by university partnerships, global mobility schemes and graduate graduate programs. Employer branding is essential, and BMW advertises itself as an innovative and sustainable organization to attract the best engineers and other IT experts (BMW Group, 2023). In the company, technical competency and cultural fit are often identified through assessment centers, behavioral interviews, and practical exercises as part of recruiting.</w:t>
      </w:r>
    </w:p>
    <w:p w14:paraId="29B84402" w14:textId="77777777" w:rsidR="004D40CB" w:rsidRDefault="004D40CB">
      <w:pPr>
        <w:spacing w:line="360" w:lineRule="auto"/>
        <w:jc w:val="both"/>
        <w:rPr>
          <w:rFonts w:ascii="Times New Roman" w:eastAsia="Times New Roman" w:hAnsi="Times New Roman" w:cs="Times New Roman"/>
          <w:sz w:val="24"/>
          <w:szCs w:val="24"/>
        </w:rPr>
      </w:pPr>
    </w:p>
    <w:p w14:paraId="1D15CCA2"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Perodua is primarily targeting Malaysian talent in its recruitment strategy. In order to have the flow of talents continuously, the corporation collaborates with local technical schools and institutions that are associated with the government. Recruitment is done on operations like factory operators, technicians and quality inspectors. Though Perodua offers internal promotion opportunities, it does not hire outside or focus on highly advanced engineering skills as BMW does.</w:t>
      </w:r>
    </w:p>
    <w:p w14:paraId="68581666" w14:textId="77777777" w:rsidR="004D40CB" w:rsidRDefault="004D40CB">
      <w:pPr>
        <w:spacing w:line="360" w:lineRule="auto"/>
        <w:jc w:val="both"/>
        <w:rPr>
          <w:rFonts w:ascii="Times New Roman" w:eastAsia="Times New Roman" w:hAnsi="Times New Roman" w:cs="Times New Roman"/>
          <w:sz w:val="24"/>
          <w:szCs w:val="24"/>
        </w:rPr>
      </w:pPr>
    </w:p>
    <w:p w14:paraId="16604610" w14:textId="77777777" w:rsidR="004D40CB" w:rsidRDefault="00540068">
      <w:pPr>
        <w:spacing w:line="360" w:lineRule="auto"/>
        <w:ind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3.2 Talent Management Practices</w:t>
      </w:r>
    </w:p>
    <w:p w14:paraId="066C82B9"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BMW is a company that deals with talent management consciously. The leadership tests, succession plans, and performance tests help the organization identify high potential staff. These employees are then enrolled into developmental careers which comprise cross functional service and foreign posts. This helps uphold the view of Armstrong (2020) that talent management should be done in a long-term, strategic approach.</w:t>
      </w:r>
    </w:p>
    <w:p w14:paraId="0BDF9B72" w14:textId="77777777" w:rsidR="004D40CB" w:rsidRDefault="004D40CB">
      <w:pPr>
        <w:spacing w:line="360" w:lineRule="auto"/>
        <w:ind w:firstLine="720"/>
        <w:jc w:val="both"/>
        <w:rPr>
          <w:rFonts w:ascii="Times New Roman" w:eastAsia="Times New Roman" w:hAnsi="Times New Roman" w:cs="Times New Roman"/>
          <w:sz w:val="24"/>
          <w:szCs w:val="24"/>
        </w:rPr>
      </w:pPr>
    </w:p>
    <w:p w14:paraId="1C5B2CA6"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talent management processes in Perodua are more operational. Promotion has often been done on the basis of performance, length of service, and technical knowledge. Although this fosters equality and standardization, it downplays the efforts on strategic leadership growth. The internal career opportunities at Perodua are structured but not an opportunity to have international exposure and be able to develop skills in the advanced innovative fields.</w:t>
      </w:r>
      <w:r>
        <w:br w:type="page"/>
      </w:r>
    </w:p>
    <w:p w14:paraId="70CC93AD" w14:textId="77777777" w:rsidR="004D40CB" w:rsidRDefault="00540068">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4.0 TRAINING AND DEVELOPMENT</w:t>
      </w:r>
    </w:p>
    <w:p w14:paraId="734A369A"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4.1 Training Strategy and Learning Culture</w:t>
      </w:r>
    </w:p>
    <w:p w14:paraId="011D9B39"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BMW embraces lifelong learning, and has created a strong training system to facilitate technical innovation. To equip individuals with difficult issues, like electric transportation and autonomous systems, the firm makes huge investments in electronic learning devices, apprenticeship, and leadership programs (BMW Sustainability Report, 2023). </w:t>
      </w:r>
    </w:p>
    <w:p w14:paraId="67D89520" w14:textId="77777777" w:rsidR="004D40CB" w:rsidRDefault="004D40CB">
      <w:pPr>
        <w:spacing w:line="360" w:lineRule="auto"/>
        <w:jc w:val="both"/>
        <w:rPr>
          <w:rFonts w:ascii="Times New Roman" w:eastAsia="Times New Roman" w:hAnsi="Times New Roman" w:cs="Times New Roman"/>
          <w:sz w:val="24"/>
          <w:szCs w:val="24"/>
        </w:rPr>
      </w:pPr>
    </w:p>
    <w:p w14:paraId="7ADDC809"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training approach used at Perodua focuses on practical ability and working competency. The workers of the Perodua instruction Centre receive systematized training in the field of automobile diagnostics, assemblage, safety, and quality management (Perodua, 2023). The training will be aimed to support the lean management principles and keep the high production standards. </w:t>
      </w:r>
    </w:p>
    <w:p w14:paraId="294FFDA7" w14:textId="77777777" w:rsidR="004D40CB" w:rsidRDefault="004D40CB">
      <w:pPr>
        <w:spacing w:line="360" w:lineRule="auto"/>
        <w:ind w:firstLine="720"/>
        <w:jc w:val="both"/>
        <w:rPr>
          <w:rFonts w:ascii="Times New Roman" w:eastAsia="Times New Roman" w:hAnsi="Times New Roman" w:cs="Times New Roman"/>
          <w:sz w:val="24"/>
          <w:szCs w:val="24"/>
        </w:rPr>
      </w:pPr>
    </w:p>
    <w:p w14:paraId="7CC2B739" w14:textId="77777777" w:rsidR="004D40CB" w:rsidRDefault="00540068">
      <w:pPr>
        <w:spacing w:line="360" w:lineRule="auto"/>
        <w:ind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 Implementation and Effectiveness</w:t>
      </w:r>
    </w:p>
    <w:p w14:paraId="54FBF174"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BMW provides training via a combination of both classroom sessions and online courses as well as industrial engineering projects. Development initiatives such as the BMW Junior Talent Programme are used to do succession planning, as well as training employees to assume future leadership roles. The strategies are useful in enhancing the innovation capabilities of BMW and supporting organisational change.</w:t>
      </w:r>
    </w:p>
    <w:p w14:paraId="606AD09F" w14:textId="77777777" w:rsidR="004D40CB" w:rsidRDefault="004D40CB">
      <w:pPr>
        <w:spacing w:line="360" w:lineRule="auto"/>
        <w:ind w:firstLine="720"/>
        <w:jc w:val="both"/>
        <w:rPr>
          <w:rFonts w:ascii="Times New Roman" w:eastAsia="Times New Roman" w:hAnsi="Times New Roman" w:cs="Times New Roman"/>
          <w:sz w:val="24"/>
          <w:szCs w:val="24"/>
        </w:rPr>
      </w:pPr>
    </w:p>
    <w:p w14:paraId="7CD249A9"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at Perodua is done in modules, learning on the job, and in-house certification. Such programs have assisted in increasing production, minimizing defects, and keeping the workers stable. Nonetheless, they might not sufficiently equip the organization with imminent technology breakthroughs in the automobile business.</w:t>
      </w:r>
    </w:p>
    <w:p w14:paraId="2A60D9CC" w14:textId="77777777" w:rsidR="004D40CB" w:rsidRDefault="004D40CB">
      <w:pPr>
        <w:spacing w:line="360" w:lineRule="auto"/>
        <w:ind w:firstLine="720"/>
        <w:jc w:val="both"/>
        <w:rPr>
          <w:rFonts w:ascii="Times New Roman" w:eastAsia="Times New Roman" w:hAnsi="Times New Roman" w:cs="Times New Roman"/>
          <w:sz w:val="24"/>
          <w:szCs w:val="24"/>
        </w:rPr>
      </w:pPr>
    </w:p>
    <w:p w14:paraId="60903542"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Comparatively, the training plan of BMW is more in line with future industry requirements, but Perodua has a plan that is useful in supporting current business objectives, and perhaps it should be increased to support any future skills shortages.</w:t>
      </w:r>
      <w:r>
        <w:br w:type="page"/>
      </w:r>
    </w:p>
    <w:p w14:paraId="17581020"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5.0 EQUALITY, DIVERSITY AND INCLUSION (EDI)</w:t>
      </w:r>
    </w:p>
    <w:p w14:paraId="286F6BBA"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5.1 EDI Policies</w:t>
      </w:r>
    </w:p>
    <w:p w14:paraId="558478B7"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BMW has applied comprehensive EDI policies that cover gender equity, inclusion of disabled people and international diversity. The company takes a proactive approach to assessing the performance of diversity and executes initiatives such as diversity training and inclusive leadership development. The global workforce organization of BMW encourages cultural diversity and trans-national cooperation, thereby reinforcing organizational culture (BMW Sustainability Report, 2023).</w:t>
      </w:r>
    </w:p>
    <w:p w14:paraId="5617DC85" w14:textId="77777777" w:rsidR="004D40CB" w:rsidRDefault="004D40CB">
      <w:pPr>
        <w:spacing w:line="360" w:lineRule="auto"/>
        <w:ind w:firstLine="720"/>
        <w:jc w:val="both"/>
        <w:rPr>
          <w:rFonts w:ascii="Times New Roman" w:eastAsia="Times New Roman" w:hAnsi="Times New Roman" w:cs="Times New Roman"/>
          <w:sz w:val="24"/>
          <w:szCs w:val="24"/>
        </w:rPr>
      </w:pPr>
    </w:p>
    <w:p w14:paraId="6C73C490"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Perodua promotes equal opportunities and fairness but they are more relaxed in their approach to EDI. Diversity initiatives are being incorporated into general HR policy and not special programmes. Since Malaysia has quite a homogenous workforce, the needs of Perodua to cater to international diversity are fewer, however, the company could use a more organized approach to gender diversity and inclusion.</w:t>
      </w:r>
    </w:p>
    <w:p w14:paraId="3048B7E2" w14:textId="77777777" w:rsidR="004D40CB" w:rsidRDefault="004D40CB">
      <w:pPr>
        <w:spacing w:line="360" w:lineRule="auto"/>
        <w:jc w:val="both"/>
        <w:rPr>
          <w:rFonts w:ascii="Times New Roman" w:eastAsia="Times New Roman" w:hAnsi="Times New Roman" w:cs="Times New Roman"/>
          <w:b/>
          <w:bCs/>
          <w:sz w:val="24"/>
          <w:szCs w:val="24"/>
        </w:rPr>
      </w:pPr>
    </w:p>
    <w:p w14:paraId="70C31E68"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5.2 Effectiveness and Organisational Culture</w:t>
      </w:r>
    </w:p>
    <w:p w14:paraId="08727CA9"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structured planning in EDI offered by BMW has contributed to making the workplace more inclusive. Frequent reporting, the transparency of the gender pay gap, and specific initiatives to increase the participation of women in leadership demonstrate the willingness of BMW to achieve visible progress (BMW Sustainability Report, 2023). Although BMW has such capabilities, the company still has difficulties recruiting women in engineering and technical careers, which are more indicative of industrial trends </w:t>
      </w:r>
      <w:r>
        <w:rPr>
          <w:rFonts w:ascii="Times New Roman" w:eastAsia="Times New Roman" w:hAnsi="Times New Roman" w:cs="Times New Roman"/>
          <w:sz w:val="24"/>
          <w:szCs w:val="24"/>
        </w:rPr>
        <w:t xml:space="preserve">than internal failures. </w:t>
      </w:r>
    </w:p>
    <w:p w14:paraId="2B25230E" w14:textId="77777777" w:rsidR="004D40CB" w:rsidRDefault="004D40CB">
      <w:pPr>
        <w:spacing w:line="360" w:lineRule="auto"/>
        <w:jc w:val="both"/>
        <w:rPr>
          <w:rFonts w:ascii="Times New Roman" w:eastAsia="Times New Roman" w:hAnsi="Times New Roman" w:cs="Times New Roman"/>
          <w:sz w:val="24"/>
          <w:szCs w:val="24"/>
        </w:rPr>
      </w:pPr>
    </w:p>
    <w:p w14:paraId="4ABEAAC0"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attitude of Perodua towards EDI promotes equality and equal and equitable access to the opportunities, and workers tend to perceive the working environment as non-discriminating and decent.. Perodua has very good employee relations, but it is clear that, due to the absence of defined diversity goals or particular inclusion policies, the company is not able to fully reap the benefits of a diverse workforce, especially as it tries to modernize its talent base and increase its pool size. Offering more tran</w:t>
      </w:r>
      <w:r>
        <w:rPr>
          <w:rFonts w:ascii="Times New Roman" w:eastAsia="Times New Roman" w:hAnsi="Times New Roman" w:cs="Times New Roman"/>
          <w:sz w:val="24"/>
          <w:szCs w:val="24"/>
        </w:rPr>
        <w:t>sparent EDI requirements could assist Perodua in increasing innovation and recruiting younger workers who will accept open organizational cultures.</w:t>
      </w:r>
    </w:p>
    <w:p w14:paraId="0FA9595A" w14:textId="77777777" w:rsidR="004D40CB" w:rsidRDefault="00540068">
      <w:pPr>
        <w:spacing w:line="360" w:lineRule="auto"/>
        <w:jc w:val="both"/>
        <w:rPr>
          <w:rFonts w:ascii="Times New Roman" w:eastAsia="Times New Roman" w:hAnsi="Times New Roman" w:cs="Times New Roman"/>
          <w:sz w:val="24"/>
          <w:szCs w:val="24"/>
        </w:rPr>
      </w:pPr>
      <w:r>
        <w:br w:type="page"/>
      </w:r>
    </w:p>
    <w:p w14:paraId="6ED57DC0" w14:textId="77777777" w:rsidR="004D40CB" w:rsidRDefault="00540068">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6.0 PERFORMANCE MANAGEMENT AND PAY</w:t>
      </w:r>
    </w:p>
    <w:p w14:paraId="0F462776"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6.1 Performance Management Systems</w:t>
      </w:r>
    </w:p>
    <w:p w14:paraId="1164A553"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performance management system of BMW is also supposed to encourage the growth of long-term abilities and personal accountability. Other than making yearly evaluations, BMW has monthly check-ins, which encourages contributions and constant development. This is in line with the present-day performance management methods, which emphasize more on the developmental interactions rather than evaluation-based interactions (Boon and Biron, 2016).</w:t>
      </w:r>
    </w:p>
    <w:p w14:paraId="5D271141" w14:textId="77777777" w:rsidR="004D40CB" w:rsidRDefault="004D40CB">
      <w:pPr>
        <w:spacing w:line="360" w:lineRule="auto"/>
        <w:jc w:val="both"/>
        <w:rPr>
          <w:rFonts w:ascii="Times New Roman" w:eastAsia="Times New Roman" w:hAnsi="Times New Roman" w:cs="Times New Roman"/>
          <w:sz w:val="24"/>
          <w:szCs w:val="24"/>
        </w:rPr>
      </w:pPr>
    </w:p>
    <w:p w14:paraId="3ECDDBFB"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performance evaluation strategy used by Perodua is more conservative and follows the norms of production. The focus on the KPIs related to the attendance, the productivity, the compliance with the standard operating procedures, and the teamwork enhances the operation objectives of the company. The approach is effective at maintaining quality and efficiency within the production line but might not be so useful to the development of talent in the long term. As Perodua advances to a new level of car produc</w:t>
      </w:r>
      <w:r>
        <w:rPr>
          <w:rFonts w:ascii="Times New Roman" w:eastAsia="Times New Roman" w:hAnsi="Times New Roman" w:cs="Times New Roman"/>
          <w:sz w:val="24"/>
          <w:szCs w:val="24"/>
        </w:rPr>
        <w:t>tion that involves the utilization of technological advancements, it will be helpful to change the performance system to incorporate behavioral skills, learning goals, and development indicators so that this company can generate a better workforce of the future.</w:t>
      </w:r>
    </w:p>
    <w:p w14:paraId="7A7CFF33" w14:textId="77777777" w:rsidR="004D40CB" w:rsidRDefault="004D40CB">
      <w:pPr>
        <w:spacing w:line="360" w:lineRule="auto"/>
        <w:jc w:val="both"/>
        <w:rPr>
          <w:rFonts w:ascii="Times New Roman" w:eastAsia="Times New Roman" w:hAnsi="Times New Roman" w:cs="Times New Roman"/>
          <w:sz w:val="24"/>
          <w:szCs w:val="24"/>
        </w:rPr>
      </w:pPr>
    </w:p>
    <w:p w14:paraId="2857519F"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6.2 Compensation and Reward Approaches</w:t>
      </w:r>
    </w:p>
    <w:p w14:paraId="38E3119C"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BMW gives competitive remuneration, performance bonuses, profit sharing, entire benefits, and mobility schemes (BMW Group HR Report, 2023). These benefits increase employee motivation and help BMW to recruit the best employees in the competitive labor markets.</w:t>
      </w:r>
    </w:p>
    <w:p w14:paraId="7A276722"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Perodua has a set pay scale, allowances, bonuses, and production rewards. Although not as competitive as the BMW global award package, the Perodua compensation scheme is good at creating internal equity and keeping local talent in service line positions.</w:t>
      </w:r>
      <w:r>
        <w:br w:type="page"/>
      </w:r>
    </w:p>
    <w:p w14:paraId="54AC7EE8" w14:textId="77777777" w:rsidR="004D40CB" w:rsidRDefault="00540068">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7.0 CRITICAL DISCUSSION OF PEOPLE STRATEGIES</w:t>
      </w:r>
    </w:p>
    <w:p w14:paraId="788D7859"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
        <w:t>7.1 Theoretical Alignment</w:t>
      </w:r>
    </w:p>
    <w:p w14:paraId="664EE803"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human resources strategy of BMW can be described as reflecting the Resource Based View which makes talent a competitive advantage (Barney, 1991). Its informed recruiting and training and incentive systems support this perception. BMW is another example of the Ulrich model of HR where HR departments are the strategic partners, participating in the long term company goals.</w:t>
      </w:r>
    </w:p>
    <w:p w14:paraId="7C27BAB0" w14:textId="77777777" w:rsidR="004D40CB" w:rsidRDefault="004D40CB">
      <w:pPr>
        <w:spacing w:line="360" w:lineRule="auto"/>
        <w:jc w:val="both"/>
        <w:rPr>
          <w:rFonts w:ascii="Times New Roman" w:eastAsia="Times New Roman" w:hAnsi="Times New Roman" w:cs="Times New Roman"/>
          <w:sz w:val="24"/>
          <w:szCs w:val="24"/>
        </w:rPr>
      </w:pPr>
    </w:p>
    <w:p w14:paraId="1B31FEF5"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approach taken by Perodua is also in closer compliance with lean HR concepts that include standardization, efficiency, and cost minimization. Although this technique is useful in terms of market positioning, it is not very useful in terms of developing long term strategic capabilities.</w:t>
      </w:r>
    </w:p>
    <w:p w14:paraId="680EAAA2" w14:textId="77777777" w:rsidR="004D40CB" w:rsidRDefault="004D40CB">
      <w:pPr>
        <w:spacing w:line="360" w:lineRule="auto"/>
        <w:jc w:val="both"/>
        <w:rPr>
          <w:rFonts w:ascii="Times New Roman" w:eastAsia="Times New Roman" w:hAnsi="Times New Roman" w:cs="Times New Roman"/>
          <w:sz w:val="24"/>
          <w:szCs w:val="24"/>
        </w:rPr>
      </w:pPr>
    </w:p>
    <w:p w14:paraId="15B4FA72"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7.2 Strengths and Weaknesses</w:t>
      </w:r>
    </w:p>
    <w:p w14:paraId="5AF8A8FA"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BMW’s emphasis on innovation and high quality is also a part of the work done by the company in terms of recruitment, training, performance management, and diversity. It is this strategic alignment that confirms the argument by Schuler and Jackson (2014), which states that HR systems work best when they supplement the strategy of the company. Due to the lack of digital skills across the global economy, BMW has to compete with technologic firms and the electric cars producers on a constant basis, to attract</w:t>
      </w:r>
      <w:r>
        <w:rPr>
          <w:rFonts w:ascii="Times New Roman" w:eastAsia="Times New Roman" w:hAnsi="Times New Roman" w:cs="Times New Roman"/>
          <w:sz w:val="24"/>
          <w:szCs w:val="24"/>
        </w:rPr>
        <w:t xml:space="preserve"> the same talent pool. This raises the cost of labor and will enhance the possibility of losing key positions.</w:t>
      </w:r>
    </w:p>
    <w:p w14:paraId="10775631" w14:textId="77777777" w:rsidR="004D40CB" w:rsidRDefault="004D40CB">
      <w:pPr>
        <w:spacing w:line="360" w:lineRule="auto"/>
        <w:ind w:firstLine="720"/>
        <w:jc w:val="both"/>
        <w:rPr>
          <w:rFonts w:ascii="Times New Roman" w:eastAsia="Times New Roman" w:hAnsi="Times New Roman" w:cs="Times New Roman"/>
          <w:sz w:val="24"/>
          <w:szCs w:val="24"/>
        </w:rPr>
      </w:pPr>
    </w:p>
    <w:p w14:paraId="4D324155"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ability of Perodua is based on its high level of integration of HR policies and local worker expectations and needs of operations. Its technical skills, internal growth and stability of employment have earned it the loyalty of its employees and good production performance. Nevertheless, the human resource practices of Perodua might lack a futuristic outlook. The focus on leadership development, innovative capabilities and structured diversity programs can be a disadvantage to its competitiveness as the </w:t>
      </w:r>
      <w:r>
        <w:rPr>
          <w:rFonts w:ascii="Times New Roman" w:eastAsia="Times New Roman" w:hAnsi="Times New Roman" w:cs="Times New Roman"/>
          <w:sz w:val="24"/>
          <w:szCs w:val="24"/>
        </w:rPr>
        <w:t>industry moves into the electric and autonomous technology sector.</w:t>
      </w:r>
      <w:r>
        <w:br w:type="page"/>
      </w:r>
    </w:p>
    <w:p w14:paraId="1C01482D"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8.0 FUTURE ORGANISATIONAL NEEDS</w:t>
      </w:r>
    </w:p>
    <w:p w14:paraId="783AA835"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8.1 Strategic Workforce Requirements</w:t>
      </w:r>
    </w:p>
    <w:p w14:paraId="7D53EC7D"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changes that both companies are facing are technical and require new skills to be acquired. BMW still needs to grow its digital capabilities, engineering capabilities, particularly software, battery technology, and autonomous systems. Perodua should prepare its staff to handle hybrid and electric technologies, as well as improve its leadership and innovation.</w:t>
      </w:r>
    </w:p>
    <w:p w14:paraId="17A4858D" w14:textId="77777777" w:rsidR="004D40CB" w:rsidRDefault="004D40CB">
      <w:pPr>
        <w:spacing w:line="360" w:lineRule="auto"/>
        <w:jc w:val="both"/>
        <w:rPr>
          <w:rFonts w:ascii="Times New Roman" w:eastAsia="Times New Roman" w:hAnsi="Times New Roman" w:cs="Times New Roman"/>
          <w:sz w:val="24"/>
          <w:szCs w:val="24"/>
        </w:rPr>
      </w:pPr>
    </w:p>
    <w:p w14:paraId="1DA43BBB"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8.2 Recommendations for Both Organisations</w:t>
      </w:r>
    </w:p>
    <w:p w14:paraId="40942FAD" w14:textId="77777777" w:rsidR="004D40CB" w:rsidRDefault="005400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BMW needs to focus on the maintenance of digital and engineering skills, particularly in such fields as software development and battery technologies where the worldwide rivalry is gaining momentum. The organization would enhance its value proposition by offering more visible career development opportunities in the area of innovation and generating focused reskilling programs to prepare existing employees to work with future technologies. Further attempts to increase gender diversity in technical areas wou</w:t>
      </w:r>
      <w:r>
        <w:rPr>
          <w:rFonts w:ascii="Times New Roman" w:eastAsia="Times New Roman" w:hAnsi="Times New Roman" w:cs="Times New Roman"/>
          <w:sz w:val="24"/>
          <w:szCs w:val="24"/>
        </w:rPr>
        <w:t>ld also play a part in long term organisational sustainability.</w:t>
      </w:r>
    </w:p>
    <w:p w14:paraId="0FF5E946" w14:textId="77777777" w:rsidR="004D40CB" w:rsidRDefault="004D40CB">
      <w:pPr>
        <w:spacing w:line="360" w:lineRule="auto"/>
        <w:ind w:firstLine="720"/>
        <w:jc w:val="both"/>
        <w:rPr>
          <w:rFonts w:ascii="Times New Roman" w:eastAsia="Times New Roman" w:hAnsi="Times New Roman" w:cs="Times New Roman"/>
          <w:sz w:val="24"/>
          <w:szCs w:val="24"/>
        </w:rPr>
      </w:pPr>
    </w:p>
    <w:p w14:paraId="6802EBB5"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major recommendation to Perodua is to pursue a more strategic approach to managing its personnel such as formalising the succession planning and developing leadership. With the shift of the Malaysian market to hybrid and electric cars, Perodua ought to broaden its technical training to adopt the future technology in the field of automotive. Formal diversity initiatives, together with better employer branding might also help the organization to hire younger talent and nurture its workforce to suit ma</w:t>
      </w:r>
      <w:r>
        <w:rPr>
          <w:rFonts w:ascii="Times New Roman" w:eastAsia="Times New Roman" w:hAnsi="Times New Roman" w:cs="Times New Roman"/>
          <w:sz w:val="24"/>
          <w:szCs w:val="24"/>
        </w:rPr>
        <w:t>rket needs in the future.</w:t>
      </w:r>
    </w:p>
    <w:p w14:paraId="53197152" w14:textId="77777777" w:rsidR="004D40CB" w:rsidRDefault="00540068">
      <w:pPr>
        <w:spacing w:line="360" w:lineRule="auto"/>
        <w:jc w:val="both"/>
        <w:rPr>
          <w:rFonts w:ascii="Times New Roman" w:eastAsia="Times New Roman" w:hAnsi="Times New Roman" w:cs="Times New Roman"/>
          <w:sz w:val="24"/>
          <w:szCs w:val="24"/>
        </w:rPr>
      </w:pPr>
      <w:r>
        <w:br w:type="page"/>
      </w:r>
    </w:p>
    <w:p w14:paraId="121D2637"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9.0 CONCLUSION</w:t>
      </w:r>
    </w:p>
    <w:p w14:paraId="034FD424" w14:textId="77777777" w:rsidR="004D40CB" w:rsidRDefault="004D40CB">
      <w:pPr>
        <w:spacing w:line="360" w:lineRule="auto"/>
        <w:jc w:val="both"/>
        <w:rPr>
          <w:rFonts w:ascii="Times New Roman" w:eastAsia="Times New Roman" w:hAnsi="Times New Roman" w:cs="Times New Roman"/>
          <w:sz w:val="24"/>
          <w:szCs w:val="24"/>
        </w:rPr>
      </w:pPr>
    </w:p>
    <w:p w14:paraId="288A197C" w14:textId="77777777" w:rsidR="004D40CB" w:rsidRDefault="00540068">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BMW and Perodua use different people strategies which are shaped by the organizational conditions and corporate goals. BMW uses an immersive, international, and innovation-focused HR approach with a talent focus, diversity and lifelong learning emphasis. Perodua is more operation-oriented, local-based, which focuses on efficiency, fairness, and technical training. The two methods work well in their respective environments, however, they all need to expand to address the challenges that lie ahead in the auto</w:t>
      </w:r>
      <w:r>
        <w:rPr>
          <w:rFonts w:ascii="Times New Roman" w:eastAsia="Times New Roman" w:hAnsi="Times New Roman" w:cs="Times New Roman"/>
          <w:sz w:val="24"/>
          <w:szCs w:val="24"/>
        </w:rPr>
        <w:t>mobile industry. The comparison underscores the necessity of projecting the HR strategy onto the market expectations, and the necessity to adapt constantly with the changes in the workforce trends and technology.</w:t>
      </w:r>
      <w:r>
        <w:br w:type="page"/>
      </w:r>
    </w:p>
    <w:p w14:paraId="55006A90" w14:textId="77777777" w:rsidR="004D40CB" w:rsidRDefault="0054006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10.0 REFERENCES</w:t>
      </w:r>
    </w:p>
    <w:p w14:paraId="0C04EFDB"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S. (2021). Workforce Training in Malaysia’s Automotive Sector. </w:t>
      </w:r>
      <w:r>
        <w:rPr>
          <w:rFonts w:ascii="Times New Roman" w:eastAsia="Times New Roman" w:hAnsi="Times New Roman" w:cs="Times New Roman"/>
          <w:i/>
          <w:iCs/>
          <w:sz w:val="24"/>
          <w:szCs w:val="24"/>
        </w:rPr>
        <w:t>Journal of Industrial Skills Development</w:t>
      </w:r>
      <w:r>
        <w:rPr>
          <w:rFonts w:ascii="Times New Roman" w:eastAsia="Times New Roman" w:hAnsi="Times New Roman" w:cs="Times New Roman"/>
          <w:sz w:val="24"/>
          <w:szCs w:val="24"/>
        </w:rPr>
        <w:t>, 8(2), pp. 55–67.</w:t>
      </w:r>
    </w:p>
    <w:p w14:paraId="34725A5C"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Armstrong, M. (2020). </w:t>
      </w:r>
      <w:r>
        <w:rPr>
          <w:rFonts w:ascii="Times New Roman" w:eastAsia="Times New Roman" w:hAnsi="Times New Roman" w:cs="Times New Roman"/>
          <w:i/>
          <w:iCs/>
          <w:sz w:val="24"/>
          <w:szCs w:val="24"/>
        </w:rPr>
        <w:t>Armstrong’s Handbook of Human Resource Management Practice</w:t>
      </w:r>
      <w:r>
        <w:rPr>
          <w:rFonts w:ascii="Times New Roman" w:eastAsia="Times New Roman" w:hAnsi="Times New Roman" w:cs="Times New Roman"/>
          <w:sz w:val="24"/>
          <w:szCs w:val="24"/>
        </w:rPr>
        <w:t>. London: Kogan Page.</w:t>
      </w:r>
    </w:p>
    <w:p w14:paraId="22013EEF"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Barney, J. (1991). Firm Resources and Sustained Competitive Advantage.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17(1), pp. 99–120.</w:t>
      </w:r>
    </w:p>
    <w:p w14:paraId="24D8238E"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BMW Group (2023). </w:t>
      </w:r>
      <w:r>
        <w:rPr>
          <w:rFonts w:ascii="Times New Roman" w:eastAsia="Times New Roman" w:hAnsi="Times New Roman" w:cs="Times New Roman"/>
          <w:i/>
          <w:iCs/>
          <w:sz w:val="24"/>
          <w:szCs w:val="24"/>
        </w:rPr>
        <w:t>HR Report</w:t>
      </w:r>
      <w:r>
        <w:rPr>
          <w:rFonts w:ascii="Times New Roman" w:eastAsia="Times New Roman" w:hAnsi="Times New Roman" w:cs="Times New Roman"/>
          <w:sz w:val="24"/>
          <w:szCs w:val="24"/>
        </w:rPr>
        <w:t>. Munich: BMW Group.</w:t>
      </w:r>
    </w:p>
    <w:p w14:paraId="12D8B211"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BMW Group (2024). </w:t>
      </w:r>
      <w:r>
        <w:rPr>
          <w:rFonts w:ascii="Times New Roman" w:eastAsia="Times New Roman" w:hAnsi="Times New Roman" w:cs="Times New Roman"/>
          <w:i/>
          <w:iCs/>
          <w:sz w:val="24"/>
          <w:szCs w:val="24"/>
        </w:rPr>
        <w:t>Annual Report</w:t>
      </w:r>
      <w:r>
        <w:rPr>
          <w:rFonts w:ascii="Times New Roman" w:eastAsia="Times New Roman" w:hAnsi="Times New Roman" w:cs="Times New Roman"/>
          <w:sz w:val="24"/>
          <w:szCs w:val="24"/>
        </w:rPr>
        <w:t>. Munich: BMW Group.</w:t>
      </w:r>
    </w:p>
    <w:p w14:paraId="1E33E17D"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BMW Sustainability Report (2023). </w:t>
      </w:r>
      <w:r>
        <w:rPr>
          <w:rFonts w:ascii="Times New Roman" w:eastAsia="Times New Roman" w:hAnsi="Times New Roman" w:cs="Times New Roman"/>
          <w:i/>
          <w:iCs/>
          <w:sz w:val="24"/>
          <w:szCs w:val="24"/>
        </w:rPr>
        <w:t>BMW Group Sustainability and Responsibility</w:t>
      </w:r>
      <w:r>
        <w:rPr>
          <w:rFonts w:ascii="Times New Roman" w:eastAsia="Times New Roman" w:hAnsi="Times New Roman" w:cs="Times New Roman"/>
          <w:sz w:val="24"/>
          <w:szCs w:val="24"/>
        </w:rPr>
        <w:t>.</w:t>
      </w:r>
    </w:p>
    <w:p w14:paraId="475E2B70"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Boon, C. and Biron, M. (2016). Performance management and reward systems: HRM outcomes and organisational effectiveness. </w:t>
      </w:r>
      <w:r>
        <w:rPr>
          <w:rFonts w:ascii="Times New Roman" w:eastAsia="Times New Roman" w:hAnsi="Times New Roman" w:cs="Times New Roman"/>
          <w:i/>
          <w:iCs/>
          <w:sz w:val="24"/>
          <w:szCs w:val="24"/>
        </w:rPr>
        <w:t>Human Resource Management Review</w:t>
      </w:r>
      <w:r>
        <w:rPr>
          <w:rFonts w:ascii="Times New Roman" w:eastAsia="Times New Roman" w:hAnsi="Times New Roman" w:cs="Times New Roman"/>
          <w:sz w:val="24"/>
          <w:szCs w:val="24"/>
        </w:rPr>
        <w:t>, 26(2), pp. 86–97.</w:t>
      </w:r>
    </w:p>
    <w:p w14:paraId="02B535EB"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S. and Chen, H. (2020). Talent management and organisational innovation: Evidence from the automotive sector. </w:t>
      </w:r>
      <w:r>
        <w:rPr>
          <w:rFonts w:ascii="Times New Roman" w:eastAsia="Times New Roman" w:hAnsi="Times New Roman" w:cs="Times New Roman"/>
          <w:i/>
          <w:iCs/>
          <w:sz w:val="24"/>
          <w:szCs w:val="24"/>
        </w:rPr>
        <w:t>Journal of Human Capital Development</w:t>
      </w:r>
      <w:r>
        <w:rPr>
          <w:rFonts w:ascii="Times New Roman" w:eastAsia="Times New Roman" w:hAnsi="Times New Roman" w:cs="Times New Roman"/>
          <w:sz w:val="24"/>
          <w:szCs w:val="24"/>
        </w:rPr>
        <w:t>, 15(1), pp. 45–62.</w:t>
      </w:r>
    </w:p>
    <w:p w14:paraId="7CE21DC2"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Collings, D. G. and Mellahi, K. (2019). Strategic talent management: A review and research agenda. </w:t>
      </w:r>
      <w:r>
        <w:rPr>
          <w:rFonts w:ascii="Times New Roman" w:eastAsia="Times New Roman" w:hAnsi="Times New Roman" w:cs="Times New Roman"/>
          <w:i/>
          <w:iCs/>
          <w:sz w:val="24"/>
          <w:szCs w:val="24"/>
        </w:rPr>
        <w:t>Human Resource Management Review</w:t>
      </w:r>
      <w:r>
        <w:rPr>
          <w:rFonts w:ascii="Times New Roman" w:eastAsia="Times New Roman" w:hAnsi="Times New Roman" w:cs="Times New Roman"/>
          <w:sz w:val="24"/>
          <w:szCs w:val="24"/>
        </w:rPr>
        <w:t>, 29(3), pp. 165–176.</w:t>
      </w:r>
    </w:p>
    <w:p w14:paraId="099C8DD3"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Duarte, F. (2021). Diversity and inclusion in global manufacturing organisations. </w:t>
      </w:r>
      <w:r>
        <w:rPr>
          <w:rFonts w:ascii="Times New Roman" w:eastAsia="Times New Roman" w:hAnsi="Times New Roman" w:cs="Times New Roman"/>
          <w:i/>
          <w:iCs/>
          <w:sz w:val="24"/>
          <w:szCs w:val="24"/>
        </w:rPr>
        <w:t>International Journal of Diversity in Organisations</w:t>
      </w:r>
      <w:r>
        <w:rPr>
          <w:rFonts w:ascii="Times New Roman" w:eastAsia="Times New Roman" w:hAnsi="Times New Roman" w:cs="Times New Roman"/>
          <w:sz w:val="24"/>
          <w:szCs w:val="24"/>
        </w:rPr>
        <w:t>, 21(4), pp. 32–48.</w:t>
      </w:r>
    </w:p>
    <w:p w14:paraId="55F982BC"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Malaysia Automotive, Robotics and IoT Institute (MARii) (2022). </w:t>
      </w:r>
      <w:r>
        <w:rPr>
          <w:rFonts w:ascii="Times New Roman" w:eastAsia="Times New Roman" w:hAnsi="Times New Roman" w:cs="Times New Roman"/>
          <w:i/>
          <w:iCs/>
          <w:sz w:val="24"/>
          <w:szCs w:val="24"/>
        </w:rPr>
        <w:t>Industry Skills Demand Report 2022</w:t>
      </w:r>
      <w:r>
        <w:rPr>
          <w:rFonts w:ascii="Times New Roman" w:eastAsia="Times New Roman" w:hAnsi="Times New Roman" w:cs="Times New Roman"/>
          <w:sz w:val="24"/>
          <w:szCs w:val="24"/>
        </w:rPr>
        <w:t>. Cyberjaya: MARii.</w:t>
      </w:r>
    </w:p>
    <w:p w14:paraId="60195125"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Othman, R. and Abdullah, K. (2020). Human resource development practices in Malaysian automotive companies. </w:t>
      </w:r>
      <w:r>
        <w:rPr>
          <w:rFonts w:ascii="Times New Roman" w:eastAsia="Times New Roman" w:hAnsi="Times New Roman" w:cs="Times New Roman"/>
          <w:i/>
          <w:iCs/>
          <w:sz w:val="24"/>
          <w:szCs w:val="24"/>
        </w:rPr>
        <w:t>Asian Journal of Management Studies</w:t>
      </w:r>
      <w:r>
        <w:rPr>
          <w:rFonts w:ascii="Times New Roman" w:eastAsia="Times New Roman" w:hAnsi="Times New Roman" w:cs="Times New Roman"/>
          <w:sz w:val="24"/>
          <w:szCs w:val="24"/>
        </w:rPr>
        <w:t>, 12(2), pp. 123–138.</w:t>
      </w:r>
    </w:p>
    <w:p w14:paraId="464AD308"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Perodua (2023). </w:t>
      </w:r>
      <w:r>
        <w:rPr>
          <w:rFonts w:ascii="Times New Roman" w:eastAsia="Times New Roman" w:hAnsi="Times New Roman" w:cs="Times New Roman"/>
          <w:i/>
          <w:iCs/>
          <w:sz w:val="24"/>
          <w:szCs w:val="24"/>
        </w:rPr>
        <w:t>Corporate Overview and People Strategy</w:t>
      </w:r>
      <w:r>
        <w:rPr>
          <w:rFonts w:ascii="Times New Roman" w:eastAsia="Times New Roman" w:hAnsi="Times New Roman" w:cs="Times New Roman"/>
          <w:sz w:val="24"/>
          <w:szCs w:val="24"/>
        </w:rPr>
        <w:t>. Rawang: Perodua.</w:t>
      </w:r>
    </w:p>
    <w:p w14:paraId="3F8EA489"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PwC (2023). </w:t>
      </w:r>
      <w:r>
        <w:rPr>
          <w:rFonts w:ascii="Times New Roman" w:eastAsia="Times New Roman" w:hAnsi="Times New Roman" w:cs="Times New Roman"/>
          <w:i/>
          <w:iCs/>
          <w:sz w:val="24"/>
          <w:szCs w:val="24"/>
        </w:rPr>
        <w:t>The Future of Talent in the Automotive Industry</w:t>
      </w:r>
      <w:r>
        <w:rPr>
          <w:rFonts w:ascii="Times New Roman" w:eastAsia="Times New Roman" w:hAnsi="Times New Roman" w:cs="Times New Roman"/>
          <w:sz w:val="24"/>
          <w:szCs w:val="24"/>
        </w:rPr>
        <w:t>. PwC Global Automotive Insights.</w:t>
      </w:r>
    </w:p>
    <w:p w14:paraId="5E4AF24F"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Schuler, R. and Jackson, S. (2014). Human Resource Management and Organisational Effectiveness: Yesterday and Today. </w:t>
      </w:r>
      <w:r>
        <w:rPr>
          <w:rFonts w:ascii="Times New Roman" w:eastAsia="Times New Roman" w:hAnsi="Times New Roman" w:cs="Times New Roman"/>
          <w:i/>
          <w:iCs/>
          <w:sz w:val="24"/>
          <w:szCs w:val="24"/>
        </w:rPr>
        <w:t>Journal of Organisational Effectiveness</w:t>
      </w:r>
      <w:r>
        <w:rPr>
          <w:rFonts w:ascii="Times New Roman" w:eastAsia="Times New Roman" w:hAnsi="Times New Roman" w:cs="Times New Roman"/>
          <w:sz w:val="24"/>
          <w:szCs w:val="24"/>
        </w:rPr>
        <w:t>, 1(1), pp. 35–55.</w:t>
      </w:r>
    </w:p>
    <w:p w14:paraId="7C3EB908" w14:textId="77777777" w:rsidR="004D40CB" w:rsidRDefault="00540068">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Knop, C. (2022). Strategic HRM in Global Automotive Manufacturing. </w:t>
      </w:r>
      <w:r>
        <w:rPr>
          <w:rFonts w:ascii="Times New Roman" w:eastAsia="Times New Roman" w:hAnsi="Times New Roman" w:cs="Times New Roman"/>
          <w:i/>
          <w:iCs/>
          <w:sz w:val="24"/>
          <w:szCs w:val="24"/>
        </w:rPr>
        <w:t>International Journal of HR Strategy</w:t>
      </w:r>
      <w:r>
        <w:rPr>
          <w:rFonts w:ascii="Times New Roman" w:eastAsia="Times New Roman" w:hAnsi="Times New Roman" w:cs="Times New Roman"/>
          <w:sz w:val="24"/>
          <w:szCs w:val="24"/>
        </w:rPr>
        <w:t>, 12(1), pp. 88–102.</w:t>
      </w:r>
    </w:p>
    <w:sectPr w:rsidR="004D40CB">
      <w:footerReference w:type="default" r:id="rId9"/>
      <w:footerReference w:type="firs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17C7A" w14:textId="77777777" w:rsidR="00540068" w:rsidRDefault="00540068">
      <w:pPr>
        <w:spacing w:line="240" w:lineRule="auto"/>
      </w:pPr>
      <w:r>
        <w:separator/>
      </w:r>
    </w:p>
  </w:endnote>
  <w:endnote w:type="continuationSeparator" w:id="0">
    <w:p w14:paraId="68689BE6" w14:textId="77777777" w:rsidR="00540068" w:rsidRDefault="005400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A38030" w14:textId="6E803038" w:rsidR="004D40CB" w:rsidRDefault="00540068">
    <w:pPr>
      <w:jc w:val="cente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342534" w14:textId="77777777" w:rsidR="004D40CB" w:rsidRDefault="004D40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B0DE4" w14:textId="77777777" w:rsidR="00540068" w:rsidRDefault="00540068">
      <w:pPr>
        <w:spacing w:line="240" w:lineRule="auto"/>
      </w:pPr>
      <w:r>
        <w:separator/>
      </w:r>
    </w:p>
  </w:footnote>
  <w:footnote w:type="continuationSeparator" w:id="0">
    <w:p w14:paraId="5A159F56" w14:textId="77777777" w:rsidR="00540068" w:rsidRDefault="005400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0CB"/>
    <w:rsid w:val="004D40CB"/>
    <w:rsid w:val="00540068"/>
    <w:rsid w:val="008639B6"/>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149D3829"/>
  <w15:docId w15:val="{D7F436E1-C0C1-0746-AF79-AF2D8A430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rive.google.com/file/d/1ZNg7PUwNUffbzSghcWigX56E9EMt1V-z/view?usp=sharing" TargetMode="External"/><Relationship Id="rId3" Type="http://schemas.openxmlformats.org/officeDocument/2006/relationships/webSettings" Target="webSettings.xml"/><Relationship Id="rId7" Type="http://schemas.openxmlformats.org/officeDocument/2006/relationships/hyperlink" Target="mailto:e.roberts@uwtsd.ac.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2797</Words>
  <Characters>15946</Characters>
  <Application>Microsoft Office Word</Application>
  <DocSecurity>0</DocSecurity>
  <Lines>132</Lines>
  <Paragraphs>37</Paragraphs>
  <ScaleCrop>false</ScaleCrop>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Stephanie Yong</cp:lastModifiedBy>
  <cp:revision>2</cp:revision>
  <dcterms:created xsi:type="dcterms:W3CDTF">2025-12-08T11:48:00Z</dcterms:created>
  <dcterms:modified xsi:type="dcterms:W3CDTF">2025-12-08T11:48:00Z</dcterms:modified>
</cp:coreProperties>
</file>