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34CFB" w14:textId="77777777" w:rsidR="0027681B" w:rsidRPr="009B4AA2" w:rsidRDefault="0027681B" w:rsidP="00272E9E">
      <w:pPr>
        <w:jc w:val="center"/>
        <w:rPr>
          <w:rFonts w:ascii="Arial" w:hAnsi="Arial" w:cs="Arial"/>
          <w:b/>
          <w:bCs/>
        </w:rPr>
      </w:pPr>
    </w:p>
    <w:p w14:paraId="2E8D1C28" w14:textId="77777777" w:rsidR="0027681B" w:rsidRPr="009B4AA2" w:rsidRDefault="0027681B" w:rsidP="00272E9E">
      <w:pPr>
        <w:jc w:val="center"/>
        <w:rPr>
          <w:rFonts w:ascii="Arial" w:hAnsi="Arial" w:cs="Arial"/>
          <w:b/>
          <w:bCs/>
        </w:rPr>
      </w:pPr>
    </w:p>
    <w:p w14:paraId="58A622C6" w14:textId="77777777" w:rsidR="0027681B" w:rsidRPr="009B4AA2" w:rsidRDefault="0027681B" w:rsidP="00272E9E">
      <w:pPr>
        <w:jc w:val="center"/>
        <w:rPr>
          <w:rFonts w:ascii="Arial" w:hAnsi="Arial" w:cs="Arial"/>
          <w:b/>
          <w:bCs/>
        </w:rPr>
      </w:pPr>
    </w:p>
    <w:p w14:paraId="69415619" w14:textId="77777777" w:rsidR="0027681B" w:rsidRPr="009B4AA2" w:rsidRDefault="0027681B" w:rsidP="00272E9E">
      <w:pPr>
        <w:jc w:val="center"/>
        <w:rPr>
          <w:rFonts w:ascii="Arial" w:hAnsi="Arial" w:cs="Arial"/>
          <w:b/>
          <w:bCs/>
        </w:rPr>
      </w:pPr>
    </w:p>
    <w:p w14:paraId="442BC92E" w14:textId="5AD25260" w:rsidR="00272E9E" w:rsidRPr="009B4AA2" w:rsidRDefault="00272E9E" w:rsidP="009B4AA2">
      <w:pPr>
        <w:spacing w:line="360" w:lineRule="auto"/>
        <w:jc w:val="center"/>
        <w:rPr>
          <w:rFonts w:ascii="Arial" w:hAnsi="Arial" w:cs="Arial"/>
          <w:b/>
          <w:bCs/>
        </w:rPr>
      </w:pPr>
      <w:r w:rsidRPr="009B4AA2">
        <w:rPr>
          <w:rFonts w:ascii="Arial" w:hAnsi="Arial" w:cs="Arial"/>
          <w:b/>
          <w:bCs/>
        </w:rPr>
        <w:t>T</w:t>
      </w:r>
      <w:r w:rsidR="009B4AA2" w:rsidRPr="009B4AA2">
        <w:rPr>
          <w:rFonts w:ascii="Arial" w:hAnsi="Arial" w:cs="Arial"/>
          <w:b/>
          <w:bCs/>
        </w:rPr>
        <w:t>ype</w:t>
      </w:r>
      <w:r w:rsidRPr="009B4AA2">
        <w:rPr>
          <w:rFonts w:ascii="Arial" w:hAnsi="Arial" w:cs="Arial"/>
          <w:b/>
          <w:bCs/>
        </w:rPr>
        <w:t xml:space="preserve"> 2 D</w:t>
      </w:r>
      <w:r w:rsidR="009B4AA2" w:rsidRPr="009B4AA2">
        <w:rPr>
          <w:rFonts w:ascii="Arial" w:hAnsi="Arial" w:cs="Arial"/>
          <w:b/>
          <w:bCs/>
        </w:rPr>
        <w:t>iabetes</w:t>
      </w:r>
      <w:r w:rsidRPr="009B4AA2">
        <w:rPr>
          <w:rFonts w:ascii="Arial" w:hAnsi="Arial" w:cs="Arial"/>
          <w:b/>
          <w:bCs/>
        </w:rPr>
        <w:t xml:space="preserve"> – S</w:t>
      </w:r>
      <w:r w:rsidR="009B4AA2" w:rsidRPr="009B4AA2">
        <w:rPr>
          <w:rFonts w:ascii="Arial" w:hAnsi="Arial" w:cs="Arial"/>
          <w:b/>
          <w:bCs/>
        </w:rPr>
        <w:t>upporting</w:t>
      </w:r>
      <w:r w:rsidRPr="009B4AA2">
        <w:rPr>
          <w:rFonts w:ascii="Arial" w:hAnsi="Arial" w:cs="Arial"/>
          <w:b/>
          <w:bCs/>
        </w:rPr>
        <w:t xml:space="preserve"> </w:t>
      </w:r>
      <w:r w:rsidR="009B4AA2" w:rsidRPr="009B4AA2">
        <w:rPr>
          <w:rFonts w:ascii="Arial" w:hAnsi="Arial" w:cs="Arial"/>
          <w:b/>
          <w:bCs/>
        </w:rPr>
        <w:t>Patient</w:t>
      </w:r>
      <w:r w:rsidRPr="009B4AA2">
        <w:rPr>
          <w:rFonts w:ascii="Arial" w:hAnsi="Arial" w:cs="Arial"/>
          <w:b/>
          <w:bCs/>
        </w:rPr>
        <w:t xml:space="preserve"> U</w:t>
      </w:r>
      <w:r w:rsidR="009B4AA2" w:rsidRPr="009B4AA2">
        <w:rPr>
          <w:rFonts w:ascii="Arial" w:hAnsi="Arial" w:cs="Arial"/>
          <w:b/>
          <w:bCs/>
        </w:rPr>
        <w:t>nderstanding</w:t>
      </w:r>
    </w:p>
    <w:p w14:paraId="5A6D1094" w14:textId="095A6D48" w:rsidR="00272E9E" w:rsidRPr="009B4AA2" w:rsidRDefault="00272E9E" w:rsidP="009B4AA2">
      <w:pPr>
        <w:spacing w:line="360" w:lineRule="auto"/>
        <w:jc w:val="center"/>
        <w:rPr>
          <w:rFonts w:ascii="Arial" w:hAnsi="Arial" w:cs="Arial"/>
          <w:b/>
          <w:bCs/>
        </w:rPr>
      </w:pPr>
      <w:r w:rsidRPr="009B4AA2">
        <w:rPr>
          <w:rFonts w:ascii="Arial" w:hAnsi="Arial" w:cs="Arial"/>
          <w:b/>
          <w:bCs/>
        </w:rPr>
        <w:t>A</w:t>
      </w:r>
      <w:r w:rsidR="009B4AA2" w:rsidRPr="009B4AA2">
        <w:rPr>
          <w:rFonts w:ascii="Arial" w:hAnsi="Arial" w:cs="Arial"/>
          <w:b/>
          <w:bCs/>
        </w:rPr>
        <w:t>nd</w:t>
      </w:r>
      <w:r w:rsidRPr="009B4AA2">
        <w:rPr>
          <w:rFonts w:ascii="Arial" w:hAnsi="Arial" w:cs="Arial"/>
          <w:b/>
          <w:bCs/>
        </w:rPr>
        <w:t xml:space="preserve"> S</w:t>
      </w:r>
      <w:r w:rsidR="009B4AA2" w:rsidRPr="009B4AA2">
        <w:rPr>
          <w:rFonts w:ascii="Arial" w:hAnsi="Arial" w:cs="Arial"/>
          <w:b/>
          <w:bCs/>
        </w:rPr>
        <w:t>elf</w:t>
      </w:r>
      <w:r w:rsidRPr="009B4AA2">
        <w:rPr>
          <w:rFonts w:ascii="Arial" w:hAnsi="Arial" w:cs="Arial"/>
          <w:b/>
          <w:bCs/>
        </w:rPr>
        <w:t>-M</w:t>
      </w:r>
      <w:r w:rsidR="009B4AA2" w:rsidRPr="009B4AA2">
        <w:rPr>
          <w:rFonts w:ascii="Arial" w:hAnsi="Arial" w:cs="Arial"/>
          <w:b/>
          <w:bCs/>
        </w:rPr>
        <w:t>anagement of</w:t>
      </w:r>
      <w:r w:rsidRPr="009B4AA2">
        <w:rPr>
          <w:rFonts w:ascii="Arial" w:hAnsi="Arial" w:cs="Arial"/>
          <w:b/>
          <w:bCs/>
        </w:rPr>
        <w:t xml:space="preserve"> B</w:t>
      </w:r>
      <w:r w:rsidR="009B4AA2" w:rsidRPr="009B4AA2">
        <w:rPr>
          <w:rFonts w:ascii="Arial" w:hAnsi="Arial" w:cs="Arial"/>
          <w:b/>
          <w:bCs/>
        </w:rPr>
        <w:t>lood</w:t>
      </w:r>
      <w:r w:rsidRPr="009B4AA2">
        <w:rPr>
          <w:rFonts w:ascii="Arial" w:hAnsi="Arial" w:cs="Arial"/>
          <w:b/>
          <w:bCs/>
        </w:rPr>
        <w:t xml:space="preserve"> G</w:t>
      </w:r>
      <w:r w:rsidR="009B4AA2" w:rsidRPr="009B4AA2">
        <w:rPr>
          <w:rFonts w:ascii="Arial" w:hAnsi="Arial" w:cs="Arial"/>
          <w:b/>
          <w:bCs/>
        </w:rPr>
        <w:t>lucose</w:t>
      </w:r>
      <w:r w:rsidRPr="009B4AA2">
        <w:rPr>
          <w:rFonts w:ascii="Arial" w:hAnsi="Arial" w:cs="Arial"/>
          <w:b/>
          <w:bCs/>
        </w:rPr>
        <w:t xml:space="preserve"> </w:t>
      </w:r>
      <w:r w:rsidR="009B4AA2" w:rsidRPr="009B4AA2">
        <w:rPr>
          <w:rFonts w:ascii="Arial" w:hAnsi="Arial" w:cs="Arial"/>
          <w:b/>
          <w:bCs/>
        </w:rPr>
        <w:t>and</w:t>
      </w:r>
      <w:r w:rsidRPr="009B4AA2">
        <w:rPr>
          <w:rFonts w:ascii="Arial" w:hAnsi="Arial" w:cs="Arial"/>
          <w:b/>
          <w:bCs/>
        </w:rPr>
        <w:t xml:space="preserve"> L</w:t>
      </w:r>
      <w:r w:rsidR="009B4AA2" w:rsidRPr="009B4AA2">
        <w:rPr>
          <w:rFonts w:ascii="Arial" w:hAnsi="Arial" w:cs="Arial"/>
          <w:b/>
          <w:bCs/>
        </w:rPr>
        <w:t>ifestyle</w:t>
      </w:r>
      <w:r w:rsidRPr="009B4AA2">
        <w:rPr>
          <w:rFonts w:ascii="Arial" w:hAnsi="Arial" w:cs="Arial"/>
          <w:b/>
          <w:bCs/>
        </w:rPr>
        <w:t xml:space="preserve"> F</w:t>
      </w:r>
      <w:r w:rsidR="009B4AA2" w:rsidRPr="009B4AA2">
        <w:rPr>
          <w:rFonts w:ascii="Arial" w:hAnsi="Arial" w:cs="Arial"/>
          <w:b/>
          <w:bCs/>
        </w:rPr>
        <w:t>actors</w:t>
      </w:r>
    </w:p>
    <w:p w14:paraId="1FC6368F" w14:textId="77777777" w:rsidR="00272E9E" w:rsidRDefault="00272E9E" w:rsidP="009B4AA2">
      <w:pPr>
        <w:spacing w:line="360" w:lineRule="auto"/>
        <w:jc w:val="center"/>
        <w:rPr>
          <w:rFonts w:ascii="Arial" w:hAnsi="Arial" w:cs="Arial"/>
          <w:b/>
          <w:bCs/>
        </w:rPr>
      </w:pPr>
    </w:p>
    <w:p w14:paraId="480135CE" w14:textId="77777777" w:rsidR="009B4AA2" w:rsidRPr="009B4AA2" w:rsidRDefault="009B4AA2" w:rsidP="009B4AA2">
      <w:pPr>
        <w:spacing w:line="360" w:lineRule="auto"/>
        <w:jc w:val="center"/>
        <w:rPr>
          <w:rFonts w:ascii="Arial" w:hAnsi="Arial" w:cs="Arial"/>
          <w:b/>
          <w:bCs/>
        </w:rPr>
      </w:pPr>
    </w:p>
    <w:p w14:paraId="0926AE24" w14:textId="77777777" w:rsidR="009B4AA2" w:rsidRPr="009B4AA2" w:rsidRDefault="009B4AA2" w:rsidP="009B4AA2">
      <w:pPr>
        <w:spacing w:line="360" w:lineRule="auto"/>
        <w:jc w:val="center"/>
        <w:rPr>
          <w:rFonts w:ascii="Arial" w:hAnsi="Arial" w:cs="Arial"/>
          <w:b/>
          <w:bCs/>
        </w:rPr>
      </w:pPr>
      <w:r w:rsidRPr="009B4AA2">
        <w:rPr>
          <w:rFonts w:ascii="Arial" w:hAnsi="Arial" w:cs="Arial"/>
          <w:b/>
          <w:bCs/>
        </w:rPr>
        <w:t>Student Name: Sabia Alam</w:t>
      </w:r>
    </w:p>
    <w:p w14:paraId="2BF3560C" w14:textId="77777777" w:rsidR="009B4AA2" w:rsidRPr="009B4AA2" w:rsidRDefault="009B4AA2" w:rsidP="009B4AA2">
      <w:pPr>
        <w:spacing w:line="360" w:lineRule="auto"/>
        <w:jc w:val="center"/>
        <w:rPr>
          <w:rFonts w:ascii="Arial" w:hAnsi="Arial" w:cs="Arial"/>
          <w:b/>
          <w:bCs/>
        </w:rPr>
      </w:pPr>
      <w:r w:rsidRPr="009B4AA2">
        <w:rPr>
          <w:rFonts w:ascii="Arial" w:hAnsi="Arial" w:cs="Arial"/>
          <w:b/>
          <w:bCs/>
        </w:rPr>
        <w:t>Student I.D: 2507875</w:t>
      </w:r>
    </w:p>
    <w:p w14:paraId="3138E254" w14:textId="77777777" w:rsidR="009B4AA2" w:rsidRPr="009B4AA2" w:rsidRDefault="009B4AA2" w:rsidP="009B4AA2">
      <w:pPr>
        <w:spacing w:line="360" w:lineRule="auto"/>
        <w:jc w:val="center"/>
        <w:rPr>
          <w:rFonts w:ascii="Arial" w:hAnsi="Arial" w:cs="Arial"/>
          <w:b/>
          <w:bCs/>
        </w:rPr>
      </w:pPr>
      <w:r w:rsidRPr="009B4AA2">
        <w:rPr>
          <w:rFonts w:ascii="Arial" w:hAnsi="Arial" w:cs="Arial"/>
          <w:b/>
          <w:bCs/>
        </w:rPr>
        <w:t>University of Wales</w:t>
      </w:r>
    </w:p>
    <w:p w14:paraId="6E4F6D6E" w14:textId="158E881F" w:rsidR="009B4AA2" w:rsidRPr="009B4AA2" w:rsidRDefault="009B4AA2" w:rsidP="009B4AA2">
      <w:pPr>
        <w:spacing w:line="360" w:lineRule="auto"/>
        <w:jc w:val="center"/>
        <w:rPr>
          <w:rFonts w:ascii="Arial" w:hAnsi="Arial" w:cs="Arial"/>
          <w:b/>
          <w:bCs/>
        </w:rPr>
      </w:pPr>
      <w:r w:rsidRPr="009B4AA2">
        <w:rPr>
          <w:rFonts w:ascii="Arial" w:hAnsi="Arial" w:cs="Arial"/>
          <w:b/>
          <w:bCs/>
        </w:rPr>
        <w:t>Module Code: BMHP5023</w:t>
      </w:r>
    </w:p>
    <w:p w14:paraId="782608A6" w14:textId="5C412855" w:rsidR="009B4AA2" w:rsidRPr="009B4AA2" w:rsidRDefault="009B4AA2" w:rsidP="009B4AA2">
      <w:pPr>
        <w:spacing w:line="360" w:lineRule="auto"/>
        <w:jc w:val="center"/>
        <w:rPr>
          <w:rFonts w:ascii="Arial" w:hAnsi="Arial" w:cs="Arial"/>
          <w:b/>
          <w:bCs/>
        </w:rPr>
      </w:pPr>
      <w:r w:rsidRPr="009B4AA2">
        <w:rPr>
          <w:rFonts w:ascii="Arial" w:hAnsi="Arial" w:cs="Arial"/>
          <w:b/>
          <w:bCs/>
        </w:rPr>
        <w:t>Lecturer: Farah Islam</w:t>
      </w:r>
    </w:p>
    <w:p w14:paraId="757C13C9" w14:textId="77777777" w:rsidR="009B4AA2" w:rsidRPr="009B4AA2" w:rsidRDefault="009B4AA2" w:rsidP="009B4AA2">
      <w:pPr>
        <w:spacing w:line="360" w:lineRule="auto"/>
        <w:jc w:val="center"/>
        <w:rPr>
          <w:rFonts w:ascii="Arial" w:hAnsi="Arial" w:cs="Arial"/>
          <w:b/>
          <w:bCs/>
        </w:rPr>
      </w:pPr>
    </w:p>
    <w:p w14:paraId="61F476AE" w14:textId="77777777" w:rsidR="009B4AA2" w:rsidRPr="009B4AA2" w:rsidRDefault="009B4AA2" w:rsidP="009B4AA2">
      <w:pPr>
        <w:spacing w:line="360" w:lineRule="auto"/>
        <w:jc w:val="both"/>
        <w:rPr>
          <w:rFonts w:ascii="Arial" w:hAnsi="Arial" w:cs="Arial"/>
          <w:b/>
          <w:bCs/>
          <w:sz w:val="22"/>
          <w:szCs w:val="22"/>
        </w:rPr>
      </w:pPr>
    </w:p>
    <w:p w14:paraId="32A82742" w14:textId="77777777" w:rsidR="009B4AA2" w:rsidRPr="009B4AA2" w:rsidRDefault="009B4AA2" w:rsidP="009B4AA2">
      <w:pPr>
        <w:spacing w:line="360" w:lineRule="auto"/>
        <w:jc w:val="both"/>
        <w:rPr>
          <w:rFonts w:ascii="Arial" w:hAnsi="Arial" w:cs="Arial"/>
          <w:b/>
          <w:bCs/>
          <w:sz w:val="22"/>
          <w:szCs w:val="22"/>
        </w:rPr>
      </w:pPr>
    </w:p>
    <w:p w14:paraId="5687E903" w14:textId="77777777" w:rsidR="009B4AA2" w:rsidRPr="009B4AA2" w:rsidRDefault="009B4AA2" w:rsidP="009B4AA2">
      <w:pPr>
        <w:spacing w:line="360" w:lineRule="auto"/>
        <w:jc w:val="both"/>
        <w:rPr>
          <w:rFonts w:ascii="Arial" w:hAnsi="Arial" w:cs="Arial"/>
          <w:b/>
          <w:bCs/>
          <w:sz w:val="22"/>
          <w:szCs w:val="22"/>
        </w:rPr>
      </w:pPr>
    </w:p>
    <w:p w14:paraId="0622137C" w14:textId="77777777" w:rsidR="009B4AA2" w:rsidRPr="009B4AA2" w:rsidRDefault="009B4AA2" w:rsidP="009B4AA2">
      <w:pPr>
        <w:spacing w:line="360" w:lineRule="auto"/>
        <w:jc w:val="both"/>
        <w:rPr>
          <w:rFonts w:ascii="Arial" w:hAnsi="Arial" w:cs="Arial"/>
          <w:b/>
          <w:bCs/>
          <w:sz w:val="22"/>
          <w:szCs w:val="22"/>
        </w:rPr>
      </w:pPr>
    </w:p>
    <w:p w14:paraId="3D8ED507" w14:textId="77777777" w:rsidR="009B4AA2" w:rsidRPr="009B4AA2" w:rsidRDefault="009B4AA2" w:rsidP="009B4AA2">
      <w:pPr>
        <w:spacing w:line="360" w:lineRule="auto"/>
        <w:jc w:val="both"/>
        <w:rPr>
          <w:rFonts w:ascii="Arial" w:hAnsi="Arial" w:cs="Arial"/>
          <w:b/>
          <w:bCs/>
          <w:sz w:val="22"/>
          <w:szCs w:val="22"/>
        </w:rPr>
      </w:pPr>
    </w:p>
    <w:p w14:paraId="328FCDD4" w14:textId="77777777" w:rsidR="009B4AA2" w:rsidRPr="009B4AA2" w:rsidRDefault="009B4AA2" w:rsidP="009B4AA2">
      <w:pPr>
        <w:spacing w:line="360" w:lineRule="auto"/>
        <w:jc w:val="both"/>
        <w:rPr>
          <w:rFonts w:ascii="Arial" w:hAnsi="Arial" w:cs="Arial"/>
          <w:b/>
          <w:bCs/>
          <w:sz w:val="22"/>
          <w:szCs w:val="22"/>
        </w:rPr>
      </w:pPr>
    </w:p>
    <w:p w14:paraId="65F06E14" w14:textId="77777777" w:rsidR="009B4AA2" w:rsidRPr="009B4AA2" w:rsidRDefault="009B4AA2" w:rsidP="009B4AA2">
      <w:pPr>
        <w:spacing w:line="360" w:lineRule="auto"/>
        <w:jc w:val="both"/>
        <w:rPr>
          <w:rFonts w:ascii="Arial" w:hAnsi="Arial" w:cs="Arial"/>
          <w:b/>
          <w:bCs/>
          <w:sz w:val="22"/>
          <w:szCs w:val="22"/>
        </w:rPr>
      </w:pPr>
    </w:p>
    <w:p w14:paraId="6B3DDFDA" w14:textId="77777777" w:rsidR="009B4AA2" w:rsidRPr="009B4AA2" w:rsidRDefault="009B4AA2" w:rsidP="009B4AA2">
      <w:pPr>
        <w:spacing w:line="360" w:lineRule="auto"/>
        <w:jc w:val="both"/>
        <w:rPr>
          <w:rFonts w:ascii="Arial" w:hAnsi="Arial" w:cs="Arial"/>
          <w:b/>
          <w:bCs/>
          <w:sz w:val="22"/>
          <w:szCs w:val="22"/>
        </w:rPr>
      </w:pPr>
    </w:p>
    <w:p w14:paraId="01FC2B72" w14:textId="77777777" w:rsidR="009B4AA2" w:rsidRPr="009B4AA2" w:rsidRDefault="009B4AA2" w:rsidP="009B4AA2">
      <w:pPr>
        <w:spacing w:line="360" w:lineRule="auto"/>
        <w:jc w:val="both"/>
        <w:rPr>
          <w:rFonts w:ascii="Arial" w:hAnsi="Arial" w:cs="Arial"/>
          <w:b/>
          <w:bCs/>
          <w:sz w:val="22"/>
          <w:szCs w:val="22"/>
        </w:rPr>
      </w:pPr>
    </w:p>
    <w:p w14:paraId="322533B7" w14:textId="77777777" w:rsidR="009B4AA2" w:rsidRPr="009B4AA2" w:rsidRDefault="009B4AA2" w:rsidP="009B4AA2">
      <w:pPr>
        <w:spacing w:line="360" w:lineRule="auto"/>
        <w:jc w:val="both"/>
        <w:rPr>
          <w:rFonts w:ascii="Arial" w:hAnsi="Arial" w:cs="Arial"/>
          <w:b/>
          <w:bCs/>
          <w:sz w:val="22"/>
          <w:szCs w:val="22"/>
        </w:rPr>
      </w:pPr>
    </w:p>
    <w:p w14:paraId="372ABB73" w14:textId="4D1197F2" w:rsidR="00424719" w:rsidRPr="009B4AA2" w:rsidRDefault="00446544" w:rsidP="009B4AA2">
      <w:pPr>
        <w:spacing w:line="360" w:lineRule="auto"/>
        <w:jc w:val="both"/>
        <w:rPr>
          <w:rFonts w:ascii="Arial" w:hAnsi="Arial" w:cs="Arial"/>
          <w:b/>
          <w:bCs/>
          <w:sz w:val="22"/>
          <w:szCs w:val="22"/>
        </w:rPr>
      </w:pPr>
      <w:r w:rsidRPr="009B4AA2">
        <w:rPr>
          <w:rFonts w:ascii="Arial" w:hAnsi="Arial" w:cs="Arial"/>
          <w:b/>
          <w:bCs/>
          <w:sz w:val="22"/>
          <w:szCs w:val="22"/>
        </w:rPr>
        <w:lastRenderedPageBreak/>
        <w:t>Introduction</w:t>
      </w:r>
    </w:p>
    <w:p w14:paraId="3A00F66B" w14:textId="319E30CA" w:rsidR="00446544" w:rsidRPr="009B4AA2" w:rsidRDefault="00446544" w:rsidP="009B4AA2">
      <w:pPr>
        <w:spacing w:line="360" w:lineRule="auto"/>
        <w:jc w:val="both"/>
        <w:rPr>
          <w:rFonts w:ascii="Arial" w:hAnsi="Arial" w:cs="Arial"/>
          <w:sz w:val="22"/>
          <w:szCs w:val="22"/>
        </w:rPr>
      </w:pPr>
      <w:r w:rsidRPr="009B4AA2">
        <w:rPr>
          <w:rFonts w:ascii="Arial" w:hAnsi="Arial" w:cs="Arial"/>
          <w:sz w:val="22"/>
          <w:szCs w:val="22"/>
        </w:rPr>
        <w:t xml:space="preserve">Type 2 diabetes mellitus (T2DM) is a non-reversible metabolic disorder that results in hyperglycemia because of peripheral tissue insulin resistance and pancreatic β-cell dysfunction (Peng et al., 2024). More than 96% of diabetic people are affected by T2DM that forms </w:t>
      </w:r>
      <w:r w:rsidR="009B4AA2" w:rsidRPr="009B4AA2">
        <w:rPr>
          <w:rFonts w:ascii="Arial" w:hAnsi="Arial" w:cs="Arial"/>
          <w:sz w:val="22"/>
          <w:szCs w:val="22"/>
        </w:rPr>
        <w:t>a</w:t>
      </w:r>
      <w:r w:rsidRPr="009B4AA2">
        <w:rPr>
          <w:rFonts w:ascii="Arial" w:hAnsi="Arial" w:cs="Arial"/>
          <w:sz w:val="22"/>
          <w:szCs w:val="22"/>
        </w:rPr>
        <w:t xml:space="preserve"> major part of metabolic dysfunction syndrome (Peng et al., 2024). This disease arises because of the failure of the body to produce and use the insulin hormone that causes high levels of glucose in the bloodstream and damage the blood vessels, nerves, and other organs. T2DM differs from the autoimmune T1DM since its development is caused by the lifestyle and environmental factors.</w:t>
      </w:r>
    </w:p>
    <w:p w14:paraId="51FA3000" w14:textId="6FCF25EF" w:rsidR="00446544" w:rsidRPr="009B4AA2" w:rsidRDefault="00446544" w:rsidP="009B4AA2">
      <w:pPr>
        <w:spacing w:line="360" w:lineRule="auto"/>
        <w:jc w:val="both"/>
        <w:rPr>
          <w:rFonts w:ascii="Arial" w:hAnsi="Arial" w:cs="Arial"/>
          <w:sz w:val="22"/>
          <w:szCs w:val="22"/>
        </w:rPr>
      </w:pPr>
      <w:r w:rsidRPr="009B4AA2">
        <w:rPr>
          <w:rFonts w:ascii="Arial" w:hAnsi="Arial" w:cs="Arial"/>
          <w:sz w:val="22"/>
          <w:szCs w:val="22"/>
        </w:rPr>
        <w:t xml:space="preserve">The main factors that affect the risk of developing type 2 diabetes include obesity and overweight (especially, central obesity), lack of physical activity, poor dieting (high consumption of processed food and fats), aging, family history of the disease, and ethnicity (Peng et al., 2024; Singh et al., 2025). A high </w:t>
      </w:r>
      <w:r w:rsidR="009B4AA2" w:rsidRPr="009B4AA2">
        <w:rPr>
          <w:rFonts w:ascii="Arial" w:hAnsi="Arial" w:cs="Arial"/>
          <w:sz w:val="22"/>
          <w:szCs w:val="22"/>
        </w:rPr>
        <w:t>body mass</w:t>
      </w:r>
      <w:r w:rsidRPr="009B4AA2">
        <w:rPr>
          <w:rFonts w:ascii="Arial" w:hAnsi="Arial" w:cs="Arial"/>
          <w:sz w:val="22"/>
          <w:szCs w:val="22"/>
        </w:rPr>
        <w:t xml:space="preserve"> index causes more than half of disability-adjusted life years of T2DM globally. Smoking as the lifestyle factor increases the risk of developing insulin resistance and cardiovascular diseases. In the context of primary care practice, most patients do not realize the effects of their lifestyle on the regulation of the blood glucose level. Thus, the aim of the report is to discuss the mechanisms of glucose homeostasis and metabolism, the importance of glucose monitoring, and evidence-based guidelines on lifestyles in the treatment of type 2 diabetes.</w:t>
      </w:r>
    </w:p>
    <w:p w14:paraId="061054A2" w14:textId="09D82EE9" w:rsidR="00446544" w:rsidRPr="009B4AA2" w:rsidRDefault="00446544" w:rsidP="009B4AA2">
      <w:pPr>
        <w:spacing w:line="360" w:lineRule="auto"/>
        <w:jc w:val="both"/>
        <w:rPr>
          <w:rFonts w:ascii="Arial" w:hAnsi="Arial" w:cs="Arial"/>
          <w:b/>
          <w:bCs/>
          <w:sz w:val="22"/>
          <w:szCs w:val="22"/>
        </w:rPr>
      </w:pPr>
      <w:r w:rsidRPr="009B4AA2">
        <w:rPr>
          <w:rFonts w:ascii="Arial" w:hAnsi="Arial" w:cs="Arial"/>
          <w:b/>
          <w:bCs/>
          <w:sz w:val="22"/>
          <w:szCs w:val="22"/>
        </w:rPr>
        <w:t>Maintenance of Blood Sugar Levels at Safe and Effective Levels</w:t>
      </w:r>
    </w:p>
    <w:p w14:paraId="366A11A0" w14:textId="3B8B7C28" w:rsidR="00446544" w:rsidRPr="009B4AA2" w:rsidRDefault="00446544" w:rsidP="009B4AA2">
      <w:pPr>
        <w:spacing w:line="360" w:lineRule="auto"/>
        <w:jc w:val="both"/>
        <w:rPr>
          <w:rFonts w:ascii="Arial" w:hAnsi="Arial" w:cs="Arial"/>
          <w:sz w:val="22"/>
          <w:szCs w:val="22"/>
        </w:rPr>
      </w:pPr>
      <w:r w:rsidRPr="009B4AA2">
        <w:rPr>
          <w:rFonts w:ascii="Arial" w:hAnsi="Arial" w:cs="Arial"/>
          <w:sz w:val="22"/>
          <w:szCs w:val="22"/>
        </w:rPr>
        <w:t>The blood glucose level is controlled through the interactions of the insulin and glucagon hormones, which are produced in the islets of Langerhans in a very narrow physiological range (approximately 4.0-5.5 mmol/L when fasting) (Holst et al., 2023; Capozzi et al., 2025). The rise of the blood glucose level following the meals leads to stimulation of β-cells via glucose transporters (GLUT2 mainly) that provide the energy source and increase the ATP/ADP ratio (Pallavi and Gandasi, 2025). The closure of the ATP-sensitive potassium channels occurs, cell membrane depolarization appears, and voltage-gated calcium channels become activated and lead to insulin secretion (Pallavi and Gandasi, 2025).</w:t>
      </w:r>
    </w:p>
    <w:p w14:paraId="02738FA4" w14:textId="4F8250FA" w:rsidR="00446544" w:rsidRPr="009B4AA2" w:rsidRDefault="0027681B" w:rsidP="009B4AA2">
      <w:pPr>
        <w:spacing w:line="360" w:lineRule="auto"/>
        <w:jc w:val="both"/>
        <w:rPr>
          <w:rFonts w:ascii="Arial" w:hAnsi="Arial" w:cs="Arial"/>
          <w:sz w:val="22"/>
          <w:szCs w:val="22"/>
        </w:rPr>
      </w:pPr>
      <w:r w:rsidRPr="009B4AA2">
        <w:rPr>
          <w:rFonts w:ascii="Arial" w:hAnsi="Arial" w:cs="Arial"/>
          <w:sz w:val="22"/>
          <w:szCs w:val="22"/>
        </w:rPr>
        <w:t xml:space="preserve">On insulin binding to the insulin receptors on the target tissues such as muscles, adipose tissue, and liver, signaling cascade ensues resulting in the transportation of the GLUT4 protein to the membrane for glucose uptake. Glucose production in the liver is inhibited by </w:t>
      </w:r>
      <w:r w:rsidR="009B4AA2" w:rsidRPr="009B4AA2">
        <w:rPr>
          <w:rFonts w:ascii="Arial" w:hAnsi="Arial" w:cs="Arial"/>
          <w:sz w:val="22"/>
          <w:szCs w:val="22"/>
        </w:rPr>
        <w:t>insulin</w:t>
      </w:r>
      <w:r w:rsidRPr="009B4AA2">
        <w:rPr>
          <w:rFonts w:ascii="Arial" w:hAnsi="Arial" w:cs="Arial"/>
          <w:sz w:val="22"/>
          <w:szCs w:val="22"/>
        </w:rPr>
        <w:t xml:space="preserve"> through suppression of glycogenolysis and gluconeogenesis (Accili, 2025). </w:t>
      </w:r>
      <w:r w:rsidR="00446544" w:rsidRPr="009B4AA2">
        <w:rPr>
          <w:rFonts w:ascii="Arial" w:hAnsi="Arial" w:cs="Arial"/>
          <w:sz w:val="22"/>
          <w:szCs w:val="22"/>
        </w:rPr>
        <w:t xml:space="preserve">On the contrary, in case of hypoglycemia, α-cells secrete glucagon </w:t>
      </w:r>
      <w:r w:rsidR="009B4AA2" w:rsidRPr="009B4AA2">
        <w:rPr>
          <w:rFonts w:ascii="Arial" w:hAnsi="Arial" w:cs="Arial"/>
          <w:sz w:val="22"/>
          <w:szCs w:val="22"/>
        </w:rPr>
        <w:t>to</w:t>
      </w:r>
      <w:r w:rsidR="00446544" w:rsidRPr="009B4AA2">
        <w:rPr>
          <w:rFonts w:ascii="Arial" w:hAnsi="Arial" w:cs="Arial"/>
          <w:sz w:val="22"/>
          <w:szCs w:val="22"/>
        </w:rPr>
        <w:t xml:space="preserve"> activate glycogenolysis and gluconeogenesis and restore normal glucose level (Holst et al., 2023). Besides, there are other factors, such as incretins </w:t>
      </w:r>
      <w:r w:rsidR="00446544" w:rsidRPr="009B4AA2">
        <w:rPr>
          <w:rFonts w:ascii="Arial" w:hAnsi="Arial" w:cs="Arial"/>
          <w:sz w:val="22"/>
          <w:szCs w:val="22"/>
        </w:rPr>
        <w:lastRenderedPageBreak/>
        <w:t>(GLP-1 and GIP), that are secreted from the gut and affect insulin and glucagon secretion (Capozzi et al., 2025). There are other examples such as liver-α cell axis, in which glucagon promotes amino acid uptake and urea synthesis, while amino acids promote glucagon secretion.</w:t>
      </w:r>
    </w:p>
    <w:p w14:paraId="265A28F9" w14:textId="56B78360" w:rsidR="00446544" w:rsidRPr="009B4AA2" w:rsidRDefault="00446544" w:rsidP="009B4AA2">
      <w:pPr>
        <w:spacing w:line="360" w:lineRule="auto"/>
        <w:jc w:val="both"/>
        <w:rPr>
          <w:rFonts w:ascii="Arial" w:hAnsi="Arial" w:cs="Arial"/>
          <w:sz w:val="22"/>
          <w:szCs w:val="22"/>
        </w:rPr>
      </w:pPr>
      <w:r w:rsidRPr="009B4AA2">
        <w:rPr>
          <w:rFonts w:ascii="Arial" w:hAnsi="Arial" w:cs="Arial"/>
          <w:sz w:val="22"/>
          <w:szCs w:val="22"/>
        </w:rPr>
        <w:t xml:space="preserve">The mechanisms discussed above get impaired in Type 2 diabetes. Under such conditions, peripheral tissues become resistant to </w:t>
      </w:r>
      <w:r w:rsidR="009B4AA2" w:rsidRPr="009B4AA2">
        <w:rPr>
          <w:rFonts w:ascii="Arial" w:hAnsi="Arial" w:cs="Arial"/>
          <w:sz w:val="22"/>
          <w:szCs w:val="22"/>
        </w:rPr>
        <w:t>insulin,</w:t>
      </w:r>
      <w:r w:rsidRPr="009B4AA2">
        <w:rPr>
          <w:rFonts w:ascii="Arial" w:hAnsi="Arial" w:cs="Arial"/>
          <w:sz w:val="22"/>
          <w:szCs w:val="22"/>
        </w:rPr>
        <w:t xml:space="preserve"> and more insulin is needed </w:t>
      </w:r>
      <w:r w:rsidR="009B4AA2" w:rsidRPr="009B4AA2">
        <w:rPr>
          <w:rFonts w:ascii="Arial" w:hAnsi="Arial" w:cs="Arial"/>
          <w:sz w:val="22"/>
          <w:szCs w:val="22"/>
        </w:rPr>
        <w:t>to</w:t>
      </w:r>
      <w:r w:rsidRPr="009B4AA2">
        <w:rPr>
          <w:rFonts w:ascii="Arial" w:hAnsi="Arial" w:cs="Arial"/>
          <w:sz w:val="22"/>
          <w:szCs w:val="22"/>
        </w:rPr>
        <w:t xml:space="preserve"> decrease the glucose level to the desirable one. Moreover, β-cells lose efficiency in response to the increasing insulin resistance. As a result, hyperglycemia appears resulting in β-cell dysfunction (glucotoxicity), ectopic lipids deposition, inflammation, and oxidative stress. All these factors lead to a vicious cycle (Peng et al., 2024; Accili, 2025). The fact that hyperinsulinemia itself leads to the additional desensitization of insulin signaling pathway and lipid synthesis accounts for the complex metabolism in Type 2 diabetes patients. Therefore, it becomes obvious for the patient that the quantity of carbohydrates and the timing of their consumption matter.</w:t>
      </w:r>
    </w:p>
    <w:p w14:paraId="6BE29A3E" w14:textId="79982D80" w:rsidR="00446544" w:rsidRPr="009B4AA2" w:rsidRDefault="00446544" w:rsidP="009B4AA2">
      <w:pPr>
        <w:spacing w:line="360" w:lineRule="auto"/>
        <w:jc w:val="both"/>
        <w:rPr>
          <w:rFonts w:ascii="Arial" w:hAnsi="Arial" w:cs="Arial"/>
          <w:b/>
          <w:bCs/>
          <w:sz w:val="22"/>
          <w:szCs w:val="22"/>
        </w:rPr>
      </w:pPr>
      <w:r w:rsidRPr="009B4AA2">
        <w:rPr>
          <w:rFonts w:ascii="Arial" w:hAnsi="Arial" w:cs="Arial"/>
          <w:b/>
          <w:bCs/>
          <w:sz w:val="22"/>
          <w:szCs w:val="22"/>
        </w:rPr>
        <w:t>Use of Oxygen and Glucose to Produce Energy through Cell Metabolism</w:t>
      </w:r>
    </w:p>
    <w:p w14:paraId="7950C1FF" w14:textId="6F443FCC" w:rsidR="00446544" w:rsidRPr="009B4AA2" w:rsidRDefault="00446544" w:rsidP="009B4AA2">
      <w:pPr>
        <w:spacing w:line="360" w:lineRule="auto"/>
        <w:jc w:val="both"/>
        <w:rPr>
          <w:rFonts w:ascii="Arial" w:hAnsi="Arial" w:cs="Arial"/>
          <w:sz w:val="22"/>
          <w:szCs w:val="22"/>
        </w:rPr>
      </w:pPr>
      <w:r w:rsidRPr="009B4AA2">
        <w:rPr>
          <w:rFonts w:ascii="Arial" w:hAnsi="Arial" w:cs="Arial"/>
          <w:sz w:val="22"/>
          <w:szCs w:val="22"/>
        </w:rPr>
        <w:t>Energy in cells is stored and transported in the form of adenosine triphosphate (ATP). Oxygen and glucose are main substrates for ATP synthesis through aerobic respiration. First, there is glycolysis that occurs in the cytosol and represents glucose transformation into two molecules of pyruvate with net generation of two ATP and two NADH.</w:t>
      </w:r>
    </w:p>
    <w:p w14:paraId="53B0843C" w14:textId="5E167F89"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Pyruvate goes into mitochondria in the presence of oxygen and gets oxidized to acetyl-CoA. Acetyl-CoA enters the TCA or Krebs cycle resulting in more reducing equivalents. Reducing equivalents, high-energy electrons, get passed on to the electron transport chain which lies in the inner membrane of mitochondria. Protons are pumped out by Complexes I-IV and create electrochemical gradients in the process. Oxygen serves as the final electron acceptor forming water. The formation of water drives ATP synthase to produce ATP. Under the best conditions, 30-32 ATPs are produced from one molecule of glucose (Suomalainen, 2024; van Noorden et al., 2024).</w:t>
      </w:r>
      <w:r w:rsidR="009B4AA2">
        <w:rPr>
          <w:rFonts w:ascii="Arial" w:hAnsi="Arial" w:cs="Arial"/>
          <w:sz w:val="22"/>
          <w:szCs w:val="22"/>
        </w:rPr>
        <w:t xml:space="preserve"> </w:t>
      </w:r>
      <w:r w:rsidRPr="009B4AA2">
        <w:rPr>
          <w:rFonts w:ascii="Arial" w:hAnsi="Arial" w:cs="Arial"/>
          <w:sz w:val="22"/>
          <w:szCs w:val="22"/>
        </w:rPr>
        <w:t>High energy-demanding tissues, such as working muscles, prefer oxidation because of the high ATP production in the presence of oxygen, and oxygen supply is important for effective energy production.</w:t>
      </w:r>
    </w:p>
    <w:p w14:paraId="35CDD022" w14:textId="270BA6DD"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 xml:space="preserve">Anaerobic glycolysis, in the absence of oxygen, converts pyruvate to lactate and produces only 2 ATPs. It is a less efficient </w:t>
      </w:r>
      <w:r w:rsidR="009B4AA2" w:rsidRPr="009B4AA2">
        <w:rPr>
          <w:rFonts w:ascii="Arial" w:hAnsi="Arial" w:cs="Arial"/>
          <w:sz w:val="22"/>
          <w:szCs w:val="22"/>
        </w:rPr>
        <w:t>process but</w:t>
      </w:r>
      <w:r w:rsidRPr="009B4AA2">
        <w:rPr>
          <w:rFonts w:ascii="Arial" w:hAnsi="Arial" w:cs="Arial"/>
          <w:sz w:val="22"/>
          <w:szCs w:val="22"/>
        </w:rPr>
        <w:t xml:space="preserve"> can be done to generate energy quickly. Poorly controlled diabetes in some cases is associated with oxidative phosphorylation disorders caused by mitochondrial dysfunction and hyperglycaemia (Suomalainen, 2024). Mitochondria serve a lot of other functions, including ROS generation, calcium handling and apoptosis. Thus, their </w:t>
      </w:r>
      <w:r w:rsidRPr="009B4AA2">
        <w:rPr>
          <w:rFonts w:ascii="Arial" w:hAnsi="Arial" w:cs="Arial"/>
          <w:sz w:val="22"/>
          <w:szCs w:val="22"/>
        </w:rPr>
        <w:lastRenderedPageBreak/>
        <w:t>dysfunction is associated with various problems with cell health. Knowledge about the process will help the patient to see the importance of stable glycaemia and tissue oxygenation for their proper functioning.</w:t>
      </w:r>
    </w:p>
    <w:p w14:paraId="33B67621" w14:textId="31E7A617" w:rsidR="00AC6072" w:rsidRPr="009B4AA2" w:rsidRDefault="00AC6072" w:rsidP="009B4AA2">
      <w:pPr>
        <w:spacing w:line="360" w:lineRule="auto"/>
        <w:jc w:val="both"/>
        <w:rPr>
          <w:rFonts w:ascii="Arial" w:hAnsi="Arial" w:cs="Arial"/>
          <w:b/>
          <w:bCs/>
          <w:sz w:val="22"/>
          <w:szCs w:val="22"/>
        </w:rPr>
      </w:pPr>
      <w:r w:rsidRPr="009B4AA2">
        <w:rPr>
          <w:rFonts w:ascii="Arial" w:hAnsi="Arial" w:cs="Arial"/>
          <w:b/>
          <w:bCs/>
          <w:sz w:val="22"/>
          <w:szCs w:val="22"/>
        </w:rPr>
        <w:t>Recording and Tracking Blood Sugar Levels in Type 2 Diabetes</w:t>
      </w:r>
    </w:p>
    <w:p w14:paraId="79DE984A" w14:textId="77777777"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Monitoring of blood glucose gives people with Type 2 diabetes an insight into the effects of diet, exercise, medication, and other factors on glycaemia. The self-monitoring of blood glucose or SMBG technique has been advised for many years, but more recently, continuous glucose monitoring (CGM) proved to be better. According to a systematic review and meta-analysis from 2024, the usage of CGM compared to SMBG resulted in reduction of HbA1c by approximately 0.31% (Jancev et al., 2024).</w:t>
      </w:r>
    </w:p>
    <w:p w14:paraId="6CA5180F" w14:textId="77777777"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In recent years, a randomised clinical trial among primary care physicians in patients with non-insulin-treated Type 2 diabetes demonstrated better HbA1c lowering (−0.9 percentage points vs. usual care) and significantly higher percentages of time in the desired glucose level of 70-180 mg/dL (Oser et al., 2026). Also, an umbrella review corroborated modest benefits of structured SMBG and CGM on glycaemic control (Foo et al., 2026). Analysis of glucose patterns enables the detection of hypoglycaemia overnight, spikes in glucose levels after meals and the effect of lifestyle modifications, contributing to better management of the therapy and patients' adherence to it.</w:t>
      </w:r>
    </w:p>
    <w:p w14:paraId="1498F5B5" w14:textId="65EF71D5"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 xml:space="preserve">From a physiological standpoint, frequent monitoring empowers patients to maintain normoglycaemia and thus prevent glucotoxicity and development of </w:t>
      </w:r>
      <w:r w:rsidR="009B4AA2" w:rsidRPr="009B4AA2">
        <w:rPr>
          <w:rFonts w:ascii="Arial" w:hAnsi="Arial" w:cs="Arial"/>
          <w:sz w:val="22"/>
          <w:szCs w:val="22"/>
        </w:rPr>
        <w:t>microangiopathies and</w:t>
      </w:r>
      <w:r w:rsidRPr="009B4AA2">
        <w:rPr>
          <w:rFonts w:ascii="Arial" w:hAnsi="Arial" w:cs="Arial"/>
          <w:sz w:val="22"/>
          <w:szCs w:val="22"/>
        </w:rPr>
        <w:t xml:space="preserve"> reduces the risk of severe hypoglycaemia. Recording glucose patterns over weeks and months provides objective feedback about progress and may encourage patients to sustain the change in their lifestyles. Joint analysis of glucose readings during consultations reinforces the therapeutic alliance and enables personalisation of treatment plans, supporting LO2 of this module regarding the use of routine health data.</w:t>
      </w:r>
    </w:p>
    <w:p w14:paraId="4B16D6C7" w14:textId="50755D23" w:rsidR="00AC6072" w:rsidRPr="009B4AA2" w:rsidRDefault="00AC6072" w:rsidP="009B4AA2">
      <w:pPr>
        <w:spacing w:line="360" w:lineRule="auto"/>
        <w:jc w:val="both"/>
        <w:rPr>
          <w:rFonts w:ascii="Arial" w:hAnsi="Arial" w:cs="Arial"/>
          <w:b/>
          <w:bCs/>
          <w:sz w:val="22"/>
          <w:szCs w:val="22"/>
        </w:rPr>
      </w:pPr>
      <w:r w:rsidRPr="009B4AA2">
        <w:rPr>
          <w:rFonts w:ascii="Arial" w:hAnsi="Arial" w:cs="Arial"/>
          <w:b/>
          <w:bCs/>
          <w:sz w:val="22"/>
          <w:szCs w:val="22"/>
        </w:rPr>
        <w:t>Evidence-Based Recommendations on Lifestyle Changes</w:t>
      </w:r>
    </w:p>
    <w:p w14:paraId="463A68B5" w14:textId="77777777"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Modification of lifestyles is a cornerstone of Type 2 diabetes treatment and enables remission in some cases. According to the 2026 ADA/EASD consensus statement, healthy nutrition, 24-hour physical activities, weight management, psychological support and smoking cessation constitute fundamental pillars of diabetes care (Davies et al., 2026).</w:t>
      </w:r>
    </w:p>
    <w:p w14:paraId="49CFCE7B" w14:textId="6AC9A06A"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lastRenderedPageBreak/>
        <w:t>Diet strategies creating a consistent calorie deficit are very effective. Structured low-calorie and meal replacement programs in conjunction with physical activity have helped achieve remission (HbA1c &lt;6.5% without glucose-lowering medication) in more than 50% of young adults with early onset Type 2 diabetes (Dasgupta et al., 2026). The Mediterranean diet, low-carb diets and a predominantly plant-based diet help lose weight and keep the glycaemic levels within the target values (</w:t>
      </w:r>
      <w:proofErr w:type="spellStart"/>
      <w:r w:rsidRPr="009B4AA2">
        <w:rPr>
          <w:rFonts w:ascii="Arial" w:hAnsi="Arial" w:cs="Arial"/>
          <w:sz w:val="22"/>
          <w:szCs w:val="22"/>
        </w:rPr>
        <w:t>Magkos</w:t>
      </w:r>
      <w:proofErr w:type="spellEnd"/>
      <w:r w:rsidRPr="009B4AA2">
        <w:rPr>
          <w:rFonts w:ascii="Arial" w:hAnsi="Arial" w:cs="Arial"/>
          <w:sz w:val="22"/>
          <w:szCs w:val="22"/>
        </w:rPr>
        <w:t xml:space="preserve"> et al., 2020; Davies et al., 2026).</w:t>
      </w:r>
    </w:p>
    <w:p w14:paraId="7B3FD048" w14:textId="44311FA6"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Regular physical activities recommended by ADA/EASD include not less than 150 minutes of moderate or vigorous physical activities per week and resistance exercises two times a week. Resistance training prevents loss of lean body mass in the case of weight loss since muscles are one of the main sites for insulin-mediated glucose uptake (Davies et al., 2026). Reduction of sedentary period and improvement of sleep quality contribute to metabolic health.</w:t>
      </w:r>
    </w:p>
    <w:p w14:paraId="034B46F5" w14:textId="77777777"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The need for smoking cessation. Nicotine causes insulin resistance, increases the progression of atherosclerosis, and increases the risk of microvascular complications. In recent consensus guidelines for people with Type 2 diabetes, developed by international experts, there is a recommendation to include smoking cessation as an integral part of diabetes treatment, and it is possible to prescribe proven medications, like varenicline (Campagna et al., 2026).</w:t>
      </w:r>
    </w:p>
    <w:p w14:paraId="79EDDAE0" w14:textId="3DED2DCD"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 xml:space="preserve">As a whole, this group of measures helps to solve the problems associated with the development of insulin resistance and β-cell dysfunction. Weight loss even by 5-10% significantly improves glucose levels in the patient, and in case of larger losses, remission becomes possible and the patient will be able to reduce the number of medications taken. According to the consensus of 2026, attention is drawn to the fact that in order to achieve stable results of </w:t>
      </w:r>
      <w:r w:rsidR="009B4AA2" w:rsidRPr="009B4AA2">
        <w:rPr>
          <w:rFonts w:ascii="Arial" w:hAnsi="Arial" w:cs="Arial"/>
          <w:sz w:val="22"/>
          <w:szCs w:val="22"/>
        </w:rPr>
        <w:t>behavioral</w:t>
      </w:r>
      <w:r w:rsidRPr="009B4AA2">
        <w:rPr>
          <w:rFonts w:ascii="Arial" w:hAnsi="Arial" w:cs="Arial"/>
          <w:sz w:val="22"/>
          <w:szCs w:val="22"/>
        </w:rPr>
        <w:t xml:space="preserve"> change, it is necessary to address the problem of social determinants of health, to provide psychological assistance and to ensure that the chosen measures are culturally adapted and feasible (Davies et al., 2026). Practice nurses have all the necessary tools to provide brief repeated counseling on changes in lifestyle and the implementation of monitoring of glucose levels using the patient data.</w:t>
      </w:r>
    </w:p>
    <w:p w14:paraId="34F2B438" w14:textId="5CD53E1F" w:rsidR="00AC6072" w:rsidRPr="009B4AA2" w:rsidRDefault="00AC6072" w:rsidP="009B4AA2">
      <w:pPr>
        <w:spacing w:line="360" w:lineRule="auto"/>
        <w:jc w:val="both"/>
        <w:rPr>
          <w:rFonts w:ascii="Arial" w:hAnsi="Arial" w:cs="Arial"/>
          <w:b/>
          <w:bCs/>
          <w:sz w:val="22"/>
          <w:szCs w:val="22"/>
        </w:rPr>
      </w:pPr>
      <w:r w:rsidRPr="009B4AA2">
        <w:rPr>
          <w:rFonts w:ascii="Arial" w:hAnsi="Arial" w:cs="Arial"/>
          <w:b/>
          <w:bCs/>
          <w:sz w:val="22"/>
          <w:szCs w:val="22"/>
        </w:rPr>
        <w:t>Conclusion</w:t>
      </w:r>
    </w:p>
    <w:p w14:paraId="3C9A7A73" w14:textId="1DAA65EC"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 xml:space="preserve">The pathogenesis of type 2 diabetes involves insulin resistance and progressive deterioration of β-cell dysfunction, which leads to chronic hyperglycemia and damage of various organ systems. Glucose levels are maintained in a certain range with the help of reciprocal action of insulin and glucagon, as well as with the participation of incretins and neuronal regulation. Glucose and oxygen metabolism </w:t>
      </w:r>
      <w:r w:rsidR="009B4AA2" w:rsidRPr="009B4AA2">
        <w:rPr>
          <w:rFonts w:ascii="Arial" w:hAnsi="Arial" w:cs="Arial"/>
          <w:sz w:val="22"/>
          <w:szCs w:val="22"/>
        </w:rPr>
        <w:t>take</w:t>
      </w:r>
      <w:r w:rsidRPr="009B4AA2">
        <w:rPr>
          <w:rFonts w:ascii="Arial" w:hAnsi="Arial" w:cs="Arial"/>
          <w:sz w:val="22"/>
          <w:szCs w:val="22"/>
        </w:rPr>
        <w:t xml:space="preserve"> place through glycolysis, Krebs cycle, and oxidative phosphorylation, resulting in ATP formation. With the violation of these mechanisms, as in the case of type 2 </w:t>
      </w:r>
      <w:r w:rsidRPr="009B4AA2">
        <w:rPr>
          <w:rFonts w:ascii="Arial" w:hAnsi="Arial" w:cs="Arial"/>
          <w:sz w:val="22"/>
          <w:szCs w:val="22"/>
        </w:rPr>
        <w:lastRenderedPageBreak/>
        <w:t>diabetes, it is beneficial for patients to understand not only physiology but also the measures needed to normalize them. It helps to connect the anatomical and physiological knowledge with self-care practice directly.</w:t>
      </w:r>
    </w:p>
    <w:p w14:paraId="2BF33EDA" w14:textId="5A9D6DCA"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t>The recording and monitoring of blood glucose levels – especially via continuous monitoring – provides the advantage of providing information which enables informed decisions to be made and increases patient engagement in their care programs. Lifestyle changes based on current evidence, including the adoption of a healthy diet, exercise, weight loss and giving up smoking are central to the proper treatment of Type 2 diabetes and may even result in remission when the disease is in its early stages. In this way, the provision of an explanation by the practice nurse of the process by which the body controls glucose and generates energy can provide patients with the skills to manage their condition effectively and safely.</w:t>
      </w:r>
    </w:p>
    <w:p w14:paraId="511C97D0" w14:textId="77777777" w:rsidR="00AC6072" w:rsidRPr="009B4AA2" w:rsidRDefault="00AC6072" w:rsidP="009B4AA2">
      <w:pPr>
        <w:spacing w:line="360" w:lineRule="auto"/>
        <w:jc w:val="both"/>
        <w:rPr>
          <w:rFonts w:ascii="Arial" w:hAnsi="Arial" w:cs="Arial"/>
          <w:sz w:val="22"/>
          <w:szCs w:val="22"/>
        </w:rPr>
      </w:pPr>
      <w:r w:rsidRPr="009B4AA2">
        <w:rPr>
          <w:rFonts w:ascii="Arial" w:hAnsi="Arial" w:cs="Arial"/>
          <w:sz w:val="22"/>
          <w:szCs w:val="22"/>
        </w:rPr>
        <w:br w:type="page"/>
      </w:r>
    </w:p>
    <w:p w14:paraId="16192A18" w14:textId="541BFF43" w:rsidR="00AC6072" w:rsidRPr="009B4AA2" w:rsidRDefault="00AC6072" w:rsidP="009B4AA2">
      <w:pPr>
        <w:spacing w:line="360" w:lineRule="auto"/>
        <w:jc w:val="both"/>
        <w:rPr>
          <w:rFonts w:ascii="Arial" w:hAnsi="Arial" w:cs="Arial"/>
          <w:b/>
          <w:bCs/>
          <w:sz w:val="22"/>
          <w:szCs w:val="22"/>
        </w:rPr>
      </w:pPr>
      <w:r w:rsidRPr="009B4AA2">
        <w:rPr>
          <w:rFonts w:ascii="Arial" w:hAnsi="Arial" w:cs="Arial"/>
          <w:b/>
          <w:bCs/>
          <w:sz w:val="22"/>
          <w:szCs w:val="22"/>
        </w:rPr>
        <w:lastRenderedPageBreak/>
        <w:t xml:space="preserve">References </w:t>
      </w:r>
    </w:p>
    <w:p w14:paraId="2A48A922"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Accili, D. (2025) ‘Insulin resistance in type 2 diabetes mellitus’, </w:t>
      </w:r>
      <w:r w:rsidRPr="009B4AA2">
        <w:rPr>
          <w:rFonts w:ascii="Arial" w:hAnsi="Arial" w:cs="Arial"/>
          <w:i/>
          <w:iCs/>
          <w:sz w:val="22"/>
          <w:szCs w:val="22"/>
        </w:rPr>
        <w:t>Nature Reviews Endocrinology</w:t>
      </w:r>
      <w:r w:rsidRPr="009B4AA2">
        <w:rPr>
          <w:rFonts w:ascii="Arial" w:hAnsi="Arial" w:cs="Arial"/>
          <w:sz w:val="22"/>
          <w:szCs w:val="22"/>
        </w:rPr>
        <w:t>, 21, pp. 413–426. Available at: https://doi.org/10.1038/s41574-025-01114-y</w:t>
      </w:r>
    </w:p>
    <w:p w14:paraId="408D3A6B"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Campagna, D. </w:t>
      </w:r>
      <w:r w:rsidRPr="009B4AA2">
        <w:rPr>
          <w:rFonts w:ascii="Arial" w:hAnsi="Arial" w:cs="Arial"/>
          <w:i/>
          <w:iCs/>
          <w:sz w:val="22"/>
          <w:szCs w:val="22"/>
        </w:rPr>
        <w:t>et al.</w:t>
      </w:r>
      <w:r w:rsidRPr="009B4AA2">
        <w:rPr>
          <w:rFonts w:ascii="Arial" w:hAnsi="Arial" w:cs="Arial"/>
          <w:sz w:val="22"/>
          <w:szCs w:val="22"/>
        </w:rPr>
        <w:t xml:space="preserve"> (</w:t>
      </w:r>
      <w:proofErr w:type="gramStart"/>
      <w:r w:rsidRPr="009B4AA2">
        <w:rPr>
          <w:rFonts w:ascii="Arial" w:hAnsi="Arial" w:cs="Arial"/>
          <w:sz w:val="22"/>
          <w:szCs w:val="22"/>
        </w:rPr>
        <w:t>2026) ‘</w:t>
      </w:r>
      <w:proofErr w:type="gramEnd"/>
      <w:r w:rsidRPr="009B4AA2">
        <w:rPr>
          <w:rFonts w:ascii="Arial" w:hAnsi="Arial" w:cs="Arial"/>
          <w:sz w:val="22"/>
          <w:szCs w:val="22"/>
        </w:rPr>
        <w:t xml:space="preserve">International consensus recommendations for smoking cessation in people with type 2 diabetes’, </w:t>
      </w:r>
      <w:r w:rsidRPr="009B4AA2">
        <w:rPr>
          <w:rFonts w:ascii="Arial" w:hAnsi="Arial" w:cs="Arial"/>
          <w:i/>
          <w:iCs/>
          <w:sz w:val="22"/>
          <w:szCs w:val="22"/>
        </w:rPr>
        <w:t>Diabetes Research and Clinical Practice</w:t>
      </w:r>
      <w:r w:rsidRPr="009B4AA2">
        <w:rPr>
          <w:rFonts w:ascii="Arial" w:hAnsi="Arial" w:cs="Arial"/>
          <w:sz w:val="22"/>
          <w:szCs w:val="22"/>
        </w:rPr>
        <w:t>. Available at: https://doi.org/10.1016/j.diabres.2026.xxxxxx</w:t>
      </w:r>
    </w:p>
    <w:p w14:paraId="0506F623"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Capozzi, M.E. </w:t>
      </w:r>
      <w:r w:rsidRPr="009B4AA2">
        <w:rPr>
          <w:rFonts w:ascii="Arial" w:hAnsi="Arial" w:cs="Arial"/>
          <w:i/>
          <w:iCs/>
          <w:sz w:val="22"/>
          <w:szCs w:val="22"/>
        </w:rPr>
        <w:t>et al.</w:t>
      </w:r>
      <w:r w:rsidRPr="009B4AA2">
        <w:rPr>
          <w:rFonts w:ascii="Arial" w:hAnsi="Arial" w:cs="Arial"/>
          <w:sz w:val="22"/>
          <w:szCs w:val="22"/>
        </w:rPr>
        <w:t xml:space="preserve"> (2025) ‘Islet hormones at the intersection of glucose and amino acid metabolism’, </w:t>
      </w:r>
      <w:r w:rsidRPr="009B4AA2">
        <w:rPr>
          <w:rFonts w:ascii="Arial" w:hAnsi="Arial" w:cs="Arial"/>
          <w:i/>
          <w:iCs/>
          <w:sz w:val="22"/>
          <w:szCs w:val="22"/>
        </w:rPr>
        <w:t>Nature Reviews Endocrinology</w:t>
      </w:r>
      <w:r w:rsidRPr="009B4AA2">
        <w:rPr>
          <w:rFonts w:ascii="Arial" w:hAnsi="Arial" w:cs="Arial"/>
          <w:sz w:val="22"/>
          <w:szCs w:val="22"/>
        </w:rPr>
        <w:t>, 21, pp. 397–412. Available at: https://doi.org/10.1038/s41574-025-01100-4</w:t>
      </w:r>
    </w:p>
    <w:p w14:paraId="771D5954"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Dasgupta, K. </w:t>
      </w:r>
      <w:r w:rsidRPr="009B4AA2">
        <w:rPr>
          <w:rFonts w:ascii="Arial" w:hAnsi="Arial" w:cs="Arial"/>
          <w:i/>
          <w:iCs/>
          <w:sz w:val="22"/>
          <w:szCs w:val="22"/>
        </w:rPr>
        <w:t>et al.</w:t>
      </w:r>
      <w:r w:rsidRPr="009B4AA2">
        <w:rPr>
          <w:rFonts w:ascii="Arial" w:hAnsi="Arial" w:cs="Arial"/>
          <w:sz w:val="22"/>
          <w:szCs w:val="22"/>
        </w:rPr>
        <w:t xml:space="preserve"> (2026) ‘Low-calorie diet and exercise for remission of early-onset type 2 diabetes: the RESET for Remission trial’, </w:t>
      </w:r>
      <w:r w:rsidRPr="009B4AA2">
        <w:rPr>
          <w:rFonts w:ascii="Arial" w:hAnsi="Arial" w:cs="Arial"/>
          <w:i/>
          <w:iCs/>
          <w:sz w:val="22"/>
          <w:szCs w:val="22"/>
        </w:rPr>
        <w:t>The Lancet Regional Health – Americas</w:t>
      </w:r>
      <w:r w:rsidRPr="009B4AA2">
        <w:rPr>
          <w:rFonts w:ascii="Arial" w:hAnsi="Arial" w:cs="Arial"/>
          <w:sz w:val="22"/>
          <w:szCs w:val="22"/>
        </w:rPr>
        <w:t>. Available at: https://doi.org/10.1016/j.lana.2026.xxxxxx</w:t>
      </w:r>
    </w:p>
    <w:p w14:paraId="3BF8E9B2"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Davies, M.J. </w:t>
      </w:r>
      <w:r w:rsidRPr="009B4AA2">
        <w:rPr>
          <w:rFonts w:ascii="Arial" w:hAnsi="Arial" w:cs="Arial"/>
          <w:i/>
          <w:iCs/>
          <w:sz w:val="22"/>
          <w:szCs w:val="22"/>
        </w:rPr>
        <w:t>et al.</w:t>
      </w:r>
      <w:r w:rsidRPr="009B4AA2">
        <w:rPr>
          <w:rFonts w:ascii="Arial" w:hAnsi="Arial" w:cs="Arial"/>
          <w:sz w:val="22"/>
          <w:szCs w:val="22"/>
        </w:rPr>
        <w:t xml:space="preserve"> (2026) ‘Management of type 2 diabetes, 2026: a consensus report by the American Diabetes Association (ADA) and the European Association for the Study of Diabetes (EASD)’, </w:t>
      </w:r>
      <w:r w:rsidRPr="009B4AA2">
        <w:rPr>
          <w:rFonts w:ascii="Arial" w:hAnsi="Arial" w:cs="Arial"/>
          <w:i/>
          <w:iCs/>
          <w:sz w:val="22"/>
          <w:szCs w:val="22"/>
        </w:rPr>
        <w:t>Diabetes Care</w:t>
      </w:r>
      <w:r w:rsidRPr="009B4AA2">
        <w:rPr>
          <w:rFonts w:ascii="Arial" w:hAnsi="Arial" w:cs="Arial"/>
          <w:sz w:val="22"/>
          <w:szCs w:val="22"/>
        </w:rPr>
        <w:t>. Available at: https://doi.org/10.2337/dci26-0141</w:t>
      </w:r>
    </w:p>
    <w:p w14:paraId="572A2702"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Foo, S.T. </w:t>
      </w:r>
      <w:r w:rsidRPr="009B4AA2">
        <w:rPr>
          <w:rFonts w:ascii="Arial" w:hAnsi="Arial" w:cs="Arial"/>
          <w:i/>
          <w:iCs/>
          <w:sz w:val="22"/>
          <w:szCs w:val="22"/>
        </w:rPr>
        <w:t>et al.</w:t>
      </w:r>
      <w:r w:rsidRPr="009B4AA2">
        <w:rPr>
          <w:rFonts w:ascii="Arial" w:hAnsi="Arial" w:cs="Arial"/>
          <w:sz w:val="22"/>
          <w:szCs w:val="22"/>
        </w:rPr>
        <w:t xml:space="preserve"> (</w:t>
      </w:r>
      <w:proofErr w:type="gramStart"/>
      <w:r w:rsidRPr="009B4AA2">
        <w:rPr>
          <w:rFonts w:ascii="Arial" w:hAnsi="Arial" w:cs="Arial"/>
          <w:sz w:val="22"/>
          <w:szCs w:val="22"/>
        </w:rPr>
        <w:t>2026) ‘</w:t>
      </w:r>
      <w:proofErr w:type="gramEnd"/>
      <w:r w:rsidRPr="009B4AA2">
        <w:rPr>
          <w:rFonts w:ascii="Arial" w:hAnsi="Arial" w:cs="Arial"/>
          <w:sz w:val="22"/>
          <w:szCs w:val="22"/>
        </w:rPr>
        <w:t xml:space="preserve">Comparative effectiveness of glucose monitoring methods and glycaemic control in patients with type 2 diabetes: an umbrella review’, </w:t>
      </w:r>
      <w:r w:rsidRPr="009B4AA2">
        <w:rPr>
          <w:rFonts w:ascii="Arial" w:hAnsi="Arial" w:cs="Arial"/>
          <w:i/>
          <w:iCs/>
          <w:sz w:val="22"/>
          <w:szCs w:val="22"/>
        </w:rPr>
        <w:t>Diabetes, Obesity and Metabolism</w:t>
      </w:r>
      <w:r w:rsidRPr="009B4AA2">
        <w:rPr>
          <w:rFonts w:ascii="Arial" w:hAnsi="Arial" w:cs="Arial"/>
          <w:sz w:val="22"/>
          <w:szCs w:val="22"/>
        </w:rPr>
        <w:t>. Available at: https://doi.org/10.1111/dom.70401</w:t>
      </w:r>
    </w:p>
    <w:p w14:paraId="07274D4C"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Holst, J.J. </w:t>
      </w:r>
      <w:r w:rsidRPr="009B4AA2">
        <w:rPr>
          <w:rFonts w:ascii="Arial" w:hAnsi="Arial" w:cs="Arial"/>
          <w:i/>
          <w:iCs/>
          <w:sz w:val="22"/>
          <w:szCs w:val="22"/>
        </w:rPr>
        <w:t>et al.</w:t>
      </w:r>
      <w:r w:rsidRPr="009B4AA2">
        <w:rPr>
          <w:rFonts w:ascii="Arial" w:hAnsi="Arial" w:cs="Arial"/>
          <w:sz w:val="22"/>
          <w:szCs w:val="22"/>
        </w:rPr>
        <w:t xml:space="preserve"> (2023) ‘Revisiting the role of glucagon in health, diabetes mellitus and other metabolic diseases’, </w:t>
      </w:r>
      <w:r w:rsidRPr="009B4AA2">
        <w:rPr>
          <w:rFonts w:ascii="Arial" w:hAnsi="Arial" w:cs="Arial"/>
          <w:i/>
          <w:iCs/>
          <w:sz w:val="22"/>
          <w:szCs w:val="22"/>
        </w:rPr>
        <w:t>Nature Reviews Endocrinology</w:t>
      </w:r>
      <w:r w:rsidRPr="009B4AA2">
        <w:rPr>
          <w:rFonts w:ascii="Arial" w:hAnsi="Arial" w:cs="Arial"/>
          <w:sz w:val="22"/>
          <w:szCs w:val="22"/>
        </w:rPr>
        <w:t>, 19, pp. 321–335. Available at: https://doi.org/10.1038/s41574-023-00817-4</w:t>
      </w:r>
    </w:p>
    <w:p w14:paraId="09CD20B9"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Jancev, M. </w:t>
      </w:r>
      <w:r w:rsidRPr="009B4AA2">
        <w:rPr>
          <w:rFonts w:ascii="Arial" w:hAnsi="Arial" w:cs="Arial"/>
          <w:i/>
          <w:iCs/>
          <w:sz w:val="22"/>
          <w:szCs w:val="22"/>
        </w:rPr>
        <w:t>et al.</w:t>
      </w:r>
      <w:r w:rsidRPr="009B4AA2">
        <w:rPr>
          <w:rFonts w:ascii="Arial" w:hAnsi="Arial" w:cs="Arial"/>
          <w:sz w:val="22"/>
          <w:szCs w:val="22"/>
        </w:rPr>
        <w:t xml:space="preserve"> (2024) ‘Continuous glucose monitoring in adults with type 2 diabetes: a systematic review and meta-analysis’, </w:t>
      </w:r>
      <w:proofErr w:type="spellStart"/>
      <w:r w:rsidRPr="009B4AA2">
        <w:rPr>
          <w:rFonts w:ascii="Arial" w:hAnsi="Arial" w:cs="Arial"/>
          <w:i/>
          <w:iCs/>
          <w:sz w:val="22"/>
          <w:szCs w:val="22"/>
        </w:rPr>
        <w:t>Diabetologia</w:t>
      </w:r>
      <w:proofErr w:type="spellEnd"/>
      <w:r w:rsidRPr="009B4AA2">
        <w:rPr>
          <w:rFonts w:ascii="Arial" w:hAnsi="Arial" w:cs="Arial"/>
          <w:sz w:val="22"/>
          <w:szCs w:val="22"/>
        </w:rPr>
        <w:t>, 67, pp. 1123–1137. Available at: https://doi.org/10.1007/s00125-024-06107-6</w:t>
      </w:r>
    </w:p>
    <w:p w14:paraId="1D6D10F5" w14:textId="77777777" w:rsidR="00AC6072" w:rsidRPr="009B4AA2" w:rsidRDefault="00AC6072" w:rsidP="009B4AA2">
      <w:pPr>
        <w:spacing w:after="120" w:line="360" w:lineRule="auto"/>
        <w:ind w:left="450" w:hanging="540"/>
        <w:jc w:val="both"/>
        <w:rPr>
          <w:rFonts w:ascii="Arial" w:hAnsi="Arial" w:cs="Arial"/>
          <w:sz w:val="22"/>
          <w:szCs w:val="22"/>
        </w:rPr>
      </w:pPr>
      <w:proofErr w:type="spellStart"/>
      <w:r w:rsidRPr="009B4AA2">
        <w:rPr>
          <w:rFonts w:ascii="Arial" w:hAnsi="Arial" w:cs="Arial"/>
          <w:sz w:val="22"/>
          <w:szCs w:val="22"/>
        </w:rPr>
        <w:t>Magkos</w:t>
      </w:r>
      <w:proofErr w:type="spellEnd"/>
      <w:r w:rsidRPr="009B4AA2">
        <w:rPr>
          <w:rFonts w:ascii="Arial" w:hAnsi="Arial" w:cs="Arial"/>
          <w:sz w:val="22"/>
          <w:szCs w:val="22"/>
        </w:rPr>
        <w:t xml:space="preserve">, F., Hjorth, M.F. and Astrup, A. (2020) ‘Diet and exercise in the prevention and treatment of type 2 diabetes mellitus’, </w:t>
      </w:r>
      <w:r w:rsidRPr="009B4AA2">
        <w:rPr>
          <w:rFonts w:ascii="Arial" w:hAnsi="Arial" w:cs="Arial"/>
          <w:i/>
          <w:iCs/>
          <w:sz w:val="22"/>
          <w:szCs w:val="22"/>
        </w:rPr>
        <w:t>Nature Reviews Endocrinology</w:t>
      </w:r>
      <w:r w:rsidRPr="009B4AA2">
        <w:rPr>
          <w:rFonts w:ascii="Arial" w:hAnsi="Arial" w:cs="Arial"/>
          <w:sz w:val="22"/>
          <w:szCs w:val="22"/>
        </w:rPr>
        <w:t>, 16, pp. 545–555. Available at: https://doi.org/10.1038/s41574-020-0381-5</w:t>
      </w:r>
    </w:p>
    <w:p w14:paraId="7C303FDF"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Oser, T.K. </w:t>
      </w:r>
      <w:r w:rsidRPr="009B4AA2">
        <w:rPr>
          <w:rFonts w:ascii="Arial" w:hAnsi="Arial" w:cs="Arial"/>
          <w:i/>
          <w:iCs/>
          <w:sz w:val="22"/>
          <w:szCs w:val="22"/>
        </w:rPr>
        <w:t>et al.</w:t>
      </w:r>
      <w:r w:rsidRPr="009B4AA2">
        <w:rPr>
          <w:rFonts w:ascii="Arial" w:hAnsi="Arial" w:cs="Arial"/>
          <w:sz w:val="22"/>
          <w:szCs w:val="22"/>
        </w:rPr>
        <w:t xml:space="preserve"> (2026) ‘Continuous glucose monitoring in non–insulin-treated type 2 diabetes’, </w:t>
      </w:r>
      <w:r w:rsidRPr="009B4AA2">
        <w:rPr>
          <w:rFonts w:ascii="Arial" w:hAnsi="Arial" w:cs="Arial"/>
          <w:i/>
          <w:iCs/>
          <w:sz w:val="22"/>
          <w:szCs w:val="22"/>
        </w:rPr>
        <w:t>New England Journal of Medicine</w:t>
      </w:r>
      <w:r w:rsidRPr="009B4AA2">
        <w:rPr>
          <w:rFonts w:ascii="Arial" w:hAnsi="Arial" w:cs="Arial"/>
          <w:sz w:val="22"/>
          <w:szCs w:val="22"/>
        </w:rPr>
        <w:t>. Available at: https://doi.org/10.1056/NEJMoa2608571</w:t>
      </w:r>
    </w:p>
    <w:p w14:paraId="620F490B"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lastRenderedPageBreak/>
        <w:t>Pallavi, A. and Gandasi, N.R. (</w:t>
      </w:r>
      <w:proofErr w:type="gramStart"/>
      <w:r w:rsidRPr="009B4AA2">
        <w:rPr>
          <w:rFonts w:ascii="Arial" w:hAnsi="Arial" w:cs="Arial"/>
          <w:sz w:val="22"/>
          <w:szCs w:val="22"/>
        </w:rPr>
        <w:t>2025) ‘</w:t>
      </w:r>
      <w:proofErr w:type="gramEnd"/>
      <w:r w:rsidRPr="009B4AA2">
        <w:rPr>
          <w:rFonts w:ascii="Arial" w:hAnsi="Arial" w:cs="Arial"/>
          <w:sz w:val="22"/>
          <w:szCs w:val="22"/>
        </w:rPr>
        <w:t xml:space="preserve">Birth of a microdomain: can glucose act as a metabolic switch?’, </w:t>
      </w:r>
      <w:r w:rsidRPr="009B4AA2">
        <w:rPr>
          <w:rFonts w:ascii="Arial" w:hAnsi="Arial" w:cs="Arial"/>
          <w:i/>
          <w:iCs/>
          <w:sz w:val="22"/>
          <w:szCs w:val="22"/>
        </w:rPr>
        <w:t>DNA and Cell Biology</w:t>
      </w:r>
      <w:r w:rsidRPr="009B4AA2">
        <w:rPr>
          <w:rFonts w:ascii="Arial" w:hAnsi="Arial" w:cs="Arial"/>
          <w:sz w:val="22"/>
          <w:szCs w:val="22"/>
        </w:rPr>
        <w:t>. Available at: https://doi.org/10.1177/10445498251391706</w:t>
      </w:r>
    </w:p>
    <w:p w14:paraId="7F720EB9"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Peng, G. </w:t>
      </w:r>
      <w:r w:rsidRPr="009B4AA2">
        <w:rPr>
          <w:rFonts w:ascii="Arial" w:hAnsi="Arial" w:cs="Arial"/>
          <w:i/>
          <w:iCs/>
          <w:sz w:val="22"/>
          <w:szCs w:val="22"/>
        </w:rPr>
        <w:t>et al.</w:t>
      </w:r>
      <w:r w:rsidRPr="009B4AA2">
        <w:rPr>
          <w:rFonts w:ascii="Arial" w:hAnsi="Arial" w:cs="Arial"/>
          <w:sz w:val="22"/>
          <w:szCs w:val="22"/>
        </w:rPr>
        <w:t xml:space="preserve"> (2024) ‘Type 2 diabetes mellitus in adults: pathogenesis, prevention and therapy’, </w:t>
      </w:r>
      <w:r w:rsidRPr="009B4AA2">
        <w:rPr>
          <w:rFonts w:ascii="Arial" w:hAnsi="Arial" w:cs="Arial"/>
          <w:i/>
          <w:iCs/>
          <w:sz w:val="22"/>
          <w:szCs w:val="22"/>
        </w:rPr>
        <w:t>Signal Transduction and Targeted Therapy</w:t>
      </w:r>
      <w:r w:rsidRPr="009B4AA2">
        <w:rPr>
          <w:rFonts w:ascii="Arial" w:hAnsi="Arial" w:cs="Arial"/>
          <w:sz w:val="22"/>
          <w:szCs w:val="22"/>
        </w:rPr>
        <w:t>, 9, article 262. Available at: https://doi.org/10.1038/s41392-024-01951-9</w:t>
      </w:r>
    </w:p>
    <w:p w14:paraId="55ABC658"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Singh, A. </w:t>
      </w:r>
      <w:r w:rsidRPr="009B4AA2">
        <w:rPr>
          <w:rFonts w:ascii="Arial" w:hAnsi="Arial" w:cs="Arial"/>
          <w:i/>
          <w:iCs/>
          <w:sz w:val="22"/>
          <w:szCs w:val="22"/>
        </w:rPr>
        <w:t>et al.</w:t>
      </w:r>
      <w:r w:rsidRPr="009B4AA2">
        <w:rPr>
          <w:rFonts w:ascii="Arial" w:hAnsi="Arial" w:cs="Arial"/>
          <w:sz w:val="22"/>
          <w:szCs w:val="22"/>
        </w:rPr>
        <w:t xml:space="preserve"> (</w:t>
      </w:r>
      <w:proofErr w:type="gramStart"/>
      <w:r w:rsidRPr="009B4AA2">
        <w:rPr>
          <w:rFonts w:ascii="Arial" w:hAnsi="Arial" w:cs="Arial"/>
          <w:sz w:val="22"/>
          <w:szCs w:val="22"/>
        </w:rPr>
        <w:t>2025) ‘</w:t>
      </w:r>
      <w:proofErr w:type="gramEnd"/>
      <w:r w:rsidRPr="009B4AA2">
        <w:rPr>
          <w:rFonts w:ascii="Arial" w:hAnsi="Arial" w:cs="Arial"/>
          <w:sz w:val="22"/>
          <w:szCs w:val="22"/>
        </w:rPr>
        <w:t xml:space="preserve">Type 2 diabetes mellitus: a comprehensive review of pathophysiology, comorbidities, and emerging therapies’, </w:t>
      </w:r>
      <w:r w:rsidRPr="009B4AA2">
        <w:rPr>
          <w:rFonts w:ascii="Arial" w:hAnsi="Arial" w:cs="Arial"/>
          <w:i/>
          <w:iCs/>
          <w:sz w:val="22"/>
          <w:szCs w:val="22"/>
        </w:rPr>
        <w:t>Comprehensive Physiology</w:t>
      </w:r>
      <w:r w:rsidRPr="009B4AA2">
        <w:rPr>
          <w:rFonts w:ascii="Arial" w:hAnsi="Arial" w:cs="Arial"/>
          <w:sz w:val="22"/>
          <w:szCs w:val="22"/>
        </w:rPr>
        <w:t>, 15(1). Available at: https://doi.org/10.1002/cph4.70003</w:t>
      </w:r>
    </w:p>
    <w:p w14:paraId="39E4F09E"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Suomalainen, A. (2024) ‘Mitochondria at the crossroads of health and disease’, </w:t>
      </w:r>
      <w:r w:rsidRPr="009B4AA2">
        <w:rPr>
          <w:rFonts w:ascii="Arial" w:hAnsi="Arial" w:cs="Arial"/>
          <w:i/>
          <w:iCs/>
          <w:sz w:val="22"/>
          <w:szCs w:val="22"/>
        </w:rPr>
        <w:t>Cell</w:t>
      </w:r>
      <w:r w:rsidRPr="009B4AA2">
        <w:rPr>
          <w:rFonts w:ascii="Arial" w:hAnsi="Arial" w:cs="Arial"/>
          <w:sz w:val="22"/>
          <w:szCs w:val="22"/>
        </w:rPr>
        <w:t>, 187(11), pp. 2601–2627. Available at: https://doi.org/10.1016/j.cell.2024.04.023</w:t>
      </w:r>
    </w:p>
    <w:p w14:paraId="1EEF9E4A" w14:textId="77777777" w:rsidR="00AC6072" w:rsidRPr="009B4AA2" w:rsidRDefault="00AC6072" w:rsidP="009B4AA2">
      <w:pPr>
        <w:spacing w:after="120" w:line="360" w:lineRule="auto"/>
        <w:ind w:left="450" w:hanging="540"/>
        <w:jc w:val="both"/>
        <w:rPr>
          <w:rFonts w:ascii="Arial" w:hAnsi="Arial" w:cs="Arial"/>
          <w:sz w:val="22"/>
          <w:szCs w:val="22"/>
        </w:rPr>
      </w:pPr>
      <w:r w:rsidRPr="009B4AA2">
        <w:rPr>
          <w:rFonts w:ascii="Arial" w:hAnsi="Arial" w:cs="Arial"/>
          <w:sz w:val="22"/>
          <w:szCs w:val="22"/>
        </w:rPr>
        <w:t xml:space="preserve">van Noorden, C.J.F. </w:t>
      </w:r>
      <w:r w:rsidRPr="009B4AA2">
        <w:rPr>
          <w:rFonts w:ascii="Arial" w:hAnsi="Arial" w:cs="Arial"/>
          <w:i/>
          <w:iCs/>
          <w:sz w:val="22"/>
          <w:szCs w:val="22"/>
        </w:rPr>
        <w:t>et al.</w:t>
      </w:r>
      <w:r w:rsidRPr="009B4AA2">
        <w:rPr>
          <w:rFonts w:ascii="Arial" w:hAnsi="Arial" w:cs="Arial"/>
          <w:sz w:val="22"/>
          <w:szCs w:val="22"/>
        </w:rPr>
        <w:t xml:space="preserve"> (2024) ‘New insights in ATP synthesis as therapeutic target in cancer and angiogenic ocular diseases’, </w:t>
      </w:r>
      <w:r w:rsidRPr="009B4AA2">
        <w:rPr>
          <w:rFonts w:ascii="Arial" w:hAnsi="Arial" w:cs="Arial"/>
          <w:i/>
          <w:iCs/>
          <w:sz w:val="22"/>
          <w:szCs w:val="22"/>
        </w:rPr>
        <w:t>Journal of Histochemistry &amp; Cytochemistry</w:t>
      </w:r>
      <w:r w:rsidRPr="009B4AA2">
        <w:rPr>
          <w:rFonts w:ascii="Arial" w:hAnsi="Arial" w:cs="Arial"/>
          <w:sz w:val="22"/>
          <w:szCs w:val="22"/>
        </w:rPr>
        <w:t>, 72(6), pp. 349–371. Available at: https://doi.org/10.1369/00221554241249515</w:t>
      </w:r>
    </w:p>
    <w:p w14:paraId="633F734B" w14:textId="77777777" w:rsidR="00AC6072" w:rsidRPr="009B4AA2" w:rsidRDefault="00AC6072" w:rsidP="009B4AA2">
      <w:pPr>
        <w:spacing w:line="360" w:lineRule="auto"/>
        <w:ind w:left="450" w:hanging="540"/>
        <w:jc w:val="both"/>
        <w:rPr>
          <w:rFonts w:ascii="Arial" w:hAnsi="Arial" w:cs="Arial"/>
          <w:sz w:val="22"/>
          <w:szCs w:val="22"/>
        </w:rPr>
      </w:pPr>
    </w:p>
    <w:sectPr w:rsidR="00AC6072" w:rsidRPr="009B4A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919A7"/>
    <w:multiLevelType w:val="hybridMultilevel"/>
    <w:tmpl w:val="F76C86A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9747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544"/>
    <w:rsid w:val="0010718A"/>
    <w:rsid w:val="00177D46"/>
    <w:rsid w:val="00272E9E"/>
    <w:rsid w:val="0027681B"/>
    <w:rsid w:val="00276C68"/>
    <w:rsid w:val="00327994"/>
    <w:rsid w:val="00424719"/>
    <w:rsid w:val="00446544"/>
    <w:rsid w:val="0061146C"/>
    <w:rsid w:val="007A6569"/>
    <w:rsid w:val="008B0C94"/>
    <w:rsid w:val="009B4AA2"/>
    <w:rsid w:val="00A06B8C"/>
    <w:rsid w:val="00AC489A"/>
    <w:rsid w:val="00AC6072"/>
    <w:rsid w:val="00B43495"/>
    <w:rsid w:val="00C644BE"/>
    <w:rsid w:val="00D55C53"/>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13916"/>
  <w15:chartTrackingRefBased/>
  <w15:docId w15:val="{C26AAE16-2153-4862-9538-8477AFDF1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4465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65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6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4465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65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65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5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5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544"/>
    <w:rPr>
      <w:rFonts w:eastAsiaTheme="majorEastAsia" w:cstheme="majorBidi"/>
      <w:color w:val="272727" w:themeColor="text1" w:themeTint="D8"/>
    </w:rPr>
  </w:style>
  <w:style w:type="paragraph" w:styleId="Title">
    <w:name w:val="Title"/>
    <w:basedOn w:val="Normal"/>
    <w:next w:val="Normal"/>
    <w:link w:val="TitleChar"/>
    <w:uiPriority w:val="10"/>
    <w:qFormat/>
    <w:rsid w:val="00446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5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5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544"/>
    <w:pPr>
      <w:spacing w:before="160"/>
      <w:jc w:val="center"/>
    </w:pPr>
    <w:rPr>
      <w:i/>
      <w:iCs/>
      <w:color w:val="404040" w:themeColor="text1" w:themeTint="BF"/>
    </w:rPr>
  </w:style>
  <w:style w:type="character" w:customStyle="1" w:styleId="QuoteChar">
    <w:name w:val="Quote Char"/>
    <w:basedOn w:val="DefaultParagraphFont"/>
    <w:link w:val="Quote"/>
    <w:uiPriority w:val="29"/>
    <w:rsid w:val="00446544"/>
    <w:rPr>
      <w:i/>
      <w:iCs/>
      <w:color w:val="404040" w:themeColor="text1" w:themeTint="BF"/>
    </w:rPr>
  </w:style>
  <w:style w:type="paragraph" w:styleId="ListParagraph">
    <w:name w:val="List Paragraph"/>
    <w:basedOn w:val="Normal"/>
    <w:uiPriority w:val="34"/>
    <w:qFormat/>
    <w:rsid w:val="00446544"/>
    <w:pPr>
      <w:ind w:left="720"/>
      <w:contextualSpacing/>
    </w:pPr>
  </w:style>
  <w:style w:type="character" w:styleId="IntenseEmphasis">
    <w:name w:val="Intense Emphasis"/>
    <w:basedOn w:val="DefaultParagraphFont"/>
    <w:uiPriority w:val="21"/>
    <w:qFormat/>
    <w:rsid w:val="00446544"/>
    <w:rPr>
      <w:i/>
      <w:iCs/>
      <w:color w:val="2F5496" w:themeColor="accent1" w:themeShade="BF"/>
    </w:rPr>
  </w:style>
  <w:style w:type="paragraph" w:styleId="IntenseQuote">
    <w:name w:val="Intense Quote"/>
    <w:basedOn w:val="Normal"/>
    <w:next w:val="Normal"/>
    <w:link w:val="IntenseQuoteChar"/>
    <w:uiPriority w:val="30"/>
    <w:qFormat/>
    <w:rsid w:val="004465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6544"/>
    <w:rPr>
      <w:i/>
      <w:iCs/>
      <w:color w:val="2F5496" w:themeColor="accent1" w:themeShade="BF"/>
    </w:rPr>
  </w:style>
  <w:style w:type="character" w:styleId="IntenseReference">
    <w:name w:val="Intense Reference"/>
    <w:basedOn w:val="DefaultParagraphFont"/>
    <w:uiPriority w:val="32"/>
    <w:qFormat/>
    <w:rsid w:val="0044654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Sabia Alam (2507875)</cp:lastModifiedBy>
  <cp:revision>5</cp:revision>
  <dcterms:created xsi:type="dcterms:W3CDTF">2026-10-15T18:13:00Z</dcterms:created>
  <dcterms:modified xsi:type="dcterms:W3CDTF">2026-10-17T15:04:00Z</dcterms:modified>
</cp:coreProperties>
</file>