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ettings.xml" ContentType="application/vnd.openxmlformats-officedocument.wordprocessingml.settings+xml"/>
  <Override PartName="/word/websettings.xml" ContentType="application/vnd.openxmlformats-officedocument.wordprocessingml.webSettings+xml"/>
  <Override PartName="/customxml/itemprops1.xml" ContentType="application/vnd.openxmlformats-officedocument.customXmlProperties+xml"/>
  <Override PartName="/word/styles.xml" ContentType="application/vnd.openxmlformats-officedocument.wordprocessingml.styles+xml"/>
  <Override PartName="/word/endnotes.xml" ContentType="application/vnd.openxmlformats-officedocument.wordprocessingml.endnotes+xml"/>
  <Override PartName="/word/footnotes.xml" ContentType="application/vnd.openxmlformats-officedocument.wordprocessingml.foot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body>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6"/>
          <w:szCs w:val="36"/>
          <w:lang w:val="en-GB"/>
        </w:rPr>
      </w:pPr>
      <w:r>
        <w:rPr>
          <w:rFonts w:ascii="Times New Roman" w:cs="Times New Roman" w:eastAsia="Times New Roman" w:hAnsi="Times New Roman"/>
          <w:b/>
          <w:sz w:val="36"/>
          <w:szCs w:val="36"/>
          <w:lang w:val="en-GB"/>
        </w:rPr>
        <w:t>ASSESSMENT 1: ENVIRONMENTAL ANALYSIS OF AUTOMOBILE INDUSTRY</w:t>
      </w: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val="off"/>
          <w:bCs w:val="off"/>
          <w:sz w:val="36"/>
          <w:szCs w:val="36"/>
          <w:lang w:val="en-GB"/>
        </w:rPr>
      </w:pPr>
      <w:r>
        <w:rPr>
          <w:rFonts w:ascii="Times New Roman" w:cs="Times New Roman" w:eastAsia="Times New Roman" w:hAnsi="Times New Roman"/>
          <w:b w:val="off"/>
          <w:bCs w:val="off"/>
          <w:sz w:val="36"/>
          <w:szCs w:val="36"/>
          <w:lang w:val="en-GB"/>
        </w:rPr>
        <w:t>Module: The Global Business Environment</w:t>
      </w:r>
    </w:p>
    <w:p>
      <w:pPr>
        <w:spacing w:line="360" w:lineRule="auto"/>
        <w:jc w:val="center"/>
        <w:rPr>
          <w:rFonts w:ascii="Times New Roman" w:cs="Times New Roman" w:eastAsia="Times New Roman" w:hAnsi="Times New Roman"/>
          <w:b w:val="off"/>
          <w:bCs w:val="off"/>
          <w:sz w:val="36"/>
          <w:szCs w:val="36"/>
          <w:lang w:val="en-GB"/>
        </w:rPr>
      </w:pPr>
      <w:r>
        <w:rPr>
          <w:rFonts w:ascii="Times New Roman" w:cs="Times New Roman" w:eastAsia="Times New Roman" w:hAnsi="Times New Roman"/>
          <w:b w:val="off"/>
          <w:bCs w:val="off"/>
          <w:sz w:val="36"/>
          <w:szCs w:val="36"/>
          <w:lang w:val="en-GB"/>
        </w:rPr>
        <w:t>Module number: LCBB4005</w:t>
      </w:r>
    </w:p>
    <w:p>
      <w:pPr>
        <w:spacing w:line="360" w:lineRule="auto"/>
        <w:jc w:val="center"/>
        <w:rPr>
          <w:rFonts w:ascii="Times New Roman" w:cs="Times New Roman" w:eastAsia="Times New Roman" w:hAnsi="Times New Roman"/>
          <w:b/>
          <w:sz w:val="32"/>
          <w:szCs w:val="32"/>
          <w:lang w:val="en-GB"/>
        </w:rPr>
      </w:pPr>
      <w:r>
        <w:rPr>
          <w:rFonts w:ascii="Times New Roman" w:cs="Times New Roman" w:eastAsia="Times New Roman" w:hAnsi="Times New Roman"/>
          <w:b w:val="off"/>
          <w:bCs w:val="off"/>
          <w:sz w:val="36"/>
          <w:szCs w:val="36"/>
          <w:lang w:val="en-GB"/>
        </w:rPr>
        <w:t>Lecture’s</w:t>
      </w:r>
      <w:r>
        <w:rPr>
          <w:rFonts w:ascii="Times New Roman" w:cs="Times New Roman" w:eastAsia="Times New Roman" w:hAnsi="Times New Roman"/>
          <w:b w:val="off"/>
          <w:bCs w:val="off"/>
          <w:sz w:val="36"/>
          <w:szCs w:val="36"/>
          <w:lang w:val="en-GB"/>
        </w:rPr>
        <w:t xml:space="preserve"> name: Dr Nadeem Mirza</w:t>
      </w:r>
      <w:r>
        <w:rPr>
          <w:rFonts w:ascii="Times New Roman" w:cs="Times New Roman" w:eastAsia="Times New Roman" w:hAnsi="Times New Roman"/>
          <w:b/>
          <w:sz w:val="32"/>
          <w:szCs w:val="32"/>
          <w:lang w:val="en-GB"/>
        </w:rPr>
        <w:t xml:space="preserve"> </w:t>
      </w: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p>
    <w:p>
      <w:pPr>
        <w:rPr>
          <w:rFonts w:ascii="Times New Roman" w:cs="Times New Roman" w:eastAsia="Times New Roman" w:hAnsi="Times New Roman"/>
          <w:b/>
          <w:sz w:val="32"/>
          <w:szCs w:val="32"/>
          <w:lang w:val="en-GB"/>
        </w:rPr>
      </w:pPr>
      <w:r>
        <w:rPr>
          <w:rFonts w:ascii="Times New Roman" w:cs="Times New Roman" w:eastAsia="Times New Roman" w:hAnsi="Times New Roman"/>
          <w:b/>
          <w:sz w:val="32"/>
          <w:szCs w:val="32"/>
          <w:lang w:val="en-GB"/>
        </w:rPr>
        <w:br w:type="page"/>
      </w:r>
    </w:p>
    <w:p>
      <w:pPr>
        <w:spacing w:line="360" w:lineRule="auto"/>
        <w:jc w:val="center"/>
        <w:rPr>
          <w:rFonts w:ascii="Times New Roman" w:cs="Times New Roman" w:eastAsia="Times New Roman" w:hAnsi="Times New Roman"/>
          <w:b/>
          <w:sz w:val="28"/>
          <w:szCs w:val="28"/>
          <w:lang w:val="en-GB"/>
        </w:rPr>
      </w:pPr>
      <w:r>
        <w:rPr>
          <w:rFonts w:ascii="Times New Roman" w:cs="Times New Roman" w:eastAsia="Times New Roman" w:hAnsi="Times New Roman"/>
          <w:b/>
          <w:sz w:val="28"/>
          <w:szCs w:val="28"/>
          <w:lang w:val="en-GB"/>
        </w:rPr>
        <w:t xml:space="preserve">Executive summary </w:t>
      </w:r>
    </w:p>
    <w:p>
      <w:pPr>
        <w:spacing w:line="360" w:lineRule="auto"/>
        <w:jc w:val="both"/>
        <w:rPr>
          <w:rFonts w:ascii="Times New Roman" w:cs="Times New Roman" w:eastAsia="Times New Roman" w:hAnsi="Times New Roman"/>
          <w:bCs/>
          <w:sz w:val="24"/>
          <w:szCs w:val="24"/>
          <w:lang w:val="en-GB"/>
        </w:rPr>
      </w:pPr>
      <w:r>
        <w:rPr>
          <w:rFonts w:ascii="Times New Roman" w:cs="Times New Roman" w:eastAsia="Times New Roman" w:hAnsi="Times New Roman"/>
          <w:bCs/>
          <w:sz w:val="24"/>
          <w:szCs w:val="24"/>
          <w:lang w:val="en-GB"/>
        </w:rPr>
        <w:t xml:space="preserve">In this report, the chosen automobile brand is Aston Martin that is based on the UK but it has expanded its business in the international market too. Besides, internal and external business environment have thoroughly been analysed and the challenges that can be encountered by the chosen brand, Aston Martin while trading across the globe, have also been reflected in this study. Additionally, several external and internal business analytical model have been addressed and analysed along with the competitive </w:t>
      </w:r>
      <w:r>
        <w:rPr>
          <w:rFonts w:ascii="Times New Roman" w:cs="Times New Roman" w:eastAsia="Times New Roman" w:hAnsi="Times New Roman"/>
          <w:bCs/>
          <w:sz w:val="24"/>
          <w:szCs w:val="24"/>
          <w:lang w:val="en-GB"/>
        </w:rPr>
        <w:t>advantages</w:t>
      </w:r>
      <w:r>
        <w:rPr>
          <w:rFonts w:ascii="Times New Roman" w:cs="Times New Roman" w:eastAsia="Times New Roman" w:hAnsi="Times New Roman"/>
          <w:bCs/>
          <w:sz w:val="24"/>
          <w:szCs w:val="24"/>
          <w:lang w:val="en-GB"/>
        </w:rPr>
        <w:t xml:space="preserve"> based on the </w:t>
      </w:r>
      <w:r>
        <w:rPr>
          <w:rFonts w:ascii="Times New Roman" w:cs="Times New Roman" w:eastAsia="Times New Roman" w:hAnsi="Times New Roman"/>
          <w:bCs/>
          <w:sz w:val="24"/>
          <w:szCs w:val="24"/>
          <w:lang w:val="en-GB"/>
        </w:rPr>
        <w:t>core</w:t>
      </w:r>
      <w:r>
        <w:rPr>
          <w:rFonts w:ascii="Times New Roman" w:cs="Times New Roman" w:eastAsia="Times New Roman" w:hAnsi="Times New Roman"/>
          <w:bCs/>
          <w:sz w:val="24"/>
          <w:szCs w:val="24"/>
          <w:lang w:val="en-GB"/>
        </w:rPr>
        <w:t xml:space="preserve"> values and </w:t>
      </w:r>
      <w:r>
        <w:rPr>
          <w:rFonts w:ascii="Times New Roman" w:cs="Times New Roman" w:eastAsia="Times New Roman" w:hAnsi="Times New Roman"/>
          <w:bCs/>
          <w:sz w:val="24"/>
          <w:szCs w:val="24"/>
          <w:lang w:val="en-GB"/>
        </w:rPr>
        <w:t>sustainability</w:t>
      </w:r>
      <w:r>
        <w:rPr>
          <w:rFonts w:ascii="Times New Roman" w:cs="Times New Roman" w:eastAsia="Times New Roman" w:hAnsi="Times New Roman"/>
          <w:bCs/>
          <w:sz w:val="24"/>
          <w:szCs w:val="24"/>
          <w:lang w:val="en-GB"/>
        </w:rPr>
        <w:t xml:space="preserve"> </w:t>
      </w:r>
      <w:r>
        <w:rPr>
          <w:rFonts w:ascii="Times New Roman" w:cs="Times New Roman" w:eastAsia="Times New Roman" w:hAnsi="Times New Roman"/>
          <w:bCs/>
          <w:sz w:val="24"/>
          <w:szCs w:val="24"/>
          <w:lang w:val="en-GB"/>
        </w:rPr>
        <w:t>related</w:t>
      </w:r>
      <w:r>
        <w:rPr>
          <w:rFonts w:ascii="Times New Roman" w:cs="Times New Roman" w:eastAsia="Times New Roman" w:hAnsi="Times New Roman"/>
          <w:bCs/>
          <w:sz w:val="24"/>
          <w:szCs w:val="24"/>
          <w:lang w:val="en-GB"/>
        </w:rPr>
        <w:t xml:space="preserve"> to this brand has also been interpreted over here. </w:t>
      </w:r>
    </w:p>
    <w:p>
      <w:pPr>
        <w:rPr>
          <w:rFonts w:ascii="Times New Roman" w:cs="Times New Roman" w:eastAsia="Times New Roman" w:hAnsi="Times New Roman"/>
          <w:b/>
          <w:sz w:val="32"/>
          <w:szCs w:val="32"/>
          <w:lang w:val="en-GB"/>
        </w:rPr>
      </w:pPr>
      <w:r>
        <w:rPr>
          <w:rFonts w:ascii="Times New Roman" w:cs="Times New Roman" w:eastAsia="Times New Roman" w:hAnsi="Times New Roman"/>
          <w:b/>
          <w:sz w:val="32"/>
          <w:szCs w:val="32"/>
          <w:lang w:val="en-GB"/>
        </w:rPr>
        <w:br w:type="page"/>
      </w:r>
    </w:p>
    <w:p>
      <w:pPr>
        <w:pStyle w:val="TOCHeading"/>
        <w:spacing w:line="360" w:lineRule="auto"/>
        <w:jc w:val="center"/>
        <w:rPr>
          <w:rFonts w:ascii="Times New Roman" w:cs="Times New Roman" w:hAnsi="Times New Roman"/>
          <w:b/>
          <w:bCs/>
          <w:color w:val="auto"/>
          <w:sz w:val="28"/>
          <w:szCs w:val="28"/>
        </w:rPr>
      </w:pPr>
      <w:r>
        <w:rPr>
          <w:rFonts w:ascii="Times New Roman" w:cs="Times New Roman" w:hAnsi="Times New Roman"/>
          <w:b/>
          <w:bCs/>
          <w:color w:val="auto"/>
          <w:sz w:val="28"/>
          <w:szCs w:val="28"/>
        </w:rPr>
        <w:t>Table of Contents</w:t>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 TOC \o "1-3" \h \z \u </w:instrText>
      </w:r>
      <w:r>
        <w:fldChar w:fldCharType="separate"/>
      </w:r>
      <w:r>
        <w:fldChar w:fldCharType="begin"/>
      </w:r>
      <w:r>
        <w:instrText xml:space="preserve">HYPERLINK \l "_Toc91004919" </w:instrText>
      </w:r>
      <w:r>
        <w:fldChar w:fldCharType="separate"/>
      </w:r>
      <w:r>
        <w:rPr>
          <w:rStyle w:val="Hyperlink"/>
          <w:rFonts w:ascii="Times New Roman" w:cs="Times New Roman" w:hAnsi="Times New Roman"/>
          <w:sz w:val="24"/>
          <w:szCs w:val="24"/>
        </w:rPr>
        <w:t>Introduction</w:t>
      </w:r>
      <w:r>
        <w:rPr>
          <w:rFonts w:ascii="Times New Roman" w:cs="Times New Roman" w:hAnsi="Times New Roman"/>
          <w:sz w:val="24"/>
          <w:szCs w:val="24"/>
        </w:rPr>
        <w:tab/>
      </w:r>
      <w:r>
        <w:fldChar w:fldCharType="begin"/>
      </w:r>
      <w:r>
        <w:instrText xml:space="preserve"> PAGEREF _Toc91004919 \h </w:instrText>
      </w:r>
      <w:r>
        <w:fldChar w:fldCharType="separate"/>
      </w:r>
      <w:r>
        <w:rPr>
          <w:rFonts w:ascii="Times New Roman" w:cs="Times New Roman" w:hAnsi="Times New Roman"/>
          <w:sz w:val="24"/>
          <w:szCs w:val="24"/>
        </w:rPr>
        <w:t>3</w:t>
      </w:r>
      <w:r>
        <w:fldChar w:fldCharType="end"/>
      </w:r>
      <w:r>
        <w:fldChar w:fldCharType="end"/>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"_Toc91004920" </w:instrText>
      </w:r>
      <w:r>
        <w:fldChar w:fldCharType="separate"/>
      </w:r>
      <w:r>
        <w:rPr>
          <w:rStyle w:val="Hyperlink"/>
          <w:rFonts w:ascii="Times New Roman" w:cs="Times New Roman" w:hAnsi="Times New Roman"/>
          <w:sz w:val="24"/>
          <w:szCs w:val="24"/>
        </w:rPr>
        <w:t>Overview of the brand</w:t>
      </w:r>
      <w:r>
        <w:rPr>
          <w:rFonts w:ascii="Times New Roman" w:cs="Times New Roman" w:hAnsi="Times New Roman"/>
          <w:sz w:val="24"/>
          <w:szCs w:val="24"/>
        </w:rPr>
        <w:tab/>
      </w:r>
      <w:r>
        <w:fldChar w:fldCharType="begin"/>
      </w:r>
      <w:r>
        <w:instrText xml:space="preserve"> PAGEREF _Toc91004920 \h </w:instrText>
      </w:r>
      <w:r>
        <w:fldChar w:fldCharType="separate"/>
      </w:r>
      <w:r>
        <w:rPr>
          <w:rFonts w:ascii="Times New Roman" w:cs="Times New Roman" w:hAnsi="Times New Roman"/>
          <w:sz w:val="24"/>
          <w:szCs w:val="24"/>
        </w:rPr>
        <w:t>3</w:t>
      </w:r>
      <w:r>
        <w:fldChar w:fldCharType="end"/>
      </w:r>
      <w:r>
        <w:fldChar w:fldCharType="end"/>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"_Toc91004921" </w:instrText>
      </w:r>
      <w:r>
        <w:fldChar w:fldCharType="separate"/>
      </w:r>
      <w:r>
        <w:rPr>
          <w:rStyle w:val="Hyperlink"/>
          <w:rFonts w:ascii="Times New Roman" w:cs="Times New Roman" w:hAnsi="Times New Roman"/>
          <w:sz w:val="24"/>
          <w:szCs w:val="24"/>
        </w:rPr>
        <w:t>Critical evaluation regarding the challenges of external and internal business environments</w:t>
      </w:r>
      <w:r>
        <w:rPr>
          <w:rFonts w:ascii="Times New Roman" w:cs="Times New Roman" w:hAnsi="Times New Roman"/>
          <w:sz w:val="24"/>
          <w:szCs w:val="24"/>
        </w:rPr>
        <w:tab/>
      </w:r>
      <w:r>
        <w:fldChar w:fldCharType="begin"/>
      </w:r>
      <w:r>
        <w:instrText xml:space="preserve"> PAGEREF _Toc91004921 \h </w:instrText>
      </w:r>
      <w:r>
        <w:fldChar w:fldCharType="separate"/>
      </w:r>
      <w:r>
        <w:rPr>
          <w:rFonts w:ascii="Times New Roman" w:cs="Times New Roman" w:hAnsi="Times New Roman"/>
          <w:sz w:val="24"/>
          <w:szCs w:val="24"/>
        </w:rPr>
        <w:t>3</w:t>
      </w:r>
      <w:r>
        <w:fldChar w:fldCharType="end"/>
      </w:r>
      <w:r>
        <w:fldChar w:fldCharType="end"/>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"_Toc91004922" </w:instrText>
      </w:r>
      <w:r>
        <w:fldChar w:fldCharType="separate"/>
      </w:r>
      <w:r>
        <w:rPr>
          <w:rStyle w:val="Hyperlink"/>
          <w:rFonts w:ascii="Times New Roman" w:cs="Times New Roman" w:hAnsi="Times New Roman"/>
          <w:sz w:val="24"/>
          <w:szCs w:val="24"/>
        </w:rPr>
        <w:t>Reflection on the challenges during trading across the world while the brand is entering into the international market</w:t>
      </w:r>
      <w:r>
        <w:rPr>
          <w:rFonts w:ascii="Times New Roman" w:cs="Times New Roman" w:hAnsi="Times New Roman"/>
          <w:sz w:val="24"/>
          <w:szCs w:val="24"/>
        </w:rPr>
        <w:tab/>
      </w:r>
      <w:r>
        <w:fldChar w:fldCharType="begin"/>
      </w:r>
      <w:r>
        <w:instrText xml:space="preserve"> PAGEREF _Toc91004922 \h </w:instrText>
      </w:r>
      <w:r>
        <w:fldChar w:fldCharType="separate"/>
      </w:r>
      <w:r>
        <w:rPr>
          <w:rFonts w:ascii="Times New Roman" w:cs="Times New Roman" w:hAnsi="Times New Roman"/>
          <w:sz w:val="24"/>
          <w:szCs w:val="24"/>
        </w:rPr>
        <w:t>4</w:t>
      </w:r>
      <w:r>
        <w:fldChar w:fldCharType="end"/>
      </w:r>
      <w:r>
        <w:fldChar w:fldCharType="end"/>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"_Toc91004923" </w:instrText>
      </w:r>
      <w:r>
        <w:fldChar w:fldCharType="separate"/>
      </w:r>
      <w:r>
        <w:rPr>
          <w:rStyle w:val="Hyperlink"/>
          <w:rFonts w:ascii="Times New Roman" w:cs="Times New Roman" w:hAnsi="Times New Roman"/>
          <w:sz w:val="24"/>
          <w:szCs w:val="24"/>
        </w:rPr>
        <w:t>Critical evaluation for addressing PESTEL, SWOT, value chain, competitive advantages, porter's five forces with concern to the 'core values on sustainability.'</w:t>
      </w:r>
      <w:r>
        <w:rPr>
          <w:rFonts w:ascii="Times New Roman" w:cs="Times New Roman" w:hAnsi="Times New Roman"/>
          <w:sz w:val="24"/>
          <w:szCs w:val="24"/>
        </w:rPr>
        <w:tab/>
      </w:r>
      <w:r>
        <w:fldChar w:fldCharType="begin"/>
      </w:r>
      <w:r>
        <w:instrText xml:space="preserve"> PAGEREF _Toc91004923 \h </w:instrText>
      </w:r>
      <w:r>
        <w:fldChar w:fldCharType="separate"/>
      </w:r>
      <w:r>
        <w:rPr>
          <w:rFonts w:ascii="Times New Roman" w:cs="Times New Roman" w:hAnsi="Times New Roman"/>
          <w:sz w:val="24"/>
          <w:szCs w:val="24"/>
        </w:rPr>
        <w:t>5</w:t>
      </w:r>
      <w:r>
        <w:fldChar w:fldCharType="end"/>
      </w:r>
      <w:r>
        <w:fldChar w:fldCharType="end"/>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"_Toc91004924" </w:instrText>
      </w:r>
      <w:r>
        <w:fldChar w:fldCharType="separate"/>
      </w:r>
      <w:r>
        <w:rPr>
          <w:rStyle w:val="Hyperlink"/>
          <w:rFonts w:ascii="Times New Roman" w:cs="Times New Roman" w:hAnsi="Times New Roman"/>
          <w:sz w:val="24"/>
          <w:szCs w:val="24"/>
        </w:rPr>
        <w:t>Conclusion</w:t>
      </w:r>
      <w:r>
        <w:rPr>
          <w:rFonts w:ascii="Times New Roman" w:cs="Times New Roman" w:hAnsi="Times New Roman"/>
          <w:sz w:val="24"/>
          <w:szCs w:val="24"/>
        </w:rPr>
        <w:tab/>
      </w:r>
      <w:r>
        <w:fldChar w:fldCharType="begin"/>
      </w:r>
      <w:r>
        <w:instrText xml:space="preserve"> PAGEREF _Toc91004924 \h </w:instrText>
      </w:r>
      <w:r>
        <w:fldChar w:fldCharType="separate"/>
      </w:r>
      <w:r>
        <w:rPr>
          <w:rFonts w:ascii="Times New Roman" w:cs="Times New Roman" w:hAnsi="Times New Roman"/>
          <w:sz w:val="24"/>
          <w:szCs w:val="24"/>
        </w:rPr>
        <w:t>11</w:t>
      </w:r>
      <w:r>
        <w:fldChar w:fldCharType="end"/>
      </w:r>
      <w:r>
        <w:fldChar w:fldCharType="end"/>
      </w:r>
    </w:p>
    <w:p>
      <w:pPr>
        <w:pStyle w:val="Toc1"/>
        <w:tabs>
          <w:tab w:val="right" w:leader="dot" w:pos="9350"/>
        </w:tabs>
        <w:spacing w:line="360" w:lineRule="auto"/>
        <w:jc w:val="both"/>
        <w:rPr>
          <w:rFonts w:ascii="Times New Roman" w:cs="Times New Roman" w:hAnsi="Times New Roman"/>
          <w:sz w:val="24"/>
          <w:szCs w:val="24"/>
        </w:rPr>
      </w:pPr>
      <w:r>
        <w:fldChar w:fldCharType="begin"/>
      </w:r>
      <w:r>
        <w:instrText xml:space="preserve">HYPERLINK \l "_Toc91004925" </w:instrText>
      </w:r>
      <w:r>
        <w:fldChar w:fldCharType="separate"/>
      </w:r>
      <w:r>
        <w:rPr>
          <w:rStyle w:val="Hyperlink"/>
          <w:rFonts w:ascii="Times New Roman" w:cs="Times New Roman" w:hAnsi="Times New Roman"/>
          <w:sz w:val="24"/>
          <w:szCs w:val="24"/>
        </w:rPr>
        <w:t>Reference list</w:t>
      </w:r>
      <w:r>
        <w:rPr>
          <w:rFonts w:ascii="Times New Roman" w:cs="Times New Roman" w:hAnsi="Times New Roman"/>
          <w:sz w:val="24"/>
          <w:szCs w:val="24"/>
        </w:rPr>
        <w:tab/>
      </w:r>
      <w:r>
        <w:fldChar w:fldCharType="begin"/>
      </w:r>
      <w:r>
        <w:instrText xml:space="preserve"> PAGEREF _Toc91004925 \h </w:instrText>
      </w:r>
      <w:r>
        <w:fldChar w:fldCharType="separate"/>
      </w:r>
      <w:r>
        <w:rPr>
          <w:rFonts w:ascii="Times New Roman" w:cs="Times New Roman" w:hAnsi="Times New Roman"/>
          <w:sz w:val="24"/>
          <w:szCs w:val="24"/>
        </w:rPr>
        <w:t>12</w:t>
      </w:r>
      <w:r>
        <w:fldChar w:fldCharType="end"/>
      </w:r>
      <w:r>
        <w:fldChar w:fldCharType="end"/>
      </w:r>
    </w:p>
    <w:p>
      <w:pPr>
        <w:spacing w:line="360" w:lineRule="auto"/>
        <w:jc w:val="both"/>
        <w:rPr>
          <w:rFonts w:ascii="Times New Roman" w:cs="Times New Roman" w:hAnsi="Times New Roman"/>
          <w:sz w:val="24"/>
          <w:szCs w:val="24"/>
        </w:rPr>
      </w:pPr>
      <w:r>
        <w:fldChar w:fldCharType="end"/>
      </w:r>
    </w:p>
    <w:p>
      <w:pPr>
        <w:spacing w:line="360" w:lineRule="auto"/>
        <w:jc w:val="center"/>
        <w:rPr>
          <w:rFonts w:ascii="Times New Roman" w:cs="Times New Roman" w:eastAsia="Times New Roman" w:hAnsi="Times New Roman"/>
          <w:b/>
          <w:sz w:val="32"/>
          <w:szCs w:val="32"/>
          <w:lang w:val="en-GB"/>
        </w:rPr>
      </w:pPr>
    </w:p>
    <w:p>
      <w:pPr>
        <w:spacing w:line="360" w:lineRule="auto"/>
        <w:jc w:val="center"/>
        <w:rPr>
          <w:rFonts w:ascii="Times New Roman" w:cs="Times New Roman" w:eastAsia="Times New Roman" w:hAnsi="Times New Roman"/>
          <w:b/>
          <w:sz w:val="32"/>
          <w:szCs w:val="32"/>
          <w:lang w:val="en-GB"/>
        </w:rPr>
      </w:pPr>
      <w:r>
        <w:rPr>
          <w:rFonts w:ascii="Times New Roman" w:cs="Times New Roman" w:eastAsia="Times New Roman" w:hAnsi="Times New Roman"/>
          <w:b/>
          <w:sz w:val="32"/>
          <w:szCs w:val="32"/>
          <w:lang w:val="en-GB"/>
        </w:rPr>
        <w:t xml:space="preserve"> </w:t>
      </w:r>
      <w:r>
        <w:rPr>
          <w:lang w:val="en-GB"/>
        </w:rPr>
        <w:br w:type="page"/>
      </w:r>
    </w:p>
    <w:p>
      <w:pPr>
        <w:pStyle w:val="Heading1"/>
        <w:rPr/>
      </w:pPr>
      <w:bookmarkStart w:id="0" w:name="_Toc91004919"/>
      <w:r>
        <w:t>Introduction</w:t>
      </w:r>
      <w:bookmarkEnd w:id="0"/>
      <w:r>
        <w:t xml:space="preserve"> </w:t>
      </w:r>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automobile industry tends to affect the whole environment by compromising the biggest air quality that also produces one-third of the entire air pollution of the UK. Besides, the overall automobile industry can also be greatly impacted through globalisation that is especially associated with the trade of the manufactured goods relating to this industry. This report focuses on external and internal challenges faced by Aston Martin, challenges at the time of trading business around the world and the competitive advantages gained by this brand for achieving the core values and sustainability. </w:t>
      </w:r>
    </w:p>
    <w:p>
      <w:pPr>
        <w:pStyle w:val="Heading1"/>
        <w:rPr/>
      </w:pPr>
      <w:bookmarkStart w:id="1" w:name="_Toc91004920"/>
      <w:r>
        <w:t>Overview of the brand</w:t>
      </w:r>
      <w:bookmarkEnd w:id="1"/>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Aston Martin is itself an exclusive and modern sports car brand with a unique heritage that has instantly been recognised across the world. Besides, it was established in 1913 by Robert Bamford and Lionel Martin, and this renowned brand, Aston Brand, was acknowledged as an iconic international brand that was synonymous with luxury, performance, exclusivity and style, respectively. It is also a British car manufacturer which is related to speed and luxury that is known for the beautiful design where so many people consider the cars that are produced by this brand. Hence, these cars have been recognised as the British icon within the domain of the international automobile brand, where it is regarded as true 'works of art. Aston Martin has made around 80,000 cars, and with the estimated salesforce, this famous brand has now discovered the new or innovative insights that are associated with the behaviours of the customers for the entire growth acceleration. Over 150 employees and 500 staff-dealership of Aston Martin uses the sales cloud for sharing and tracking the information relating to the new customers, leading market and opportunities as a whole (Palmer, 2020). </w:t>
      </w:r>
    </w:p>
    <w:p>
      <w:pPr>
        <w:pStyle w:val="Heading1"/>
        <w:rPr/>
      </w:pPr>
      <w:bookmarkStart w:id="2" w:name="_Toc91004921"/>
      <w:r>
        <w:t>Critical evaluation regarding the challenges of external and internal business environments</w:t>
      </w:r>
      <w:bookmarkEnd w:id="2"/>
      <w:r>
        <w:t xml:space="preserve"> </w:t>
      </w:r>
    </w:p>
    <w:p>
      <w:pP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Internal </w:t>
      </w:r>
      <w:r>
        <w:rPr>
          <w:rFonts w:ascii="Times New Roman" w:cs="Times New Roman" w:eastAsia="Times New Roman" w:hAnsi="Times New Roman"/>
          <w:b/>
          <w:sz w:val="24"/>
          <w:szCs w:val="24"/>
          <w:lang w:val="en-GB"/>
        </w:rPr>
        <w:t xml:space="preserve">environment </w:t>
      </w:r>
    </w:p>
    <w:p>
      <w:pPr>
        <w:spacing w:line="360" w:lineRule="auto"/>
        <w:jc w:val="both"/>
        <w:rPr>
          <w:rFonts w:ascii="Times New Roman" w:cs="Times New Roman" w:eastAsia="Times New Roman" w:hAnsi="Times New Roman"/>
          <w:b/>
          <w:sz w:val="28"/>
          <w:szCs w:val="28"/>
          <w:lang w:val="en-GB"/>
        </w:rPr>
      </w:pPr>
      <w:r>
        <w:rPr>
          <w:rFonts w:ascii="Times New Roman" w:cs="Times New Roman" w:eastAsia="Times New Roman" w:hAnsi="Times New Roman"/>
          <w:sz w:val="24"/>
          <w:szCs w:val="24"/>
          <w:lang w:val="en-GB"/>
        </w:rPr>
        <w:t xml:space="preserve">Aston Martin has been suffering from a major economic downturn; thus, it is still hampering the automakers of mainstreams. Besides, as it is trying extremely for business expansion by establishing an SUV factory in Wales, hence it is not as cheap as to buy easily. The </w:t>
      </w:r>
      <w:r>
        <w:rPr>
          <w:rFonts w:ascii="Times New Roman" w:cs="Times New Roman" w:eastAsia="Times New Roman" w:hAnsi="Times New Roman"/>
          <w:sz w:val="24"/>
          <w:szCs w:val="24"/>
          <w:lang w:val="en-GB"/>
        </w:rPr>
        <w:t>small-scale</w:t>
      </w:r>
      <w:r>
        <w:rPr>
          <w:rFonts w:ascii="Times New Roman" w:cs="Times New Roman" w:eastAsia="Times New Roman" w:hAnsi="Times New Roman"/>
          <w:sz w:val="24"/>
          <w:szCs w:val="24"/>
          <w:lang w:val="en-GB"/>
        </w:rPr>
        <w:t xml:space="preserve"> places of this brand are in a precarious position compared to that of the volume manufacturers, where it has faced massive trouble for coping with the Brexit issues and the investments that were supposed to be invested for running a future business of it successfully (Posky, 2019). As the demands of this brand are going to be reduced as per the estimation of the global forecasts, henceforth, it is being publicly recognised as the things relating to the 'traded complicator'. As stated by </w:t>
      </w:r>
      <w:r>
        <w:rPr>
          <w:rFonts w:ascii="Times New Roman" w:cs="Times New Roman" w:eastAsia="Times New Roman" w:hAnsi="Times New Roman"/>
          <w:sz w:val="24"/>
          <w:szCs w:val="24"/>
          <w:highlight w:val="white"/>
          <w:lang w:val="en-GB"/>
        </w:rPr>
        <w:t>Rachinger et al. (2018</w:t>
      </w:r>
      <w:r>
        <w:rPr>
          <w:rFonts w:ascii="Times New Roman" w:cs="Times New Roman" w:eastAsia="Times New Roman" w:hAnsi="Times New Roman"/>
          <w:sz w:val="24"/>
          <w:szCs w:val="24"/>
          <w:lang w:val="en-GB"/>
        </w:rPr>
        <w:t xml:space="preserve">), the value network was determined by the available options for the automobile business of innovation; hence the entire employee competencies and organisational capacities were also addressed as the future challenges that may be encountered by the automobile industry. </w:t>
      </w:r>
    </w:p>
    <w:p>
      <w:pP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External </w:t>
      </w:r>
      <w:r>
        <w:rPr>
          <w:rFonts w:ascii="Times New Roman" w:cs="Times New Roman" w:eastAsia="Times New Roman" w:hAnsi="Times New Roman"/>
          <w:b/>
          <w:sz w:val="24"/>
          <w:szCs w:val="24"/>
          <w:lang w:val="en-GB"/>
        </w:rPr>
        <w:t xml:space="preserve">environment </w:t>
      </w:r>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Aston Martin blames the overall European market due to facing the extreme loss approx. </w:t>
      </w:r>
      <w:r>
        <w:rPr>
          <w:rFonts w:ascii="Times New Roman" w:cs="Times New Roman" w:eastAsia="Times New Roman" w:hAnsi="Times New Roman"/>
          <w:color w:val="121212"/>
          <w:sz w:val="24"/>
          <w:szCs w:val="24"/>
          <w:lang w:val="en-GB"/>
        </w:rPr>
        <w:t>£13.5 million, and this has happened because of its weak sales regarding the vantage of the sports car of two-seater base (</w:t>
      </w:r>
      <w:r>
        <w:rPr>
          <w:rFonts w:ascii="Times New Roman" w:cs="Times New Roman" w:eastAsia="Times New Roman" w:hAnsi="Times New Roman"/>
          <w:color w:val="121212"/>
          <w:sz w:val="24"/>
          <w:szCs w:val="24"/>
          <w:highlight w:val="white"/>
          <w:lang w:val="en-GB"/>
        </w:rPr>
        <w:t>Kollewe, 2019</w:t>
      </w:r>
      <w:r>
        <w:rPr>
          <w:rFonts w:ascii="Times New Roman" w:cs="Times New Roman" w:eastAsia="Times New Roman" w:hAnsi="Times New Roman"/>
          <w:color w:val="121212"/>
          <w:sz w:val="24"/>
          <w:szCs w:val="24"/>
          <w:lang w:val="en-GB"/>
        </w:rPr>
        <w:t xml:space="preserve">). The old British marque had a torrid year that floated on the stock market and where the shares became slumped and where the sales also fell into the 'macro uncertainties'.  The famous UK automobile brand Aston Martin pinned its hopes on the 'second-century plan' that was unveiled in 2016, where it launched new cars around seven years. </w:t>
      </w:r>
      <w:r>
        <w:rPr>
          <w:rFonts w:ascii="Times New Roman" w:cs="Times New Roman" w:eastAsia="Times New Roman" w:hAnsi="Times New Roman"/>
          <w:sz w:val="24"/>
          <w:szCs w:val="24"/>
          <w:lang w:val="en-GB"/>
        </w:rPr>
        <w:t xml:space="preserve">On the other hand, as reflected by </w:t>
      </w:r>
      <w:r>
        <w:rPr>
          <w:rFonts w:ascii="Times New Roman" w:cs="Times New Roman" w:eastAsia="Times New Roman" w:hAnsi="Times New Roman"/>
          <w:sz w:val="24"/>
          <w:szCs w:val="24"/>
          <w:highlight w:val="white"/>
          <w:lang w:val="en-GB"/>
        </w:rPr>
        <w:t>Arfi, Hikkerova &amp; Sahut (2018</w:t>
      </w:r>
      <w:r>
        <w:rPr>
          <w:rFonts w:ascii="Times New Roman" w:cs="Times New Roman" w:eastAsia="Times New Roman" w:hAnsi="Times New Roman"/>
          <w:sz w:val="24"/>
          <w:szCs w:val="24"/>
          <w:lang w:val="en-GB"/>
        </w:rPr>
        <w:t xml:space="preserve">), the success of making association with green innovation can be helpful in reducing air pollution. Likewise, it also was recognised as the absorbing capacity of the external knowledge related to the internal skills acquired by this famous car brand. The risks that were associated with the performance of making green innovation that can lead it entirely to the success of achieving positive relationships and association with the desired green innovations. </w:t>
      </w:r>
    </w:p>
    <w:p>
      <w:pPr>
        <w:pStyle w:val="Heading1"/>
        <w:rPr/>
      </w:pPr>
      <w:bookmarkStart w:id="3" w:name="_Toc91004922"/>
      <w:r>
        <w:t>Reflection on the challenges during trading across the world while the brand is entering into the international market</w:t>
      </w:r>
      <w:bookmarkEnd w:id="3"/>
      <w:r>
        <w:t xml:space="preserve"> </w:t>
      </w:r>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Aston Martin has encountered major challenges at the time of trading across the world, where it is expected that it can face massive economic challenges in 2022 because of the huge effect of the pandemic. Hence, no single shareholder is ready to set his own agenda for providing a trustworthy business context for highlighting the influence of political and commercial zones. Thus, the challenges in the global business environment include a diversified culture, political uncertainty, complexity relating to the custom of shipping, brand prominence, product availability, fluctuation in currency and also a variety in payment methods. Thus, making an excellent idea regarding the new or innovative rules that need to be computed to make a fundamental difference, the unique challenge is to gear up the business as per the expectations respectively (Aston Martin, 2021). </w:t>
      </w:r>
    </w:p>
    <w:p>
      <w:pPr>
        <w:pStyle w:val="Heading1"/>
        <w:rPr/>
      </w:pPr>
      <w:bookmarkStart w:id="4" w:name="_Toc91004923"/>
      <w:r>
        <w:t>Critical evaluation for addressing PESTEL, SWOT, value chain, competitive advantages, porter's five forces with concern to the 'core values on sustainability.'</w:t>
      </w:r>
      <w:bookmarkEnd w:id="4"/>
      <w:r>
        <w:t xml:space="preserve"> </w:t>
      </w:r>
    </w:p>
    <w:p>
      <w:pPr>
        <w:spacing w:line="360" w:lineRule="auto"/>
        <w:jc w:val="both"/>
        <w:rPr>
          <w:rFonts w:ascii="Times New Roman" w:cs="Times New Roman" w:eastAsia="Times New Roman" w:hAnsi="Times New Roman"/>
          <w:sz w:val="24"/>
          <w:szCs w:val="24"/>
          <w:lang w:val="en-GB"/>
        </w:rPr>
      </w:pPr>
    </w:p>
    <w:tbl>
      <w:tblPr>
        <w:tblStyle w:val="Table1"/>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Strengths </w:t>
            </w:r>
          </w:p>
          <w:p>
            <w:pPr>
              <w:numPr>
                <w:ilvl w:val="0"/>
                <w:numId w:val="13"/>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Good quality-based cars </w:t>
            </w:r>
          </w:p>
          <w:p>
            <w:pPr>
              <w:numPr>
                <w:ilvl w:val="0"/>
                <w:numId w:val="13"/>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Excellent customer base </w:t>
            </w:r>
          </w:p>
          <w:p>
            <w:pPr>
              <w:numPr>
                <w:ilvl w:val="0"/>
                <w:numId w:val="13"/>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Branding and marketing are associated with the profit </w:t>
            </w:r>
          </w:p>
          <w:p>
            <w:pPr>
              <w:numPr>
                <w:ilvl w:val="0"/>
                <w:numId w:val="13"/>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Expansion over a huge market base </w:t>
            </w: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Weaknesses </w:t>
            </w:r>
          </w:p>
          <w:p>
            <w:pPr>
              <w:numPr>
                <w:ilvl w:val="0"/>
                <w:numId w:val="7"/>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 small range of selection </w:t>
            </w:r>
          </w:p>
          <w:p>
            <w:pPr>
              <w:numPr>
                <w:ilvl w:val="0"/>
                <w:numId w:val="7"/>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Lesser market operations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Opportunities </w:t>
            </w:r>
          </w:p>
          <w:p>
            <w:pPr>
              <w:numPr>
                <w:ilvl w:val="0"/>
                <w:numId w:val="12"/>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Heavy-budgeted automobiles </w:t>
            </w:r>
          </w:p>
          <w:p>
            <w:pPr>
              <w:numPr>
                <w:ilvl w:val="0"/>
                <w:numId w:val="12"/>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Expanded availability </w:t>
            </w:r>
          </w:p>
          <w:p>
            <w:pPr>
              <w:numPr>
                <w:ilvl w:val="0"/>
                <w:numId w:val="12"/>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Usage of the regular-based automobiles </w:t>
            </w:r>
          </w:p>
          <w:p>
            <w:pPr>
              <w:numPr>
                <w:ilvl w:val="0"/>
                <w:numId w:val="12"/>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Having enhanced repairing availability </w:t>
            </w: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Threats </w:t>
            </w:r>
          </w:p>
          <w:p>
            <w:pPr>
              <w:numPr>
                <w:ilvl w:val="0"/>
                <w:numId w:val="10"/>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Increased fuel costs </w:t>
            </w:r>
          </w:p>
          <w:p>
            <w:pPr>
              <w:numPr>
                <w:ilvl w:val="0"/>
                <w:numId w:val="10"/>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Huge competitive market </w:t>
            </w:r>
          </w:p>
        </w:tc>
      </w:tr>
    </w:tbl>
    <w:p>
      <w:pPr>
        <w:spacing w:line="360" w:lineRule="auto"/>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Table 1: SWOT analysis </w:t>
      </w:r>
    </w:p>
    <w:p>
      <w:pPr>
        <w:spacing w:line="360" w:lineRule="auto"/>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(Source: Bhasin, 2018)</w:t>
      </w:r>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customers who were much aware of the performance and value of this brand tend to get associated with it. Besides, as this brand has already expanded its business in the global market, thus in more than 50 countries, it designed and manufactured the entire brand. As influenced by Bhasin (2018), as the availability of few models of this brand is available in the market thus, the choices or preferences of the customer were too limited to select. Aston Martin uses high technology that is why it is a UK based expensive brand, and as it has expanded in the international market, henceforth, the market availability of this brand is so high. As the prices of petroleum are rising, thus it is seeking new exploration with the availability of electrically-powered advantages. The other international car brands like Bentley, Jaguar are considered as the competitors of the brand, Aston Martin, where those get into the global market for beating the contenders. However, as argued by </w:t>
      </w:r>
      <w:r>
        <w:rPr>
          <w:rFonts w:ascii="Times New Roman" w:cs="Times New Roman" w:eastAsia="Times New Roman" w:hAnsi="Times New Roman"/>
          <w:sz w:val="24"/>
          <w:szCs w:val="24"/>
          <w:highlight w:val="white"/>
          <w:lang w:val="en-GB"/>
        </w:rPr>
        <w:t>Zhang et al. (2020</w:t>
      </w:r>
      <w:r>
        <w:rPr>
          <w:rFonts w:ascii="Times New Roman" w:cs="Times New Roman" w:eastAsia="Times New Roman" w:hAnsi="Times New Roman"/>
          <w:sz w:val="24"/>
          <w:szCs w:val="24"/>
          <w:lang w:val="en-GB"/>
        </w:rPr>
        <w:t xml:space="preserve">), Aston Martin operates at stage 2.3, where it tends to assemble the vehicles for selling and delivering to the huge customer base mentioning the supply chain of three-tiers. </w:t>
      </w:r>
    </w:p>
    <w:tbl>
      <w:tblPr>
        <w:tblStyle w:val="Table2"/>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 xml:space="preserve">Political </w:t>
            </w:r>
          </w:p>
        </w:tc>
        <w:tc>
          <w:tcPr>
            <w:cnfStyle w:val="000000000000"/>
            <w:tcW w:w="4680" w:type="dxa"/>
            <w:shd w:val="clear" w:color="auto" w:fill="auto"/>
            <w:tcMar>
              <w:top w:w="100" w:type="dxa"/>
              <w:left w:w="100" w:type="dxa"/>
              <w:bottom w:w="100" w:type="dxa"/>
              <w:right w:w="100" w:type="dxa"/>
            </w:tcMar>
          </w:tcPr>
          <w:p>
            <w:pPr>
              <w:numPr>
                <w:ilvl w:val="0"/>
                <w:numId w:val="6"/>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 planned exit of the UK from the EU</w:t>
            </w:r>
          </w:p>
          <w:p>
            <w:pPr>
              <w:numPr>
                <w:ilvl w:val="0"/>
                <w:numId w:val="6"/>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Exposure to the international development of the political zones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 xml:space="preserve">Economic </w:t>
            </w:r>
          </w:p>
        </w:tc>
        <w:tc>
          <w:tcPr>
            <w:cnfStyle w:val="000000000000"/>
            <w:tcW w:w="4680" w:type="dxa"/>
            <w:shd w:val="clear" w:color="auto" w:fill="auto"/>
            <w:tcMar>
              <w:top w:w="100" w:type="dxa"/>
              <w:left w:w="100" w:type="dxa"/>
              <w:bottom w:w="100" w:type="dxa"/>
              <w:right w:w="100" w:type="dxa"/>
            </w:tcMar>
          </w:tcPr>
          <w:p>
            <w:pPr>
              <w:numPr>
                <w:ilvl w:val="0"/>
                <w:numId w:val="11"/>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Huge impacts on the 'international condition on the economy.'</w:t>
            </w:r>
          </w:p>
          <w:p>
            <w:pPr>
              <w:numPr>
                <w:ilvl w:val="0"/>
                <w:numId w:val="11"/>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Availability of the ‘market risk’ due to the rates of the foreign exchange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 xml:space="preserve">Social </w:t>
            </w:r>
          </w:p>
        </w:tc>
        <w:tc>
          <w:tcPr>
            <w:cnfStyle w:val="000000000000"/>
            <w:tcW w:w="4680" w:type="dxa"/>
            <w:shd w:val="clear" w:color="auto" w:fill="auto"/>
            <w:tcMar>
              <w:top w:w="100" w:type="dxa"/>
              <w:left w:w="100" w:type="dxa"/>
              <w:bottom w:w="100" w:type="dxa"/>
              <w:right w:w="100" w:type="dxa"/>
            </w:tcMar>
          </w:tcPr>
          <w:p>
            <w:pPr>
              <w:numPr>
                <w:ilvl w:val="0"/>
                <w:numId w:val="5"/>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Enhancement of the disposable income and </w:t>
            </w:r>
          </w:p>
          <w:p>
            <w:pPr>
              <w:numPr>
                <w:ilvl w:val="0"/>
                <w:numId w:val="5"/>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Continuation of the growth of the used car markets </w:t>
            </w:r>
          </w:p>
          <w:p>
            <w:pPr>
              <w:numPr>
                <w:ilvl w:val="0"/>
                <w:numId w:val="5"/>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Involvement of female customers as the major target audiences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 xml:space="preserve">Technological </w:t>
            </w:r>
          </w:p>
        </w:tc>
        <w:tc>
          <w:tcPr>
            <w:cnfStyle w:val="000000000000"/>
            <w:tcW w:w="4680" w:type="dxa"/>
            <w:shd w:val="clear" w:color="auto" w:fill="auto"/>
            <w:tcMar>
              <w:top w:w="100" w:type="dxa"/>
              <w:left w:w="100" w:type="dxa"/>
              <w:bottom w:w="100" w:type="dxa"/>
              <w:right w:w="100" w:type="dxa"/>
            </w:tcMar>
          </w:tcPr>
          <w:p>
            <w:pPr>
              <w:numPr>
                <w:ilvl w:val="0"/>
                <w:numId w:val="1"/>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growing interest in reducing the usage of petroleum rather than increasing the usage of electrified powers </w:t>
            </w:r>
          </w:p>
          <w:p>
            <w:pPr>
              <w:numPr>
                <w:ilvl w:val="0"/>
                <w:numId w:val="1"/>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Autonomous cars that are based on the self-driven technology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 xml:space="preserve">Environmental </w:t>
            </w:r>
          </w:p>
        </w:tc>
        <w:tc>
          <w:tcPr>
            <w:cnfStyle w:val="000000000000"/>
            <w:tcW w:w="4680" w:type="dxa"/>
            <w:shd w:val="clear" w:color="auto" w:fill="auto"/>
            <w:tcMar>
              <w:top w:w="100" w:type="dxa"/>
              <w:left w:w="100" w:type="dxa"/>
              <w:bottom w:w="100" w:type="dxa"/>
              <w:right w:w="100" w:type="dxa"/>
            </w:tcMar>
          </w:tcPr>
          <w:p>
            <w:pPr>
              <w:numPr>
                <w:ilvl w:val="0"/>
                <w:numId w:val="3"/>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Reduction of the emission of the Greenhouse gases </w:t>
            </w:r>
          </w:p>
          <w:p>
            <w:pPr>
              <w:numPr>
                <w:ilvl w:val="0"/>
                <w:numId w:val="3"/>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Increasing environmental sustainability </w:t>
            </w:r>
          </w:p>
          <w:p>
            <w:pPr>
              <w:numPr>
                <w:ilvl w:val="0"/>
                <w:numId w:val="3"/>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Running with the trends of accessing low engine capacity and availability of the innovation-driven technology.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bCs/>
                <w:sz w:val="24"/>
                <w:szCs w:val="24"/>
                <w:lang w:val="en-GB"/>
              </w:rPr>
            </w:pPr>
            <w:r>
              <w:rPr>
                <w:rFonts w:ascii="Times New Roman" w:cs="Times New Roman" w:eastAsia="Times New Roman" w:hAnsi="Times New Roman"/>
                <w:b/>
                <w:bCs/>
                <w:sz w:val="24"/>
                <w:szCs w:val="24"/>
                <w:lang w:val="en-GB"/>
              </w:rPr>
              <w:t xml:space="preserve">Legal </w:t>
            </w:r>
          </w:p>
        </w:tc>
        <w:tc>
          <w:tcPr>
            <w:cnfStyle w:val="000000000000"/>
            <w:tcW w:w="4680" w:type="dxa"/>
            <w:shd w:val="clear" w:color="auto" w:fill="auto"/>
            <w:tcMar>
              <w:top w:w="100" w:type="dxa"/>
              <w:left w:w="100" w:type="dxa"/>
              <w:bottom w:w="100" w:type="dxa"/>
              <w:right w:w="100" w:type="dxa"/>
            </w:tcMar>
          </w:tcPr>
          <w:p>
            <w:pPr>
              <w:numPr>
                <w:ilvl w:val="0"/>
                <w:numId w:val="8"/>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Claims of the product liability and losses of the license because of the non-compliance </w:t>
            </w:r>
          </w:p>
          <w:p>
            <w:pPr>
              <w:numPr>
                <w:ilvl w:val="0"/>
                <w:numId w:val="8"/>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compliance with the new policies and regulations of the Governmental organisations for raising the research and the cost of the capital </w:t>
            </w:r>
          </w:p>
          <w:p>
            <w:pPr>
              <w:numPr>
                <w:ilvl w:val="0"/>
                <w:numId w:val="8"/>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Compliance with the safety norms of the specific vehicles can damage the sales margin of the manufacturers </w:t>
            </w:r>
          </w:p>
        </w:tc>
      </w:tr>
    </w:tbl>
    <w:p>
      <w:pPr>
        <w:spacing w:line="360" w:lineRule="auto"/>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Table 2: PESTEL analysis </w:t>
      </w:r>
    </w:p>
    <w:p>
      <w:pPr>
        <w:spacing w:line="360" w:lineRule="auto"/>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(Source: Martin, 2020)</w:t>
      </w:r>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color w:val="202124"/>
          <w:sz w:val="24"/>
          <w:szCs w:val="24"/>
          <w:highlight w:val="white"/>
          <w:lang w:val="en-GB"/>
        </w:rPr>
        <w:t xml:space="preserve">Changing business environments can be expected to bring transformations in all the time where the economy can fluctuate on a regular basis, and it causes for changing the way in which the automobile industry is being operated. As denoted by Aithal (2017), 'Global business decisions' can bring sustainability for a long time where continuous changes can occur, including foreign, global and domestic business environments. </w:t>
      </w:r>
      <w:r>
        <w:rPr>
          <w:rFonts w:ascii="Times New Roman" w:cs="Times New Roman" w:eastAsia="Times New Roman" w:hAnsi="Times New Roman"/>
          <w:sz w:val="24"/>
          <w:szCs w:val="24"/>
          <w:lang w:val="en-GB"/>
        </w:rPr>
        <w:t xml:space="preserve">Contrarily as stated by </w:t>
      </w:r>
      <w:r>
        <w:rPr>
          <w:rFonts w:ascii="Times New Roman" w:cs="Times New Roman" w:eastAsia="Times New Roman" w:hAnsi="Times New Roman"/>
          <w:sz w:val="24"/>
          <w:szCs w:val="24"/>
          <w:highlight w:val="white"/>
          <w:lang w:val="en-GB"/>
        </w:rPr>
        <w:t>Chodakowska (2018</w:t>
      </w:r>
      <w:r>
        <w:rPr>
          <w:rFonts w:ascii="Times New Roman" w:cs="Times New Roman" w:eastAsia="Times New Roman" w:hAnsi="Times New Roman"/>
          <w:sz w:val="24"/>
          <w:szCs w:val="24"/>
          <w:lang w:val="en-GB"/>
        </w:rPr>
        <w:t xml:space="preserve">), as most of the UK based cars have included electric power for running cars, driving new and innovative techniques where the issues relating to the electrification of vehicles can also be discussed. Besides, to show the benefits of 'electric vehicles, the automobile environment can be predicted based on the future analysis by managing the systems for gaining an understanding relating to the industry of the 'electric vehicles'. </w:t>
      </w:r>
    </w:p>
    <w:tbl>
      <w:tblPr>
        <w:tblStyle w:val="Table3"/>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Rivalry and firm’s strategy </w:t>
            </w:r>
          </w:p>
        </w:tc>
        <w:tc>
          <w:tcPr>
            <w:cnfStyle w:val="000000000000"/>
            <w:tcW w:w="4680" w:type="dxa"/>
            <w:shd w:val="clear" w:color="auto" w:fill="auto"/>
            <w:tcMar>
              <w:top w:w="100" w:type="dxa"/>
              <w:left w:w="100" w:type="dxa"/>
              <w:bottom w:w="100" w:type="dxa"/>
              <w:right w:w="100" w:type="dxa"/>
            </w:tcMar>
          </w:tcPr>
          <w:p>
            <w:pPr>
              <w:numPr>
                <w:ilvl w:val="0"/>
                <w:numId w:val="14"/>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Managerial systems </w:t>
            </w:r>
          </w:p>
          <w:p>
            <w:pPr>
              <w:numPr>
                <w:ilvl w:val="0"/>
                <w:numId w:val="14"/>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Massive competition among the local rival companies </w:t>
            </w:r>
          </w:p>
          <w:p>
            <w:pPr>
              <w:numPr>
                <w:ilvl w:val="0"/>
                <w:numId w:val="14"/>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Huge competition with the global organisations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Factor conditions</w:t>
            </w:r>
          </w:p>
        </w:tc>
        <w:tc>
          <w:tcPr>
            <w:cnfStyle w:val="000000000000"/>
            <w:tcW w:w="4680" w:type="dxa"/>
            <w:shd w:val="clear" w:color="auto" w:fill="auto"/>
            <w:tcMar>
              <w:top w:w="100" w:type="dxa"/>
              <w:left w:w="100" w:type="dxa"/>
              <w:bottom w:w="100" w:type="dxa"/>
              <w:right w:w="100" w:type="dxa"/>
            </w:tcMar>
          </w:tcPr>
          <w:p>
            <w:pPr>
              <w:numPr>
                <w:ilvl w:val="0"/>
                <w:numId w:val="4"/>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Having natural and capital resources </w:t>
            </w:r>
          </w:p>
          <w:p>
            <w:pPr>
              <w:numPr>
                <w:ilvl w:val="0"/>
                <w:numId w:val="4"/>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Technological innovation and scientific knowledge </w:t>
            </w:r>
          </w:p>
          <w:p>
            <w:pPr>
              <w:numPr>
                <w:ilvl w:val="0"/>
                <w:numId w:val="4"/>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Improved infrastructure and availability of human resources </w:t>
            </w:r>
          </w:p>
        </w:tc>
      </w:tr>
      <w:tr>
        <w:trPr/>
        <w:tc>
          <w:tcPr>
            <w:cnfStyle w:val="000000000000"/>
            <w:tcW w:w="468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Supporting industries </w:t>
            </w:r>
          </w:p>
        </w:tc>
        <w:tc>
          <w:tcPr>
            <w:cnfStyle w:val="000000000000"/>
            <w:tcW w:w="4680" w:type="dxa"/>
            <w:shd w:val="clear" w:color="auto" w:fill="auto"/>
            <w:tcMar>
              <w:top w:w="100" w:type="dxa"/>
              <w:left w:w="100" w:type="dxa"/>
              <w:bottom w:w="100" w:type="dxa"/>
              <w:right w:w="100" w:type="dxa"/>
            </w:tcMar>
          </w:tcPr>
          <w:p>
            <w:pPr>
              <w:numPr>
                <w:ilvl w:val="0"/>
                <w:numId w:val="2"/>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Presence and availability of the relating industries </w:t>
            </w:r>
          </w:p>
          <w:p>
            <w:pPr>
              <w:numPr>
                <w:ilvl w:val="0"/>
                <w:numId w:val="2"/>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Availability of the rival industries too </w:t>
            </w:r>
          </w:p>
          <w:p>
            <w:pPr>
              <w:numPr>
                <w:ilvl w:val="0"/>
                <w:numId w:val="2"/>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Availability of the strong global suppliers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Demand conditions </w:t>
            </w:r>
          </w:p>
        </w:tc>
        <w:tc>
          <w:tcPr>
            <w:cnfStyle w:val="000000000000"/>
            <w:tcW w:w="4680" w:type="dxa"/>
            <w:shd w:val="clear" w:color="auto" w:fill="auto"/>
            <w:tcMar>
              <w:top w:w="100" w:type="dxa"/>
              <w:left w:w="100" w:type="dxa"/>
              <w:bottom w:w="100" w:type="dxa"/>
              <w:right w:w="100" w:type="dxa"/>
            </w:tcMar>
          </w:tcPr>
          <w:p>
            <w:pPr>
              <w:numPr>
                <w:ilvl w:val="0"/>
                <w:numId w:val="9"/>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The shape of the domestic market </w:t>
            </w:r>
          </w:p>
          <w:p>
            <w:pPr>
              <w:numPr>
                <w:ilvl w:val="0"/>
                <w:numId w:val="9"/>
              </w:num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Demanding and sophisticated domestic customers </w:t>
            </w:r>
          </w:p>
        </w:tc>
      </w:tr>
    </w:tbl>
    <w:p>
      <w:pPr>
        <w:spacing w:line="360" w:lineRule="auto"/>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Table </w:t>
      </w:r>
      <w:r>
        <w:rPr>
          <w:rFonts w:ascii="Times New Roman" w:cs="Times New Roman" w:eastAsia="Times New Roman" w:hAnsi="Times New Roman"/>
          <w:b/>
          <w:sz w:val="24"/>
          <w:szCs w:val="24"/>
          <w:lang w:val="en-GB"/>
        </w:rPr>
        <w:t>3</w:t>
      </w:r>
      <w:r>
        <w:rPr>
          <w:rFonts w:ascii="Times New Roman" w:cs="Times New Roman" w:eastAsia="Times New Roman" w:hAnsi="Times New Roman"/>
          <w:b/>
          <w:sz w:val="24"/>
          <w:szCs w:val="24"/>
          <w:lang w:val="en-GB"/>
        </w:rPr>
        <w:t xml:space="preserve">: Porter’s diamond model </w:t>
      </w:r>
    </w:p>
    <w:p>
      <w:pPr>
        <w:spacing w:line="360" w:lineRule="auto"/>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(Source: Harvey, 2020)</w:t>
      </w:r>
    </w:p>
    <w:p>
      <w:pPr>
        <w:spacing w:line="360" w:lineRule="auto"/>
        <w:jc w:val="both"/>
        <w:rPr>
          <w:rFonts w:ascii="Times New Roman" w:cs="Times New Roman" w:eastAsia="Times New Roman" w:hAnsi="Times New Roman"/>
          <w:sz w:val="24"/>
          <w:szCs w:val="24"/>
          <w:lang w:val="en-GB"/>
        </w:rPr>
      </w:pPr>
    </w:p>
    <w:tbl>
      <w:tblPr>
        <w:tblStyle w:val="Table4"/>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Bargaining power of the purchasers (High)</w:t>
            </w: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Due to having a strong bargaining power of the customers, the price of the brand can be slowed down.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Bargaining power of the suppliers (Moderate)</w:t>
            </w: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Due to having an effective bargaining power of the suppliers, they can extract the best price from this brand.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Rivalry among the existing players (High) </w:t>
            </w: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Due to having the massive competition, it is quite tough to make sustainable profits by the existing players.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Threats of the new entrants (Low)</w:t>
            </w: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Due to having this threat, the existing players are intended to earn fewer profits to get survived. </w:t>
            </w:r>
          </w:p>
        </w:tc>
      </w:tr>
      <w:tr>
        <w:trPr/>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Threats of the substitutes (Moderate)</w:t>
            </w: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Due to having this threat, Aston Martin is interested in investing in R&amp;D, and it also has a fear of losing out on the major disruptors. </w:t>
            </w:r>
          </w:p>
        </w:tc>
      </w:tr>
    </w:tbl>
    <w:p>
      <w:pPr>
        <w:spacing w:line="360" w:lineRule="auto"/>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Table </w:t>
      </w:r>
      <w:r>
        <w:rPr>
          <w:rFonts w:ascii="Times New Roman" w:cs="Times New Roman" w:eastAsia="Times New Roman" w:hAnsi="Times New Roman"/>
          <w:b/>
          <w:sz w:val="24"/>
          <w:szCs w:val="24"/>
          <w:lang w:val="en-GB"/>
        </w:rPr>
        <w:t>4</w:t>
      </w:r>
      <w:r>
        <w:rPr>
          <w:rFonts w:ascii="Times New Roman" w:cs="Times New Roman" w:eastAsia="Times New Roman" w:hAnsi="Times New Roman"/>
          <w:b/>
          <w:sz w:val="24"/>
          <w:szCs w:val="24"/>
          <w:lang w:val="en-GB"/>
        </w:rPr>
        <w:t xml:space="preserve">: Porter’s five forces </w:t>
      </w:r>
    </w:p>
    <w:p>
      <w:pPr>
        <w:spacing w:line="360" w:lineRule="auto"/>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(Source: Hernandez, 2020)</w:t>
      </w:r>
    </w:p>
    <w:p>
      <w:pPr>
        <w:spacing w:line="360" w:lineRule="auto"/>
        <w:jc w:val="both"/>
        <w:rPr>
          <w:rFonts w:ascii="Times New Roman" w:cs="Times New Roman" w:eastAsia="Times New Roman" w:hAnsi="Times New Roman"/>
          <w:sz w:val="24"/>
          <w:szCs w:val="24"/>
          <w:lang w:val="en-GB"/>
        </w:rPr>
      </w:pPr>
    </w:p>
    <w:tbl>
      <w:tblPr>
        <w:tblStyle w:val="Table5"/>
        <w:tblW w:w="9360" w:type="dxa"/>
        <w:tblInd w:w="100" w:type="dxa"/>
        <w:tblBorders>
          <w:top w:val="single" w:color="000000" w:sz="8" w:space="0"/>
          <w:left w:val="single" w:color="000000" w:sz="8" w:space="0"/>
          <w:bottom w:val="single" w:color="000000" w:sz="8" w:space="0"/>
          <w:right w:val="single" w:color="000000" w:sz="8" w:space="0"/>
          <w:insideH w:val="single" w:color="000000" w:sz="8" w:space="0"/>
          <w:insideV w:val="single" w:color="000000" w:sz="8" w:space="0"/>
        </w:tblBorders>
        <w:tblLayout w:type="fixed"/>
        <w:tblLook w:val="0600"/>
      </w:tblPr>
      <w:tblGrid>
        <w:gridCol w:w="4680"/>
        <w:gridCol w:w="4680"/>
      </w:tblGrid>
      <w:tr>
        <w:trPr>
          <w:trHeight w:val="440"/>
        </w:trPr>
        <w:tc>
          <w:tcPr>
            <w:cnfStyle w:val="000000000000"/>
            <w:tcW w:w="4680" w:type="dxa"/>
            <w:vMerge w:val="restart"/>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Supporting activities </w:t>
            </w: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Firm infrastructure </w:t>
            </w: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sz w:val="24"/>
                <w:szCs w:val="24"/>
                <w:lang w:val="en-GB"/>
              </w:rPr>
              <w:t xml:space="preserve">The infrastructure of this brand is planning, quality management, accounting, finance and general management. </w:t>
            </w:r>
          </w:p>
        </w:tc>
      </w:tr>
      <w:tr>
        <w:trPr>
          <w:trHeight w:val="440"/>
        </w:trPr>
        <w:tc>
          <w:tcPr>
            <w:cnfStyle w:val="000000000000"/>
            <w:tcW w:w="4680" w:type="dxa"/>
            <w:vMerge w:val="continue"/>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240" w:lineRule="auto"/>
              <w:rPr>
                <w:rFonts w:ascii="Times New Roman" w:cs="Times New Roman" w:eastAsia="Times New Roman" w:hAnsi="Times New Roman"/>
                <w:sz w:val="24"/>
                <w:szCs w:val="24"/>
                <w:lang w:val="en-GB"/>
              </w:rPr>
            </w:pP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Human resource management </w:t>
            </w: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sz w:val="24"/>
                <w:szCs w:val="24"/>
                <w:lang w:val="en-GB"/>
              </w:rPr>
              <w:t xml:space="preserve">Management of human resources includes hiring, recruiting, making a plan, creating and developing, assessing skills and overall selection and compensation of business at the corporate and unit level. </w:t>
            </w:r>
          </w:p>
        </w:tc>
      </w:tr>
      <w:tr>
        <w:trPr>
          <w:trHeight w:val="440"/>
        </w:trPr>
        <w:tc>
          <w:tcPr>
            <w:cnfStyle w:val="000000000000"/>
            <w:tcW w:w="4680" w:type="dxa"/>
            <w:vMerge w:val="continue"/>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240" w:lineRule="auto"/>
              <w:rPr>
                <w:rFonts w:ascii="Times New Roman" w:cs="Times New Roman" w:eastAsia="Times New Roman" w:hAnsi="Times New Roman"/>
                <w:sz w:val="24"/>
                <w:szCs w:val="24"/>
                <w:lang w:val="en-GB"/>
              </w:rPr>
            </w:pP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Technological development </w:t>
            </w: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sz w:val="24"/>
                <w:szCs w:val="24"/>
                <w:lang w:val="en-GB"/>
              </w:rPr>
              <w:t xml:space="preserve">Technological development relating to this brand include feature design, field testing, component design, component design and process engineering. </w:t>
            </w:r>
          </w:p>
        </w:tc>
      </w:tr>
      <w:tr>
        <w:trPr>
          <w:trHeight w:val="440"/>
        </w:trPr>
        <w:tc>
          <w:tcPr>
            <w:cnfStyle w:val="000000000000"/>
            <w:tcW w:w="4680" w:type="dxa"/>
            <w:vMerge w:val="continue"/>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240" w:lineRule="auto"/>
              <w:rPr>
                <w:rFonts w:ascii="Times New Roman" w:cs="Times New Roman" w:eastAsia="Times New Roman" w:hAnsi="Times New Roman"/>
                <w:sz w:val="24"/>
                <w:szCs w:val="24"/>
                <w:lang w:val="en-GB"/>
              </w:rPr>
            </w:pP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Procurement </w:t>
            </w: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Procurement activities of this renowned brand include raw materials, machinery, </w:t>
            </w:r>
            <w:r>
              <w:rPr>
                <w:rFonts w:ascii="Times New Roman" w:cs="Times New Roman" w:eastAsia="Times New Roman" w:hAnsi="Times New Roman"/>
                <w:sz w:val="24"/>
                <w:szCs w:val="24"/>
                <w:lang w:val="en-GB"/>
              </w:rPr>
              <w:t>suppliers, equipment</w:t>
            </w:r>
            <w:r>
              <w:rPr>
                <w:rFonts w:ascii="Times New Roman" w:cs="Times New Roman" w:eastAsia="Times New Roman" w:hAnsi="Times New Roman"/>
                <w:sz w:val="24"/>
                <w:szCs w:val="24"/>
                <w:lang w:val="en-GB"/>
              </w:rPr>
              <w:t xml:space="preserve"> relating to the parts of automobiles.</w:t>
            </w: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p>
        </w:tc>
      </w:tr>
      <w:tr>
        <w:trPr>
          <w:trHeight w:val="440"/>
        </w:trPr>
        <w:tc>
          <w:tcPr>
            <w:cnfStyle w:val="000000000000"/>
            <w:tcW w:w="4680" w:type="dxa"/>
            <w:vMerge w:val="restart"/>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Primary activities </w:t>
            </w: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Inbound logistics </w:t>
            </w: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This associate store</w:t>
            </w:r>
            <w:r>
              <w:rPr>
                <w:rFonts w:ascii="Times New Roman" w:cs="Times New Roman" w:eastAsia="Times New Roman" w:hAnsi="Times New Roman"/>
                <w:sz w:val="24"/>
                <w:szCs w:val="24"/>
                <w:lang w:val="en-GB"/>
              </w:rPr>
              <w:t xml:space="preserve"> and receives the products along with including warehousing relating to the handling of materials and receiving the architectures </w:t>
            </w:r>
          </w:p>
        </w:tc>
      </w:tr>
      <w:tr>
        <w:trPr>
          <w:trHeight w:val="440"/>
        </w:trPr>
        <w:tc>
          <w:tcPr>
            <w:cnfStyle w:val="000000000000"/>
            <w:tcW w:w="4680" w:type="dxa"/>
            <w:vMerge w:val="continue"/>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240" w:lineRule="auto"/>
              <w:rPr>
                <w:rFonts w:ascii="Times New Roman" w:cs="Times New Roman" w:eastAsia="Times New Roman" w:hAnsi="Times New Roman"/>
                <w:sz w:val="24"/>
                <w:szCs w:val="24"/>
                <w:lang w:val="en-GB"/>
              </w:rPr>
            </w:pP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Operations </w:t>
            </w: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It helps in transforming the raw materials into finished goods where the customer data can be served as advertisements to the clients. </w:t>
            </w:r>
          </w:p>
        </w:tc>
      </w:tr>
      <w:tr>
        <w:trPr>
          <w:trHeight w:val="440"/>
        </w:trPr>
        <w:tc>
          <w:tcPr>
            <w:cnfStyle w:val="000000000000"/>
            <w:tcW w:w="4680" w:type="dxa"/>
            <w:vMerge w:val="continue"/>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240" w:lineRule="auto"/>
              <w:rPr>
                <w:rFonts w:ascii="Times New Roman" w:cs="Times New Roman" w:eastAsia="Times New Roman" w:hAnsi="Times New Roman"/>
                <w:sz w:val="24"/>
                <w:szCs w:val="24"/>
                <w:lang w:val="en-GB"/>
              </w:rPr>
            </w:pP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Outbound logistics</w:t>
            </w: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sz w:val="24"/>
                <w:szCs w:val="24"/>
                <w:lang w:val="en-GB"/>
              </w:rPr>
              <w:t xml:space="preserve">This includes the warehousing, processing, distribution network, wholesalers, scheduling and the fulfilment of the orders relating to the fulfilment of the orders. </w:t>
            </w:r>
            <w:r>
              <w:rPr>
                <w:rFonts w:ascii="Times New Roman" w:cs="Times New Roman" w:eastAsia="Times New Roman" w:hAnsi="Times New Roman"/>
                <w:b/>
                <w:sz w:val="24"/>
                <w:szCs w:val="24"/>
                <w:lang w:val="en-GB"/>
              </w:rPr>
              <w:t xml:space="preserve"> </w:t>
            </w:r>
          </w:p>
        </w:tc>
      </w:tr>
      <w:tr>
        <w:trPr>
          <w:trHeight w:val="440"/>
        </w:trPr>
        <w:tc>
          <w:tcPr>
            <w:cnfStyle w:val="000000000000"/>
            <w:tcW w:w="4680" w:type="dxa"/>
            <w:vMerge w:val="continue"/>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240" w:lineRule="auto"/>
              <w:rPr>
                <w:rFonts w:ascii="Times New Roman" w:cs="Times New Roman" w:eastAsia="Times New Roman" w:hAnsi="Times New Roman"/>
                <w:sz w:val="24"/>
                <w:szCs w:val="24"/>
                <w:lang w:val="en-GB"/>
              </w:rPr>
            </w:pPr>
          </w:p>
        </w:tc>
        <w:tc>
          <w:tcPr>
            <w:cnfStyle w:val="000000000000"/>
            <w:tcW w:w="4680" w:type="dxa"/>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Sales and marketing </w:t>
            </w:r>
          </w:p>
          <w:p>
            <w:pPr>
              <w:pBdr>
                <w:top w:val="nil" w:sz="4" w:space="0"/>
                <w:left w:val="nil" w:sz="4" w:space="0"/>
                <w:bottom w:val="nil" w:sz="4" w:space="0"/>
                <w:right w:val="nil" w:sz="4" w:space="0"/>
                <w:between w:val="nil" w:sz="4" w:space="0"/>
              </w:pBd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Sales and marketing include the 'sales force management', selection of adequate challenges for marketing, promotion and advertising, along with setting the actual pricing strategy. </w:t>
            </w:r>
          </w:p>
        </w:tc>
      </w:tr>
      <w:tr>
        <w:trPr>
          <w:trHeight w:val="440"/>
        </w:trPr>
        <w:tc>
          <w:tcPr>
            <w:cnfStyle w:val="000000000000"/>
            <w:tcW w:w="4680" w:type="dxa"/>
            <w:vMerge w:val="continue"/>
            <w:shd w:val="clear" w:color="auto" w:fill="auto"/>
            <w:tcMar>
              <w:top w:w="100" w:type="dxa"/>
              <w:left w:w="100" w:type="dxa"/>
              <w:bottom w:w="100" w:type="dxa"/>
              <w:right w:w="100" w:type="dxa"/>
            </w:tcMar>
          </w:tcPr>
          <w:p>
            <w:pPr>
              <w:pBdr>
                <w:top w:val="nil" w:sz="4" w:space="0"/>
                <w:left w:val="nil" w:sz="4" w:space="0"/>
                <w:bottom w:val="nil" w:sz="4" w:space="0"/>
                <w:right w:val="nil" w:sz="4" w:space="0"/>
                <w:between w:val="nil" w:sz="4" w:space="0"/>
              </w:pBdr>
              <w:spacing w:line="240" w:lineRule="auto"/>
              <w:rPr>
                <w:rFonts w:ascii="Times New Roman" w:cs="Times New Roman" w:eastAsia="Times New Roman" w:hAnsi="Times New Roman"/>
                <w:sz w:val="24"/>
                <w:szCs w:val="24"/>
                <w:lang w:val="en-GB"/>
              </w:rPr>
            </w:pPr>
          </w:p>
        </w:tc>
        <w:tc>
          <w:tcPr>
            <w:cnfStyle w:val="000000000000"/>
            <w:tcW w:w="4680" w:type="dxa"/>
            <w:shd w:val="clear" w:color="auto" w:fill="auto"/>
            <w:tcMar>
              <w:top w:w="100" w:type="dxa"/>
              <w:left w:w="100" w:type="dxa"/>
              <w:bottom w:w="100" w:type="dxa"/>
              <w:right w:w="100" w:type="dxa"/>
            </w:tcMar>
          </w:tcPr>
          <w:p>
            <w:pP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After-sales services </w:t>
            </w:r>
          </w:p>
          <w:p>
            <w:pP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sz w:val="24"/>
                <w:szCs w:val="24"/>
                <w:lang w:val="en-GB"/>
              </w:rPr>
              <w:t xml:space="preserve">These services include maintenance of post-sales, installation services, training, product forward, supply chain, and the 'backend alignment of software.' </w:t>
            </w:r>
          </w:p>
        </w:tc>
      </w:tr>
    </w:tbl>
    <w:p>
      <w:pPr>
        <w:spacing w:line="360" w:lineRule="auto"/>
        <w:jc w:val="center"/>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Table </w:t>
      </w:r>
      <w:r>
        <w:rPr>
          <w:rFonts w:ascii="Times New Roman" w:cs="Times New Roman" w:eastAsia="Times New Roman" w:hAnsi="Times New Roman"/>
          <w:b/>
          <w:sz w:val="24"/>
          <w:szCs w:val="24"/>
          <w:lang w:val="en-GB"/>
        </w:rPr>
        <w:t>5</w:t>
      </w:r>
      <w:r>
        <w:rPr>
          <w:rFonts w:ascii="Times New Roman" w:cs="Times New Roman" w:eastAsia="Times New Roman" w:hAnsi="Times New Roman"/>
          <w:b/>
          <w:sz w:val="24"/>
          <w:szCs w:val="24"/>
          <w:lang w:val="en-GB"/>
        </w:rPr>
        <w:t xml:space="preserve">: Porter’s value chain analysis </w:t>
      </w:r>
    </w:p>
    <w:p>
      <w:pPr>
        <w:spacing w:line="360" w:lineRule="auto"/>
        <w:jc w:val="cente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(Source: Cian, 2020)</w:t>
      </w:r>
    </w:p>
    <w:p>
      <w:pPr>
        <w:spacing w:line="360" w:lineRule="auto"/>
        <w:jc w:val="both"/>
        <w:rPr>
          <w:rFonts w:ascii="Times New Roman" w:cs="Times New Roman" w:eastAsia="Times New Roman" w:hAnsi="Times New Roman"/>
          <w:b/>
          <w:sz w:val="24"/>
          <w:szCs w:val="24"/>
          <w:lang w:val="en-GB"/>
        </w:rPr>
      </w:pPr>
      <w:r>
        <w:rPr>
          <w:rFonts w:ascii="Times New Roman" w:cs="Times New Roman" w:eastAsia="Times New Roman" w:hAnsi="Times New Roman"/>
          <w:b/>
          <w:sz w:val="24"/>
          <w:szCs w:val="24"/>
          <w:lang w:val="en-GB"/>
        </w:rPr>
        <w:t xml:space="preserve">Competitive advantages relating to the core values of bringing sustainability </w:t>
      </w:r>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As per the competitive advantages achieved by Aston Martin, it tends to establish over 140 locations globally for assisting this major brand in sales and service delivery relating to the pr</w:t>
      </w:r>
      <w:r>
        <w:rPr>
          <w:rFonts w:ascii="Times New Roman" w:cs="Times New Roman" w:eastAsia="Times New Roman" w:hAnsi="Times New Roman"/>
          <w:sz w:val="24"/>
          <w:szCs w:val="24"/>
          <w:lang w:val="en-GB"/>
        </w:rPr>
        <w:t>e</w:t>
      </w:r>
      <w:r>
        <w:rPr>
          <w:rFonts w:ascii="Times New Roman" w:cs="Times New Roman" w:eastAsia="Times New Roman" w:hAnsi="Times New Roman"/>
          <w:sz w:val="24"/>
          <w:szCs w:val="24"/>
          <w:lang w:val="en-GB"/>
        </w:rPr>
        <w:t>-</w:t>
      </w:r>
      <w:r>
        <w:rPr>
          <w:rFonts w:ascii="Times New Roman" w:cs="Times New Roman" w:eastAsia="Times New Roman" w:hAnsi="Times New Roman"/>
          <w:sz w:val="24"/>
          <w:szCs w:val="24"/>
          <w:lang w:val="en-GB"/>
        </w:rPr>
        <w:t>owned</w:t>
      </w:r>
      <w:r>
        <w:rPr>
          <w:rFonts w:ascii="Times New Roman" w:cs="Times New Roman" w:eastAsia="Times New Roman" w:hAnsi="Times New Roman"/>
          <w:sz w:val="24"/>
          <w:szCs w:val="24"/>
          <w:lang w:val="en-GB"/>
        </w:rPr>
        <w:t xml:space="preserve"> and new models. Besides the quality sports cars that are also involved in this renowned brand, the UK has provided an extra opportunity to Aston Martin for focusing on the mass market driven by the comparatively cheap car brands like Toyota. The core values that have already been achieved by Aston Martin for maintaining sustainability are associated with commitment, integrity, growth, respect and overall diversification (Martin, 2020). Henceforth, sustainability can be maintained by this brand by making EVs a part of the sustainable energy of the automobile industry. Likewise, the principle of sustainability is also related to the reusing and recycling of sustainable resources by the famous UK-based car brand Aston Martin. </w:t>
      </w:r>
    </w:p>
    <w:p>
      <w:pPr>
        <w:pStyle w:val="Heading1"/>
        <w:rPr/>
      </w:pPr>
      <w:bookmarkStart w:id="5" w:name="_Toc91004924"/>
      <w:r>
        <w:t>Conclusion</w:t>
      </w:r>
      <w:bookmarkEnd w:id="5"/>
      <w:r>
        <w:t xml:space="preserve"> </w:t>
      </w:r>
    </w:p>
    <w:p>
      <w:pPr>
        <w:spacing w:line="360" w:lineRule="auto"/>
        <w:jc w:val="both"/>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t xml:space="preserve">It is witnessed that the automobile industry may be considered as the globalised industry that had been started in early days and there is also a fierce competition between several countries regarding new car invention and the obtaining of the financing to manufacturing. Thus, countries such as the UK have been assembled with branded cars that have already finished their business in the entire international competitive environment with the desired earned profits. </w:t>
      </w:r>
    </w:p>
    <w:p>
      <w:pPr>
        <w:rPr>
          <w:rFonts w:ascii="Times New Roman" w:cs="Times New Roman" w:eastAsia="Times New Roman" w:hAnsi="Times New Roman"/>
          <w:sz w:val="24"/>
          <w:szCs w:val="24"/>
          <w:lang w:val="en-GB"/>
        </w:rPr>
      </w:pPr>
      <w:r>
        <w:rPr>
          <w:rFonts w:ascii="Times New Roman" w:cs="Times New Roman" w:eastAsia="Times New Roman" w:hAnsi="Times New Roman"/>
          <w:sz w:val="24"/>
          <w:szCs w:val="24"/>
          <w:lang w:val="en-GB"/>
        </w:rPr>
        <w:br w:type="page"/>
      </w:r>
    </w:p>
    <w:p>
      <w:pPr>
        <w:pStyle w:val="Heading1"/>
        <w:rPr/>
      </w:pPr>
      <w:bookmarkStart w:id="6" w:name="_Toc91004925"/>
      <w:r>
        <w:t>Reference list</w:t>
      </w:r>
      <w:bookmarkEnd w:id="6"/>
      <w:r>
        <w:t xml:space="preserve"> </w:t>
      </w:r>
    </w:p>
    <w:p>
      <w:pPr>
        <w:pStyle w:val="Normal(Web)"/>
        <w:spacing w:before="0" w:after="240" w:line="360" w:lineRule="auto"/>
        <w:jc w:val="both"/>
        <w:rPr>
          <w:shd w:val="clear" w:color="auto" w:fill="ffffff"/>
        </w:rPr>
      </w:pPr>
      <w:r>
        <w:rPr>
          <w:shd w:val="clear" w:color="auto" w:fill="ffffff"/>
        </w:rPr>
        <w:t>Aithal, P. S. (2017). Impact of domestic, foreign, and global environments on international business decisions of multinational firms: A systematic study. </w:t>
      </w:r>
      <w:r>
        <w:rPr>
          <w:i/>
          <w:iCs/>
          <w:shd w:val="clear" w:color="auto" w:fill="ffffff"/>
        </w:rPr>
        <w:t>International Journal of Management, Technology, and Social Sciences (IJMTS)</w:t>
      </w:r>
      <w:r>
        <w:rPr>
          <w:shd w:val="clear" w:color="auto" w:fill="ffffff"/>
        </w:rPr>
        <w:t>, </w:t>
      </w:r>
      <w:r>
        <w:rPr>
          <w:i/>
          <w:iCs/>
          <w:shd w:val="clear" w:color="auto" w:fill="ffffff"/>
        </w:rPr>
        <w:t>2</w:t>
      </w:r>
      <w:r>
        <w:rPr>
          <w:shd w:val="clear" w:color="auto" w:fill="ffffff"/>
        </w:rPr>
        <w:t xml:space="preserve">(2), 93-104. </w:t>
      </w:r>
      <w:r>
        <w:fldChar w:fldCharType="begin"/>
      </w:r>
      <w:r>
        <w:instrText xml:space="preserve">HYPERLINK "https://www.academia.edu/download/55397417/86._Impact_of_Domestic_Global_FullPaper.pdf" </w:instrText>
      </w:r>
      <w:r>
        <w:fldChar w:fldCharType="separate"/>
      </w:r>
      <w:r>
        <w:rPr>
          <w:rStyle w:val="Hyperlink"/>
          <w:color w:val="auto"/>
          <w:shd w:val="clear" w:color="auto" w:fill="ffffff"/>
        </w:rPr>
        <w:t>https://www.academia.edu/download/55397417/86._Impact_of_Domestic_Global_FullPaper.pdf</w:t>
      </w:r>
      <w:r>
        <w:fldChar w:fldCharType="end"/>
      </w:r>
    </w:p>
    <w:p>
      <w:pPr>
        <w:spacing w:line="360" w:lineRule="auto"/>
        <w:jc w:val="both"/>
        <w:rPr>
          <w:color w:val="222222"/>
          <w:sz w:val="20"/>
          <w:szCs w:val="20"/>
          <w:shd w:val="clear" w:color="auto" w:fill="ffffff"/>
        </w:rPr>
      </w:pPr>
      <w:r>
        <w:rPr>
          <w:rFonts w:ascii="Times New Roman" w:cs="Times New Roman" w:hAnsi="Times New Roman"/>
          <w:sz w:val="24"/>
          <w:szCs w:val="24"/>
          <w:shd w:val="clear" w:color="auto" w:fill="ffffff"/>
        </w:rPr>
        <w:t>Arfi, W. B., Hikkerova, L., &amp; Sahut, J. M. (2018). External knowledge sources, green innovation and performance. </w:t>
      </w:r>
      <w:r>
        <w:rPr>
          <w:rFonts w:ascii="Times New Roman" w:cs="Times New Roman" w:hAnsi="Times New Roman"/>
          <w:i/>
          <w:iCs/>
          <w:sz w:val="24"/>
          <w:szCs w:val="24"/>
          <w:shd w:val="clear" w:color="auto" w:fill="ffffff"/>
        </w:rPr>
        <w:t>Technological Forecasting and Social Change</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129</w:t>
      </w:r>
      <w:r>
        <w:rPr>
          <w:rFonts w:ascii="Times New Roman" w:cs="Times New Roman" w:hAnsi="Times New Roman"/>
          <w:sz w:val="24"/>
          <w:szCs w:val="24"/>
          <w:shd w:val="clear" w:color="auto" w:fill="ffffff"/>
        </w:rPr>
        <w:t xml:space="preserve">, 210-220. </w:t>
      </w:r>
      <w:r>
        <w:fldChar w:fldCharType="begin"/>
      </w:r>
      <w:r>
        <w:instrText xml:space="preserve">HYPERLINK "https://www.researchgate.net/profile/Wissal-Ben-Arfi/publication/320366819_External_knowledge_sources_green_innovation_and_performance/links/5bf5d82e299bf1124fe4ce5c/External-knowledge-sources-green-innovation-and-performance.pdf" </w:instrText>
      </w:r>
      <w:r>
        <w:fldChar w:fldCharType="separate"/>
      </w:r>
      <w:r>
        <w:rPr>
          <w:rStyle w:val="Hyperlink"/>
          <w:rFonts w:ascii="Times New Roman" w:cs="Times New Roman" w:hAnsi="Times New Roman"/>
          <w:color w:val="auto"/>
          <w:sz w:val="24"/>
          <w:szCs w:val="24"/>
          <w:shd w:val="clear" w:color="auto" w:fill="ffffff"/>
        </w:rPr>
        <w:t>https://www.researchgate.net/profile/Wissal-Ben-Arfi/publication/320366819_External_knowledge_sources_green_innovation_and_performance/links/5bf5d82e299bf1124fe4ce5c/External-knowledge-sources-green-innovation-and-performance.pdf</w:t>
      </w:r>
      <w:r>
        <w:fldChar w:fldCharType="end"/>
      </w:r>
      <w:r>
        <w:rPr>
          <w:color w:val="222222"/>
          <w:sz w:val="20"/>
          <w:szCs w:val="20"/>
          <w:shd w:val="clear" w:color="auto" w:fill="ffffff"/>
        </w:rPr>
        <w:t xml:space="preserve"> </w:t>
      </w:r>
    </w:p>
    <w:p>
      <w:pPr>
        <w:pStyle w:val="Normal(Web)"/>
        <w:spacing w:before="0" w:after="240" w:line="360" w:lineRule="auto"/>
        <w:rPr/>
      </w:pPr>
      <w:r>
        <w:t xml:space="preserve">Aston Martin (2021). Aston Martin faces new challenges. Available at: </w:t>
      </w:r>
      <w:r>
        <w:fldChar w:fldCharType="begin"/>
      </w:r>
      <w:r>
        <w:instrText xml:space="preserve">HYPERLINK "https://www2.astonmartin.com/en/racing/news/2012/05/04/aston-martin-faces-new-challenges" </w:instrText>
      </w:r>
      <w:r>
        <w:fldChar w:fldCharType="separate"/>
      </w:r>
      <w:r>
        <w:rPr>
          <w:rStyle w:val="Hyperlink"/>
          <w:color w:val="auto"/>
        </w:rPr>
        <w:t>https://www2.astonmartin.com/en/racing/news/2012/05/04/aston-martin-faces-new-challenges</w:t>
      </w:r>
      <w:r>
        <w:fldChar w:fldCharType="end"/>
      </w:r>
      <w:r>
        <w:t xml:space="preserve">. [Accessed on 21 December, 2021]. </w:t>
      </w:r>
    </w:p>
    <w:p>
      <w:pPr>
        <w:pStyle w:val="Normal(Web)"/>
        <w:spacing w:before="0" w:after="240" w:line="360" w:lineRule="auto"/>
        <w:rPr/>
      </w:pPr>
      <w:r>
        <w:t xml:space="preserve">Bhasin, H. (2018). </w:t>
      </w:r>
      <w:r>
        <w:rPr>
          <w:i/>
          <w:iCs/>
        </w:rPr>
        <w:t>SWOT analysis of Aston Martin</w:t>
      </w:r>
      <w:r>
        <w:t>. [online] Available at: swot-analysis-Aston-martin/ [Accessed 21 Dec. 2021].</w:t>
      </w:r>
    </w:p>
    <w:p>
      <w:pPr>
        <w:pStyle w:val="Normal(Web)"/>
        <w:spacing w:before="0" w:after="240" w:line="360" w:lineRule="auto"/>
        <w:jc w:val="both"/>
        <w:rPr>
          <w:shd w:val="clear" w:color="auto" w:fill="ffffff"/>
        </w:rPr>
      </w:pPr>
      <w:r>
        <w:rPr>
          <w:shd w:val="clear" w:color="auto" w:fill="ffffff"/>
        </w:rPr>
        <w:t xml:space="preserve">Chodakowska, A. (2018). The mobility revolution in the automobile industry. Electric cars and battery management. </w:t>
      </w:r>
      <w:r>
        <w:fldChar w:fldCharType="begin"/>
      </w:r>
      <w:r>
        <w:instrText xml:space="preserve">HYPERLINK "https://www.theseus.fi/bitstream/handle/10024/150259/Thesis_Aneta_Chodakowska.pdf?sequ" </w:instrText>
      </w:r>
      <w:r>
        <w:fldChar w:fldCharType="separate"/>
      </w:r>
      <w:r>
        <w:rPr>
          <w:rStyle w:val="Hyperlink"/>
          <w:color w:val="auto"/>
          <w:shd w:val="clear" w:color="auto" w:fill="ffffff"/>
        </w:rPr>
        <w:t>https://www.theseus.fi/bitstream/handle/10024/150259/Thesis_Aneta_Chodakowska.pdf?sequ</w:t>
      </w:r>
      <w:r>
        <w:fldChar w:fldCharType="end"/>
      </w:r>
      <w:r>
        <w:rPr>
          <w:shd w:val="clear" w:color="auto" w:fill="ffffff"/>
        </w:rPr>
        <w:t xml:space="preserve">. </w:t>
      </w:r>
    </w:p>
    <w:p>
      <w:pPr>
        <w:pStyle w:val="Normal(Web)"/>
        <w:spacing w:before="0" w:after="240" w:line="360" w:lineRule="auto"/>
        <w:rPr/>
      </w:pPr>
      <w:r>
        <w:t xml:space="preserve">Cian, L. (2020). </w:t>
      </w:r>
      <w:r>
        <w:rPr>
          <w:i/>
          <w:iCs/>
        </w:rPr>
        <w:t>Porter’s value chain analysis of Aston Martin</w:t>
      </w:r>
      <w:r>
        <w:t>. [online] Available at: portervaluechainanalysis/20674-aston [Accessed 2</w:t>
      </w:r>
      <w:r>
        <w:t>0</w:t>
      </w:r>
      <w:r>
        <w:t xml:space="preserve"> Dec. 2021].</w:t>
      </w:r>
    </w:p>
    <w:p>
      <w:pPr>
        <w:pStyle w:val="Normal(Web)"/>
        <w:spacing w:before="0" w:after="240" w:line="360" w:lineRule="auto"/>
        <w:rPr/>
      </w:pPr>
      <w:r>
        <w:t xml:space="preserve">Harvey, M. (2020). </w:t>
      </w:r>
      <w:r>
        <w:rPr>
          <w:i/>
          <w:iCs/>
        </w:rPr>
        <w:t>Porter’s diamond model analysis of Aston Martin</w:t>
      </w:r>
      <w:r>
        <w:t>. [online] Available at: Aston-Martin-The-Crossover-Conundrum-Porters-Diamond-Model [Accessed 21 Dec. 2021].</w:t>
      </w:r>
    </w:p>
    <w:p>
      <w:pPr>
        <w:pStyle w:val="Normal(Web)"/>
        <w:spacing w:before="0" w:after="240" w:line="360" w:lineRule="auto"/>
        <w:rPr/>
      </w:pPr>
      <w:r>
        <w:t xml:space="preserve">Hernandez, M. (2020). </w:t>
      </w:r>
      <w:r>
        <w:rPr>
          <w:i/>
          <w:iCs/>
        </w:rPr>
        <w:t>Porter’s five forces analysis of Aston Martin</w:t>
      </w:r>
      <w:r>
        <w:t>. [online] Available at: porter5forcesanalysis/20674-aston [Accessed 2</w:t>
      </w:r>
      <w:r>
        <w:t>0</w:t>
      </w:r>
      <w:r>
        <w:t xml:space="preserve"> Dec. 2021].</w:t>
      </w:r>
    </w:p>
    <w:p>
      <w:pPr>
        <w:spacing w:line="360" w:lineRule="auto"/>
        <w:jc w:val="both"/>
        <w:rPr>
          <w:rFonts w:ascii="Times New Roman" w:cs="Times New Roman" w:hAnsi="Times New Roman"/>
          <w:sz w:val="24"/>
          <w:szCs w:val="24"/>
        </w:rPr>
      </w:pPr>
      <w:r>
        <w:rPr>
          <w:rFonts w:ascii="Times New Roman" w:cs="Times New Roman" w:hAnsi="Times New Roman"/>
          <w:sz w:val="24"/>
          <w:szCs w:val="24"/>
          <w:shd w:val="clear" w:color="auto" w:fill="ffffff"/>
        </w:rPr>
        <w:t xml:space="preserve">Kollewe, J. (2019). </w:t>
      </w:r>
      <w:r>
        <w:rPr>
          <w:rFonts w:ascii="Times New Roman" w:cs="Times New Roman" w:hAnsi="Times New Roman"/>
          <w:sz w:val="24"/>
          <w:szCs w:val="24"/>
        </w:rPr>
        <w:t xml:space="preserve">Aston Martin blames tough European market for £13.5m loss. Available at: </w:t>
      </w:r>
      <w:r>
        <w:fldChar w:fldCharType="begin"/>
      </w:r>
      <w:r>
        <w:instrText xml:space="preserve">HYPERLINK "https://www.theguardian.com/business/2019/nov/07/aston-martin-blames-tough-european-market-for-135m-loss" </w:instrText>
      </w:r>
      <w:r>
        <w:fldChar w:fldCharType="separate"/>
      </w:r>
      <w:r>
        <w:rPr>
          <w:rStyle w:val="Hyperlink"/>
          <w:rFonts w:ascii="Times New Roman" w:cs="Times New Roman" w:hAnsi="Times New Roman"/>
          <w:color w:val="auto"/>
          <w:sz w:val="24"/>
          <w:szCs w:val="24"/>
        </w:rPr>
        <w:t>https://www.theguardian.com/business/2019/nov/07/aston-martin-blames-tough-european-market-for-135m-loss</w:t>
      </w:r>
      <w:r>
        <w:fldChar w:fldCharType="end"/>
      </w:r>
      <w:r>
        <w:rPr>
          <w:rFonts w:ascii="Times New Roman" w:cs="Times New Roman" w:hAnsi="Times New Roman"/>
          <w:sz w:val="24"/>
          <w:szCs w:val="24"/>
        </w:rPr>
        <w:t xml:space="preserve">. [Accessed on 21 December 2021]. </w:t>
      </w:r>
    </w:p>
    <w:p>
      <w:pPr>
        <w:pStyle w:val="Normal(Web)"/>
        <w:spacing w:before="0" w:after="240" w:line="360" w:lineRule="auto"/>
        <w:rPr/>
      </w:pPr>
      <w:r>
        <w:t xml:space="preserve">Martin, A. (2020). </w:t>
      </w:r>
      <w:r>
        <w:rPr>
          <w:i/>
          <w:iCs/>
        </w:rPr>
        <w:t>Core values of Aston Martin</w:t>
      </w:r>
      <w:r>
        <w:t xml:space="preserve">. [online] Available at: aston-martin/mission [Accessed </w:t>
      </w:r>
      <w:r>
        <w:t>19</w:t>
      </w:r>
      <w:r>
        <w:t xml:space="preserve"> Dec. 2021].</w:t>
      </w:r>
    </w:p>
    <w:p>
      <w:pPr>
        <w:pStyle w:val="Normal(Web)"/>
        <w:spacing w:before="0" w:after="240" w:line="360" w:lineRule="auto"/>
        <w:rPr/>
      </w:pPr>
      <w:r>
        <w:t xml:space="preserve">Martin, A. (2020). </w:t>
      </w:r>
      <w:r>
        <w:rPr>
          <w:i/>
          <w:iCs/>
        </w:rPr>
        <w:t>PESTEL analysis of Aston Martin</w:t>
      </w:r>
      <w:r>
        <w:t xml:space="preserve">. [online] Available at: https://www.swotandpestle.com/aston-martin/ [Accessed </w:t>
      </w:r>
      <w:r>
        <w:t xml:space="preserve">19 </w:t>
      </w:r>
      <w:r>
        <w:t>Dec. 2021].</w:t>
      </w:r>
    </w:p>
    <w:p>
      <w:pPr>
        <w:pStyle w:val="Normal(Web)"/>
        <w:spacing w:before="0" w:after="240" w:line="360" w:lineRule="auto"/>
        <w:rPr/>
      </w:pPr>
      <w:r>
        <w:t xml:space="preserve">Palmer (2020). </w:t>
      </w:r>
      <w:r>
        <w:rPr>
          <w:i/>
          <w:iCs/>
        </w:rPr>
        <w:t>salesforce and customer behaviour of Aston Martin</w:t>
      </w:r>
      <w:r>
        <w:t>. [online] Available at: /customer-success-stories/aston-martin/ [Accessed 2</w:t>
      </w:r>
      <w:r>
        <w:t>0</w:t>
      </w:r>
      <w:r>
        <w:t xml:space="preserve"> Dec. 2021].</w:t>
      </w:r>
    </w:p>
    <w:p>
      <w:pPr>
        <w:spacing w:line="360" w:lineRule="auto"/>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 xml:space="preserve">Posky, M. (2019). Aston Martin has a few problems. Available at: </w:t>
      </w:r>
      <w:r>
        <w:fldChar w:fldCharType="begin"/>
      </w:r>
      <w:r>
        <w:instrText xml:space="preserve">HYPERLINK "https://www.thetruthaboutcars.com/2019/07/aston-martin-has-a-few-problems/" </w:instrText>
      </w:r>
      <w:r>
        <w:fldChar w:fldCharType="separate"/>
      </w:r>
      <w:r>
        <w:rPr>
          <w:rStyle w:val="Hyperlink"/>
          <w:rFonts w:ascii="Times New Roman" w:cs="Times New Roman" w:hAnsi="Times New Roman"/>
          <w:color w:val="auto"/>
          <w:sz w:val="24"/>
          <w:szCs w:val="24"/>
          <w:shd w:val="clear" w:color="auto" w:fill="ffffff"/>
        </w:rPr>
        <w:t>https://www.thetruthaboutcars.com/2019/07/aston-martin-has-a-few-problems/</w:t>
      </w:r>
      <w:r>
        <w:fldChar w:fldCharType="end"/>
      </w:r>
      <w:r>
        <w:rPr>
          <w:rFonts w:ascii="Times New Roman" w:cs="Times New Roman" w:hAnsi="Times New Roman"/>
          <w:sz w:val="24"/>
          <w:szCs w:val="24"/>
          <w:shd w:val="clear" w:color="auto" w:fill="ffffff"/>
        </w:rPr>
        <w:t xml:space="preserve">. [Accessed on </w:t>
      </w:r>
      <w:r>
        <w:rPr>
          <w:rFonts w:ascii="Times New Roman" w:cs="Times New Roman" w:hAnsi="Times New Roman"/>
          <w:sz w:val="24"/>
          <w:szCs w:val="24"/>
          <w:shd w:val="clear" w:color="auto" w:fill="ffffff"/>
        </w:rPr>
        <w:t>19</w:t>
      </w:r>
      <w:r>
        <w:rPr>
          <w:rFonts w:ascii="Times New Roman" w:cs="Times New Roman" w:hAnsi="Times New Roman"/>
          <w:sz w:val="24"/>
          <w:szCs w:val="24"/>
          <w:shd w:val="clear" w:color="auto" w:fill="ffffff"/>
        </w:rPr>
        <w:t xml:space="preserve"> December 2021]. </w:t>
      </w:r>
    </w:p>
    <w:p>
      <w:pPr>
        <w:spacing w:line="360" w:lineRule="auto"/>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Rachinger, M., Rauter, R., Müller, C., Vorraber, W., &amp; Schirgi, E. (2018). Digitalization and its influence on business model innovation. </w:t>
      </w:r>
      <w:r>
        <w:rPr>
          <w:rFonts w:ascii="Times New Roman" w:cs="Times New Roman" w:hAnsi="Times New Roman"/>
          <w:i/>
          <w:iCs/>
          <w:sz w:val="24"/>
          <w:szCs w:val="24"/>
          <w:shd w:val="clear" w:color="auto" w:fill="ffffff"/>
        </w:rPr>
        <w:t>Journal of Manufacturing Technology Management</w:t>
      </w:r>
      <w:r>
        <w:rPr>
          <w:rFonts w:ascii="Times New Roman" w:cs="Times New Roman" w:hAnsi="Times New Roman"/>
          <w:sz w:val="24"/>
          <w:szCs w:val="24"/>
          <w:shd w:val="clear" w:color="auto" w:fill="ffffff"/>
        </w:rPr>
        <w:t xml:space="preserve">. </w:t>
      </w:r>
      <w:r>
        <w:fldChar w:fldCharType="begin"/>
      </w:r>
      <w:r>
        <w:instrText xml:space="preserve">HYPERLINK "https://www.emerald.com/insight/content/doi/10.1108/JMTM-01-2018-0020/full/pdf" </w:instrText>
      </w:r>
      <w:r>
        <w:fldChar w:fldCharType="separate"/>
      </w:r>
      <w:r>
        <w:rPr>
          <w:rStyle w:val="Hyperlink"/>
          <w:rFonts w:ascii="Times New Roman" w:cs="Times New Roman" w:hAnsi="Times New Roman"/>
          <w:color w:val="auto"/>
          <w:sz w:val="24"/>
          <w:szCs w:val="24"/>
          <w:shd w:val="clear" w:color="auto" w:fill="ffffff"/>
        </w:rPr>
        <w:t>https://www.emerald.com/insight/content/doi/10.1108/JMTM-01-2018-0020/full/pdf</w:t>
      </w:r>
      <w:r>
        <w:fldChar w:fldCharType="end"/>
      </w:r>
    </w:p>
    <w:p>
      <w:pPr>
        <w:spacing w:line="360" w:lineRule="auto"/>
        <w:jc w:val="both"/>
        <w:rPr>
          <w:rFonts w:ascii="Times New Roman" w:cs="Times New Roman" w:hAnsi="Times New Roman"/>
          <w:sz w:val="24"/>
          <w:szCs w:val="24"/>
          <w:shd w:val="clear" w:color="auto" w:fill="ffffff"/>
        </w:rPr>
      </w:pPr>
      <w:r>
        <w:rPr>
          <w:rFonts w:ascii="Times New Roman" w:cs="Times New Roman" w:hAnsi="Times New Roman"/>
          <w:sz w:val="24"/>
          <w:szCs w:val="24"/>
          <w:shd w:val="clear" w:color="auto" w:fill="ffffff"/>
        </w:rPr>
        <w:t>Zhang, Y., Rysiecki, L., Gong, Y., &amp; Shi, Q. (2020). A SWOT analysis of the UK EV battery supply chain. </w:t>
      </w:r>
      <w:r>
        <w:rPr>
          <w:rFonts w:ascii="Times New Roman" w:cs="Times New Roman" w:hAnsi="Times New Roman"/>
          <w:i/>
          <w:iCs/>
          <w:sz w:val="24"/>
          <w:szCs w:val="24"/>
          <w:shd w:val="clear" w:color="auto" w:fill="ffffff"/>
        </w:rPr>
        <w:t>Sustainability</w:t>
      </w:r>
      <w:r>
        <w:rPr>
          <w:rFonts w:ascii="Times New Roman" w:cs="Times New Roman" w:hAnsi="Times New Roman"/>
          <w:sz w:val="24"/>
          <w:szCs w:val="24"/>
          <w:shd w:val="clear" w:color="auto" w:fill="ffffff"/>
        </w:rPr>
        <w:t>, </w:t>
      </w:r>
      <w:r>
        <w:rPr>
          <w:rFonts w:ascii="Times New Roman" w:cs="Times New Roman" w:hAnsi="Times New Roman"/>
          <w:i/>
          <w:iCs/>
          <w:sz w:val="24"/>
          <w:szCs w:val="24"/>
          <w:shd w:val="clear" w:color="auto" w:fill="ffffff"/>
        </w:rPr>
        <w:t>12</w:t>
      </w:r>
      <w:r>
        <w:rPr>
          <w:rFonts w:ascii="Times New Roman" w:cs="Times New Roman" w:hAnsi="Times New Roman"/>
          <w:sz w:val="24"/>
          <w:szCs w:val="24"/>
          <w:shd w:val="clear" w:color="auto" w:fill="ffffff"/>
        </w:rPr>
        <w:t xml:space="preserve">(23), 9807. </w:t>
      </w:r>
      <w:r>
        <w:fldChar w:fldCharType="begin"/>
      </w:r>
      <w:r>
        <w:instrText xml:space="preserve">HYPERLINK "https://www.mdpi.com/2071-1050/12/23/9807/pdf" </w:instrText>
      </w:r>
      <w:r>
        <w:fldChar w:fldCharType="separate"/>
      </w:r>
      <w:r>
        <w:rPr>
          <w:rStyle w:val="Hyperlink"/>
          <w:rFonts w:ascii="Times New Roman" w:cs="Times New Roman" w:hAnsi="Times New Roman"/>
          <w:color w:val="auto"/>
          <w:sz w:val="24"/>
          <w:szCs w:val="24"/>
          <w:shd w:val="clear" w:color="auto" w:fill="ffffff"/>
        </w:rPr>
        <w:t>https://www.mdpi.com/2071-1050/12/23/9807/pdf</w:t>
      </w:r>
      <w:r>
        <w:fldChar w:fldCharType="end"/>
      </w:r>
      <w:r>
        <w:rPr>
          <w:rFonts w:ascii="Times New Roman" w:cs="Times New Roman" w:hAnsi="Times New Roman"/>
          <w:sz w:val="24"/>
          <w:szCs w:val="24"/>
          <w:shd w:val="clear" w:color="auto" w:fill="ffffff"/>
        </w:rPr>
        <w:t xml:space="preserve"> </w:t>
      </w:r>
    </w:p>
    <w:p>
      <w:pPr>
        <w:spacing w:line="360" w:lineRule="auto"/>
        <w:jc w:val="both"/>
        <w:rPr>
          <w:rFonts w:ascii="Times New Roman" w:cs="Times New Roman" w:eastAsia="Times New Roman" w:hAnsi="Times New Roman"/>
          <w:sz w:val="24"/>
          <w:szCs w:val="24"/>
          <w:lang w:val="en-GB"/>
        </w:rPr>
      </w:pPr>
    </w:p>
    <w:sectPr>
      <w:footerReference w:type="default" r:id="rId20"/>
      <w:pgSz w:w="12240" w:h="15840"/>
      <w:pgMar w:top="1440" w:right="1440" w:bottom="1440" w:left="1440" w:header="720" w:footer="720" w:gutter="0"/>
      <w:pgNumType w:start="1"/>
      <w:cols w:space="708"/>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endnote w:type="separator" w:id="0">
    <w:p>
      <w:pPr>
        <w:spacing w:line="240" w:lineRule="auto"/>
        <w:rPr/>
      </w:pPr>
      <w:r>
        <w:rPr/>
        <w:separator/>
      </w:r>
    </w:p>
  </w:endnote>
  <w:endnote w:type="continuationSeparator" w:id="1">
    <w:p>
      <w:pPr>
        <w:spacing w:line="240" w:lineRule="auto"/>
        <w:rPr/>
      </w:pPr>
      <w:r>
        <w:rP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00000000" w:usb1="00000000" w:usb2="00000009" w:usb3="00000000" w:csb0="000001ff" w:csb1="00000000"/>
  </w:font>
  <w:font w:name="Arial">
    <w:panose1 w:val="020b0604020202020204"/>
    <w:charset w:val="00"/>
    <w:family w:val="swiss"/>
    <w:pitch w:val="variable"/>
    <w:sig w:usb0="00000000" w:usb1="00000000" w:usb2="00000009" w:usb3="00000000" w:csb0="000001ff" w:csb1="00000000"/>
  </w:font>
  <w:font w:name="Cambria">
    <w:panose1 w:val="02040503050406030204"/>
    <w:charset w:val="00"/>
    <w:family w:val="roman"/>
    <w:pitch w:val="variable"/>
    <w:sig w:usb0="00000000" w:usb1="420024ff" w:usb2="02000000" w:usb3="00000000" w:csb0="0000019f" w:csb1="00000000"/>
  </w:font>
  <w:font w:name="Calibri">
    <w:panose1 w:val="020f0502020204030204"/>
    <w:charset w:val="00"/>
    <w:family w:val="swiss"/>
    <w:pitch w:val="variable"/>
    <w:sig w:usb0="00000000" w:usb1="4000acff" w:usb2="00000001" w:usb3="00000000" w:csb0="0000019f" w:csb1="00000000"/>
  </w:font>
  <w:font w:name="Courier New">
    <w:panose1 w:val="02070309020205020404"/>
    <w:charset w:val="00"/>
    <w:family w:val="modern"/>
    <w:pitch w:val="fixed"/>
    <w:sig w:usb0="00000000" w:usb1="00000000" w:usb2="00000009" w:usb3="00000000" w:csb0="000001ff" w:csb1="00000000"/>
  </w:font>
  <w:font w:name="Tahoma">
    <w:panose1 w:val="020b0604030504040204"/>
    <w:charset w:val="00"/>
    <w:family w:val="roman"/>
    <w:pitch w:val="variable"/>
    <w:sig w:usb0="61002a87" w:usb1="00000000" w:usb2="00000008" w:usb3="00000000" w:csb0="000001ff" w:csb1="00000000"/>
  </w:font>
  <w:font w:name="Verdana">
    <w:panose1 w:val="020b0604030504040204"/>
    <w:charset w:val="00"/>
    <w:family w:val="roman"/>
    <w:pitch w:val="variable"/>
    <w:sig w:usb0="00000000" w:usb1="4000205b" w:usb2="00000010" w:usb3="00000000" w:csb0="0000019f" w:csb1="00000000"/>
  </w:font>
  <w:font w:name="Symbol">
    <w:panose1 w:val="05050102010706020507"/>
    <w:charset w:val="02"/>
    <w:family w:val="roman"/>
    <w:notTrueType w:val="on"/>
    <w:pitch w:val="variable"/>
  </w:font>
  <w:font w:name="Wingdings">
    <w:panose1 w:val="05000000000000000000"/>
    <w:charset w:val="02"/>
    <w:family w:val="auto"/>
    <w:notTrueType w:val="on"/>
    <w:pitch w:val="variable"/>
  </w:font>
  <w:font w:name="Helvetica Neue">
    <w:charset w:val="00"/>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p>
    <w:pPr>
      <w:pStyle w:val="Footer"/>
      <w:jc w:val="right"/>
      <w:rPr>
        <w:rFonts w:ascii="Times New Roman" w:cs="Times New Roman" w:hAnsi="Times New Roman"/>
        <w:sz w:val="20"/>
        <w:szCs w:val="20"/>
      </w:rPr>
    </w:pPr>
    <w:r>
      <w:fldChar w:fldCharType="begin"/>
    </w:r>
    <w:r>
      <w:instrText xml:space="preserve"> PAGE   \* MERGEFORMAT </w:instrText>
    </w:r>
    <w:r>
      <w:fldChar w:fldCharType="separate"/>
    </w:r>
    <w:r>
      <w:rPr>
        <w:rFonts w:ascii="Times New Roman" w:cs="Times New Roman" w:hAnsi="Times New Roman"/>
        <w:sz w:val="20"/>
        <w:szCs w:val="20"/>
      </w:rPr>
      <w:t>2</w:t>
    </w:r>
    <w:r>
      <w:fldChar w:fldCharType="end"/>
    </w:r>
  </w:p>
  <w:p>
    <w:pPr>
      <w:pStyle w:val="Footer"/>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w:footnote w:type="separator" w:id="0">
    <w:p>
      <w:pPr>
        <w:spacing w:line="240" w:lineRule="auto"/>
        <w:rPr/>
      </w:pPr>
      <w:r>
        <w:rPr/>
        <w:separator/>
      </w:r>
    </w:p>
  </w:footnote>
  <w:footnote w:type="continuationSeparator" w:id="1">
    <w:p>
      <w:pPr>
        <w:spacing w:line="240" w:lineRule="auto"/>
        <w:rPr/>
      </w:pPr>
      <w:r>
        <w:rPr/>
        <w:continuationSeparato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ne="http://schemas.microsoft.com/office/word/2006/wordml" xmlns:w14="http://schemas.microsoft.com/office/word/2010/wordml" xmlns:w="http://schemas.openxmlformats.org/wordprocessingml/2006/main">
  <w:abstractNum w:abstractNumId="0">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2">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3">
    <w:multiLevelType w:val="hybridMultilevel"/>
    <w:lvl w:ilvl="0" w:tentative="0">
      <w:start w:val="1"/>
      <w:numFmt w:val="decimal"/>
      <w:lvlText w:val="%1."/>
      <w:lvlJc w:val="left"/>
      <w:pPr>
        <w:ind w:left="720" w:hanging="360"/>
      </w:pPr>
    </w:lvl>
    <w:lvl w:ilvl="1" w:tentative="1">
      <w:start w:val="1"/>
      <w:numFmt w:val="lowerLetter"/>
      <w:lvlText w:val="%2."/>
      <w:lvlJc w:val="left"/>
      <w:pPr>
        <w:ind w:left="1440" w:hanging="360"/>
      </w:pPr>
    </w:lvl>
    <w:lvl w:ilvl="2" w:tentative="1">
      <w:start w:val="1"/>
      <w:numFmt w:val="lowerRoman"/>
      <w:lvlText w:val="%3."/>
      <w:lvlJc w:val="right"/>
      <w:pPr>
        <w:ind w:left="2160" w:hanging="180"/>
      </w:pPr>
    </w:lvl>
    <w:lvl w:ilvl="3" w:tentative="1">
      <w:start w:val="1"/>
      <w:numFmt w:val="decimal"/>
      <w:lvlText w:val="%4."/>
      <w:lvlJc w:val="left"/>
      <w:pPr>
        <w:ind w:left="2880" w:hanging="360"/>
      </w:pPr>
    </w:lvl>
    <w:lvl w:ilvl="4" w:tentative="1">
      <w:start w:val="1"/>
      <w:numFmt w:val="lowerLetter"/>
      <w:lvlText w:val="%5."/>
      <w:lvlJc w:val="left"/>
      <w:pPr>
        <w:ind w:left="3600" w:hanging="360"/>
      </w:pPr>
    </w:lvl>
    <w:lvl w:ilvl="5" w:tentative="1">
      <w:start w:val="1"/>
      <w:numFmt w:val="lowerRoman"/>
      <w:lvlText w:val="%6."/>
      <w:lvlJc w:val="right"/>
      <w:pPr>
        <w:ind w:left="4320" w:hanging="180"/>
      </w:pPr>
    </w:lvl>
    <w:lvl w:ilvl="6" w:tentative="1">
      <w:start w:val="1"/>
      <w:numFmt w:val="decimal"/>
      <w:lvlText w:val="%7."/>
      <w:lvlJc w:val="left"/>
      <w:pPr>
        <w:ind w:left="5040" w:hanging="360"/>
      </w:pPr>
    </w:lvl>
    <w:lvl w:ilvl="7" w:tentative="1">
      <w:start w:val="1"/>
      <w:numFmt w:val="lowerLetter"/>
      <w:lvlText w:val="%8."/>
      <w:lvlJc w:val="left"/>
      <w:pPr>
        <w:ind w:left="5760" w:hanging="360"/>
      </w:pPr>
    </w:lvl>
    <w:lvl w:ilvl="8" w:tentative="1">
      <w:start w:val="1"/>
      <w:numFmt w:val="lowerRoman"/>
      <w:lvlText w:val="%9."/>
      <w:lvlJc w:val="right"/>
      <w:pPr>
        <w:ind w:left="6480" w:hanging="180"/>
      </w:pPr>
    </w:lvl>
  </w:abstractNum>
  <w:abstractNum w:abstractNumId="4">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5">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6">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7">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8">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9">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0">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1">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2">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3">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abstractNum w:abstractNumId="14">
    <w:multiLevelType w:val="hybridMultilevel"/>
    <w:lvl w:ilvl="0" w:tentative="0">
      <w:start w:val="1"/>
      <w:numFmt w:val="bullet"/>
      <w:lvlText w:val="●"/>
      <w:lvlJc w:val="left"/>
      <w:pPr>
        <w:ind w:left="720" w:hanging="360"/>
      </w:pPr>
      <w:rPr>
        <w:u w:val="none"/>
      </w:rPr>
    </w:lvl>
    <w:lvl w:ilvl="1" w:tentative="0">
      <w:start w:val="1"/>
      <w:numFmt w:val="bullet"/>
      <w:lvlText w:val="○"/>
      <w:lvlJc w:val="left"/>
      <w:pPr>
        <w:ind w:left="1440" w:hanging="360"/>
      </w:pPr>
      <w:rPr>
        <w:u w:val="none"/>
      </w:rPr>
    </w:lvl>
    <w:lvl w:ilvl="2" w:tentative="0">
      <w:start w:val="1"/>
      <w:numFmt w:val="bullet"/>
      <w:lvlText w:val="■"/>
      <w:lvlJc w:val="left"/>
      <w:pPr>
        <w:ind w:left="2160" w:hanging="360"/>
      </w:pPr>
      <w:rPr>
        <w:u w:val="none"/>
      </w:rPr>
    </w:lvl>
    <w:lvl w:ilvl="3" w:tentative="0">
      <w:start w:val="1"/>
      <w:numFmt w:val="bullet"/>
      <w:lvlText w:val="●"/>
      <w:lvlJc w:val="left"/>
      <w:pPr>
        <w:ind w:left="2880" w:hanging="360"/>
      </w:pPr>
      <w:rPr>
        <w:u w:val="none"/>
      </w:rPr>
    </w:lvl>
    <w:lvl w:ilvl="4" w:tentative="0">
      <w:start w:val="1"/>
      <w:numFmt w:val="bullet"/>
      <w:lvlText w:val="○"/>
      <w:lvlJc w:val="left"/>
      <w:pPr>
        <w:ind w:left="3600" w:hanging="360"/>
      </w:pPr>
      <w:rPr>
        <w:u w:val="none"/>
      </w:rPr>
    </w:lvl>
    <w:lvl w:ilvl="5" w:tentative="0">
      <w:start w:val="1"/>
      <w:numFmt w:val="bullet"/>
      <w:lvlText w:val="■"/>
      <w:lvlJc w:val="left"/>
      <w:pPr>
        <w:ind w:left="4320" w:hanging="360"/>
      </w:pPr>
      <w:rPr>
        <w:u w:val="none"/>
      </w:rPr>
    </w:lvl>
    <w:lvl w:ilvl="6" w:tentative="0">
      <w:start w:val="1"/>
      <w:numFmt w:val="bullet"/>
      <w:lvlText w:val="●"/>
      <w:lvlJc w:val="left"/>
      <w:pPr>
        <w:ind w:left="5040" w:hanging="360"/>
      </w:pPr>
      <w:rPr>
        <w:u w:val="none"/>
      </w:rPr>
    </w:lvl>
    <w:lvl w:ilvl="7" w:tentative="0">
      <w:start w:val="1"/>
      <w:numFmt w:val="bullet"/>
      <w:lvlText w:val="○"/>
      <w:lvlJc w:val="left"/>
      <w:pPr>
        <w:ind w:left="5760" w:hanging="360"/>
      </w:pPr>
      <w:rPr>
        <w:u w:val="none"/>
      </w:rPr>
    </w:lvl>
    <w:lvl w:ilvl="8" w:tentative="0">
      <w:start w:val="1"/>
      <w:numFmt w:val="bullet"/>
      <w:lvlText w:val="■"/>
      <w:lvlJc w:val="left"/>
      <w:pPr>
        <w:ind w:left="6480" w:hanging="360"/>
      </w:pPr>
      <w:rPr>
        <w:u w:val="none"/>
      </w:rPr>
    </w:lvl>
  </w:abstractNum>
  <w:num w:numId="1">
    <w:abstractNumId w:val="1"/>
  </w:num>
  <w:num w:numId="2">
    <w:abstractNumId w:val="11"/>
  </w:num>
  <w:num w:numId="3">
    <w:abstractNumId w:val="5"/>
  </w:num>
  <w:num w:numId="4">
    <w:abstractNumId w:val="13"/>
  </w:num>
  <w:num w:numId="5">
    <w:abstractNumId w:val="6"/>
  </w:num>
  <w:num w:numId="6">
    <w:abstractNumId w:val="4"/>
  </w:num>
  <w:num w:numId="7">
    <w:abstractNumId w:val="0"/>
  </w:num>
  <w:num w:numId="8">
    <w:abstractNumId w:val="2"/>
  </w:num>
  <w:num w:numId="9">
    <w:abstractNumId w:val="7"/>
  </w:num>
  <w:num w:numId="10">
    <w:abstractNumId w:val="8"/>
  </w:num>
  <w:num w:numId="11">
    <w:abstractNumId w:val="9"/>
  </w:num>
  <w:num w:numId="12">
    <w:abstractNumId w:val="14"/>
  </w:num>
  <w:num w:numId="13">
    <w:abstractNumId w:val="12"/>
  </w:num>
  <w:num w:numId="14">
    <w:abstractNumId w:val="10"/>
  </w:num>
  <w:num w:numId="1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6"/>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4335"/>
    <w:rsid w:val="00173710"/>
    <w:rsid w:val="00227B1B"/>
    <w:rsid w:val="00321F31"/>
    <w:rsid w:val="00354335"/>
    <w:rsid w:val="004B39A8"/>
    <w:rsid w:val="007107CB"/>
    <w:rsid w:val="009F16D0"/>
    <w:rsid w:val="00AC5FAC"/>
    <w:rsid w:val="00AE69DF"/>
    <w:rsid w:val="00BF5C73"/>
    <w:rsid w:val="00EB411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420AA5"/>
  <w15:docId w15:val="{F1FCAA5D-7AA6-4F02-B212-9157CDD02F34}"/>
  <w:footnotePr>
    <w:footnote w:id="0"/>
    <w:footnote w:id="1"/>
  </w:footnotePr>
  <w:endnotePr>
    <w:endnote w:id="0"/>
    <w:endnote w:id="1"/>
  </w:endnotePr>
</w:settings>
</file>

<file path=word/styles.xml><?xml version="1.0" encoding="utf-8"?>
<w:styles xmlns:r="http://schemas.openxmlformats.org/officeDocument/2006/relationships" xmlns:w14="http://schemas.microsoft.com/office/word/2010/wordml" xmlns:w="http://schemas.openxmlformats.org/wordprocessingml/2006/main">
  <w:docDefaults>
    <w:rPrDefault>
      <w:rPr>
        <w:rFonts w:ascii="Arial" w:cs="Arial" w:eastAsia="Arial" w:hAnsi="Arial"/>
        <w:sz w:val="22"/>
        <w:szCs w:val="22"/>
        <w:lang w:val="en-AU" w:bidi="ar-SA" w:eastAsia="en-US"/>
      </w:rPr>
    </w:rPrDefault>
    <w:pPrDefault>
      <w:pPr>
        <w:spacing w:line="276" w:lineRule="auto"/>
      </w:pPr>
    </w:pPrDefault>
  </w:docDefaults>
  <w:style w:type="paragraph" w:styleId="Heading7">
    <w:name w:val="Heading 7"/>
    <w:basedOn w:val="Normal"/>
    <w:next w:val="Normal"/>
    <w:link w:val="Heading7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rPr>
  </w:style>
  <w:style w:type="paragraph" w:styleId="Heading8">
    <w:name w:val="Heading 8"/>
    <w:basedOn w:val="Normal"/>
    <w:next w:val="Normal"/>
    <w:link w:val="Heading8Char"/>
    <w:uiPriority w:val="9"/>
    <w:semiHidden w:val="on"/>
    <w:unhideWhenUsed w:val="on"/>
    <w:qFormat w:val="on"/>
    <w:pPr>
      <w:keepNext w:val="on"/>
      <w:keepLines w:val="on"/>
      <w:spacing w:before="200" w:after="0"/>
    </w:pPr>
    <w:rPr>
      <w:rFonts w:asciiTheme="majorHAnsi" w:cstheme="majorBidi" w:eastAsiaTheme="majorEastAsia" w:hAnsiTheme="majorHAnsi"/>
      <w:color w:val="404040" w:themeColor="text1" w:themeTint="bf"/>
      <w:sz w:val="20"/>
      <w:szCs w:val="20"/>
    </w:rPr>
  </w:style>
  <w:style w:type="paragraph" w:styleId="Heading9">
    <w:name w:val="Heading 9"/>
    <w:basedOn w:val="Normal"/>
    <w:next w:val="Normal"/>
    <w:link w:val="Heading9Char"/>
    <w:uiPriority w:val="9"/>
    <w:semiHidden w:val="on"/>
    <w:unhideWhenUsed w:val="on"/>
    <w:qFormat w:val="on"/>
    <w:pPr>
      <w:keepNext w:val="on"/>
      <w:keepLines w:val="on"/>
      <w:spacing w:before="200" w:after="0"/>
    </w:pPr>
    <w:rPr>
      <w:rFonts w:asciiTheme="majorHAnsi" w:cstheme="majorBidi" w:eastAsiaTheme="majorEastAsia" w:hAnsiTheme="majorHAnsi"/>
      <w:i/>
      <w:iCs/>
      <w:color w:val="404040" w:themeColor="text1" w:themeTint="bf"/>
      <w:sz w:val="20"/>
      <w:szCs w:val="20"/>
    </w:rPr>
  </w:style>
  <w:style w:type="paragraph" w:styleId="NoSpacing">
    <w:name w:val="No Spacing"/>
    <w:uiPriority w:val="1"/>
    <w:qFormat w:val="on"/>
    <w:pPr>
      <w:spacing w:after="0" w:line="240" w:lineRule="auto"/>
    </w:pPr>
  </w:style>
  <w:style w:type="character" w:customStyle="1" w:styleId="Heading1Char">
    <w:name w:val="Heading 1 Char"/>
    <w:basedOn w:val="DefaultParagraphFont"/>
    <w:link w:val="Heading1"/>
    <w:uiPriority w:val="9"/>
    <w:rPr>
      <w:rFonts w:asciiTheme="majorHAnsi" w:cstheme="majorBidi" w:eastAsiaTheme="majorEastAsia" w:hAnsiTheme="majorHAnsi"/>
      <w:b/>
      <w:bCs/>
      <w:color w:val="376091" w:themeColor="accent1" w:themeShade="bf"/>
      <w:sz w:val="28"/>
      <w:szCs w:val="28"/>
    </w:rPr>
  </w:style>
  <w:style w:type="character" w:customStyle="1" w:styleId="Heading2Char">
    <w:name w:val="Heading 2 Char"/>
    <w:basedOn w:val="DefaultParagraphFont"/>
    <w:link w:val="Heading2"/>
    <w:uiPriority w:val="9"/>
    <w:rPr>
      <w:rFonts w:asciiTheme="majorHAnsi" w:cstheme="majorBidi" w:eastAsiaTheme="majorEastAsia" w:hAnsiTheme="majorHAnsi"/>
      <w:b/>
      <w:bCs/>
      <w:color w:val="4f81bd" w:themeColor="accent1"/>
      <w:sz w:val="26"/>
      <w:szCs w:val="26"/>
    </w:rPr>
  </w:style>
  <w:style w:type="character" w:customStyle="1" w:styleId="Heading3Char">
    <w:name w:val="Heading 3 Char"/>
    <w:basedOn w:val="DefaultParagraphFont"/>
    <w:link w:val="Heading3"/>
    <w:uiPriority w:val="9"/>
    <w:rPr>
      <w:rFonts w:asciiTheme="majorHAnsi" w:cstheme="majorBidi" w:eastAsiaTheme="majorEastAsia" w:hAnsiTheme="majorHAnsi"/>
      <w:b/>
      <w:bCs/>
      <w:color w:val="4f81bd" w:themeColor="accent1"/>
    </w:rPr>
  </w:style>
  <w:style w:type="character" w:customStyle="1" w:styleId="Heading4Char">
    <w:name w:val="Heading 4 Char"/>
    <w:basedOn w:val="DefaultParagraphFont"/>
    <w:link w:val="Heading4"/>
    <w:uiPriority w:val="9"/>
    <w:rPr>
      <w:rFonts w:asciiTheme="majorHAnsi" w:cstheme="majorBidi" w:eastAsiaTheme="majorEastAsia" w:hAnsiTheme="majorHAnsi"/>
      <w:b/>
      <w:bCs/>
      <w:i/>
      <w:iCs/>
      <w:color w:val="4f81bd" w:themeColor="accent1"/>
    </w:rPr>
  </w:style>
  <w:style w:type="character" w:customStyle="1" w:styleId="Heading5Char">
    <w:name w:val="Heading 5 Char"/>
    <w:basedOn w:val="DefaultParagraphFont"/>
    <w:link w:val="Heading5"/>
    <w:uiPriority w:val="9"/>
    <w:rPr>
      <w:rFonts w:asciiTheme="majorHAnsi" w:cstheme="majorBidi" w:eastAsiaTheme="majorEastAsia" w:hAnsiTheme="majorHAnsi"/>
      <w:color w:val="243f60" w:themeColor="accent1" w:themeShade="7f"/>
    </w:rPr>
  </w:style>
  <w:style w:type="character" w:customStyle="1" w:styleId="Heading6Char">
    <w:name w:val="Heading 6 Char"/>
    <w:basedOn w:val="DefaultParagraphFont"/>
    <w:link w:val="Heading6"/>
    <w:uiPriority w:val="9"/>
    <w:rPr>
      <w:rFonts w:asciiTheme="majorHAnsi" w:cstheme="majorBidi" w:eastAsiaTheme="majorEastAsia" w:hAnsiTheme="majorHAnsi"/>
      <w:i/>
      <w:iCs/>
      <w:color w:val="243f60" w:themeColor="accent1" w:themeShade="7f"/>
    </w:rPr>
  </w:style>
  <w:style w:type="character" w:customStyle="1" w:styleId="Heading7Char">
    <w:name w:val="Heading 7 Char"/>
    <w:basedOn w:val="DefaultParagraphFont"/>
    <w:link w:val="Heading7"/>
    <w:uiPriority w:val="9"/>
    <w:rPr>
      <w:rFonts w:asciiTheme="majorHAnsi" w:cstheme="majorBidi" w:eastAsiaTheme="majorEastAsia" w:hAnsiTheme="majorHAnsi"/>
      <w:i/>
      <w:iCs/>
      <w:color w:val="404040" w:themeColor="text1" w:themeTint="bf"/>
    </w:rPr>
  </w:style>
  <w:style w:type="character" w:customStyle="1" w:styleId="Heading8Char">
    <w:name w:val="Heading 8 Char"/>
    <w:basedOn w:val="DefaultParagraphFont"/>
    <w:link w:val="Heading8"/>
    <w:uiPriority w:val="9"/>
    <w:rPr>
      <w:rFonts w:asciiTheme="majorHAnsi" w:cstheme="majorBidi" w:eastAsiaTheme="majorEastAsia" w:hAnsiTheme="majorHAnsi"/>
      <w:color w:val="404040" w:themeColor="text1" w:themeTint="bf"/>
      <w:sz w:val="20"/>
      <w:szCs w:val="20"/>
    </w:rPr>
  </w:style>
  <w:style w:type="character" w:customStyle="1" w:styleId="Heading9Char">
    <w:name w:val="Heading 9 Char"/>
    <w:basedOn w:val="DefaultParagraphFont"/>
    <w:link w:val="Heading9"/>
    <w:uiPriority w:val="9"/>
    <w:rPr>
      <w:rFonts w:asciiTheme="majorHAnsi" w:cstheme="majorBidi" w:eastAsiaTheme="majorEastAsia" w:hAnsiTheme="majorHAnsi"/>
      <w:i/>
      <w:iCs/>
      <w:color w:val="404040" w:themeColor="text1" w:themeTint="bf"/>
      <w:sz w:val="20"/>
      <w:szCs w:val="20"/>
    </w:rPr>
  </w:style>
  <w:style w:type="character" w:customStyle="1" w:styleId="TitleChar">
    <w:name w:val="Title Char"/>
    <w:basedOn w:val="DefaultParagraphFont"/>
    <w:link w:val="Title"/>
    <w:uiPriority w:val="10"/>
    <w:rPr>
      <w:rFonts w:asciiTheme="majorHAnsi" w:cstheme="majorBidi" w:eastAsiaTheme="majorEastAsia" w:hAnsiTheme="majorHAnsi"/>
      <w:color w:val="17375d" w:themeColor="text2" w:themeShade="bf"/>
      <w:spacing w:val="5"/>
      <w:sz w:val="52"/>
      <w:szCs w:val="52"/>
    </w:rPr>
  </w:style>
  <w:style w:type="character" w:customStyle="1" w:styleId="SubtitleChar">
    <w:name w:val="Subtitle Char"/>
    <w:basedOn w:val="DefaultParagraphFont"/>
    <w:link w:val="Subtitle"/>
    <w:uiPriority w:val="11"/>
    <w:rPr>
      <w:rFonts w:asciiTheme="majorHAnsi" w:cstheme="majorBidi" w:eastAsiaTheme="majorEastAsia" w:hAnsiTheme="majorHAnsi"/>
      <w:i/>
      <w:iCs/>
      <w:color w:val="4f81bd" w:themeColor="accent1"/>
      <w:spacing w:val="15"/>
      <w:sz w:val="24"/>
      <w:szCs w:val="24"/>
    </w:rPr>
  </w:style>
  <w:style w:type="character" w:styleId="SubtleEmphasis">
    <w:name w:val="Subtle Emphasis"/>
    <w:basedOn w:val="DefaultParagraphFont"/>
    <w:uiPriority w:val="19"/>
    <w:qFormat w:val="on"/>
    <w:rPr>
      <w:i/>
      <w:iCs/>
      <w:color w:val="808080" w:themeColor="text1" w:themeTint="7f"/>
    </w:rPr>
  </w:style>
  <w:style w:type="character" w:styleId="Emphasis">
    <w:name w:val="Emphasis"/>
    <w:basedOn w:val="DefaultParagraphFont"/>
    <w:uiPriority w:val="20"/>
    <w:qFormat w:val="on"/>
    <w:rPr>
      <w:i/>
      <w:iCs/>
    </w:rPr>
  </w:style>
  <w:style w:type="character" w:styleId="IntenseEmphasis">
    <w:name w:val="Intense Emphasis"/>
    <w:basedOn w:val="DefaultParagraphFont"/>
    <w:uiPriority w:val="21"/>
    <w:qFormat w:val="on"/>
    <w:rPr>
      <w:b/>
      <w:bCs/>
      <w:i/>
      <w:iCs/>
      <w:color w:val="4f81bd" w:themeColor="accent1"/>
    </w:rPr>
  </w:style>
  <w:style w:type="character" w:styleId="Strong">
    <w:name w:val="Strong"/>
    <w:basedOn w:val="DefaultParagraphFont"/>
    <w:uiPriority w:val="22"/>
    <w:qFormat w:val="on"/>
    <w:rPr>
      <w:b/>
      <w:bCs/>
    </w:rPr>
  </w:style>
  <w:style w:type="paragraph" w:styleId="Quote">
    <w:name w:val="Quote"/>
    <w:basedOn w:val="Normal"/>
    <w:next w:val="Normal"/>
    <w:link w:val="QuoteChar"/>
    <w:uiPriority w:val="29"/>
    <w:qFormat w:val="on"/>
    <w:rPr>
      <w:i/>
      <w:iCs/>
      <w:color w:val="000000" w:themeColor="text1"/>
    </w:rPr>
  </w:style>
  <w:style w:type="character" w:customStyle="1" w:styleId="QuoteChar">
    <w:name w:val="Quote Char"/>
    <w:basedOn w:val="DefaultParagraphFont"/>
    <w:link w:val="Quote"/>
    <w:uiPriority w:val="29"/>
    <w:rPr>
      <w:i/>
      <w:iCs/>
      <w:color w:val="000000" w:themeColor="text1"/>
    </w:rPr>
  </w:style>
  <w:style w:type="paragraph" w:styleId="IntenseQuote">
    <w:name w:val="Intense Quote"/>
    <w:basedOn w:val="Normal"/>
    <w:next w:val="Normal"/>
    <w:link w:val="IntenseQuoteChar"/>
    <w:uiPriority w:val="30"/>
    <w:qFormat w:val="on"/>
    <w:pPr>
      <w:pBdr>
        <w:bottom w:val="single" w:color="4f81bd" w:themeColor="accent1" w:sz="4" w:space="4"/>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Pr>
      <w:b/>
      <w:bCs/>
      <w:i/>
      <w:iCs/>
      <w:color w:val="4f81bd" w:themeColor="accent1"/>
    </w:rPr>
  </w:style>
  <w:style w:type="character" w:styleId="SubtleReference">
    <w:name w:val="Subtle Reference"/>
    <w:basedOn w:val="DefaultParagraphFont"/>
    <w:uiPriority w:val="31"/>
    <w:qFormat w:val="on"/>
    <w:rPr>
      <w:smallCaps/>
      <w:color w:val="c0504d" w:themeColor="accent2"/>
      <w:u w:val="single"/>
    </w:rPr>
  </w:style>
  <w:style w:type="character" w:styleId="IntenseReference">
    <w:name w:val="Intense Reference"/>
    <w:basedOn w:val="DefaultParagraphFont"/>
    <w:uiPriority w:val="32"/>
    <w:qFormat w:val="on"/>
    <w:rPr>
      <w:b/>
      <w:bCs/>
      <w:smallCaps/>
      <w:color w:val="c0504d" w:themeColor="accent2"/>
      <w:spacing w:val="5"/>
      <w:u w:val="single"/>
    </w:rPr>
  </w:style>
  <w:style w:type="character" w:styleId="BookTitle">
    <w:name w:val="Book Title"/>
    <w:basedOn w:val="DefaultParagraphFont"/>
    <w:uiPriority w:val="33"/>
    <w:qFormat w:val="on"/>
    <w:rPr>
      <w:b/>
      <w:bCs/>
      <w:smallCaps/>
      <w:spacing w:val="5"/>
    </w:rPr>
  </w:style>
  <w:style w:type="paragraph" w:styleId="Footnotetext">
    <w:name w:val="Footnote text"/>
    <w:basedOn w:val="Normal"/>
    <w:link w:val="FootnoteTextChar"/>
    <w:uiPriority w:val="99"/>
    <w:semiHidden w:val="on"/>
    <w:unhideWhenUsed w:val="on"/>
    <w:pPr>
      <w:spacing w:after="0" w:line="240" w:lineRule="auto"/>
    </w:pPr>
    <w:rPr>
      <w:sz w:val="20"/>
      <w:szCs w:val="20"/>
    </w:rPr>
  </w:style>
  <w:style w:type="character" w:customStyle="1" w:styleId="FootnoteTextChar">
    <w:name w:val="Footnote Text Char"/>
    <w:basedOn w:val="DefaultParagraphFont"/>
    <w:link w:val="Footnotetext"/>
    <w:uiPriority w:val="99"/>
    <w:semiHidden w:val="on"/>
    <w:rPr>
      <w:sz w:val="20"/>
      <w:szCs w:val="20"/>
    </w:rPr>
  </w:style>
  <w:style w:type="character" w:styleId="Footnotereference">
    <w:name w:val="Footnote reference"/>
    <w:basedOn w:val="DefaultParagraphFont"/>
    <w:uiPriority w:val="99"/>
    <w:semiHidden w:val="on"/>
    <w:unhideWhenUsed w:val="on"/>
    <w:rPr>
      <w:vertAlign w:val="superscript"/>
    </w:rPr>
  </w:style>
  <w:style w:type="paragraph" w:styleId="Endnotetext">
    <w:name w:val="Endnote text"/>
    <w:basedOn w:val="Normal"/>
    <w:link w:val="EndnoteTextChar"/>
    <w:uiPriority w:val="99"/>
    <w:semiHidden w:val="on"/>
    <w:unhideWhenUsed w:val="on"/>
    <w:pPr>
      <w:spacing w:after="0" w:line="240" w:lineRule="auto"/>
    </w:pPr>
    <w:rPr>
      <w:sz w:val="20"/>
      <w:szCs w:val="20"/>
    </w:rPr>
  </w:style>
  <w:style w:type="character" w:customStyle="1" w:styleId="EndnoteTextChar">
    <w:name w:val="Endnote Text Char"/>
    <w:basedOn w:val="DefaultParagraphFont"/>
    <w:link w:val="Endnotetext"/>
    <w:uiPriority w:val="99"/>
    <w:semiHidden w:val="on"/>
    <w:rPr>
      <w:sz w:val="20"/>
      <w:szCs w:val="20"/>
    </w:rPr>
  </w:style>
  <w:style w:type="character" w:styleId="Endnotereference">
    <w:name w:val="Endnote reference"/>
    <w:basedOn w:val="DefaultParagraphFont"/>
    <w:uiPriority w:val="99"/>
    <w:semiHidden w:val="on"/>
    <w:unhideWhenUsed w:val="on"/>
    <w:rPr>
      <w:vertAlign w:val="superscript"/>
    </w:rPr>
  </w:style>
  <w:style w:type="paragraph" w:styleId="PlainText">
    <w:name w:val="Plain Text"/>
    <w:basedOn w:val="Normal"/>
    <w:link w:val="PlainTextChar"/>
    <w:uiPriority w:val="99"/>
    <w:semiHidden w:val="on"/>
    <w:unhideWhenUsed w:val="on"/>
    <w:pPr>
      <w:spacing w:after="0" w:line="240" w:lineRule="auto"/>
    </w:pPr>
    <w:rPr>
      <w:rFonts w:ascii="Courier New" w:cs="Courier New" w:hAnsi="Courier New"/>
      <w:sz w:val="21"/>
      <w:szCs w:val="21"/>
    </w:rPr>
  </w:style>
  <w:style w:type="character" w:customStyle="1" w:styleId="PlainTextChar">
    <w:name w:val="Plain Text Char"/>
    <w:basedOn w:val="DefaultParagraphFont"/>
    <w:link w:val="PlainText"/>
    <w:uiPriority w:val="99"/>
    <w:rPr>
      <w:rFonts w:ascii="Courier New" w:cs="Courier New" w:hAnsi="Courier New"/>
      <w:sz w:val="21"/>
      <w:szCs w:val="21"/>
    </w:rPr>
  </w:style>
  <w:style w:type="paragraph" w:default="1" w:styleId="Normal">
    <w:name w:val="Normal"/>
    <w:uiPriority w:val="99"/>
  </w:style>
  <w:style w:type="paragraph" w:styleId="Heading1">
    <w:name w:val="Heading 1"/>
    <w:basedOn w:val="Normal"/>
    <w:next w:val="Normal"/>
    <w:uiPriority w:val="99"/>
    <w:pPr>
      <w:keepNext w:val="on"/>
      <w:keepLines w:val="on"/>
      <w:spacing w:before="400" w:after="120" w:line="360" w:lineRule="auto"/>
      <w:jc w:val="both"/>
    </w:pPr>
    <w:rPr>
      <w:rFonts w:ascii="Times New Roman" w:cs="Times New Roman" w:hAnsi="Times New Roman"/>
      <w:b/>
      <w:bCs/>
      <w:sz w:val="28"/>
      <w:szCs w:val="28"/>
      <w:lang w:val="en-GB"/>
    </w:rPr>
  </w:style>
  <w:style w:type="paragraph" w:styleId="Heading2">
    <w:name w:val="Heading 2"/>
    <w:basedOn w:val="Normal"/>
    <w:next w:val="Normal"/>
    <w:uiPriority w:val="99"/>
    <w:pPr>
      <w:keepNext w:val="on"/>
      <w:keepLines w:val="on"/>
      <w:spacing w:before="360" w:after="120"/>
    </w:pPr>
    <w:rPr>
      <w:sz w:val="32"/>
      <w:szCs w:val="32"/>
    </w:rPr>
  </w:style>
  <w:style w:type="paragraph" w:styleId="Heading3">
    <w:name w:val="Heading 3"/>
    <w:basedOn w:val="Normal"/>
    <w:next w:val="Normal"/>
    <w:uiPriority w:val="99"/>
    <w:pPr>
      <w:keepNext w:val="on"/>
      <w:keepLines w:val="on"/>
      <w:spacing w:before="320" w:after="80"/>
    </w:pPr>
    <w:rPr>
      <w:color w:val="434343"/>
      <w:sz w:val="28"/>
      <w:szCs w:val="28"/>
    </w:rPr>
  </w:style>
  <w:style w:type="paragraph" w:styleId="Heading4">
    <w:name w:val="Heading 4"/>
    <w:basedOn w:val="Normal"/>
    <w:next w:val="Normal"/>
    <w:uiPriority w:val="99"/>
    <w:pPr>
      <w:keepNext w:val="on"/>
      <w:keepLines w:val="on"/>
      <w:spacing w:before="280" w:after="80"/>
    </w:pPr>
    <w:rPr>
      <w:color w:val="666666"/>
      <w:sz w:val="24"/>
      <w:szCs w:val="24"/>
    </w:rPr>
  </w:style>
  <w:style w:type="paragraph" w:styleId="Heading5">
    <w:name w:val="Heading 5"/>
    <w:basedOn w:val="Normal"/>
    <w:next w:val="Normal"/>
    <w:uiPriority w:val="99"/>
    <w:pPr>
      <w:keepNext w:val="on"/>
      <w:keepLines w:val="on"/>
      <w:spacing w:before="240" w:after="80"/>
    </w:pPr>
    <w:rPr>
      <w:color w:val="666666"/>
    </w:rPr>
  </w:style>
  <w:style w:type="paragraph" w:styleId="Heading6">
    <w:name w:val="Heading 6"/>
    <w:basedOn w:val="Normal"/>
    <w:next w:val="Normal"/>
    <w:uiPriority w:val="99"/>
    <w:pPr>
      <w:keepNext w:val="on"/>
      <w:keepLines w:val="on"/>
      <w:spacing w:before="240" w:after="80"/>
    </w:pPr>
    <w:rPr>
      <w:i/>
      <w:color w:val="666666"/>
    </w:rPr>
  </w:style>
  <w:style w:type="character" w:default="1" w:styleId="DefaultParagraphFont">
    <w:name w:val="Default Paragraph Font"/>
    <w:uiPriority w:val="1"/>
    <w:semiHidden w:val="on"/>
    <w:unhideWhenUsed w:val="on"/>
  </w:style>
  <w:style w:type="table" w:default="1" w:styleId="NormalTable">
    <w:name w:val="Normal Table"/>
    <w:uiPriority w:val="99"/>
    <w:semiHidden w:val="on"/>
    <w:unhideWhenUsed w:val="on"/>
    <w:tblPr>
      <w:tblInd w:w="0" w:type="dxa"/>
      <w:tblCellMar>
        <w:top w:w="0" w:type="dxa"/>
        <w:left w:w="108" w:type="dxa"/>
        <w:bottom w:w="0" w:type="dxa"/>
        <w:right w:w="108" w:type="dxa"/>
      </w:tblCellMar>
    </w:tblPr>
  </w:style>
  <w:style w:type="numbering" w:default="1" w:styleId="NoList">
    <w:name w:val="No List"/>
    <w:uiPriority w:val="99"/>
    <w:semiHidden w:val="on"/>
    <w:unhideWhenUsed w:val="on"/>
  </w:style>
  <w:style w:type="paragraph" w:styleId="Title">
    <w:name w:val="Title"/>
    <w:basedOn w:val="Normal"/>
    <w:next w:val="Normal"/>
    <w:uiPriority w:val="99"/>
    <w:pPr>
      <w:keepNext w:val="on"/>
      <w:keepLines w:val="on"/>
      <w:spacing w:after="60"/>
    </w:pPr>
    <w:rPr>
      <w:sz w:val="52"/>
      <w:szCs w:val="52"/>
    </w:rPr>
  </w:style>
  <w:style w:type="paragraph" w:styleId="Subtitle">
    <w:name w:val="Subtitle"/>
    <w:basedOn w:val="Normal"/>
    <w:next w:val="Normal"/>
    <w:uiPriority w:val="99"/>
    <w:pPr>
      <w:keepNext w:val="on"/>
      <w:keepLines w:val="on"/>
      <w:spacing w:after="320"/>
    </w:pPr>
    <w:rPr>
      <w:color w:val="666666"/>
      <w:sz w:val="30"/>
      <w:szCs w:val="30"/>
    </w:rPr>
  </w:style>
  <w:style w:type="table" w:customStyle="1" w:styleId="Table1">
    <w:name w:val="Table1"/>
    <w:basedOn w:val="NormalTable"/>
    <w:uiPriority w:val="99"/>
    <w:tblPr>
      <w:tblStyleRowBandSize w:val="1"/>
      <w:tblStyleColBandSize w:val="1"/>
      <w:tblCellMar>
        <w:top w:w="100" w:type="dxa"/>
        <w:left w:w="100" w:type="dxa"/>
        <w:bottom w:w="100" w:type="dxa"/>
        <w:right w:w="100" w:type="dxa"/>
      </w:tblCellMar>
    </w:tblPr>
  </w:style>
  <w:style w:type="table" w:customStyle="1" w:styleId="Table2">
    <w:name w:val="Table2"/>
    <w:basedOn w:val="NormalTable"/>
    <w:uiPriority w:val="99"/>
    <w:tblPr>
      <w:tblStyleRowBandSize w:val="1"/>
      <w:tblStyleColBandSize w:val="1"/>
      <w:tblCellMar>
        <w:top w:w="100" w:type="dxa"/>
        <w:left w:w="100" w:type="dxa"/>
        <w:bottom w:w="100" w:type="dxa"/>
        <w:right w:w="100" w:type="dxa"/>
      </w:tblCellMar>
    </w:tblPr>
  </w:style>
  <w:style w:type="table" w:customStyle="1" w:styleId="Table3">
    <w:name w:val="Table3"/>
    <w:basedOn w:val="NormalTable"/>
    <w:uiPriority w:val="99"/>
    <w:tblPr>
      <w:tblStyleRowBandSize w:val="1"/>
      <w:tblStyleColBandSize w:val="1"/>
      <w:tblCellMar>
        <w:top w:w="100" w:type="dxa"/>
        <w:left w:w="100" w:type="dxa"/>
        <w:bottom w:w="100" w:type="dxa"/>
        <w:right w:w="100" w:type="dxa"/>
      </w:tblCellMar>
    </w:tblPr>
  </w:style>
  <w:style w:type="table" w:customStyle="1" w:styleId="Table4">
    <w:name w:val="Table4"/>
    <w:basedOn w:val="NormalTable"/>
    <w:uiPriority w:val="99"/>
    <w:tblPr>
      <w:tblStyleRowBandSize w:val="1"/>
      <w:tblStyleColBandSize w:val="1"/>
      <w:tblCellMar>
        <w:top w:w="100" w:type="dxa"/>
        <w:left w:w="100" w:type="dxa"/>
        <w:bottom w:w="100" w:type="dxa"/>
        <w:right w:w="100" w:type="dxa"/>
      </w:tblCellMar>
    </w:tblPr>
  </w:style>
  <w:style w:type="table" w:customStyle="1" w:styleId="Table5">
    <w:name w:val="Table5"/>
    <w:basedOn w:val="NormalTable"/>
    <w:uiPriority w:val="99"/>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val="on"/>
    <w:rPr>
      <w:color w:val="0000ff" w:themeColor="hyperlink"/>
      <w:u w:val="single"/>
    </w:rPr>
  </w:style>
  <w:style w:type="paragraph" w:styleId="Normal(Web)">
    <w:name w:val="Normal (Web)"/>
    <w:basedOn w:val="Normal"/>
    <w:uiPriority w:val="99"/>
    <w:semiHidden w:val="on"/>
    <w:unhideWhenUsed w:val="on"/>
    <w:pPr>
      <w:spacing w:before="100" w:after="100" w:line="240" w:lineRule="auto"/>
    </w:pPr>
    <w:rPr>
      <w:rFonts w:ascii="Times New Roman" w:cs="Times New Roman" w:eastAsia="Times New Roman" w:hAnsi="Times New Roman"/>
      <w:sz w:val="24"/>
      <w:szCs w:val="24"/>
      <w:lang w:val="en-IN" w:eastAsia="en-IN"/>
    </w:rPr>
  </w:style>
  <w:style w:type="paragraph" w:styleId="ListParagraph">
    <w:name w:val="List Paragraph"/>
    <w:basedOn w:val="Normal"/>
    <w:uiPriority w:val="34"/>
    <w:qFormat w:val="on"/>
    <w:pPr>
      <w:spacing w:after="160" w:line="259" w:lineRule="auto"/>
      <w:ind w:left="720"/>
      <w:contextualSpacing w:val="on"/>
    </w:pPr>
    <w:rPr>
      <w:rFonts w:asciiTheme="minorHAnsi" w:cstheme="minorBidi" w:eastAsiaTheme="minorHAnsi" w:hAnsiTheme="minorHAnsi"/>
      <w:lang w:val="en-IN"/>
    </w:rPr>
  </w:style>
  <w:style w:type="paragraph" w:styleId="TOCHeading">
    <w:name w:val="TOC Heading"/>
    <w:basedOn w:val="Heading1"/>
    <w:next w:val="Normal"/>
    <w:uiPriority w:val="39"/>
    <w:unhideWhenUsed w:val="on"/>
    <w:qFormat w:val="on"/>
    <w:pPr>
      <w:spacing w:before="240" w:after="0" w:line="259" w:lineRule="auto"/>
      <w:jc w:val="left"/>
    </w:pPr>
    <w:rPr>
      <w:rFonts w:asciiTheme="majorHAnsi" w:cstheme="majorBidi" w:eastAsiaTheme="majorEastAsia" w:hAnsiTheme="majorHAnsi"/>
      <w:b w:val="off"/>
      <w:bCs w:val="off"/>
      <w:color w:val="376091" w:themeColor="accent1" w:themeShade="bf"/>
      <w:sz w:val="32"/>
      <w:szCs w:val="32"/>
      <w:lang w:val="en-US"/>
    </w:rPr>
  </w:style>
  <w:style w:type="paragraph" w:styleId="Toc1">
    <w:name w:val="Toc 1"/>
    <w:basedOn w:val="Normal"/>
    <w:next w:val="Normal"/>
    <w:uiPriority w:val="39"/>
    <w:unhideWhenUsed w:val="on"/>
    <w:pPr>
      <w:spacing w:after="100"/>
    </w:pPr>
  </w:style>
  <w:style w:type="paragraph" w:styleId="Header">
    <w:name w:val="Header"/>
    <w:basedOn w:val="Normal"/>
    <w:link w:val="HeaderChar"/>
    <w:uiPriority w:val="99"/>
    <w:unhideWhenUsed w:val="on"/>
    <w:pPr>
      <w:tabs>
        <w:tab w:val="center" w:pos="4513"/>
        <w:tab w:val="right" w:pos="9026"/>
      </w:tabs>
      <w:spacing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unhideWhenUsed w:val="on"/>
    <w:pPr>
      <w:tabs>
        <w:tab w:val="center" w:pos="4513"/>
        <w:tab w:val="right" w:pos="9026"/>
      </w:tabs>
      <w:spacing w:line="240" w:lineRule="auto"/>
    </w:pPr>
  </w:style>
  <w:style w:type="character" w:customStyle="1" w:styleId="FooterChar">
    <w:name w:val="Footer Char"/>
    <w:basedOn w:val="DefaultParagraphFont"/>
    <w:link w:val="Footer"/>
    <w:uiPriority w:val="9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16" Type="http://schemas.openxmlformats.org/officeDocument/2006/relationships/footer" Target="footer1.xml"/><Relationship Id="rId17" Type="http://schemas.openxmlformats.org/officeDocument/2006/relationships/fontTable" Target="fontTable.xml"/><Relationship Id="rId18" Type="http://schemas.openxmlformats.org/officeDocument/2006/relationships/theme" Target="theme/theme1.xml"/><Relationship Id="rId19" Type="http://schemas.openxmlformats.org/officeDocument/2006/relationships/footer" Target="footer1.xml"/><Relationship Id="rId2" Type="http://schemas.openxmlformats.org/officeDocument/2006/relationships/numbering" Target="numbering.xml"/><Relationship Id="rId20" Type="http://schemas.openxmlformats.org/officeDocument/2006/relationships/footer" Target="footer1.xml"/><Relationship Id="rId3" Type="http://schemas.openxmlformats.org/officeDocument/2006/relationships/styles" Target="styles.xml"/><Relationship Id="rId4" Type="http://schemas.openxmlformats.org/officeDocument/2006/relationships/settings" Target="settings.xml"/><Relationship Id="rId6" Type="http://schemas.openxmlformats.org/officeDocument/2006/relationships/footnotes" Target="footnotes.xml"/><Relationship Id="rId7" Type="http://schemas.openxmlformats.org/officeDocument/2006/relationships/endnotes" Target="endnotes.xml"/><Relationship Id="rId1" Type="http://schemas.openxmlformats.org/officeDocument/2006/relationships/customXml" Target="../customXml/item1.xml"/><Relationship Id="rId5" Type="http://schemas.openxmlformats.org/officeDocument/2006/relationships/webSettings" Target="webSettings.xml"/><Relationship Id="rId8" Type="http://schemas.openxmlformats.org/officeDocument/2006/relationships/hyperlink" Target="https://www.academia.edu/download/55397417/86._Impact_of_Domestic_Global_FullPaper.pdf" TargetMode="External"/><Relationship Id="rId9" Type="http://schemas.openxmlformats.org/officeDocument/2006/relationships/hyperlink" Target="https://www.researchgate.net/profile/Wissal-Ben-Arfi/publication/320366819_External_knowledge_sources_green_innovation_and_performance/links/5bf5d82e299bf1124fe4ce5c/External-knowledge-sources-green-innovation-and-performance.pdf" TargetMode="External"/><Relationship Id="rId10" Type="http://schemas.openxmlformats.org/officeDocument/2006/relationships/hyperlink" Target="https://www2.astonmartin.com/en/racing/news/2012/05/04/aston-martin-faces-new-challenges" TargetMode="External"/><Relationship Id="rId11" Type="http://schemas.openxmlformats.org/officeDocument/2006/relationships/hyperlink" Target="https://www.theseus.fi/bitstream/handle/10024/150259/Thesis_Aneta_Chodakowska.pdf?sequ" TargetMode="External"/><Relationship Id="rId12" Type="http://schemas.openxmlformats.org/officeDocument/2006/relationships/hyperlink" Target="https://www.theguardian.com/business/2019/nov/07/aston-martin-blames-tough-european-market-for-135m-loss" TargetMode="External"/><Relationship Id="rId13" Type="http://schemas.openxmlformats.org/officeDocument/2006/relationships/hyperlink" Target="https://www.thetruthaboutcars.com/2019/07/aston-martin-has-a-few-problems/" TargetMode="External"/><Relationship Id="rId14" Type="http://schemas.openxmlformats.org/officeDocument/2006/relationships/hyperlink" Target="https://www.emerald.com/insight/content/doi/10.1108/JMTM-01-2018-0020/full/pdf" TargetMode="External"/><Relationship Id="rId15" Type="http://schemas.openxmlformats.org/officeDocument/2006/relationships/hyperlink" Target="https://www.mdpi.com/2071-1050/12/23/9807/pdf" TargetMode="External"/></Relationships>
</file>

<file path=word/_rels/endnotes.xml.rels><?xml version="1.0" encoding="UTF-8" standalone="yes"?>
<Relationships xmlns="http://schemas.openxmlformats.org/package/2006/relationships"></Relationships>
</file>

<file path=word/_rels/footer1.xml.rels><?xml version="1.0" encoding="UTF-8" standalone="yes"?>
<Relationships xmlns="http://schemas.openxmlformats.org/package/2006/relationships"></Relationships>
</file>

<file path=word/_rels/footnotes.xml.rels><?xml version="1.0" encoding="UTF-8" standalone="yes"?>
<Relationships xmlns="http://schemas.openxmlformats.org/package/2006/relationships"></Relationships>
</file>

<file path=word/_rels/numbering.xml.rels><?xml version="1.0" encoding="UTF-8" standalone="yes"?>
<Relationships xmlns="http://schemas.openxmlformats.org/package/2006/relationships"></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Arab" typeface="Times New Roman"/>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Times New Roman"/>
        <a:font script="Knda" typeface="Tunga"/>
        <a:font script="Khmr" typeface="MoolBoran"/>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Angsana New"/>
        <a:font script="Tibt" typeface="Microsoft Himalaya"/>
        <a:font script="Cans" typeface="Euphemia"/>
        <a:font script="Yiii" typeface="Microsoft Yi Baiti"/>
        <a:font script="Hans" typeface="宋体"/>
        <a:font script="Hant" typeface="新細明體"/>
        <a:font script="Jpan" typeface="ＭＳ ゴシック"/>
      </a:majorFont>
      <a:minorFont>
        <a:latin typeface="Cambria"/>
        <a:ea typeface=""/>
        <a:cs typeface=""/>
        <a:font script="Arab" typeface="Arial"/>
        <a:font script="Beng" typeface="Vrinda"/>
        <a:font script="Cher" typeface="Plantagenet Cherokee"/>
        <a:font script="Deva" typeface="Mangal"/>
        <a:font script="Ethi" typeface="Nyala"/>
        <a:font script="Geor" typeface="Sylfaen"/>
        <a:font script="Gujr" typeface="Shruti"/>
        <a:font script="Guru" typeface="Raavi"/>
        <a:font script="Hang" typeface="맑은 고딕"/>
        <a:font script="Hebr" typeface="Arial"/>
        <a:font script="Knda" typeface="Tunga"/>
        <a:font script="Khmr" typeface="DaunPenh"/>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Cordia New"/>
        <a:font script="Tibt" typeface="Microsoft Himalaya"/>
        <a:font script="Cans" typeface="Euphemia"/>
        <a:font script="Yiii" typeface="Microsoft Yi Baiti"/>
        <a:font script="Hans" typeface="宋体"/>
        <a:font script="Hant" typeface="新細明體"/>
        <a:font script="Jpan" typeface="ＭＳ 明朝"/>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263C89-1ED8-A149-80D3-34ED802F0F9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2879</Words>
  <Characters>16413</Characters>
  <Application>Microsoft Office Word</Application>
  <DocSecurity>0</DocSecurity>
  <Lines>136</Lines>
  <Paragraphs>38</Paragraphs>
  <ScaleCrop>false</ScaleCrop>
  <Company/>
  <LinksUpToDate>false</LinksUpToDate>
  <CharactersWithSpaces>19254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Roti</dc:creator>
  <cp:lastModifiedBy>Roti</cp:lastModifiedBy>
</cp:coreProperties>
</file>