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72DCE" w14:textId="77777777" w:rsidR="00F4682E" w:rsidRPr="00126CFE" w:rsidRDefault="00F4682E" w:rsidP="00F4682E">
      <w:pPr>
        <w:jc w:val="center"/>
        <w:rPr>
          <w:rFonts w:ascii="Arial" w:hAnsi="Arial" w:cs="Arial"/>
          <w:sz w:val="24"/>
          <w:szCs w:val="24"/>
        </w:rPr>
      </w:pPr>
    </w:p>
    <w:p w14:paraId="7A5BA119" w14:textId="77777777" w:rsidR="00F4682E" w:rsidRPr="00126CFE" w:rsidRDefault="00F4682E" w:rsidP="00F4682E">
      <w:pPr>
        <w:jc w:val="center"/>
        <w:rPr>
          <w:rFonts w:ascii="Arial" w:hAnsi="Arial" w:cs="Arial"/>
          <w:sz w:val="24"/>
          <w:szCs w:val="24"/>
        </w:rPr>
      </w:pPr>
    </w:p>
    <w:p w14:paraId="45079AD0" w14:textId="77777777" w:rsidR="00F4682E" w:rsidRPr="00126CFE" w:rsidRDefault="00F4682E" w:rsidP="00F4682E">
      <w:pPr>
        <w:jc w:val="center"/>
        <w:rPr>
          <w:rFonts w:ascii="Arial" w:hAnsi="Arial" w:cs="Arial"/>
          <w:sz w:val="24"/>
          <w:szCs w:val="24"/>
        </w:rPr>
      </w:pPr>
    </w:p>
    <w:p w14:paraId="3942936D" w14:textId="77777777" w:rsidR="00F4682E" w:rsidRPr="00126CFE" w:rsidRDefault="00F4682E" w:rsidP="00F4682E">
      <w:pPr>
        <w:jc w:val="center"/>
        <w:rPr>
          <w:rFonts w:ascii="Arial" w:hAnsi="Arial" w:cs="Arial"/>
          <w:sz w:val="24"/>
          <w:szCs w:val="24"/>
        </w:rPr>
      </w:pPr>
    </w:p>
    <w:p w14:paraId="114A8633" w14:textId="77777777" w:rsidR="00F4682E" w:rsidRPr="00126CFE" w:rsidRDefault="00F4682E" w:rsidP="00F4682E">
      <w:pPr>
        <w:jc w:val="center"/>
        <w:rPr>
          <w:rFonts w:ascii="Arial" w:hAnsi="Arial" w:cs="Arial"/>
          <w:sz w:val="24"/>
          <w:szCs w:val="24"/>
        </w:rPr>
      </w:pPr>
    </w:p>
    <w:p w14:paraId="3A576292" w14:textId="77777777" w:rsidR="00F4682E" w:rsidRPr="00126CFE" w:rsidRDefault="00F4682E" w:rsidP="00F4682E">
      <w:pPr>
        <w:jc w:val="center"/>
        <w:rPr>
          <w:rFonts w:ascii="Arial" w:hAnsi="Arial" w:cs="Arial"/>
          <w:sz w:val="24"/>
          <w:szCs w:val="24"/>
        </w:rPr>
      </w:pPr>
    </w:p>
    <w:p w14:paraId="0CB4A08E" w14:textId="77777777" w:rsidR="00F4682E" w:rsidRPr="00126CFE" w:rsidRDefault="00F4682E" w:rsidP="00F4682E">
      <w:pPr>
        <w:jc w:val="center"/>
        <w:rPr>
          <w:rFonts w:ascii="Arial" w:hAnsi="Arial" w:cs="Arial"/>
          <w:sz w:val="24"/>
          <w:szCs w:val="24"/>
        </w:rPr>
      </w:pPr>
    </w:p>
    <w:p w14:paraId="0F56ED3A" w14:textId="456D49CA" w:rsidR="00F4682E" w:rsidRPr="00126CFE" w:rsidRDefault="00F4682E" w:rsidP="00F4682E">
      <w:pPr>
        <w:jc w:val="center"/>
        <w:rPr>
          <w:rFonts w:ascii="Arial" w:hAnsi="Arial" w:cs="Arial"/>
          <w:sz w:val="24"/>
          <w:szCs w:val="24"/>
        </w:rPr>
      </w:pPr>
      <w:r w:rsidRPr="00126CFE">
        <w:rPr>
          <w:rFonts w:ascii="Arial" w:hAnsi="Arial" w:cs="Arial"/>
          <w:sz w:val="24"/>
          <w:szCs w:val="24"/>
        </w:rPr>
        <w:t>Strategic and Agile Business Management (BMMB7027D)</w:t>
      </w:r>
    </w:p>
    <w:p w14:paraId="14D78C29" w14:textId="36BE8D80" w:rsidR="00F4682E" w:rsidRPr="00126CFE" w:rsidRDefault="00F4682E" w:rsidP="00F4682E">
      <w:pPr>
        <w:jc w:val="center"/>
        <w:rPr>
          <w:rFonts w:ascii="Arial" w:hAnsi="Arial" w:cs="Arial"/>
          <w:sz w:val="24"/>
          <w:szCs w:val="24"/>
        </w:rPr>
      </w:pPr>
      <w:r w:rsidRPr="00126CFE">
        <w:rPr>
          <w:rFonts w:ascii="Arial" w:hAnsi="Arial" w:cs="Arial"/>
          <w:sz w:val="24"/>
          <w:szCs w:val="24"/>
        </w:rPr>
        <w:t>Lecturer – Christian Felices</w:t>
      </w:r>
    </w:p>
    <w:p w14:paraId="2C28BC50" w14:textId="77777777" w:rsidR="00F4682E" w:rsidRPr="00126CFE" w:rsidRDefault="00F4682E" w:rsidP="00F4682E">
      <w:pPr>
        <w:jc w:val="center"/>
        <w:rPr>
          <w:rFonts w:ascii="Arial" w:hAnsi="Arial" w:cs="Arial"/>
          <w:sz w:val="24"/>
          <w:szCs w:val="24"/>
        </w:rPr>
      </w:pPr>
    </w:p>
    <w:p w14:paraId="25FD26E0" w14:textId="07B64678" w:rsidR="00F4682E" w:rsidRPr="00126CFE" w:rsidRDefault="00F4682E" w:rsidP="00F4682E">
      <w:pPr>
        <w:jc w:val="center"/>
        <w:rPr>
          <w:rFonts w:ascii="Arial" w:hAnsi="Arial" w:cs="Arial"/>
          <w:sz w:val="24"/>
          <w:szCs w:val="24"/>
        </w:rPr>
      </w:pPr>
      <w:r w:rsidRPr="00126CFE">
        <w:rPr>
          <w:rFonts w:ascii="Arial" w:hAnsi="Arial" w:cs="Arial"/>
          <w:sz w:val="24"/>
          <w:szCs w:val="24"/>
        </w:rPr>
        <w:t>Reshaping the strategic direction by focussing on customer care</w:t>
      </w:r>
    </w:p>
    <w:p w14:paraId="5F4752B3" w14:textId="77777777" w:rsidR="00F4682E" w:rsidRPr="00126CFE" w:rsidRDefault="00F4682E" w:rsidP="00F4682E">
      <w:pPr>
        <w:jc w:val="center"/>
        <w:rPr>
          <w:rFonts w:ascii="Arial" w:hAnsi="Arial" w:cs="Arial"/>
          <w:sz w:val="24"/>
          <w:szCs w:val="24"/>
        </w:rPr>
      </w:pPr>
    </w:p>
    <w:p w14:paraId="7BC92EF2" w14:textId="77777777" w:rsidR="00F4682E" w:rsidRPr="00126CFE" w:rsidRDefault="00F4682E" w:rsidP="00F4682E">
      <w:pPr>
        <w:jc w:val="center"/>
        <w:rPr>
          <w:rFonts w:ascii="Arial" w:hAnsi="Arial" w:cs="Arial"/>
          <w:sz w:val="24"/>
          <w:szCs w:val="24"/>
        </w:rPr>
      </w:pPr>
      <w:r w:rsidRPr="00126CFE">
        <w:rPr>
          <w:rFonts w:ascii="Arial" w:hAnsi="Arial" w:cs="Arial"/>
          <w:sz w:val="24"/>
          <w:szCs w:val="24"/>
        </w:rPr>
        <w:t>Student – Julian Phillips 2408627</w:t>
      </w:r>
    </w:p>
    <w:p w14:paraId="20A82C52" w14:textId="77777777" w:rsidR="004721B1" w:rsidRPr="00126CFE" w:rsidRDefault="004721B1">
      <w:pPr>
        <w:rPr>
          <w:rFonts w:ascii="Arial" w:hAnsi="Arial" w:cs="Arial"/>
          <w:sz w:val="24"/>
          <w:szCs w:val="24"/>
        </w:rPr>
      </w:pPr>
    </w:p>
    <w:p w14:paraId="007AF665" w14:textId="77777777" w:rsidR="00F4682E" w:rsidRPr="00126CFE" w:rsidRDefault="00F4682E">
      <w:pPr>
        <w:rPr>
          <w:rFonts w:ascii="Arial" w:hAnsi="Arial" w:cs="Arial"/>
          <w:sz w:val="24"/>
          <w:szCs w:val="24"/>
        </w:rPr>
      </w:pPr>
    </w:p>
    <w:p w14:paraId="466DFAB1" w14:textId="77777777" w:rsidR="00F4682E" w:rsidRPr="00126CFE" w:rsidRDefault="00F4682E">
      <w:pPr>
        <w:rPr>
          <w:rFonts w:ascii="Arial" w:hAnsi="Arial" w:cs="Arial"/>
          <w:sz w:val="24"/>
          <w:szCs w:val="24"/>
        </w:rPr>
      </w:pPr>
    </w:p>
    <w:p w14:paraId="56DA1636" w14:textId="77777777" w:rsidR="00F4682E" w:rsidRPr="00126CFE" w:rsidRDefault="00F4682E">
      <w:pPr>
        <w:rPr>
          <w:rFonts w:ascii="Arial" w:hAnsi="Arial" w:cs="Arial"/>
          <w:sz w:val="24"/>
          <w:szCs w:val="24"/>
        </w:rPr>
      </w:pPr>
    </w:p>
    <w:p w14:paraId="2AFEECEB" w14:textId="77777777" w:rsidR="00F4682E" w:rsidRPr="00126CFE" w:rsidRDefault="00F4682E">
      <w:pPr>
        <w:rPr>
          <w:rFonts w:ascii="Arial" w:hAnsi="Arial" w:cs="Arial"/>
          <w:sz w:val="24"/>
          <w:szCs w:val="24"/>
        </w:rPr>
      </w:pPr>
    </w:p>
    <w:p w14:paraId="2726F14B" w14:textId="77777777" w:rsidR="00F4682E" w:rsidRPr="00126CFE" w:rsidRDefault="00F4682E">
      <w:pPr>
        <w:rPr>
          <w:rFonts w:ascii="Arial" w:hAnsi="Arial" w:cs="Arial"/>
          <w:sz w:val="24"/>
          <w:szCs w:val="24"/>
        </w:rPr>
      </w:pPr>
    </w:p>
    <w:p w14:paraId="4F901622" w14:textId="77777777" w:rsidR="00F4682E" w:rsidRPr="00126CFE" w:rsidRDefault="00F4682E">
      <w:pPr>
        <w:rPr>
          <w:rFonts w:ascii="Arial" w:hAnsi="Arial" w:cs="Arial"/>
          <w:sz w:val="24"/>
          <w:szCs w:val="24"/>
        </w:rPr>
      </w:pPr>
    </w:p>
    <w:p w14:paraId="5E8246D9" w14:textId="77777777" w:rsidR="00F4682E" w:rsidRPr="00126CFE" w:rsidRDefault="00F4682E">
      <w:pPr>
        <w:rPr>
          <w:rFonts w:ascii="Arial" w:hAnsi="Arial" w:cs="Arial"/>
          <w:sz w:val="24"/>
          <w:szCs w:val="24"/>
        </w:rPr>
      </w:pPr>
    </w:p>
    <w:p w14:paraId="558951C1" w14:textId="77777777" w:rsidR="00F4682E" w:rsidRPr="00126CFE" w:rsidRDefault="00F4682E">
      <w:pPr>
        <w:rPr>
          <w:rFonts w:ascii="Arial" w:hAnsi="Arial" w:cs="Arial"/>
          <w:sz w:val="24"/>
          <w:szCs w:val="24"/>
        </w:rPr>
      </w:pPr>
    </w:p>
    <w:p w14:paraId="279AF0E6" w14:textId="77777777" w:rsidR="00F4682E" w:rsidRPr="00126CFE" w:rsidRDefault="00F4682E">
      <w:pPr>
        <w:rPr>
          <w:rFonts w:ascii="Arial" w:hAnsi="Arial" w:cs="Arial"/>
          <w:sz w:val="24"/>
          <w:szCs w:val="24"/>
        </w:rPr>
      </w:pPr>
    </w:p>
    <w:p w14:paraId="08A5455B" w14:textId="77777777" w:rsidR="00F4682E" w:rsidRPr="00126CFE" w:rsidRDefault="00F4682E">
      <w:pPr>
        <w:rPr>
          <w:rFonts w:ascii="Arial" w:hAnsi="Arial" w:cs="Arial"/>
          <w:sz w:val="24"/>
          <w:szCs w:val="24"/>
        </w:rPr>
      </w:pPr>
    </w:p>
    <w:p w14:paraId="60781ACB" w14:textId="77777777" w:rsidR="00F4682E" w:rsidRPr="00126CFE" w:rsidRDefault="00F4682E">
      <w:pPr>
        <w:rPr>
          <w:rFonts w:ascii="Arial" w:hAnsi="Arial" w:cs="Arial"/>
          <w:sz w:val="24"/>
          <w:szCs w:val="24"/>
        </w:rPr>
      </w:pPr>
    </w:p>
    <w:p w14:paraId="357B0875" w14:textId="77777777" w:rsidR="00F4682E" w:rsidRPr="00126CFE" w:rsidRDefault="00F4682E">
      <w:pPr>
        <w:rPr>
          <w:rFonts w:ascii="Arial" w:hAnsi="Arial" w:cs="Arial"/>
          <w:sz w:val="24"/>
          <w:szCs w:val="24"/>
        </w:rPr>
      </w:pPr>
    </w:p>
    <w:p w14:paraId="428CDF81" w14:textId="77777777" w:rsidR="00F4682E" w:rsidRPr="00126CFE" w:rsidRDefault="00F4682E">
      <w:pPr>
        <w:rPr>
          <w:rFonts w:ascii="Arial" w:hAnsi="Arial" w:cs="Arial"/>
          <w:sz w:val="24"/>
          <w:szCs w:val="24"/>
        </w:rPr>
      </w:pPr>
    </w:p>
    <w:p w14:paraId="5C5575CE" w14:textId="77777777" w:rsidR="00F4682E" w:rsidRPr="00126CFE" w:rsidRDefault="00F4682E">
      <w:pPr>
        <w:rPr>
          <w:rFonts w:ascii="Arial" w:hAnsi="Arial" w:cs="Arial"/>
          <w:sz w:val="24"/>
          <w:szCs w:val="24"/>
        </w:rPr>
      </w:pPr>
    </w:p>
    <w:p w14:paraId="5CD1C57A" w14:textId="77777777" w:rsidR="00F4682E" w:rsidRPr="00126CFE" w:rsidRDefault="00F4682E">
      <w:pPr>
        <w:rPr>
          <w:rFonts w:ascii="Arial" w:hAnsi="Arial" w:cs="Arial"/>
          <w:sz w:val="24"/>
          <w:szCs w:val="24"/>
        </w:rPr>
      </w:pPr>
    </w:p>
    <w:p w14:paraId="52DD0C2A" w14:textId="77777777" w:rsidR="00F4682E" w:rsidRPr="00126CFE" w:rsidRDefault="00F4682E">
      <w:pPr>
        <w:rPr>
          <w:rFonts w:ascii="Arial" w:hAnsi="Arial" w:cs="Arial"/>
          <w:sz w:val="24"/>
          <w:szCs w:val="24"/>
        </w:rPr>
      </w:pPr>
    </w:p>
    <w:p w14:paraId="7DA870DB" w14:textId="77777777" w:rsidR="00F4682E" w:rsidRPr="00126CFE" w:rsidRDefault="00F4682E">
      <w:pPr>
        <w:rPr>
          <w:rFonts w:ascii="Arial" w:hAnsi="Arial" w:cs="Arial"/>
          <w:sz w:val="24"/>
          <w:szCs w:val="24"/>
        </w:rPr>
      </w:pPr>
    </w:p>
    <w:p w14:paraId="5946C44C" w14:textId="51E3510F" w:rsidR="00F4682E" w:rsidRPr="00126CFE" w:rsidRDefault="00F4682E" w:rsidP="00F4682E">
      <w:pPr>
        <w:jc w:val="center"/>
        <w:rPr>
          <w:rFonts w:ascii="Arial" w:hAnsi="Arial" w:cs="Arial"/>
          <w:sz w:val="24"/>
          <w:szCs w:val="24"/>
        </w:rPr>
      </w:pPr>
      <w:r w:rsidRPr="00126CFE">
        <w:rPr>
          <w:rFonts w:ascii="Arial" w:hAnsi="Arial" w:cs="Arial"/>
          <w:b/>
          <w:bCs/>
          <w:sz w:val="24"/>
          <w:szCs w:val="24"/>
          <w:u w:val="single"/>
        </w:rPr>
        <w:t>Executive Summary</w:t>
      </w:r>
    </w:p>
    <w:p w14:paraId="5842160A" w14:textId="43F0DAA2"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 xml:space="preserve">Amcor operates in a packaging industry undergoing rapid transformation driven by sustainability regulation, technological disruption, geopolitical volatility and changing customer expectations. </w:t>
      </w:r>
      <w:r>
        <w:rPr>
          <w:rFonts w:ascii="Arial" w:hAnsi="Arial" w:cs="Arial"/>
          <w:sz w:val="24"/>
          <w:szCs w:val="24"/>
        </w:rPr>
        <w:t xml:space="preserve"> </w:t>
      </w:r>
      <w:r w:rsidRPr="002C1C8A">
        <w:rPr>
          <w:rFonts w:ascii="Arial" w:hAnsi="Arial" w:cs="Arial"/>
          <w:sz w:val="24"/>
          <w:szCs w:val="24"/>
        </w:rPr>
        <w:t xml:space="preserve">These pressures present both risks to current business models and opportunities for strategic differentiation. </w:t>
      </w:r>
      <w:r>
        <w:rPr>
          <w:rFonts w:ascii="Arial" w:hAnsi="Arial" w:cs="Arial"/>
          <w:sz w:val="24"/>
          <w:szCs w:val="24"/>
        </w:rPr>
        <w:t xml:space="preserve"> </w:t>
      </w:r>
      <w:r w:rsidRPr="002C1C8A">
        <w:rPr>
          <w:rFonts w:ascii="Arial" w:hAnsi="Arial" w:cs="Arial"/>
          <w:sz w:val="24"/>
          <w:szCs w:val="24"/>
        </w:rPr>
        <w:t>This report evaluates Amcor’s external environment, internal capabilities and strategic options, recommending a direction that strengthens competitiveness, resilience and long-term growth.</w:t>
      </w:r>
    </w:p>
    <w:p w14:paraId="13BA6B75" w14:textId="130C7E3D"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External analysis (PESTEL, Five Forces) shows that environmental and political regulations</w:t>
      </w:r>
      <w:r>
        <w:rPr>
          <w:rFonts w:ascii="Arial" w:hAnsi="Arial" w:cs="Arial"/>
          <w:sz w:val="24"/>
          <w:szCs w:val="24"/>
        </w:rPr>
        <w:t xml:space="preserve"> </w:t>
      </w:r>
      <w:r w:rsidRPr="002C1C8A">
        <w:rPr>
          <w:rFonts w:ascii="Arial" w:hAnsi="Arial" w:cs="Arial"/>
          <w:sz w:val="24"/>
          <w:szCs w:val="24"/>
        </w:rPr>
        <w:t>particularly recyclability requirements and chemical restrictions</w:t>
      </w:r>
      <w:r>
        <w:rPr>
          <w:rFonts w:ascii="Arial" w:hAnsi="Arial" w:cs="Arial"/>
          <w:sz w:val="24"/>
          <w:szCs w:val="24"/>
        </w:rPr>
        <w:t xml:space="preserve"> </w:t>
      </w:r>
      <w:r w:rsidRPr="002C1C8A">
        <w:rPr>
          <w:rFonts w:ascii="Arial" w:hAnsi="Arial" w:cs="Arial"/>
          <w:sz w:val="24"/>
          <w:szCs w:val="24"/>
        </w:rPr>
        <w:t xml:space="preserve">represent the most significant threats and catalysts for change. </w:t>
      </w:r>
      <w:r>
        <w:rPr>
          <w:rFonts w:ascii="Arial" w:hAnsi="Arial" w:cs="Arial"/>
          <w:sz w:val="24"/>
          <w:szCs w:val="24"/>
        </w:rPr>
        <w:t xml:space="preserve"> </w:t>
      </w:r>
      <w:r w:rsidRPr="002C1C8A">
        <w:rPr>
          <w:rFonts w:ascii="Arial" w:hAnsi="Arial" w:cs="Arial"/>
          <w:sz w:val="24"/>
          <w:szCs w:val="24"/>
        </w:rPr>
        <w:t>Technological advances in digitalisation, materials science and automation are reshaping customer expectations toward sustainable, customised and digitally supported packaging solutions.</w:t>
      </w:r>
      <w:r w:rsidR="008860C6">
        <w:rPr>
          <w:rFonts w:ascii="Arial" w:hAnsi="Arial" w:cs="Arial"/>
          <w:sz w:val="24"/>
          <w:szCs w:val="24"/>
        </w:rPr>
        <w:t xml:space="preserve"> </w:t>
      </w:r>
      <w:r w:rsidRPr="002C1C8A">
        <w:rPr>
          <w:rFonts w:ascii="Arial" w:hAnsi="Arial" w:cs="Arial"/>
          <w:sz w:val="24"/>
          <w:szCs w:val="24"/>
        </w:rPr>
        <w:t xml:space="preserve"> Competitive rivalry and buyer power remain high, increasing the need for differentiation.</w:t>
      </w:r>
    </w:p>
    <w:p w14:paraId="63FF6FDB" w14:textId="05F67CEE"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Internal analysis (VRIO, Value Chain) confirms that Amcor’s global scale, R&amp;D strength and supply chain capabilities provide meaningful competitive advantage.</w:t>
      </w:r>
      <w:r w:rsidR="008860C6">
        <w:rPr>
          <w:rFonts w:ascii="Arial" w:hAnsi="Arial" w:cs="Arial"/>
          <w:sz w:val="24"/>
          <w:szCs w:val="24"/>
        </w:rPr>
        <w:t xml:space="preserve"> </w:t>
      </w:r>
      <w:r w:rsidRPr="002C1C8A">
        <w:rPr>
          <w:rFonts w:ascii="Arial" w:hAnsi="Arial" w:cs="Arial"/>
          <w:sz w:val="24"/>
          <w:szCs w:val="24"/>
        </w:rPr>
        <w:t xml:space="preserve"> However, limitations in digital maturity, customer experience, organisational agility and reliance on virgin polymers constrain performance and weaken strategic positioning.</w:t>
      </w:r>
    </w:p>
    <w:p w14:paraId="2E3142B9" w14:textId="4DAD9E03"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Three strategic options were evaluated: sustainable innovation leadership, customer collaboration and personalisation, and integrated circular economy expansion.</w:t>
      </w:r>
      <w:r w:rsidR="008860C6">
        <w:rPr>
          <w:rFonts w:ascii="Arial" w:hAnsi="Arial" w:cs="Arial"/>
          <w:sz w:val="24"/>
          <w:szCs w:val="24"/>
        </w:rPr>
        <w:t xml:space="preserve"> </w:t>
      </w:r>
      <w:r w:rsidRPr="002C1C8A">
        <w:rPr>
          <w:rFonts w:ascii="Arial" w:hAnsi="Arial" w:cs="Arial"/>
          <w:sz w:val="24"/>
          <w:szCs w:val="24"/>
        </w:rPr>
        <w:t xml:space="preserve"> Using suitability, acceptability and feasibility criteria, the first two options emerge as the strongest and mutually reinforcing.</w:t>
      </w:r>
    </w:p>
    <w:p w14:paraId="0BA503BB" w14:textId="5F404635"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This report recommends a combined strategic direction focus</w:t>
      </w:r>
      <w:r w:rsidR="008860C6">
        <w:rPr>
          <w:rFonts w:ascii="Arial" w:hAnsi="Arial" w:cs="Arial"/>
          <w:sz w:val="24"/>
          <w:szCs w:val="24"/>
        </w:rPr>
        <w:t>s</w:t>
      </w:r>
      <w:r w:rsidRPr="002C1C8A">
        <w:rPr>
          <w:rFonts w:ascii="Arial" w:hAnsi="Arial" w:cs="Arial"/>
          <w:sz w:val="24"/>
          <w:szCs w:val="24"/>
        </w:rPr>
        <w:t>ed on:</w:t>
      </w:r>
      <w:r w:rsidR="008860C6">
        <w:rPr>
          <w:rFonts w:ascii="Arial" w:hAnsi="Arial" w:cs="Arial"/>
          <w:sz w:val="24"/>
          <w:szCs w:val="24"/>
        </w:rPr>
        <w:t xml:space="preserve"> </w:t>
      </w:r>
      <w:r w:rsidRPr="002C1C8A">
        <w:rPr>
          <w:rFonts w:ascii="Arial" w:hAnsi="Arial" w:cs="Arial"/>
          <w:sz w:val="24"/>
          <w:szCs w:val="24"/>
        </w:rPr>
        <w:t>Accelerating sustainable innovation, including recyclable mono-materials, bio-based polymers and circular design capabilities.</w:t>
      </w:r>
    </w:p>
    <w:p w14:paraId="3C1AFBAD" w14:textId="554831DC" w:rsidR="002C1C8A" w:rsidRPr="002C1C8A" w:rsidRDefault="002C1C8A" w:rsidP="002C1C8A">
      <w:pPr>
        <w:spacing w:line="240" w:lineRule="auto"/>
        <w:rPr>
          <w:rFonts w:ascii="Arial" w:hAnsi="Arial" w:cs="Arial"/>
          <w:sz w:val="24"/>
          <w:szCs w:val="24"/>
        </w:rPr>
      </w:pPr>
      <w:r w:rsidRPr="002C1C8A">
        <w:rPr>
          <w:rFonts w:ascii="Arial" w:hAnsi="Arial" w:cs="Arial"/>
          <w:sz w:val="24"/>
          <w:szCs w:val="24"/>
        </w:rPr>
        <w:t>Strengthening customer collaboration and personalisation, through digital co-creation platforms, smart packaging and enhanced service experience.</w:t>
      </w:r>
    </w:p>
    <w:p w14:paraId="175C99BC" w14:textId="7235E773" w:rsidR="00F4682E" w:rsidRPr="00126CFE" w:rsidRDefault="002C1C8A" w:rsidP="002C1C8A">
      <w:pPr>
        <w:spacing w:line="240" w:lineRule="auto"/>
        <w:rPr>
          <w:rFonts w:ascii="Arial" w:hAnsi="Arial" w:cs="Arial"/>
          <w:sz w:val="24"/>
          <w:szCs w:val="24"/>
        </w:rPr>
      </w:pPr>
      <w:r w:rsidRPr="002C1C8A">
        <w:rPr>
          <w:rFonts w:ascii="Arial" w:hAnsi="Arial" w:cs="Arial"/>
          <w:sz w:val="24"/>
          <w:szCs w:val="24"/>
        </w:rPr>
        <w:t>Together, these initiatives position Amcor as a differentiated, sustainability-led and customer-centric partner, reducing buyer power, enabling premium offerings and supporting long-term competitive advantage</w:t>
      </w:r>
    </w:p>
    <w:p w14:paraId="0AA0963A" w14:textId="77777777" w:rsidR="00F4682E" w:rsidRPr="00126CFE" w:rsidRDefault="00F4682E" w:rsidP="00F4682E">
      <w:pPr>
        <w:spacing w:line="240" w:lineRule="auto"/>
        <w:jc w:val="center"/>
        <w:rPr>
          <w:rFonts w:ascii="Arial" w:hAnsi="Arial" w:cs="Arial"/>
          <w:sz w:val="24"/>
          <w:szCs w:val="24"/>
        </w:rPr>
      </w:pPr>
    </w:p>
    <w:p w14:paraId="6DE979AB" w14:textId="77777777" w:rsidR="00F4682E" w:rsidRPr="00126CFE" w:rsidRDefault="00F4682E" w:rsidP="00F4682E">
      <w:pPr>
        <w:spacing w:line="240" w:lineRule="auto"/>
        <w:jc w:val="center"/>
        <w:rPr>
          <w:rFonts w:ascii="Arial" w:hAnsi="Arial" w:cs="Arial"/>
          <w:sz w:val="24"/>
          <w:szCs w:val="24"/>
        </w:rPr>
      </w:pPr>
    </w:p>
    <w:p w14:paraId="24DFAA67" w14:textId="77777777" w:rsidR="00F4682E" w:rsidRPr="00126CFE" w:rsidRDefault="00F4682E" w:rsidP="00F4682E">
      <w:pPr>
        <w:spacing w:line="240" w:lineRule="auto"/>
        <w:jc w:val="center"/>
        <w:rPr>
          <w:rFonts w:ascii="Arial" w:hAnsi="Arial" w:cs="Arial"/>
          <w:sz w:val="24"/>
          <w:szCs w:val="24"/>
        </w:rPr>
      </w:pPr>
    </w:p>
    <w:p w14:paraId="0DDF3C5B" w14:textId="77777777" w:rsidR="00F4682E" w:rsidRPr="00126CFE" w:rsidRDefault="00F4682E" w:rsidP="00F4682E">
      <w:pPr>
        <w:spacing w:line="240" w:lineRule="auto"/>
        <w:jc w:val="center"/>
        <w:rPr>
          <w:rFonts w:ascii="Arial" w:hAnsi="Arial" w:cs="Arial"/>
          <w:sz w:val="24"/>
          <w:szCs w:val="24"/>
        </w:rPr>
      </w:pPr>
    </w:p>
    <w:p w14:paraId="53D7D5A4" w14:textId="77777777" w:rsidR="00F4682E" w:rsidRPr="00126CFE" w:rsidRDefault="00F4682E" w:rsidP="00F4682E">
      <w:pPr>
        <w:spacing w:line="240" w:lineRule="auto"/>
        <w:jc w:val="center"/>
        <w:rPr>
          <w:rFonts w:ascii="Arial" w:hAnsi="Arial" w:cs="Arial"/>
          <w:sz w:val="24"/>
          <w:szCs w:val="24"/>
        </w:rPr>
      </w:pPr>
    </w:p>
    <w:p w14:paraId="1C899CD5" w14:textId="77777777" w:rsidR="00F4682E" w:rsidRPr="00126CFE" w:rsidRDefault="00F4682E" w:rsidP="00F4682E">
      <w:pPr>
        <w:spacing w:line="240" w:lineRule="auto"/>
        <w:jc w:val="center"/>
        <w:rPr>
          <w:rFonts w:ascii="Arial" w:hAnsi="Arial" w:cs="Arial"/>
          <w:sz w:val="24"/>
          <w:szCs w:val="24"/>
        </w:rPr>
      </w:pPr>
    </w:p>
    <w:p w14:paraId="7F2B186C" w14:textId="77777777" w:rsidR="00F4682E" w:rsidRPr="00126CFE" w:rsidRDefault="00F4682E" w:rsidP="00F4682E">
      <w:pPr>
        <w:spacing w:line="240" w:lineRule="auto"/>
        <w:jc w:val="center"/>
        <w:rPr>
          <w:rFonts w:ascii="Arial" w:hAnsi="Arial" w:cs="Arial"/>
          <w:sz w:val="24"/>
          <w:szCs w:val="24"/>
        </w:rPr>
      </w:pPr>
    </w:p>
    <w:p w14:paraId="5D47CDF3" w14:textId="77777777" w:rsidR="00F4682E" w:rsidRPr="00126CFE" w:rsidRDefault="00F4682E" w:rsidP="00F4682E">
      <w:pPr>
        <w:spacing w:line="240" w:lineRule="auto"/>
        <w:jc w:val="center"/>
        <w:rPr>
          <w:rFonts w:ascii="Arial" w:hAnsi="Arial" w:cs="Arial"/>
          <w:sz w:val="24"/>
          <w:szCs w:val="24"/>
        </w:rPr>
      </w:pPr>
    </w:p>
    <w:p w14:paraId="5C618E1A" w14:textId="2F90AAE8" w:rsidR="00F4682E" w:rsidRPr="00126CFE" w:rsidRDefault="00F4682E" w:rsidP="00F4682E">
      <w:pPr>
        <w:spacing w:line="240" w:lineRule="auto"/>
        <w:rPr>
          <w:rFonts w:ascii="Arial" w:hAnsi="Arial" w:cs="Arial"/>
          <w:sz w:val="24"/>
          <w:szCs w:val="24"/>
        </w:rPr>
      </w:pPr>
      <w:r w:rsidRPr="00126CFE">
        <w:rPr>
          <w:rFonts w:ascii="Arial" w:hAnsi="Arial" w:cs="Arial"/>
          <w:b/>
          <w:bCs/>
          <w:sz w:val="24"/>
          <w:szCs w:val="24"/>
          <w:u w:val="single"/>
        </w:rPr>
        <w:lastRenderedPageBreak/>
        <w:t>Table Of Contents</w:t>
      </w:r>
    </w:p>
    <w:p w14:paraId="07F7E1CD" w14:textId="659AD273" w:rsidR="00F4682E" w:rsidRPr="00126CFE" w:rsidRDefault="00F4682E"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Introduction</w:t>
      </w:r>
      <w:r w:rsidR="00FF5B70">
        <w:rPr>
          <w:rFonts w:ascii="Arial" w:hAnsi="Arial" w:cs="Arial"/>
          <w:sz w:val="24"/>
          <w:szCs w:val="24"/>
        </w:rPr>
        <w:t xml:space="preserve"> – Page 4</w:t>
      </w:r>
    </w:p>
    <w:p w14:paraId="3784FF85" w14:textId="044E4116" w:rsidR="00F4682E" w:rsidRPr="00126CFE" w:rsidRDefault="00F4682E"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Strategic Approach</w:t>
      </w:r>
      <w:r w:rsidR="00FF5B70">
        <w:rPr>
          <w:rFonts w:ascii="Arial" w:hAnsi="Arial" w:cs="Arial"/>
          <w:sz w:val="24"/>
          <w:szCs w:val="24"/>
        </w:rPr>
        <w:t xml:space="preserve"> – Page 4</w:t>
      </w:r>
    </w:p>
    <w:p w14:paraId="1E29FFED" w14:textId="0346386C" w:rsidR="00F4682E" w:rsidRPr="00FF5B70" w:rsidRDefault="00FF5B70" w:rsidP="00F4682E">
      <w:pPr>
        <w:pStyle w:val="ListParagraph"/>
        <w:numPr>
          <w:ilvl w:val="0"/>
          <w:numId w:val="1"/>
        </w:numPr>
        <w:spacing w:line="240" w:lineRule="auto"/>
        <w:rPr>
          <w:rFonts w:ascii="Arial" w:hAnsi="Arial" w:cs="Arial"/>
          <w:sz w:val="24"/>
          <w:szCs w:val="24"/>
          <w:lang w:val="fr-FR"/>
        </w:rPr>
      </w:pPr>
      <w:r>
        <w:rPr>
          <w:rFonts w:ascii="Arial" w:hAnsi="Arial" w:cs="Arial"/>
          <w:sz w:val="24"/>
          <w:szCs w:val="24"/>
          <w:lang w:val="fr-FR"/>
        </w:rPr>
        <w:t>PESTEL Analyses</w:t>
      </w:r>
      <w:r w:rsidR="009D76C9" w:rsidRPr="00FF5B70">
        <w:rPr>
          <w:rFonts w:ascii="Arial" w:hAnsi="Arial" w:cs="Arial"/>
          <w:sz w:val="24"/>
          <w:szCs w:val="24"/>
          <w:lang w:val="fr-FR"/>
        </w:rPr>
        <w:t xml:space="preserve"> </w:t>
      </w:r>
      <w:r w:rsidRPr="00FF5B70">
        <w:rPr>
          <w:rFonts w:ascii="Arial" w:hAnsi="Arial" w:cs="Arial"/>
          <w:sz w:val="24"/>
          <w:szCs w:val="24"/>
          <w:lang w:val="fr-FR"/>
        </w:rPr>
        <w:t>–</w:t>
      </w:r>
      <w:r>
        <w:rPr>
          <w:rFonts w:ascii="Arial" w:hAnsi="Arial" w:cs="Arial"/>
          <w:sz w:val="24"/>
          <w:szCs w:val="24"/>
          <w:lang w:val="fr-FR"/>
        </w:rPr>
        <w:t xml:space="preserve"> </w:t>
      </w:r>
      <w:r w:rsidRPr="00FF5B70">
        <w:rPr>
          <w:rFonts w:ascii="Arial" w:hAnsi="Arial" w:cs="Arial"/>
          <w:sz w:val="24"/>
          <w:szCs w:val="24"/>
          <w:lang w:val="fr-FR"/>
        </w:rPr>
        <w:t>Pages</w:t>
      </w:r>
      <w:r>
        <w:rPr>
          <w:rFonts w:ascii="Arial" w:hAnsi="Arial" w:cs="Arial"/>
          <w:sz w:val="24"/>
          <w:szCs w:val="24"/>
          <w:lang w:val="fr-FR"/>
        </w:rPr>
        <w:t xml:space="preserve"> 5-7</w:t>
      </w:r>
    </w:p>
    <w:p w14:paraId="3199F259" w14:textId="3F1D5518" w:rsidR="00F4682E" w:rsidRPr="00126CFE" w:rsidRDefault="00F4682E"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Porters Five Forces</w:t>
      </w:r>
      <w:r w:rsidR="00FF5B70">
        <w:rPr>
          <w:rFonts w:ascii="Arial" w:hAnsi="Arial" w:cs="Arial"/>
          <w:sz w:val="24"/>
          <w:szCs w:val="24"/>
        </w:rPr>
        <w:t xml:space="preserve"> – Pages 7-8</w:t>
      </w:r>
    </w:p>
    <w:p w14:paraId="5466A17C" w14:textId="702F9C46" w:rsidR="00F4682E" w:rsidRPr="00FF5B70" w:rsidRDefault="00F4682E" w:rsidP="00F4682E">
      <w:pPr>
        <w:pStyle w:val="ListParagraph"/>
        <w:numPr>
          <w:ilvl w:val="0"/>
          <w:numId w:val="1"/>
        </w:numPr>
        <w:spacing w:line="240" w:lineRule="auto"/>
        <w:rPr>
          <w:rFonts w:ascii="Arial" w:hAnsi="Arial" w:cs="Arial"/>
          <w:sz w:val="24"/>
          <w:szCs w:val="24"/>
          <w:lang w:val="fr-FR"/>
        </w:rPr>
      </w:pPr>
      <w:r w:rsidRPr="00FF5B70">
        <w:rPr>
          <w:rFonts w:ascii="Arial" w:hAnsi="Arial" w:cs="Arial"/>
          <w:sz w:val="24"/>
          <w:szCs w:val="24"/>
          <w:lang w:val="fr-FR"/>
        </w:rPr>
        <w:t>Internal Analyses</w:t>
      </w:r>
      <w:r w:rsidR="00500DEB" w:rsidRPr="00FF5B70">
        <w:rPr>
          <w:rFonts w:ascii="Arial" w:hAnsi="Arial" w:cs="Arial"/>
          <w:sz w:val="24"/>
          <w:szCs w:val="24"/>
          <w:lang w:val="fr-FR"/>
        </w:rPr>
        <w:t xml:space="preserve"> – VRIO, Value Chain</w:t>
      </w:r>
      <w:r w:rsidR="00FF5B70" w:rsidRPr="00FF5B70">
        <w:rPr>
          <w:rFonts w:ascii="Arial" w:hAnsi="Arial" w:cs="Arial"/>
          <w:sz w:val="24"/>
          <w:szCs w:val="24"/>
          <w:lang w:val="fr-FR"/>
        </w:rPr>
        <w:t xml:space="preserve"> </w:t>
      </w:r>
      <w:r w:rsidR="00315AE8">
        <w:rPr>
          <w:rFonts w:ascii="Arial" w:hAnsi="Arial" w:cs="Arial"/>
          <w:sz w:val="24"/>
          <w:szCs w:val="24"/>
          <w:lang w:val="fr-FR"/>
        </w:rPr>
        <w:t>–</w:t>
      </w:r>
      <w:r w:rsidR="00FF5B70">
        <w:rPr>
          <w:rFonts w:ascii="Arial" w:hAnsi="Arial" w:cs="Arial"/>
          <w:sz w:val="24"/>
          <w:szCs w:val="24"/>
          <w:lang w:val="fr-FR"/>
        </w:rPr>
        <w:t xml:space="preserve"> Pages</w:t>
      </w:r>
      <w:r w:rsidR="00315AE8">
        <w:rPr>
          <w:rFonts w:ascii="Arial" w:hAnsi="Arial" w:cs="Arial"/>
          <w:sz w:val="24"/>
          <w:szCs w:val="24"/>
          <w:lang w:val="fr-FR"/>
        </w:rPr>
        <w:t xml:space="preserve"> 9-11</w:t>
      </w:r>
    </w:p>
    <w:p w14:paraId="42E41B02" w14:textId="694DCF39" w:rsidR="00F4682E" w:rsidRPr="00126CFE" w:rsidRDefault="00F4682E"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SWOT Analyses</w:t>
      </w:r>
      <w:r w:rsidR="00315AE8">
        <w:rPr>
          <w:rFonts w:ascii="Arial" w:hAnsi="Arial" w:cs="Arial"/>
          <w:sz w:val="24"/>
          <w:szCs w:val="24"/>
        </w:rPr>
        <w:t xml:space="preserve"> – Pages 11-12</w:t>
      </w:r>
    </w:p>
    <w:p w14:paraId="45F31923" w14:textId="75704FD8" w:rsidR="00F4682E" w:rsidRPr="00126CFE" w:rsidRDefault="00F4682E"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Strategic Option</w:t>
      </w:r>
      <w:r w:rsidR="00174FA7" w:rsidRPr="00126CFE">
        <w:rPr>
          <w:rFonts w:ascii="Arial" w:hAnsi="Arial" w:cs="Arial"/>
          <w:sz w:val="24"/>
          <w:szCs w:val="24"/>
        </w:rPr>
        <w:t xml:space="preserve"> Analyses</w:t>
      </w:r>
      <w:r w:rsidR="00315AE8">
        <w:rPr>
          <w:rFonts w:ascii="Arial" w:hAnsi="Arial" w:cs="Arial"/>
          <w:sz w:val="24"/>
          <w:szCs w:val="24"/>
        </w:rPr>
        <w:t xml:space="preserve"> – Pages 12-15</w:t>
      </w:r>
    </w:p>
    <w:p w14:paraId="5C74C040" w14:textId="645EE434" w:rsidR="00174FA7" w:rsidRPr="00126CFE" w:rsidRDefault="00174FA7"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Evaluation of Options</w:t>
      </w:r>
      <w:r w:rsidR="00315AE8">
        <w:rPr>
          <w:rFonts w:ascii="Arial" w:hAnsi="Arial" w:cs="Arial"/>
          <w:sz w:val="24"/>
          <w:szCs w:val="24"/>
        </w:rPr>
        <w:t xml:space="preserve"> – Pages 15-17</w:t>
      </w:r>
    </w:p>
    <w:p w14:paraId="727F8277" w14:textId="0275C7B4" w:rsidR="00174FA7" w:rsidRPr="00126CFE" w:rsidRDefault="00174FA7"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Conclusion</w:t>
      </w:r>
      <w:r w:rsidR="00315AE8">
        <w:rPr>
          <w:rFonts w:ascii="Arial" w:hAnsi="Arial" w:cs="Arial"/>
          <w:sz w:val="24"/>
          <w:szCs w:val="24"/>
        </w:rPr>
        <w:t xml:space="preserve"> </w:t>
      </w:r>
      <w:r w:rsidR="0045488A">
        <w:rPr>
          <w:rFonts w:ascii="Arial" w:hAnsi="Arial" w:cs="Arial"/>
          <w:sz w:val="24"/>
          <w:szCs w:val="24"/>
        </w:rPr>
        <w:t>–</w:t>
      </w:r>
      <w:r w:rsidR="00315AE8">
        <w:rPr>
          <w:rFonts w:ascii="Arial" w:hAnsi="Arial" w:cs="Arial"/>
          <w:sz w:val="24"/>
          <w:szCs w:val="24"/>
        </w:rPr>
        <w:t xml:space="preserve"> Page</w:t>
      </w:r>
      <w:r w:rsidR="0045488A">
        <w:rPr>
          <w:rFonts w:ascii="Arial" w:hAnsi="Arial" w:cs="Arial"/>
          <w:sz w:val="24"/>
          <w:szCs w:val="24"/>
        </w:rPr>
        <w:t xml:space="preserve"> 18</w:t>
      </w:r>
    </w:p>
    <w:p w14:paraId="5FB7E865" w14:textId="54EE5EB0" w:rsidR="00F4682E" w:rsidRPr="00126CFE" w:rsidRDefault="00174FA7"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Recommendations</w:t>
      </w:r>
      <w:r w:rsidR="0045488A">
        <w:rPr>
          <w:rFonts w:ascii="Arial" w:hAnsi="Arial" w:cs="Arial"/>
          <w:sz w:val="24"/>
          <w:szCs w:val="24"/>
        </w:rPr>
        <w:t xml:space="preserve"> – Page 19</w:t>
      </w:r>
    </w:p>
    <w:p w14:paraId="40ADEE5D" w14:textId="1566D7F6" w:rsidR="00174FA7" w:rsidRPr="00126CFE" w:rsidRDefault="00174FA7" w:rsidP="00F4682E">
      <w:pPr>
        <w:pStyle w:val="ListParagraph"/>
        <w:numPr>
          <w:ilvl w:val="0"/>
          <w:numId w:val="1"/>
        </w:numPr>
        <w:spacing w:line="240" w:lineRule="auto"/>
        <w:rPr>
          <w:rFonts w:ascii="Arial" w:hAnsi="Arial" w:cs="Arial"/>
          <w:sz w:val="24"/>
          <w:szCs w:val="24"/>
        </w:rPr>
      </w:pPr>
      <w:r w:rsidRPr="00126CFE">
        <w:rPr>
          <w:rFonts w:ascii="Arial" w:hAnsi="Arial" w:cs="Arial"/>
          <w:sz w:val="24"/>
          <w:szCs w:val="24"/>
        </w:rPr>
        <w:t>Bibliography</w:t>
      </w:r>
      <w:r w:rsidR="0045488A">
        <w:rPr>
          <w:rFonts w:ascii="Arial" w:hAnsi="Arial" w:cs="Arial"/>
          <w:sz w:val="24"/>
          <w:szCs w:val="24"/>
        </w:rPr>
        <w:t xml:space="preserve"> – Pages 20-23</w:t>
      </w:r>
    </w:p>
    <w:p w14:paraId="11F49FCB" w14:textId="77777777" w:rsidR="00174FA7" w:rsidRPr="00126CFE" w:rsidRDefault="00174FA7" w:rsidP="00174FA7">
      <w:pPr>
        <w:spacing w:line="240" w:lineRule="auto"/>
        <w:rPr>
          <w:rFonts w:ascii="Arial" w:hAnsi="Arial" w:cs="Arial"/>
          <w:sz w:val="24"/>
          <w:szCs w:val="24"/>
        </w:rPr>
      </w:pPr>
    </w:p>
    <w:p w14:paraId="7E95B98A" w14:textId="77777777" w:rsidR="00174FA7" w:rsidRPr="00126CFE" w:rsidRDefault="00174FA7" w:rsidP="00174FA7">
      <w:pPr>
        <w:spacing w:line="240" w:lineRule="auto"/>
        <w:rPr>
          <w:rFonts w:ascii="Arial" w:hAnsi="Arial" w:cs="Arial"/>
          <w:sz w:val="24"/>
          <w:szCs w:val="24"/>
        </w:rPr>
      </w:pPr>
    </w:p>
    <w:p w14:paraId="68D49CDB" w14:textId="77777777" w:rsidR="00174FA7" w:rsidRPr="00126CFE" w:rsidRDefault="00174FA7" w:rsidP="00174FA7">
      <w:pPr>
        <w:spacing w:line="240" w:lineRule="auto"/>
        <w:rPr>
          <w:rFonts w:ascii="Arial" w:hAnsi="Arial" w:cs="Arial"/>
          <w:sz w:val="24"/>
          <w:szCs w:val="24"/>
        </w:rPr>
      </w:pPr>
    </w:p>
    <w:p w14:paraId="6C88D1B7" w14:textId="77777777" w:rsidR="00174FA7" w:rsidRPr="00126CFE" w:rsidRDefault="00174FA7" w:rsidP="00174FA7">
      <w:pPr>
        <w:spacing w:line="240" w:lineRule="auto"/>
        <w:rPr>
          <w:rFonts w:ascii="Arial" w:hAnsi="Arial" w:cs="Arial"/>
          <w:sz w:val="24"/>
          <w:szCs w:val="24"/>
        </w:rPr>
      </w:pPr>
    </w:p>
    <w:p w14:paraId="1FA056E1" w14:textId="77777777" w:rsidR="00174FA7" w:rsidRPr="00126CFE" w:rsidRDefault="00174FA7" w:rsidP="00174FA7">
      <w:pPr>
        <w:spacing w:line="240" w:lineRule="auto"/>
        <w:rPr>
          <w:rFonts w:ascii="Arial" w:hAnsi="Arial" w:cs="Arial"/>
          <w:sz w:val="24"/>
          <w:szCs w:val="24"/>
        </w:rPr>
      </w:pPr>
    </w:p>
    <w:p w14:paraId="41BBE089" w14:textId="77777777" w:rsidR="00174FA7" w:rsidRPr="00126CFE" w:rsidRDefault="00174FA7" w:rsidP="00174FA7">
      <w:pPr>
        <w:spacing w:line="240" w:lineRule="auto"/>
        <w:rPr>
          <w:rFonts w:ascii="Arial" w:hAnsi="Arial" w:cs="Arial"/>
          <w:sz w:val="24"/>
          <w:szCs w:val="24"/>
        </w:rPr>
      </w:pPr>
    </w:p>
    <w:p w14:paraId="59CFC363" w14:textId="77777777" w:rsidR="00174FA7" w:rsidRPr="00126CFE" w:rsidRDefault="00174FA7" w:rsidP="00174FA7">
      <w:pPr>
        <w:spacing w:line="240" w:lineRule="auto"/>
        <w:rPr>
          <w:rFonts w:ascii="Arial" w:hAnsi="Arial" w:cs="Arial"/>
          <w:sz w:val="24"/>
          <w:szCs w:val="24"/>
        </w:rPr>
      </w:pPr>
    </w:p>
    <w:p w14:paraId="77F75437" w14:textId="77777777" w:rsidR="00174FA7" w:rsidRPr="00126CFE" w:rsidRDefault="00174FA7" w:rsidP="00174FA7">
      <w:pPr>
        <w:spacing w:line="240" w:lineRule="auto"/>
        <w:rPr>
          <w:rFonts w:ascii="Arial" w:hAnsi="Arial" w:cs="Arial"/>
          <w:sz w:val="24"/>
          <w:szCs w:val="24"/>
        </w:rPr>
      </w:pPr>
    </w:p>
    <w:p w14:paraId="0E683FEE" w14:textId="77777777" w:rsidR="00174FA7" w:rsidRPr="00126CFE" w:rsidRDefault="00174FA7" w:rsidP="00174FA7">
      <w:pPr>
        <w:spacing w:line="240" w:lineRule="auto"/>
        <w:rPr>
          <w:rFonts w:ascii="Arial" w:hAnsi="Arial" w:cs="Arial"/>
          <w:sz w:val="24"/>
          <w:szCs w:val="24"/>
        </w:rPr>
      </w:pPr>
    </w:p>
    <w:p w14:paraId="7476801E" w14:textId="77777777" w:rsidR="00174FA7" w:rsidRPr="00126CFE" w:rsidRDefault="00174FA7" w:rsidP="00174FA7">
      <w:pPr>
        <w:spacing w:line="240" w:lineRule="auto"/>
        <w:rPr>
          <w:rFonts w:ascii="Arial" w:hAnsi="Arial" w:cs="Arial"/>
          <w:sz w:val="24"/>
          <w:szCs w:val="24"/>
        </w:rPr>
      </w:pPr>
    </w:p>
    <w:p w14:paraId="77ADB028" w14:textId="77777777" w:rsidR="00174FA7" w:rsidRPr="00126CFE" w:rsidRDefault="00174FA7" w:rsidP="00174FA7">
      <w:pPr>
        <w:spacing w:line="240" w:lineRule="auto"/>
        <w:rPr>
          <w:rFonts w:ascii="Arial" w:hAnsi="Arial" w:cs="Arial"/>
          <w:sz w:val="24"/>
          <w:szCs w:val="24"/>
        </w:rPr>
      </w:pPr>
    </w:p>
    <w:p w14:paraId="4371B243" w14:textId="77777777" w:rsidR="00174FA7" w:rsidRPr="00126CFE" w:rsidRDefault="00174FA7" w:rsidP="00174FA7">
      <w:pPr>
        <w:spacing w:line="240" w:lineRule="auto"/>
        <w:rPr>
          <w:rFonts w:ascii="Arial" w:hAnsi="Arial" w:cs="Arial"/>
          <w:sz w:val="24"/>
          <w:szCs w:val="24"/>
        </w:rPr>
      </w:pPr>
    </w:p>
    <w:p w14:paraId="08420B09" w14:textId="77777777" w:rsidR="00174FA7" w:rsidRPr="00126CFE" w:rsidRDefault="00174FA7" w:rsidP="00174FA7">
      <w:pPr>
        <w:spacing w:line="240" w:lineRule="auto"/>
        <w:rPr>
          <w:rFonts w:ascii="Arial" w:hAnsi="Arial" w:cs="Arial"/>
          <w:sz w:val="24"/>
          <w:szCs w:val="24"/>
        </w:rPr>
      </w:pPr>
    </w:p>
    <w:p w14:paraId="7A9A924F" w14:textId="77777777" w:rsidR="00174FA7" w:rsidRPr="00126CFE" w:rsidRDefault="00174FA7" w:rsidP="00174FA7">
      <w:pPr>
        <w:spacing w:line="240" w:lineRule="auto"/>
        <w:rPr>
          <w:rFonts w:ascii="Arial" w:hAnsi="Arial" w:cs="Arial"/>
          <w:sz w:val="24"/>
          <w:szCs w:val="24"/>
        </w:rPr>
      </w:pPr>
    </w:p>
    <w:p w14:paraId="73BDBD0A" w14:textId="77777777" w:rsidR="00174FA7" w:rsidRPr="00126CFE" w:rsidRDefault="00174FA7" w:rsidP="00174FA7">
      <w:pPr>
        <w:spacing w:line="240" w:lineRule="auto"/>
        <w:rPr>
          <w:rFonts w:ascii="Arial" w:hAnsi="Arial" w:cs="Arial"/>
          <w:sz w:val="24"/>
          <w:szCs w:val="24"/>
        </w:rPr>
      </w:pPr>
    </w:p>
    <w:p w14:paraId="0C159F5B" w14:textId="77777777" w:rsidR="00174FA7" w:rsidRPr="00126CFE" w:rsidRDefault="00174FA7" w:rsidP="00174FA7">
      <w:pPr>
        <w:spacing w:line="240" w:lineRule="auto"/>
        <w:rPr>
          <w:rFonts w:ascii="Arial" w:hAnsi="Arial" w:cs="Arial"/>
          <w:sz w:val="24"/>
          <w:szCs w:val="24"/>
        </w:rPr>
      </w:pPr>
    </w:p>
    <w:p w14:paraId="6F9A1C89" w14:textId="77777777" w:rsidR="00174FA7" w:rsidRPr="00126CFE" w:rsidRDefault="00174FA7" w:rsidP="00174FA7">
      <w:pPr>
        <w:spacing w:line="240" w:lineRule="auto"/>
        <w:rPr>
          <w:rFonts w:ascii="Arial" w:hAnsi="Arial" w:cs="Arial"/>
          <w:sz w:val="24"/>
          <w:szCs w:val="24"/>
        </w:rPr>
      </w:pPr>
    </w:p>
    <w:p w14:paraId="39589D2D" w14:textId="77777777" w:rsidR="00174FA7" w:rsidRPr="00126CFE" w:rsidRDefault="00174FA7" w:rsidP="00174FA7">
      <w:pPr>
        <w:spacing w:line="240" w:lineRule="auto"/>
        <w:rPr>
          <w:rFonts w:ascii="Arial" w:hAnsi="Arial" w:cs="Arial"/>
          <w:sz w:val="24"/>
          <w:szCs w:val="24"/>
        </w:rPr>
      </w:pPr>
    </w:p>
    <w:p w14:paraId="6D2AB808" w14:textId="77777777" w:rsidR="00174FA7" w:rsidRPr="00126CFE" w:rsidRDefault="00174FA7" w:rsidP="00174FA7">
      <w:pPr>
        <w:spacing w:line="240" w:lineRule="auto"/>
        <w:rPr>
          <w:rFonts w:ascii="Arial" w:hAnsi="Arial" w:cs="Arial"/>
          <w:sz w:val="24"/>
          <w:szCs w:val="24"/>
        </w:rPr>
      </w:pPr>
    </w:p>
    <w:p w14:paraId="1261EC07" w14:textId="77777777" w:rsidR="00174FA7" w:rsidRPr="00126CFE" w:rsidRDefault="00174FA7" w:rsidP="00174FA7">
      <w:pPr>
        <w:spacing w:line="240" w:lineRule="auto"/>
        <w:rPr>
          <w:rFonts w:ascii="Arial" w:hAnsi="Arial" w:cs="Arial"/>
          <w:sz w:val="24"/>
          <w:szCs w:val="24"/>
        </w:rPr>
      </w:pPr>
    </w:p>
    <w:p w14:paraId="4B3414C0" w14:textId="77777777" w:rsidR="00174FA7" w:rsidRPr="00126CFE" w:rsidRDefault="00174FA7" w:rsidP="00174FA7">
      <w:pPr>
        <w:spacing w:line="240" w:lineRule="auto"/>
        <w:rPr>
          <w:rFonts w:ascii="Arial" w:hAnsi="Arial" w:cs="Arial"/>
          <w:sz w:val="24"/>
          <w:szCs w:val="24"/>
        </w:rPr>
      </w:pPr>
    </w:p>
    <w:p w14:paraId="12613F93" w14:textId="77777777" w:rsidR="00174FA7" w:rsidRPr="00126CFE" w:rsidRDefault="00174FA7" w:rsidP="00174FA7">
      <w:pPr>
        <w:spacing w:line="240" w:lineRule="auto"/>
        <w:rPr>
          <w:rFonts w:ascii="Arial" w:hAnsi="Arial" w:cs="Arial"/>
          <w:sz w:val="24"/>
          <w:szCs w:val="24"/>
        </w:rPr>
      </w:pPr>
    </w:p>
    <w:p w14:paraId="57A4C529" w14:textId="77777777" w:rsidR="00174FA7" w:rsidRPr="00126CFE" w:rsidRDefault="00174FA7" w:rsidP="00174FA7">
      <w:pPr>
        <w:spacing w:line="240" w:lineRule="auto"/>
        <w:rPr>
          <w:rFonts w:ascii="Arial" w:hAnsi="Arial" w:cs="Arial"/>
          <w:sz w:val="24"/>
          <w:szCs w:val="24"/>
        </w:rPr>
      </w:pPr>
    </w:p>
    <w:p w14:paraId="24E93EA0" w14:textId="77777777" w:rsidR="00A00836" w:rsidRPr="00126CFE" w:rsidRDefault="00A00836" w:rsidP="00A00836">
      <w:pPr>
        <w:pStyle w:val="ListParagraph"/>
        <w:spacing w:line="240" w:lineRule="auto"/>
        <w:rPr>
          <w:rFonts w:ascii="Arial" w:hAnsi="Arial" w:cs="Arial"/>
          <w:sz w:val="24"/>
          <w:szCs w:val="24"/>
        </w:rPr>
      </w:pPr>
    </w:p>
    <w:p w14:paraId="36D1AB98" w14:textId="4E6F7506" w:rsidR="00174FA7" w:rsidRPr="00126CFE" w:rsidRDefault="00174FA7" w:rsidP="00174FA7">
      <w:pPr>
        <w:pStyle w:val="ListParagraph"/>
        <w:numPr>
          <w:ilvl w:val="0"/>
          <w:numId w:val="2"/>
        </w:numPr>
        <w:spacing w:line="240" w:lineRule="auto"/>
        <w:jc w:val="center"/>
        <w:rPr>
          <w:rFonts w:ascii="Arial" w:hAnsi="Arial" w:cs="Arial"/>
          <w:sz w:val="24"/>
          <w:szCs w:val="24"/>
        </w:rPr>
      </w:pPr>
      <w:r w:rsidRPr="00126CFE">
        <w:rPr>
          <w:rFonts w:ascii="Arial" w:hAnsi="Arial" w:cs="Arial"/>
          <w:b/>
          <w:bCs/>
          <w:sz w:val="24"/>
          <w:szCs w:val="24"/>
          <w:u w:val="single"/>
        </w:rPr>
        <w:lastRenderedPageBreak/>
        <w:t>Introduction</w:t>
      </w:r>
    </w:p>
    <w:p w14:paraId="315E9CB5" w14:textId="4B9865A0" w:rsidR="00174FA7" w:rsidRPr="00126CFE" w:rsidRDefault="00174FA7" w:rsidP="00174FA7">
      <w:pPr>
        <w:spacing w:line="240" w:lineRule="auto"/>
        <w:rPr>
          <w:rFonts w:ascii="Arial" w:hAnsi="Arial" w:cs="Arial"/>
          <w:sz w:val="24"/>
          <w:szCs w:val="24"/>
        </w:rPr>
      </w:pPr>
      <w:r w:rsidRPr="00126CFE">
        <w:rPr>
          <w:rFonts w:ascii="Arial" w:hAnsi="Arial" w:cs="Arial"/>
          <w:sz w:val="24"/>
          <w:szCs w:val="24"/>
        </w:rPr>
        <w:t xml:space="preserve">Amcor is one of the world’s largest and leading producers of packaging solutions, split into two main divisions of Flexibles and Rigids.  The company design and manufacture sustainable packaging for the global business and consumer market ranging from food, pharmaceutical, medical, construction and personal care.  Amcor employ 75,000 workers across 400 manufacturing sites in over 40 countries (Amcor, 2025).  Due to regulatory pressures, environmental concerns and rapid technological innovation </w:t>
      </w:r>
      <w:r w:rsidR="00B14BE8" w:rsidRPr="00126CFE">
        <w:rPr>
          <w:rFonts w:ascii="Arial" w:hAnsi="Arial" w:cs="Arial"/>
          <w:sz w:val="24"/>
          <w:szCs w:val="24"/>
        </w:rPr>
        <w:t>the packaging industry is undergoing large scale change.  For Amcor this presents both a threat and an opportunity in relation to market share, growth with customers and segmentation.  The key challenges facing Amcor and the packaging industry are circular economy expectations (Zhu et al, 2022), digitalisation (Tomaschko et al, 2024) and increasing personalisation requirements for customer packaging (D’Amico et al, 2023).</w:t>
      </w:r>
    </w:p>
    <w:p w14:paraId="29A94C0C" w14:textId="6A20636C" w:rsidR="00B14BE8" w:rsidRPr="00126CFE" w:rsidRDefault="00B14BE8" w:rsidP="00174FA7">
      <w:pPr>
        <w:spacing w:line="240" w:lineRule="auto"/>
        <w:rPr>
          <w:rFonts w:ascii="Arial" w:hAnsi="Arial" w:cs="Arial"/>
          <w:sz w:val="24"/>
          <w:szCs w:val="24"/>
        </w:rPr>
      </w:pPr>
      <w:r w:rsidRPr="00126CFE">
        <w:rPr>
          <w:rFonts w:ascii="Arial" w:hAnsi="Arial" w:cs="Arial"/>
          <w:sz w:val="24"/>
          <w:szCs w:val="24"/>
        </w:rPr>
        <w:t xml:space="preserve">This report is designed to provide senior leadership with a </w:t>
      </w:r>
      <w:r w:rsidR="00E047BB" w:rsidRPr="00126CFE">
        <w:rPr>
          <w:rFonts w:ascii="Arial" w:hAnsi="Arial" w:cs="Arial"/>
          <w:sz w:val="24"/>
          <w:szCs w:val="24"/>
        </w:rPr>
        <w:t>comprehensive strategic analysis</w:t>
      </w:r>
      <w:r w:rsidRPr="00126CFE">
        <w:rPr>
          <w:rFonts w:ascii="Arial" w:hAnsi="Arial" w:cs="Arial"/>
          <w:sz w:val="24"/>
          <w:szCs w:val="24"/>
        </w:rPr>
        <w:t xml:space="preserve"> to support decision making during a period of sudden onset environmental and organisational issues.  Following the pandemic of Covid-19 economic growth, geopolitical volatility and in turn raw material supply fluctuations, organisations must have the ability to show strategic agility and course correct capability requirements to maintain future competitiveness (Teece et al, 2016).</w:t>
      </w:r>
      <w:r w:rsidR="00E047BB" w:rsidRPr="00126CFE">
        <w:rPr>
          <w:rFonts w:ascii="Arial" w:hAnsi="Arial" w:cs="Arial"/>
          <w:sz w:val="24"/>
          <w:szCs w:val="24"/>
        </w:rPr>
        <w:t xml:space="preserve">  The report conducts an internal and external analyses of Amcor using strategic frameworks, evaluating strategic options for innovation and customer care, and recommends a forward-looking strategy enhancing resilience, agility and competitive advantage.</w:t>
      </w:r>
    </w:p>
    <w:p w14:paraId="2627B910" w14:textId="77777777" w:rsidR="00F4682E" w:rsidRPr="00126CFE" w:rsidRDefault="00F4682E">
      <w:pPr>
        <w:rPr>
          <w:rFonts w:ascii="Arial" w:hAnsi="Arial" w:cs="Arial"/>
          <w:sz w:val="24"/>
          <w:szCs w:val="24"/>
        </w:rPr>
      </w:pPr>
    </w:p>
    <w:p w14:paraId="0022DB20" w14:textId="4B8F31EA" w:rsidR="00F4682E" w:rsidRPr="00126CFE" w:rsidRDefault="00E047BB" w:rsidP="00E047BB">
      <w:pPr>
        <w:pStyle w:val="ListParagraph"/>
        <w:numPr>
          <w:ilvl w:val="0"/>
          <w:numId w:val="2"/>
        </w:numPr>
        <w:jc w:val="center"/>
        <w:rPr>
          <w:rFonts w:ascii="Arial" w:hAnsi="Arial" w:cs="Arial"/>
          <w:b/>
          <w:bCs/>
          <w:sz w:val="24"/>
          <w:szCs w:val="24"/>
          <w:u w:val="single"/>
        </w:rPr>
      </w:pPr>
      <w:r w:rsidRPr="00126CFE">
        <w:rPr>
          <w:rFonts w:ascii="Arial" w:hAnsi="Arial" w:cs="Arial"/>
          <w:b/>
          <w:bCs/>
          <w:sz w:val="24"/>
          <w:szCs w:val="24"/>
          <w:u w:val="single"/>
        </w:rPr>
        <w:t>Strategic Approach</w:t>
      </w:r>
    </w:p>
    <w:p w14:paraId="2FE668C9" w14:textId="5D762D85" w:rsidR="00E047BB" w:rsidRPr="00126CFE" w:rsidRDefault="00E047BB" w:rsidP="00E047BB">
      <w:pPr>
        <w:rPr>
          <w:rFonts w:ascii="Arial" w:hAnsi="Arial" w:cs="Arial"/>
          <w:sz w:val="24"/>
          <w:szCs w:val="24"/>
        </w:rPr>
      </w:pPr>
      <w:r w:rsidRPr="00126CFE">
        <w:rPr>
          <w:rFonts w:ascii="Arial" w:hAnsi="Arial" w:cs="Arial"/>
          <w:sz w:val="24"/>
          <w:szCs w:val="24"/>
        </w:rPr>
        <w:t>This report applies a strategic approach encompassing classic and contemporary frameworks.  To support the reasoning of the mixture it is aligned with the recommendations by Johnson et al (2023), who argue that robust strategic analyses require combinations of environmental scanning, organisational capability assessments and an understanding of the businesses competitive positioning.</w:t>
      </w:r>
    </w:p>
    <w:p w14:paraId="0F2221B2" w14:textId="1D7A952D" w:rsidR="00E047BB" w:rsidRPr="00126CFE" w:rsidRDefault="00E047BB" w:rsidP="00E047BB">
      <w:pPr>
        <w:rPr>
          <w:rFonts w:ascii="Arial" w:hAnsi="Arial" w:cs="Arial"/>
          <w:sz w:val="24"/>
          <w:szCs w:val="24"/>
        </w:rPr>
      </w:pPr>
      <w:r w:rsidRPr="00126CFE">
        <w:rPr>
          <w:rFonts w:ascii="Arial" w:hAnsi="Arial" w:cs="Arial"/>
          <w:sz w:val="24"/>
          <w:szCs w:val="24"/>
        </w:rPr>
        <w:t>The following models are used to effectively apply the required strategic analyses:</w:t>
      </w:r>
    </w:p>
    <w:p w14:paraId="42C36A9B" w14:textId="48F349E1" w:rsidR="00F4682E" w:rsidRPr="00126CFE" w:rsidRDefault="00E047BB" w:rsidP="00E047BB">
      <w:pPr>
        <w:pStyle w:val="ListParagraph"/>
        <w:numPr>
          <w:ilvl w:val="0"/>
          <w:numId w:val="5"/>
        </w:numPr>
        <w:rPr>
          <w:rFonts w:ascii="Arial" w:hAnsi="Arial" w:cs="Arial"/>
          <w:sz w:val="24"/>
          <w:szCs w:val="24"/>
        </w:rPr>
      </w:pPr>
      <w:r w:rsidRPr="00126CFE">
        <w:rPr>
          <w:rFonts w:ascii="Arial" w:hAnsi="Arial" w:cs="Arial"/>
          <w:sz w:val="24"/>
          <w:szCs w:val="24"/>
        </w:rPr>
        <w:t>PESTEL assessing the macro-environmental conditions (Johnson et al, 2023)</w:t>
      </w:r>
    </w:p>
    <w:p w14:paraId="4620228D" w14:textId="536BAA05" w:rsidR="00E047BB" w:rsidRPr="00126CFE" w:rsidRDefault="00E047BB" w:rsidP="00E047BB">
      <w:pPr>
        <w:pStyle w:val="ListParagraph"/>
        <w:numPr>
          <w:ilvl w:val="0"/>
          <w:numId w:val="5"/>
        </w:numPr>
        <w:rPr>
          <w:rFonts w:ascii="Arial" w:hAnsi="Arial" w:cs="Arial"/>
          <w:sz w:val="24"/>
          <w:szCs w:val="24"/>
        </w:rPr>
      </w:pPr>
      <w:r w:rsidRPr="00126CFE">
        <w:rPr>
          <w:rFonts w:ascii="Arial" w:hAnsi="Arial" w:cs="Arial"/>
          <w:sz w:val="24"/>
          <w:szCs w:val="24"/>
        </w:rPr>
        <w:t>Porters five forces to assess industry level competitiveness (Porter, 1980)</w:t>
      </w:r>
    </w:p>
    <w:p w14:paraId="3471B35C" w14:textId="3172870C" w:rsidR="00E047BB" w:rsidRPr="00126CFE" w:rsidRDefault="00E047BB" w:rsidP="00E047BB">
      <w:pPr>
        <w:pStyle w:val="ListParagraph"/>
        <w:numPr>
          <w:ilvl w:val="0"/>
          <w:numId w:val="5"/>
        </w:numPr>
        <w:rPr>
          <w:rFonts w:ascii="Arial" w:hAnsi="Arial" w:cs="Arial"/>
          <w:sz w:val="24"/>
          <w:szCs w:val="24"/>
        </w:rPr>
      </w:pPr>
      <w:r w:rsidRPr="00126CFE">
        <w:rPr>
          <w:rFonts w:ascii="Arial" w:hAnsi="Arial" w:cs="Arial"/>
          <w:sz w:val="24"/>
          <w:szCs w:val="24"/>
        </w:rPr>
        <w:t>VRIO (Barney, 1991) and Value Chain (Porter, 1985) for internal capability analyses</w:t>
      </w:r>
    </w:p>
    <w:p w14:paraId="31187773" w14:textId="3F20C465" w:rsidR="00E047BB" w:rsidRPr="00126CFE" w:rsidRDefault="00E047BB" w:rsidP="00E047BB">
      <w:pPr>
        <w:pStyle w:val="ListParagraph"/>
        <w:numPr>
          <w:ilvl w:val="0"/>
          <w:numId w:val="5"/>
        </w:numPr>
        <w:rPr>
          <w:rFonts w:ascii="Arial" w:hAnsi="Arial" w:cs="Arial"/>
          <w:sz w:val="24"/>
          <w:szCs w:val="24"/>
        </w:rPr>
      </w:pPr>
      <w:r w:rsidRPr="00126CFE">
        <w:rPr>
          <w:rFonts w:ascii="Arial" w:hAnsi="Arial" w:cs="Arial"/>
          <w:sz w:val="24"/>
          <w:szCs w:val="24"/>
        </w:rPr>
        <w:t>SWOT to integrate the internal and external findings (Grant, 2021)</w:t>
      </w:r>
    </w:p>
    <w:p w14:paraId="1A3B5668" w14:textId="01EA3DEF" w:rsidR="00195843" w:rsidRPr="00126CFE" w:rsidRDefault="00195843" w:rsidP="00E047BB">
      <w:pPr>
        <w:pStyle w:val="ListParagraph"/>
        <w:numPr>
          <w:ilvl w:val="0"/>
          <w:numId w:val="5"/>
        </w:numPr>
        <w:rPr>
          <w:rFonts w:ascii="Arial" w:hAnsi="Arial" w:cs="Arial"/>
          <w:sz w:val="24"/>
          <w:szCs w:val="24"/>
        </w:rPr>
      </w:pPr>
      <w:r w:rsidRPr="00126CFE">
        <w:rPr>
          <w:rFonts w:ascii="Arial" w:hAnsi="Arial" w:cs="Arial"/>
          <w:sz w:val="24"/>
          <w:szCs w:val="24"/>
        </w:rPr>
        <w:t>Ansoff’s matrix (Ansoff, 1957) to evaluate the strategic growth avenues</w:t>
      </w:r>
    </w:p>
    <w:p w14:paraId="21ECF887" w14:textId="3633804B" w:rsidR="00195843" w:rsidRPr="00126CFE" w:rsidRDefault="00195843" w:rsidP="00E047BB">
      <w:pPr>
        <w:pStyle w:val="ListParagraph"/>
        <w:numPr>
          <w:ilvl w:val="0"/>
          <w:numId w:val="5"/>
        </w:numPr>
        <w:rPr>
          <w:rFonts w:ascii="Arial" w:hAnsi="Arial" w:cs="Arial"/>
          <w:sz w:val="24"/>
          <w:szCs w:val="24"/>
        </w:rPr>
      </w:pPr>
      <w:r w:rsidRPr="00126CFE">
        <w:rPr>
          <w:rFonts w:ascii="Arial" w:hAnsi="Arial" w:cs="Arial"/>
          <w:sz w:val="24"/>
          <w:szCs w:val="24"/>
        </w:rPr>
        <w:t>Porters generic strategies (Porter, 1985) and Bowmans strategy clock (Bowman et al, 1997) to analyse competitive positioning</w:t>
      </w:r>
    </w:p>
    <w:p w14:paraId="1ADF1085" w14:textId="2465BE4B" w:rsidR="00195843" w:rsidRPr="00126CFE" w:rsidRDefault="00195843" w:rsidP="00E047BB">
      <w:pPr>
        <w:pStyle w:val="ListParagraph"/>
        <w:numPr>
          <w:ilvl w:val="0"/>
          <w:numId w:val="5"/>
        </w:numPr>
        <w:rPr>
          <w:rFonts w:ascii="Arial" w:hAnsi="Arial" w:cs="Arial"/>
          <w:sz w:val="24"/>
          <w:szCs w:val="24"/>
        </w:rPr>
      </w:pPr>
      <w:r w:rsidRPr="00126CFE">
        <w:rPr>
          <w:rFonts w:ascii="Arial" w:hAnsi="Arial" w:cs="Arial"/>
          <w:sz w:val="24"/>
          <w:szCs w:val="24"/>
        </w:rPr>
        <w:t>Dynamic capabilities (Teece, 2007) to evaluate the agility in the organisation</w:t>
      </w:r>
    </w:p>
    <w:p w14:paraId="75189810" w14:textId="0C22F8A7" w:rsidR="00195843" w:rsidRPr="00126CFE" w:rsidRDefault="00195843" w:rsidP="00E047BB">
      <w:pPr>
        <w:pStyle w:val="ListParagraph"/>
        <w:numPr>
          <w:ilvl w:val="0"/>
          <w:numId w:val="5"/>
        </w:numPr>
        <w:rPr>
          <w:rFonts w:ascii="Arial" w:hAnsi="Arial" w:cs="Arial"/>
          <w:sz w:val="24"/>
          <w:szCs w:val="24"/>
        </w:rPr>
      </w:pPr>
      <w:r w:rsidRPr="00126CFE">
        <w:rPr>
          <w:rFonts w:ascii="Arial" w:hAnsi="Arial" w:cs="Arial"/>
          <w:sz w:val="24"/>
          <w:szCs w:val="24"/>
        </w:rPr>
        <w:t>Customer centricity frameworks utilising modern empirical research (McKinsey, 2024, BCG, 2022, Payne et al, 2013)</w:t>
      </w:r>
    </w:p>
    <w:p w14:paraId="2744C7BE" w14:textId="77777777" w:rsidR="00A0060F" w:rsidRPr="00126CFE" w:rsidRDefault="00A0060F" w:rsidP="00A0060F">
      <w:pPr>
        <w:rPr>
          <w:rFonts w:ascii="Arial" w:hAnsi="Arial" w:cs="Arial"/>
          <w:sz w:val="24"/>
          <w:szCs w:val="24"/>
        </w:rPr>
      </w:pPr>
    </w:p>
    <w:p w14:paraId="2AF22D61" w14:textId="77777777" w:rsidR="00A0060F" w:rsidRPr="00126CFE" w:rsidRDefault="00A0060F" w:rsidP="00A0060F">
      <w:pPr>
        <w:rPr>
          <w:rFonts w:ascii="Arial" w:hAnsi="Arial" w:cs="Arial"/>
          <w:sz w:val="24"/>
          <w:szCs w:val="24"/>
        </w:rPr>
      </w:pPr>
    </w:p>
    <w:p w14:paraId="15FFD765" w14:textId="792279BF" w:rsidR="00A0060F" w:rsidRPr="00126CFE" w:rsidRDefault="00FF5B70" w:rsidP="00403E92">
      <w:pPr>
        <w:pStyle w:val="ListParagraph"/>
        <w:numPr>
          <w:ilvl w:val="0"/>
          <w:numId w:val="2"/>
        </w:numPr>
        <w:jc w:val="center"/>
        <w:rPr>
          <w:rFonts w:ascii="Arial" w:hAnsi="Arial" w:cs="Arial"/>
          <w:b/>
          <w:bCs/>
          <w:sz w:val="24"/>
          <w:szCs w:val="24"/>
          <w:u w:val="single"/>
        </w:rPr>
      </w:pPr>
      <w:r>
        <w:rPr>
          <w:rFonts w:ascii="Arial" w:hAnsi="Arial" w:cs="Arial"/>
          <w:b/>
          <w:bCs/>
          <w:sz w:val="24"/>
          <w:szCs w:val="24"/>
          <w:u w:val="single"/>
        </w:rPr>
        <w:lastRenderedPageBreak/>
        <w:t>PESTEL Analyses</w:t>
      </w:r>
    </w:p>
    <w:p w14:paraId="04220C0B" w14:textId="70481550" w:rsidR="00403E92" w:rsidRPr="00126CFE" w:rsidRDefault="00FD0EC3" w:rsidP="009F6A58">
      <w:pPr>
        <w:rPr>
          <w:rFonts w:ascii="Arial" w:hAnsi="Arial" w:cs="Arial"/>
          <w:sz w:val="24"/>
          <w:szCs w:val="24"/>
        </w:rPr>
      </w:pPr>
      <w:r w:rsidRPr="00126CFE">
        <w:rPr>
          <w:rFonts w:ascii="Arial" w:hAnsi="Arial" w:cs="Arial"/>
          <w:sz w:val="24"/>
          <w:szCs w:val="24"/>
        </w:rPr>
        <w:t xml:space="preserve">The PESTEL framework analyses the environment influencing Amcor.  Research emphasises that macro-environmental shifts are increasingly determining </w:t>
      </w:r>
      <w:r w:rsidR="00DD58A0" w:rsidRPr="00126CFE">
        <w:rPr>
          <w:rFonts w:ascii="Arial" w:hAnsi="Arial" w:cs="Arial"/>
          <w:sz w:val="24"/>
          <w:szCs w:val="24"/>
        </w:rPr>
        <w:t>the success of organisations, especially in industries such as Amcor where globalisation and sustainability factors are key drivers (Grant</w:t>
      </w:r>
      <w:r w:rsidR="002C71D4" w:rsidRPr="00126CFE">
        <w:rPr>
          <w:rFonts w:ascii="Arial" w:hAnsi="Arial" w:cs="Arial"/>
          <w:sz w:val="24"/>
          <w:szCs w:val="24"/>
        </w:rPr>
        <w:t xml:space="preserve">, 2021, </w:t>
      </w:r>
      <w:r w:rsidR="00877D2D" w:rsidRPr="00126CFE">
        <w:rPr>
          <w:rFonts w:ascii="Arial" w:hAnsi="Arial" w:cs="Arial"/>
          <w:sz w:val="24"/>
          <w:szCs w:val="24"/>
        </w:rPr>
        <w:t>Circle Economy Foundation</w:t>
      </w:r>
      <w:r w:rsidR="002C71D4" w:rsidRPr="00126CFE">
        <w:rPr>
          <w:rFonts w:ascii="Arial" w:hAnsi="Arial" w:cs="Arial"/>
          <w:sz w:val="24"/>
          <w:szCs w:val="24"/>
        </w:rPr>
        <w:t>, 2024)</w:t>
      </w:r>
      <w:r w:rsidR="00877D2D" w:rsidRPr="00126CFE">
        <w:rPr>
          <w:rFonts w:ascii="Arial" w:hAnsi="Arial" w:cs="Arial"/>
          <w:sz w:val="24"/>
          <w:szCs w:val="24"/>
        </w:rPr>
        <w:t>.</w:t>
      </w:r>
    </w:p>
    <w:p w14:paraId="2FCD56C0" w14:textId="360AB5F3" w:rsidR="00877D2D" w:rsidRPr="00126CFE" w:rsidRDefault="00877D2D" w:rsidP="009F6A58">
      <w:pPr>
        <w:rPr>
          <w:rFonts w:ascii="Arial" w:hAnsi="Arial" w:cs="Arial"/>
          <w:sz w:val="24"/>
          <w:szCs w:val="24"/>
        </w:rPr>
      </w:pPr>
      <w:r w:rsidRPr="00126CFE">
        <w:rPr>
          <w:rFonts w:ascii="Arial" w:hAnsi="Arial" w:cs="Arial"/>
          <w:b/>
          <w:bCs/>
          <w:sz w:val="24"/>
          <w:szCs w:val="24"/>
        </w:rPr>
        <w:t>Political Factors</w:t>
      </w:r>
    </w:p>
    <w:p w14:paraId="2C7448F2" w14:textId="75A77123" w:rsidR="00877D2D" w:rsidRPr="00126CFE" w:rsidRDefault="00877D2D" w:rsidP="009F6A58">
      <w:pPr>
        <w:rPr>
          <w:rFonts w:ascii="Arial" w:hAnsi="Arial" w:cs="Arial"/>
          <w:sz w:val="24"/>
          <w:szCs w:val="24"/>
        </w:rPr>
      </w:pPr>
      <w:r w:rsidRPr="00126CFE">
        <w:rPr>
          <w:rFonts w:ascii="Arial" w:hAnsi="Arial" w:cs="Arial"/>
          <w:sz w:val="24"/>
          <w:szCs w:val="24"/>
        </w:rPr>
        <w:t xml:space="preserve">The packaging industry </w:t>
      </w:r>
      <w:r w:rsidR="00EB2BC4" w:rsidRPr="00126CFE">
        <w:rPr>
          <w:rFonts w:ascii="Arial" w:hAnsi="Arial" w:cs="Arial"/>
          <w:sz w:val="24"/>
          <w:szCs w:val="24"/>
        </w:rPr>
        <w:t xml:space="preserve">is highly exposed to regulatory and political developments.  Governments across the globe are </w:t>
      </w:r>
      <w:r w:rsidR="00B835A8" w:rsidRPr="00126CFE">
        <w:rPr>
          <w:rFonts w:ascii="Arial" w:hAnsi="Arial" w:cs="Arial"/>
          <w:sz w:val="24"/>
          <w:szCs w:val="24"/>
        </w:rPr>
        <w:t>implementing new rules and strategies on single use plastics, recyclability targets, carbon emissions and waste management (OECD, 2022)</w:t>
      </w:r>
      <w:r w:rsidR="00BA4E3E" w:rsidRPr="00126CFE">
        <w:rPr>
          <w:rFonts w:ascii="Arial" w:hAnsi="Arial" w:cs="Arial"/>
          <w:sz w:val="24"/>
          <w:szCs w:val="24"/>
        </w:rPr>
        <w:t>.  Within the EU new legislation is due to begin in 2030 for the P</w:t>
      </w:r>
      <w:r w:rsidR="005C7CA8" w:rsidRPr="00126CFE">
        <w:rPr>
          <w:rFonts w:ascii="Arial" w:hAnsi="Arial" w:cs="Arial"/>
          <w:sz w:val="24"/>
          <w:szCs w:val="24"/>
        </w:rPr>
        <w:t>ackaging and Packaging Waste Regulation (PPWR)</w:t>
      </w:r>
      <w:r w:rsidR="0042335A" w:rsidRPr="00126CFE">
        <w:rPr>
          <w:rFonts w:ascii="Arial" w:hAnsi="Arial" w:cs="Arial"/>
          <w:sz w:val="24"/>
          <w:szCs w:val="24"/>
        </w:rPr>
        <w:t>, which has a significant impact on Amcor and the materials that can be used for manufacture</w:t>
      </w:r>
      <w:r w:rsidR="007C4D91" w:rsidRPr="00126CFE">
        <w:rPr>
          <w:rFonts w:ascii="Arial" w:hAnsi="Arial" w:cs="Arial"/>
          <w:sz w:val="24"/>
          <w:szCs w:val="24"/>
        </w:rPr>
        <w:t xml:space="preserve">.  Key aspects to consider for Amcor in the plastics manufacturing space are the removal of PFAS additives and PVDC from the products.  These are both being outlawed under the regulations to increase recyclability and removal of “forever chemicals” in the </w:t>
      </w:r>
      <w:r w:rsidR="00040B61" w:rsidRPr="00126CFE">
        <w:rPr>
          <w:rFonts w:ascii="Arial" w:hAnsi="Arial" w:cs="Arial"/>
          <w:sz w:val="24"/>
          <w:szCs w:val="24"/>
        </w:rPr>
        <w:t>products</w:t>
      </w:r>
      <w:r w:rsidR="00D65164" w:rsidRPr="00126CFE">
        <w:rPr>
          <w:rFonts w:ascii="Arial" w:hAnsi="Arial" w:cs="Arial"/>
          <w:sz w:val="24"/>
          <w:szCs w:val="24"/>
        </w:rPr>
        <w:t xml:space="preserve"> (ECHA, 2025, European Commission, 2025).</w:t>
      </w:r>
    </w:p>
    <w:p w14:paraId="45218F09" w14:textId="6A571134" w:rsidR="00A92AFF" w:rsidRPr="00126CFE" w:rsidRDefault="00A92AFF" w:rsidP="009F6A58">
      <w:pPr>
        <w:rPr>
          <w:rFonts w:ascii="Arial" w:hAnsi="Arial" w:cs="Arial"/>
          <w:sz w:val="24"/>
          <w:szCs w:val="24"/>
        </w:rPr>
      </w:pPr>
      <w:r w:rsidRPr="00126CFE">
        <w:rPr>
          <w:rFonts w:ascii="Arial" w:hAnsi="Arial" w:cs="Arial"/>
          <w:sz w:val="24"/>
          <w:szCs w:val="24"/>
        </w:rPr>
        <w:t>Amcor operates on a global scale and is therefore affected by geopolitical instability.  These can be in the form of trade disputes, tariffs</w:t>
      </w:r>
      <w:r w:rsidR="00E67CE5" w:rsidRPr="00126CFE">
        <w:rPr>
          <w:rFonts w:ascii="Arial" w:hAnsi="Arial" w:cs="Arial"/>
          <w:sz w:val="24"/>
          <w:szCs w:val="24"/>
        </w:rPr>
        <w:t xml:space="preserve"> and supply chain disruptions.  Research on geopolitical risk shows that fragmentation </w:t>
      </w:r>
      <w:r w:rsidR="00B6442B" w:rsidRPr="00126CFE">
        <w:rPr>
          <w:rFonts w:ascii="Arial" w:hAnsi="Arial" w:cs="Arial"/>
          <w:sz w:val="24"/>
          <w:szCs w:val="24"/>
        </w:rPr>
        <w:t xml:space="preserve">of supply chains and shifting alliances influence the cost of raw materials such as polymers, which are key to Amcor’s </w:t>
      </w:r>
      <w:r w:rsidR="002617D1" w:rsidRPr="00126CFE">
        <w:rPr>
          <w:rFonts w:ascii="Arial" w:hAnsi="Arial" w:cs="Arial"/>
          <w:sz w:val="24"/>
          <w:szCs w:val="24"/>
        </w:rPr>
        <w:t>manufacturing supply</w:t>
      </w:r>
      <w:r w:rsidR="00304769" w:rsidRPr="00126CFE">
        <w:rPr>
          <w:rFonts w:ascii="Arial" w:hAnsi="Arial" w:cs="Arial"/>
          <w:sz w:val="24"/>
          <w:szCs w:val="24"/>
        </w:rPr>
        <w:t xml:space="preserve"> (S&amp;P Global, 2025)</w:t>
      </w:r>
      <w:r w:rsidR="002617D1" w:rsidRPr="00126CFE">
        <w:rPr>
          <w:rFonts w:ascii="Arial" w:hAnsi="Arial" w:cs="Arial"/>
          <w:sz w:val="24"/>
          <w:szCs w:val="24"/>
        </w:rPr>
        <w:t>.</w:t>
      </w:r>
    </w:p>
    <w:p w14:paraId="2D94FBD2" w14:textId="580F0F89" w:rsidR="000C1796" w:rsidRPr="00126CFE" w:rsidRDefault="000C1796" w:rsidP="009F6A58">
      <w:pPr>
        <w:rPr>
          <w:rFonts w:ascii="Arial" w:hAnsi="Arial" w:cs="Arial"/>
          <w:sz w:val="24"/>
          <w:szCs w:val="24"/>
        </w:rPr>
      </w:pPr>
      <w:r w:rsidRPr="00126CFE">
        <w:rPr>
          <w:rFonts w:ascii="Arial" w:hAnsi="Arial" w:cs="Arial"/>
          <w:sz w:val="24"/>
          <w:szCs w:val="24"/>
        </w:rPr>
        <w:t xml:space="preserve">The strategic implication for Amcor is it must maintain compliance capabilities, ensuring investment is targeted </w:t>
      </w:r>
      <w:r w:rsidR="00B12134" w:rsidRPr="00126CFE">
        <w:rPr>
          <w:rFonts w:ascii="Arial" w:hAnsi="Arial" w:cs="Arial"/>
          <w:sz w:val="24"/>
          <w:szCs w:val="24"/>
        </w:rPr>
        <w:t>for acceleration of sustainable products to meet diverse political requirements.</w:t>
      </w:r>
    </w:p>
    <w:p w14:paraId="618F884D" w14:textId="7F1B0C4A" w:rsidR="00B12134" w:rsidRPr="00126CFE" w:rsidRDefault="00B12134" w:rsidP="009F6A58">
      <w:pPr>
        <w:rPr>
          <w:rFonts w:ascii="Arial" w:hAnsi="Arial" w:cs="Arial"/>
          <w:sz w:val="24"/>
          <w:szCs w:val="24"/>
        </w:rPr>
      </w:pPr>
      <w:r w:rsidRPr="00126CFE">
        <w:rPr>
          <w:rFonts w:ascii="Arial" w:hAnsi="Arial" w:cs="Arial"/>
          <w:b/>
          <w:bCs/>
          <w:sz w:val="24"/>
          <w:szCs w:val="24"/>
        </w:rPr>
        <w:t>Economic factors</w:t>
      </w:r>
    </w:p>
    <w:p w14:paraId="3F3BBA30" w14:textId="3A7A4567" w:rsidR="00B12134" w:rsidRPr="00126CFE" w:rsidRDefault="004950BB" w:rsidP="009F6A58">
      <w:pPr>
        <w:rPr>
          <w:rFonts w:ascii="Arial" w:hAnsi="Arial" w:cs="Arial"/>
          <w:sz w:val="24"/>
          <w:szCs w:val="24"/>
        </w:rPr>
      </w:pPr>
      <w:r w:rsidRPr="00126CFE">
        <w:rPr>
          <w:rFonts w:ascii="Arial" w:hAnsi="Arial" w:cs="Arial"/>
          <w:sz w:val="24"/>
          <w:szCs w:val="24"/>
        </w:rPr>
        <w:t xml:space="preserve">The global economy is fragile </w:t>
      </w:r>
      <w:r w:rsidR="007B211E" w:rsidRPr="00126CFE">
        <w:rPr>
          <w:rFonts w:ascii="Arial" w:hAnsi="Arial" w:cs="Arial"/>
          <w:sz w:val="24"/>
          <w:szCs w:val="24"/>
        </w:rPr>
        <w:t>and, in many cases,</w:t>
      </w:r>
      <w:r w:rsidR="000D6C0A" w:rsidRPr="00126CFE">
        <w:rPr>
          <w:rFonts w:ascii="Arial" w:hAnsi="Arial" w:cs="Arial"/>
          <w:sz w:val="24"/>
          <w:szCs w:val="24"/>
        </w:rPr>
        <w:t xml:space="preserve"> still in post-pandemic recovery.  This can be </w:t>
      </w:r>
      <w:r w:rsidR="00EC0180" w:rsidRPr="00126CFE">
        <w:rPr>
          <w:rFonts w:ascii="Arial" w:hAnsi="Arial" w:cs="Arial"/>
          <w:sz w:val="24"/>
          <w:szCs w:val="24"/>
        </w:rPr>
        <w:t>characterised</w:t>
      </w:r>
      <w:r w:rsidR="000D6C0A" w:rsidRPr="00126CFE">
        <w:rPr>
          <w:rFonts w:ascii="Arial" w:hAnsi="Arial" w:cs="Arial"/>
          <w:sz w:val="24"/>
          <w:szCs w:val="24"/>
        </w:rPr>
        <w:t xml:space="preserve"> by inflationary pressures, volatility in the energy markets</w:t>
      </w:r>
      <w:r w:rsidR="00EC0180" w:rsidRPr="00126CFE">
        <w:rPr>
          <w:rFonts w:ascii="Arial" w:hAnsi="Arial" w:cs="Arial"/>
          <w:sz w:val="24"/>
          <w:szCs w:val="24"/>
        </w:rPr>
        <w:t xml:space="preserve"> and fluctuating consumer demand.  The packaging industry is directly linked to consumer behaviour</w:t>
      </w:r>
      <w:r w:rsidR="00B65221" w:rsidRPr="00126CFE">
        <w:rPr>
          <w:rFonts w:ascii="Arial" w:hAnsi="Arial" w:cs="Arial"/>
          <w:sz w:val="24"/>
          <w:szCs w:val="24"/>
        </w:rPr>
        <w:t xml:space="preserve"> but does offer resilience in less volatile markets such as healthcare and food.  The packaging industry </w:t>
      </w:r>
      <w:r w:rsidR="0019636D" w:rsidRPr="00126CFE">
        <w:rPr>
          <w:rFonts w:ascii="Arial" w:hAnsi="Arial" w:cs="Arial"/>
          <w:sz w:val="24"/>
          <w:szCs w:val="24"/>
        </w:rPr>
        <w:t xml:space="preserve">is a </w:t>
      </w:r>
      <w:r w:rsidR="007B211E" w:rsidRPr="00126CFE">
        <w:rPr>
          <w:rFonts w:ascii="Arial" w:hAnsi="Arial" w:cs="Arial"/>
          <w:sz w:val="24"/>
          <w:szCs w:val="24"/>
        </w:rPr>
        <w:t>capital-intensive</w:t>
      </w:r>
      <w:r w:rsidR="0019636D" w:rsidRPr="00126CFE">
        <w:rPr>
          <w:rFonts w:ascii="Arial" w:hAnsi="Arial" w:cs="Arial"/>
          <w:sz w:val="24"/>
          <w:szCs w:val="24"/>
        </w:rPr>
        <w:t xml:space="preserve"> area which is heavily affected by rising interest rates and especially volatility in raw material pricing (</w:t>
      </w:r>
      <w:r w:rsidR="009D2FCB" w:rsidRPr="00126CFE">
        <w:rPr>
          <w:rFonts w:ascii="Arial" w:hAnsi="Arial" w:cs="Arial"/>
          <w:sz w:val="24"/>
          <w:szCs w:val="24"/>
        </w:rPr>
        <w:t>Pwc</w:t>
      </w:r>
      <w:r w:rsidR="00AE3F6A" w:rsidRPr="00126CFE">
        <w:rPr>
          <w:rFonts w:ascii="Arial" w:hAnsi="Arial" w:cs="Arial"/>
          <w:sz w:val="24"/>
          <w:szCs w:val="24"/>
        </w:rPr>
        <w:t>, 2024)</w:t>
      </w:r>
      <w:r w:rsidR="007B211E" w:rsidRPr="00126CFE">
        <w:rPr>
          <w:rFonts w:ascii="Arial" w:hAnsi="Arial" w:cs="Arial"/>
          <w:sz w:val="24"/>
          <w:szCs w:val="24"/>
        </w:rPr>
        <w:t>.</w:t>
      </w:r>
    </w:p>
    <w:p w14:paraId="50D6CB24" w14:textId="41169E9E" w:rsidR="007B211E" w:rsidRPr="00126CFE" w:rsidRDefault="007B211E" w:rsidP="009F6A58">
      <w:pPr>
        <w:rPr>
          <w:rFonts w:ascii="Arial" w:hAnsi="Arial" w:cs="Arial"/>
          <w:sz w:val="24"/>
          <w:szCs w:val="24"/>
        </w:rPr>
      </w:pPr>
      <w:r w:rsidRPr="00126CFE">
        <w:rPr>
          <w:rFonts w:ascii="Arial" w:hAnsi="Arial" w:cs="Arial"/>
          <w:sz w:val="24"/>
          <w:szCs w:val="24"/>
        </w:rPr>
        <w:t>Economic research shows there is increased demand for convenience</w:t>
      </w:r>
      <w:r w:rsidR="00A358ED" w:rsidRPr="00126CFE">
        <w:rPr>
          <w:rFonts w:ascii="Arial" w:hAnsi="Arial" w:cs="Arial"/>
          <w:sz w:val="24"/>
          <w:szCs w:val="24"/>
        </w:rPr>
        <w:t xml:space="preserve">, online shopping and pharmaceutical packaging due to lifestyle changes </w:t>
      </w:r>
      <w:r w:rsidR="00AE03BD" w:rsidRPr="00126CFE">
        <w:rPr>
          <w:rFonts w:ascii="Arial" w:hAnsi="Arial" w:cs="Arial"/>
          <w:sz w:val="24"/>
          <w:szCs w:val="24"/>
        </w:rPr>
        <w:t>and</w:t>
      </w:r>
      <w:r w:rsidR="00A358ED" w:rsidRPr="00126CFE">
        <w:rPr>
          <w:rFonts w:ascii="Arial" w:hAnsi="Arial" w:cs="Arial"/>
          <w:sz w:val="24"/>
          <w:szCs w:val="24"/>
        </w:rPr>
        <w:t xml:space="preserve"> demographic trends</w:t>
      </w:r>
      <w:r w:rsidR="00F76226" w:rsidRPr="00126CFE">
        <w:rPr>
          <w:rFonts w:ascii="Arial" w:hAnsi="Arial" w:cs="Arial"/>
          <w:sz w:val="24"/>
          <w:szCs w:val="24"/>
        </w:rPr>
        <w:t xml:space="preserve"> (Cordeiro et al, 2025)</w:t>
      </w:r>
      <w:r w:rsidR="000006A7" w:rsidRPr="00126CFE">
        <w:rPr>
          <w:rFonts w:ascii="Arial" w:hAnsi="Arial" w:cs="Arial"/>
          <w:sz w:val="24"/>
          <w:szCs w:val="24"/>
        </w:rPr>
        <w:t xml:space="preserve">.  In emerging markets there are growth opportunities </w:t>
      </w:r>
      <w:r w:rsidR="00AE03BD" w:rsidRPr="00126CFE">
        <w:rPr>
          <w:rFonts w:ascii="Arial" w:hAnsi="Arial" w:cs="Arial"/>
          <w:sz w:val="24"/>
          <w:szCs w:val="24"/>
        </w:rPr>
        <w:t>for</w:t>
      </w:r>
      <w:r w:rsidR="00BB71BC" w:rsidRPr="00126CFE">
        <w:rPr>
          <w:rFonts w:ascii="Arial" w:hAnsi="Arial" w:cs="Arial"/>
          <w:sz w:val="24"/>
          <w:szCs w:val="24"/>
        </w:rPr>
        <w:t xml:space="preserve"> food and healthcare packaging.</w:t>
      </w:r>
    </w:p>
    <w:p w14:paraId="043555A8" w14:textId="276FF385" w:rsidR="00BB71BC" w:rsidRPr="00126CFE" w:rsidRDefault="00BB71BC" w:rsidP="009F6A58">
      <w:pPr>
        <w:rPr>
          <w:rFonts w:ascii="Arial" w:hAnsi="Arial" w:cs="Arial"/>
          <w:sz w:val="24"/>
          <w:szCs w:val="24"/>
        </w:rPr>
      </w:pPr>
      <w:r w:rsidRPr="00126CFE">
        <w:rPr>
          <w:rFonts w:ascii="Arial" w:hAnsi="Arial" w:cs="Arial"/>
          <w:sz w:val="24"/>
          <w:szCs w:val="24"/>
        </w:rPr>
        <w:t>The strategic implications for Amcor are that growth is possible in the market</w:t>
      </w:r>
      <w:r w:rsidR="009F5714" w:rsidRPr="00126CFE">
        <w:rPr>
          <w:rFonts w:ascii="Arial" w:hAnsi="Arial" w:cs="Arial"/>
          <w:sz w:val="24"/>
          <w:szCs w:val="24"/>
        </w:rPr>
        <w:t xml:space="preserve"> via targeting emerging areas, however volatility remains a cost challenge globally.</w:t>
      </w:r>
    </w:p>
    <w:p w14:paraId="3DD8A4A0" w14:textId="6796A533" w:rsidR="009F5714" w:rsidRPr="00126CFE" w:rsidRDefault="009F5714" w:rsidP="009F6A58">
      <w:pPr>
        <w:rPr>
          <w:rFonts w:ascii="Arial" w:hAnsi="Arial" w:cs="Arial"/>
          <w:sz w:val="24"/>
          <w:szCs w:val="24"/>
        </w:rPr>
      </w:pPr>
      <w:r w:rsidRPr="00126CFE">
        <w:rPr>
          <w:rFonts w:ascii="Arial" w:hAnsi="Arial" w:cs="Arial"/>
          <w:b/>
          <w:bCs/>
          <w:sz w:val="24"/>
          <w:szCs w:val="24"/>
        </w:rPr>
        <w:t>Social Factors</w:t>
      </w:r>
    </w:p>
    <w:p w14:paraId="28EB2630" w14:textId="0F9F936F" w:rsidR="009F5714" w:rsidRPr="00126CFE" w:rsidRDefault="009C1C67" w:rsidP="009F6A58">
      <w:pPr>
        <w:rPr>
          <w:rFonts w:ascii="Arial" w:hAnsi="Arial" w:cs="Arial"/>
          <w:sz w:val="24"/>
          <w:szCs w:val="24"/>
        </w:rPr>
      </w:pPr>
      <w:r w:rsidRPr="00126CFE">
        <w:rPr>
          <w:rFonts w:ascii="Arial" w:hAnsi="Arial" w:cs="Arial"/>
          <w:sz w:val="24"/>
          <w:szCs w:val="24"/>
        </w:rPr>
        <w:lastRenderedPageBreak/>
        <w:t xml:space="preserve">The awareness from consumers with regards to environment issues and especially plastic pollution has grown exponentially.  </w:t>
      </w:r>
      <w:r w:rsidR="00EC0B36" w:rsidRPr="00126CFE">
        <w:rPr>
          <w:rFonts w:ascii="Arial" w:hAnsi="Arial" w:cs="Arial"/>
          <w:sz w:val="24"/>
          <w:szCs w:val="24"/>
        </w:rPr>
        <w:t xml:space="preserve">Consumers are showing a trend to </w:t>
      </w:r>
      <w:r w:rsidR="009F6421" w:rsidRPr="00126CFE">
        <w:rPr>
          <w:rFonts w:ascii="Arial" w:hAnsi="Arial" w:cs="Arial"/>
          <w:sz w:val="24"/>
          <w:szCs w:val="24"/>
        </w:rPr>
        <w:t>prefer sustainable, recyclable or reusable packaging, and are willing to pay a moderate premium for the environmentally friendly products</w:t>
      </w:r>
      <w:r w:rsidR="002E1C31" w:rsidRPr="00126CFE">
        <w:rPr>
          <w:rFonts w:ascii="Arial" w:hAnsi="Arial" w:cs="Arial"/>
          <w:sz w:val="24"/>
          <w:szCs w:val="24"/>
        </w:rPr>
        <w:t xml:space="preserve"> (De Canio, 2023)</w:t>
      </w:r>
      <w:r w:rsidR="003255C6" w:rsidRPr="00126CFE">
        <w:rPr>
          <w:rFonts w:ascii="Arial" w:hAnsi="Arial" w:cs="Arial"/>
          <w:sz w:val="24"/>
          <w:szCs w:val="24"/>
        </w:rPr>
        <w:t>.</w:t>
      </w:r>
      <w:r w:rsidR="00E83BCD" w:rsidRPr="00126CFE">
        <w:rPr>
          <w:rFonts w:ascii="Arial" w:hAnsi="Arial" w:cs="Arial"/>
          <w:sz w:val="24"/>
          <w:szCs w:val="24"/>
        </w:rPr>
        <w:t xml:space="preserve">  </w:t>
      </w:r>
      <w:r w:rsidR="003119C1" w:rsidRPr="00126CFE">
        <w:rPr>
          <w:rFonts w:ascii="Arial" w:hAnsi="Arial" w:cs="Arial"/>
          <w:sz w:val="24"/>
          <w:szCs w:val="24"/>
        </w:rPr>
        <w:t>Additionally,</w:t>
      </w:r>
      <w:r w:rsidR="00E83BCD" w:rsidRPr="00126CFE">
        <w:rPr>
          <w:rFonts w:ascii="Arial" w:hAnsi="Arial" w:cs="Arial"/>
          <w:sz w:val="24"/>
          <w:szCs w:val="24"/>
        </w:rPr>
        <w:t xml:space="preserve"> </w:t>
      </w:r>
      <w:r w:rsidR="00AE03BD" w:rsidRPr="00126CFE">
        <w:rPr>
          <w:rFonts w:ascii="Arial" w:hAnsi="Arial" w:cs="Arial"/>
          <w:sz w:val="24"/>
          <w:szCs w:val="24"/>
        </w:rPr>
        <w:t>a</w:t>
      </w:r>
      <w:r w:rsidR="00E83BCD" w:rsidRPr="00126CFE">
        <w:rPr>
          <w:rFonts w:ascii="Arial" w:hAnsi="Arial" w:cs="Arial"/>
          <w:sz w:val="24"/>
          <w:szCs w:val="24"/>
        </w:rPr>
        <w:t xml:space="preserve"> preference for personalised or unique product offerings are rising</w:t>
      </w:r>
      <w:r w:rsidR="005D10A7" w:rsidRPr="00126CFE">
        <w:rPr>
          <w:rFonts w:ascii="Arial" w:hAnsi="Arial" w:cs="Arial"/>
          <w:sz w:val="24"/>
          <w:szCs w:val="24"/>
        </w:rPr>
        <w:t>, this is driven by the digital lifestyles and “experience economy” (Pine et al, 201</w:t>
      </w:r>
      <w:r w:rsidR="00C54260" w:rsidRPr="00126CFE">
        <w:rPr>
          <w:rFonts w:ascii="Arial" w:hAnsi="Arial" w:cs="Arial"/>
          <w:sz w:val="24"/>
          <w:szCs w:val="24"/>
        </w:rPr>
        <w:t>3</w:t>
      </w:r>
      <w:r w:rsidR="005D10A7" w:rsidRPr="00126CFE">
        <w:rPr>
          <w:rFonts w:ascii="Arial" w:hAnsi="Arial" w:cs="Arial"/>
          <w:sz w:val="24"/>
          <w:szCs w:val="24"/>
        </w:rPr>
        <w:t>)</w:t>
      </w:r>
      <w:r w:rsidR="00B66F81" w:rsidRPr="00126CFE">
        <w:rPr>
          <w:rFonts w:ascii="Arial" w:hAnsi="Arial" w:cs="Arial"/>
          <w:sz w:val="24"/>
          <w:szCs w:val="24"/>
        </w:rPr>
        <w:t xml:space="preserve">.  </w:t>
      </w:r>
    </w:p>
    <w:p w14:paraId="6F2C896C" w14:textId="32DAFD01" w:rsidR="00B66F81" w:rsidRPr="00126CFE" w:rsidRDefault="00B66F81" w:rsidP="009F6A58">
      <w:pPr>
        <w:rPr>
          <w:rFonts w:ascii="Arial" w:hAnsi="Arial" w:cs="Arial"/>
          <w:sz w:val="24"/>
          <w:szCs w:val="24"/>
        </w:rPr>
      </w:pPr>
      <w:r w:rsidRPr="00126CFE">
        <w:rPr>
          <w:rFonts w:ascii="Arial" w:hAnsi="Arial" w:cs="Arial"/>
          <w:sz w:val="24"/>
          <w:szCs w:val="24"/>
        </w:rPr>
        <w:t xml:space="preserve">Demographic changes such as ageing populations are increasing demand for pharmaceutical </w:t>
      </w:r>
      <w:r w:rsidR="0040396F" w:rsidRPr="00126CFE">
        <w:rPr>
          <w:rFonts w:ascii="Arial" w:hAnsi="Arial" w:cs="Arial"/>
          <w:sz w:val="24"/>
          <w:szCs w:val="24"/>
        </w:rPr>
        <w:t>packaging;</w:t>
      </w:r>
      <w:r w:rsidR="00603EA0" w:rsidRPr="00126CFE">
        <w:rPr>
          <w:rFonts w:ascii="Arial" w:hAnsi="Arial" w:cs="Arial"/>
          <w:sz w:val="24"/>
          <w:szCs w:val="24"/>
        </w:rPr>
        <w:t xml:space="preserve"> this requires high product safety and traceability standards with the products.</w:t>
      </w:r>
    </w:p>
    <w:p w14:paraId="4F5082CA" w14:textId="33073435" w:rsidR="00603EA0" w:rsidRPr="00126CFE" w:rsidRDefault="00603EA0" w:rsidP="009F6A58">
      <w:pPr>
        <w:rPr>
          <w:rFonts w:ascii="Arial" w:hAnsi="Arial" w:cs="Arial"/>
          <w:sz w:val="24"/>
          <w:szCs w:val="24"/>
        </w:rPr>
      </w:pPr>
      <w:r w:rsidRPr="00126CFE">
        <w:rPr>
          <w:rFonts w:ascii="Arial" w:hAnsi="Arial" w:cs="Arial"/>
          <w:sz w:val="24"/>
          <w:szCs w:val="24"/>
        </w:rPr>
        <w:t>The strategic implication for Amcor is targeting a personalised sustainable product offering, this can give competitive differentiation and strengthen customer loyalty.</w:t>
      </w:r>
    </w:p>
    <w:p w14:paraId="52F7F127" w14:textId="0553DBA8" w:rsidR="0028597C" w:rsidRPr="00126CFE" w:rsidRDefault="0028597C" w:rsidP="009F6A58">
      <w:pPr>
        <w:rPr>
          <w:rFonts w:ascii="Arial" w:hAnsi="Arial" w:cs="Arial"/>
          <w:sz w:val="24"/>
          <w:szCs w:val="24"/>
        </w:rPr>
      </w:pPr>
      <w:r w:rsidRPr="00126CFE">
        <w:rPr>
          <w:rFonts w:ascii="Arial" w:hAnsi="Arial" w:cs="Arial"/>
          <w:b/>
          <w:bCs/>
          <w:sz w:val="24"/>
          <w:szCs w:val="24"/>
        </w:rPr>
        <w:t>Technological Factors</w:t>
      </w:r>
    </w:p>
    <w:p w14:paraId="55C74842" w14:textId="15EBF8A6" w:rsidR="0028597C" w:rsidRPr="00126CFE" w:rsidRDefault="00D72410" w:rsidP="009F6A58">
      <w:pPr>
        <w:rPr>
          <w:rFonts w:ascii="Arial" w:hAnsi="Arial" w:cs="Arial"/>
          <w:sz w:val="24"/>
          <w:szCs w:val="24"/>
        </w:rPr>
      </w:pPr>
      <w:r w:rsidRPr="00126CFE">
        <w:rPr>
          <w:rFonts w:ascii="Arial" w:hAnsi="Arial" w:cs="Arial"/>
          <w:sz w:val="24"/>
          <w:szCs w:val="24"/>
        </w:rPr>
        <w:t>Innovation in packaging technology is critical to remain competitive and ahead of regulatory requirements</w:t>
      </w:r>
      <w:r w:rsidR="00B851B6" w:rsidRPr="00126CFE">
        <w:rPr>
          <w:rFonts w:ascii="Arial" w:hAnsi="Arial" w:cs="Arial"/>
          <w:sz w:val="24"/>
          <w:szCs w:val="24"/>
        </w:rPr>
        <w:t xml:space="preserve">.  The technological drivers are based around materials science, digital design, automation and circularity of products. </w:t>
      </w:r>
    </w:p>
    <w:p w14:paraId="7FD00B86" w14:textId="44681A6E" w:rsidR="00173540" w:rsidRPr="00126CFE" w:rsidRDefault="00173540" w:rsidP="009F6A58">
      <w:pPr>
        <w:rPr>
          <w:rFonts w:ascii="Arial" w:hAnsi="Arial" w:cs="Arial"/>
          <w:sz w:val="24"/>
          <w:szCs w:val="24"/>
        </w:rPr>
      </w:pPr>
      <w:r w:rsidRPr="00126CFE">
        <w:rPr>
          <w:rFonts w:ascii="Arial" w:hAnsi="Arial" w:cs="Arial"/>
          <w:sz w:val="24"/>
          <w:szCs w:val="24"/>
        </w:rPr>
        <w:t xml:space="preserve">Modern advances in packaging technology </w:t>
      </w:r>
      <w:r w:rsidR="003119C1" w:rsidRPr="00126CFE">
        <w:rPr>
          <w:rFonts w:ascii="Arial" w:hAnsi="Arial" w:cs="Arial"/>
          <w:sz w:val="24"/>
          <w:szCs w:val="24"/>
        </w:rPr>
        <w:t>include:</w:t>
      </w:r>
    </w:p>
    <w:p w14:paraId="7708B581" w14:textId="17B583D0" w:rsidR="00173540" w:rsidRPr="00126CFE" w:rsidRDefault="00173540" w:rsidP="00173540">
      <w:pPr>
        <w:pStyle w:val="ListParagraph"/>
        <w:numPr>
          <w:ilvl w:val="0"/>
          <w:numId w:val="6"/>
        </w:numPr>
        <w:rPr>
          <w:rFonts w:ascii="Arial" w:hAnsi="Arial" w:cs="Arial"/>
          <w:sz w:val="24"/>
          <w:szCs w:val="24"/>
        </w:rPr>
      </w:pPr>
      <w:r w:rsidRPr="00126CFE">
        <w:rPr>
          <w:rFonts w:ascii="Arial" w:hAnsi="Arial" w:cs="Arial"/>
          <w:sz w:val="24"/>
          <w:szCs w:val="24"/>
        </w:rPr>
        <w:t xml:space="preserve">Recycle ready structures and bio-based polymers (Ellen </w:t>
      </w:r>
      <w:r w:rsidR="00B735F6" w:rsidRPr="00126CFE">
        <w:rPr>
          <w:rFonts w:ascii="Arial" w:hAnsi="Arial" w:cs="Arial"/>
          <w:sz w:val="24"/>
          <w:szCs w:val="24"/>
        </w:rPr>
        <w:t>McArthur</w:t>
      </w:r>
      <w:r w:rsidRPr="00126CFE">
        <w:rPr>
          <w:rFonts w:ascii="Arial" w:hAnsi="Arial" w:cs="Arial"/>
          <w:sz w:val="24"/>
          <w:szCs w:val="24"/>
        </w:rPr>
        <w:t xml:space="preserve"> Foundation, 20</w:t>
      </w:r>
      <w:r w:rsidR="00B43374" w:rsidRPr="00126CFE">
        <w:rPr>
          <w:rFonts w:ascii="Arial" w:hAnsi="Arial" w:cs="Arial"/>
          <w:sz w:val="24"/>
          <w:szCs w:val="24"/>
        </w:rPr>
        <w:t>21</w:t>
      </w:r>
      <w:r w:rsidRPr="00126CFE">
        <w:rPr>
          <w:rFonts w:ascii="Arial" w:hAnsi="Arial" w:cs="Arial"/>
          <w:sz w:val="24"/>
          <w:szCs w:val="24"/>
        </w:rPr>
        <w:t>)</w:t>
      </w:r>
    </w:p>
    <w:p w14:paraId="1F3A251B" w14:textId="3A9A8E37" w:rsidR="00BC5567" w:rsidRPr="00126CFE" w:rsidRDefault="00BC5567" w:rsidP="00173540">
      <w:pPr>
        <w:pStyle w:val="ListParagraph"/>
        <w:numPr>
          <w:ilvl w:val="0"/>
          <w:numId w:val="6"/>
        </w:numPr>
        <w:rPr>
          <w:rFonts w:ascii="Arial" w:hAnsi="Arial" w:cs="Arial"/>
          <w:sz w:val="24"/>
          <w:szCs w:val="24"/>
        </w:rPr>
      </w:pPr>
      <w:r w:rsidRPr="00126CFE">
        <w:rPr>
          <w:rFonts w:ascii="Arial" w:hAnsi="Arial" w:cs="Arial"/>
          <w:sz w:val="24"/>
          <w:szCs w:val="24"/>
        </w:rPr>
        <w:t>Digital twins and virtual packaging prototypes (</w:t>
      </w:r>
      <w:r w:rsidR="00EC430F" w:rsidRPr="00126CFE">
        <w:rPr>
          <w:rFonts w:ascii="Arial" w:hAnsi="Arial" w:cs="Arial"/>
          <w:sz w:val="24"/>
          <w:szCs w:val="24"/>
        </w:rPr>
        <w:t>Strauss et al</w:t>
      </w:r>
      <w:r w:rsidRPr="00126CFE">
        <w:rPr>
          <w:rFonts w:ascii="Arial" w:hAnsi="Arial" w:cs="Arial"/>
          <w:sz w:val="24"/>
          <w:szCs w:val="24"/>
        </w:rPr>
        <w:t>, 202</w:t>
      </w:r>
      <w:r w:rsidR="00EC430F" w:rsidRPr="00126CFE">
        <w:rPr>
          <w:rFonts w:ascii="Arial" w:hAnsi="Arial" w:cs="Arial"/>
          <w:sz w:val="24"/>
          <w:szCs w:val="24"/>
        </w:rPr>
        <w:t>5</w:t>
      </w:r>
      <w:r w:rsidRPr="00126CFE">
        <w:rPr>
          <w:rFonts w:ascii="Arial" w:hAnsi="Arial" w:cs="Arial"/>
          <w:sz w:val="24"/>
          <w:szCs w:val="24"/>
        </w:rPr>
        <w:t>)</w:t>
      </w:r>
    </w:p>
    <w:p w14:paraId="52541F4C" w14:textId="40D92A5C" w:rsidR="00BC5567" w:rsidRPr="00126CFE" w:rsidRDefault="00BC5567" w:rsidP="00173540">
      <w:pPr>
        <w:pStyle w:val="ListParagraph"/>
        <w:numPr>
          <w:ilvl w:val="0"/>
          <w:numId w:val="6"/>
        </w:numPr>
        <w:rPr>
          <w:rFonts w:ascii="Arial" w:hAnsi="Arial" w:cs="Arial"/>
          <w:sz w:val="24"/>
          <w:szCs w:val="24"/>
        </w:rPr>
      </w:pPr>
      <w:r w:rsidRPr="00126CFE">
        <w:rPr>
          <w:rFonts w:ascii="Arial" w:hAnsi="Arial" w:cs="Arial"/>
          <w:sz w:val="24"/>
          <w:szCs w:val="24"/>
        </w:rPr>
        <w:t xml:space="preserve">Automation and robotics in manufacturing </w:t>
      </w:r>
      <w:r w:rsidR="008B5689" w:rsidRPr="00126CFE">
        <w:rPr>
          <w:rFonts w:ascii="Arial" w:hAnsi="Arial" w:cs="Arial"/>
          <w:sz w:val="24"/>
          <w:szCs w:val="24"/>
        </w:rPr>
        <w:t>to reduce costs and increase efficiency</w:t>
      </w:r>
    </w:p>
    <w:p w14:paraId="7BD63461" w14:textId="7119FE13" w:rsidR="008B5689" w:rsidRPr="00126CFE" w:rsidRDefault="008B5689" w:rsidP="008B5689">
      <w:pPr>
        <w:rPr>
          <w:rFonts w:ascii="Arial" w:hAnsi="Arial" w:cs="Arial"/>
          <w:sz w:val="24"/>
          <w:szCs w:val="24"/>
        </w:rPr>
      </w:pPr>
      <w:r w:rsidRPr="00126CFE">
        <w:rPr>
          <w:rFonts w:ascii="Arial" w:hAnsi="Arial" w:cs="Arial"/>
          <w:sz w:val="24"/>
          <w:szCs w:val="24"/>
        </w:rPr>
        <w:t>Technology is also utilised for the personalisation of packaging utilising digital printing, customisable platforms for customers</w:t>
      </w:r>
      <w:r w:rsidR="009F6A58" w:rsidRPr="00126CFE">
        <w:rPr>
          <w:rFonts w:ascii="Arial" w:hAnsi="Arial" w:cs="Arial"/>
          <w:sz w:val="24"/>
          <w:szCs w:val="24"/>
        </w:rPr>
        <w:t xml:space="preserve"> ensuring close collaboration between Amcor and the customer base.</w:t>
      </w:r>
    </w:p>
    <w:p w14:paraId="471FE15A" w14:textId="148BB101" w:rsidR="009F6A58" w:rsidRPr="00126CFE" w:rsidRDefault="001C30D7" w:rsidP="008B5689">
      <w:pPr>
        <w:rPr>
          <w:rFonts w:ascii="Arial" w:hAnsi="Arial" w:cs="Arial"/>
          <w:sz w:val="24"/>
          <w:szCs w:val="24"/>
        </w:rPr>
      </w:pPr>
      <w:r w:rsidRPr="00126CFE">
        <w:rPr>
          <w:rFonts w:ascii="Arial" w:hAnsi="Arial" w:cs="Arial"/>
          <w:sz w:val="24"/>
          <w:szCs w:val="24"/>
        </w:rPr>
        <w:t>The strategic implication for Amcor is a requirement to maintain technological leadership in the market</w:t>
      </w:r>
      <w:r w:rsidR="00A20036" w:rsidRPr="00126CFE">
        <w:rPr>
          <w:rFonts w:ascii="Arial" w:hAnsi="Arial" w:cs="Arial"/>
          <w:sz w:val="24"/>
          <w:szCs w:val="24"/>
        </w:rPr>
        <w:t>.  Amcor must ensure that digitalisation and advanced materials research is set into the core strategy.</w:t>
      </w:r>
    </w:p>
    <w:p w14:paraId="2A8B2AB8" w14:textId="67751A52" w:rsidR="00A20036" w:rsidRPr="00126CFE" w:rsidRDefault="00A20036" w:rsidP="008B5689">
      <w:pPr>
        <w:rPr>
          <w:rFonts w:ascii="Arial" w:hAnsi="Arial" w:cs="Arial"/>
          <w:sz w:val="24"/>
          <w:szCs w:val="24"/>
        </w:rPr>
      </w:pPr>
      <w:r w:rsidRPr="00126CFE">
        <w:rPr>
          <w:rFonts w:ascii="Arial" w:hAnsi="Arial" w:cs="Arial"/>
          <w:b/>
          <w:bCs/>
          <w:sz w:val="24"/>
          <w:szCs w:val="24"/>
        </w:rPr>
        <w:t>Environmental Factors</w:t>
      </w:r>
    </w:p>
    <w:p w14:paraId="48AC78D5" w14:textId="2510B9E3" w:rsidR="00A20036" w:rsidRPr="00126CFE" w:rsidRDefault="001F4BC5" w:rsidP="008B5689">
      <w:pPr>
        <w:rPr>
          <w:rFonts w:ascii="Arial" w:hAnsi="Arial" w:cs="Arial"/>
          <w:sz w:val="24"/>
          <w:szCs w:val="24"/>
        </w:rPr>
      </w:pPr>
      <w:r w:rsidRPr="00126CFE">
        <w:rPr>
          <w:rFonts w:ascii="Arial" w:hAnsi="Arial" w:cs="Arial"/>
          <w:sz w:val="24"/>
          <w:szCs w:val="24"/>
        </w:rPr>
        <w:t>Sustainability is the most significant challenge affecting Amcor.  Climate change, resource supply issues and exponentially increasing consumer demand for circul</w:t>
      </w:r>
      <w:r w:rsidR="00100C64" w:rsidRPr="00126CFE">
        <w:rPr>
          <w:rFonts w:ascii="Arial" w:hAnsi="Arial" w:cs="Arial"/>
          <w:sz w:val="24"/>
          <w:szCs w:val="24"/>
        </w:rPr>
        <w:t xml:space="preserve">arity, are creating requirements for packaging firms to reduce emissions, manufacture recycle ready products and improve waste streams. </w:t>
      </w:r>
      <w:r w:rsidR="00362317" w:rsidRPr="00126CFE">
        <w:rPr>
          <w:rFonts w:ascii="Arial" w:hAnsi="Arial" w:cs="Arial"/>
          <w:sz w:val="24"/>
          <w:szCs w:val="24"/>
        </w:rPr>
        <w:t xml:space="preserve">Environmental research consistently shows a trend that the packaging industry is under increased scrutiny </w:t>
      </w:r>
      <w:r w:rsidR="00E97F41" w:rsidRPr="00126CFE">
        <w:rPr>
          <w:rFonts w:ascii="Arial" w:hAnsi="Arial" w:cs="Arial"/>
          <w:sz w:val="24"/>
          <w:szCs w:val="24"/>
        </w:rPr>
        <w:t xml:space="preserve">due to </w:t>
      </w:r>
      <w:r w:rsidR="00366BE8" w:rsidRPr="00126CFE">
        <w:rPr>
          <w:rFonts w:ascii="Arial" w:hAnsi="Arial" w:cs="Arial"/>
          <w:sz w:val="24"/>
          <w:szCs w:val="24"/>
        </w:rPr>
        <w:t>its</w:t>
      </w:r>
      <w:r w:rsidR="00E97F41" w:rsidRPr="00126CFE">
        <w:rPr>
          <w:rFonts w:ascii="Arial" w:hAnsi="Arial" w:cs="Arial"/>
          <w:sz w:val="24"/>
          <w:szCs w:val="24"/>
        </w:rPr>
        <w:t xml:space="preserve"> impact on global waste challenges (</w:t>
      </w:r>
      <w:r w:rsidR="00166815" w:rsidRPr="00126CFE">
        <w:rPr>
          <w:rFonts w:ascii="Arial" w:hAnsi="Arial" w:cs="Arial"/>
          <w:sz w:val="24"/>
          <w:szCs w:val="24"/>
        </w:rPr>
        <w:t>UNEP, 2021).</w:t>
      </w:r>
    </w:p>
    <w:p w14:paraId="67AA2173" w14:textId="445CEBE9" w:rsidR="00366BE8" w:rsidRPr="00126CFE" w:rsidRDefault="00366BE8" w:rsidP="008B5689">
      <w:pPr>
        <w:rPr>
          <w:rFonts w:ascii="Arial" w:hAnsi="Arial" w:cs="Arial"/>
          <w:sz w:val="24"/>
          <w:szCs w:val="24"/>
        </w:rPr>
      </w:pPr>
      <w:r w:rsidRPr="00126CFE">
        <w:rPr>
          <w:rFonts w:ascii="Arial" w:hAnsi="Arial" w:cs="Arial"/>
          <w:sz w:val="24"/>
          <w:szCs w:val="24"/>
        </w:rPr>
        <w:t xml:space="preserve">Many global packaging companies including Amcor have set ambitious targets </w:t>
      </w:r>
      <w:r w:rsidR="00515CD1" w:rsidRPr="00126CFE">
        <w:rPr>
          <w:rFonts w:ascii="Arial" w:hAnsi="Arial" w:cs="Arial"/>
          <w:sz w:val="24"/>
          <w:szCs w:val="24"/>
        </w:rPr>
        <w:t>which are time bound to increase their sustainability, increasing the share of recyclable materials and reduce carbon impacts.</w:t>
      </w:r>
    </w:p>
    <w:p w14:paraId="2B281EB3" w14:textId="5FACFC88" w:rsidR="00515CD1" w:rsidRPr="00126CFE" w:rsidRDefault="00515CD1" w:rsidP="008B5689">
      <w:pPr>
        <w:rPr>
          <w:rFonts w:ascii="Arial" w:hAnsi="Arial" w:cs="Arial"/>
          <w:sz w:val="24"/>
          <w:szCs w:val="24"/>
        </w:rPr>
      </w:pPr>
      <w:r w:rsidRPr="00126CFE">
        <w:rPr>
          <w:rFonts w:ascii="Arial" w:hAnsi="Arial" w:cs="Arial"/>
          <w:sz w:val="24"/>
          <w:szCs w:val="24"/>
        </w:rPr>
        <w:t>The strategic implication for Amcor</w:t>
      </w:r>
      <w:r w:rsidR="00C617B3" w:rsidRPr="00126CFE">
        <w:rPr>
          <w:rFonts w:ascii="Arial" w:hAnsi="Arial" w:cs="Arial"/>
          <w:sz w:val="24"/>
          <w:szCs w:val="24"/>
        </w:rPr>
        <w:t xml:space="preserve"> is sustainability must be at the forefront of the overall business strategy.  Without competing in this </w:t>
      </w:r>
      <w:r w:rsidR="003119C1" w:rsidRPr="00126CFE">
        <w:rPr>
          <w:rFonts w:ascii="Arial" w:hAnsi="Arial" w:cs="Arial"/>
          <w:sz w:val="24"/>
          <w:szCs w:val="24"/>
        </w:rPr>
        <w:t>area,</w:t>
      </w:r>
      <w:r w:rsidR="00C617B3" w:rsidRPr="00126CFE">
        <w:rPr>
          <w:rFonts w:ascii="Arial" w:hAnsi="Arial" w:cs="Arial"/>
          <w:sz w:val="24"/>
          <w:szCs w:val="24"/>
        </w:rPr>
        <w:t xml:space="preserve"> the business will see significant market share decrease as other move to sustainable products.</w:t>
      </w:r>
    </w:p>
    <w:p w14:paraId="289296AB" w14:textId="60B4E924" w:rsidR="00C617B3" w:rsidRPr="00126CFE" w:rsidRDefault="00C617B3" w:rsidP="008B5689">
      <w:pPr>
        <w:rPr>
          <w:rFonts w:ascii="Arial" w:hAnsi="Arial" w:cs="Arial"/>
          <w:b/>
          <w:bCs/>
          <w:sz w:val="24"/>
          <w:szCs w:val="24"/>
        </w:rPr>
      </w:pPr>
      <w:r w:rsidRPr="00126CFE">
        <w:rPr>
          <w:rFonts w:ascii="Arial" w:hAnsi="Arial" w:cs="Arial"/>
          <w:b/>
          <w:bCs/>
          <w:sz w:val="24"/>
          <w:szCs w:val="24"/>
        </w:rPr>
        <w:lastRenderedPageBreak/>
        <w:t>Legal Factors</w:t>
      </w:r>
    </w:p>
    <w:p w14:paraId="02C8ED5D" w14:textId="7C8C141A" w:rsidR="000D173F" w:rsidRPr="00126CFE" w:rsidRDefault="000D173F" w:rsidP="008B5689">
      <w:pPr>
        <w:rPr>
          <w:rFonts w:ascii="Arial" w:hAnsi="Arial" w:cs="Arial"/>
          <w:sz w:val="24"/>
          <w:szCs w:val="24"/>
        </w:rPr>
      </w:pPr>
      <w:r w:rsidRPr="00126CFE">
        <w:rPr>
          <w:rFonts w:ascii="Arial" w:hAnsi="Arial" w:cs="Arial"/>
          <w:sz w:val="24"/>
          <w:szCs w:val="24"/>
        </w:rPr>
        <w:t>The legal factors affecting Amcor are predominantly focussed on r</w:t>
      </w:r>
      <w:r w:rsidR="00A618D0" w:rsidRPr="00126CFE">
        <w:rPr>
          <w:rFonts w:ascii="Arial" w:hAnsi="Arial" w:cs="Arial"/>
          <w:sz w:val="24"/>
          <w:szCs w:val="24"/>
        </w:rPr>
        <w:t xml:space="preserve">egulatory pressures from global governments.  Packaging waste regulations, emissions limits, product safety requirements, food safety laws and </w:t>
      </w:r>
      <w:r w:rsidR="000121F7" w:rsidRPr="00126CFE">
        <w:rPr>
          <w:rFonts w:ascii="Arial" w:hAnsi="Arial" w:cs="Arial"/>
          <w:sz w:val="24"/>
          <w:szCs w:val="24"/>
        </w:rPr>
        <w:t xml:space="preserve">recycling mandates all are legal aspects Amcor must comply with to satisfy global requirements.  Legal risks </w:t>
      </w:r>
      <w:r w:rsidR="006B17DE" w:rsidRPr="00126CFE">
        <w:rPr>
          <w:rFonts w:ascii="Arial" w:hAnsi="Arial" w:cs="Arial"/>
          <w:sz w:val="24"/>
          <w:szCs w:val="24"/>
        </w:rPr>
        <w:t>related to environmental compliance have increased substantially and must be considered as part of strategic direction and investment decisions</w:t>
      </w:r>
      <w:r w:rsidR="008C6B5E" w:rsidRPr="00126CFE">
        <w:rPr>
          <w:rFonts w:ascii="Arial" w:hAnsi="Arial" w:cs="Arial"/>
          <w:sz w:val="24"/>
          <w:szCs w:val="24"/>
        </w:rPr>
        <w:t xml:space="preserve"> (Ahfeeth et al, 2025)</w:t>
      </w:r>
      <w:r w:rsidR="003C62ED" w:rsidRPr="00126CFE">
        <w:rPr>
          <w:rFonts w:ascii="Arial" w:hAnsi="Arial" w:cs="Arial"/>
          <w:sz w:val="24"/>
          <w:szCs w:val="24"/>
        </w:rPr>
        <w:t>.</w:t>
      </w:r>
    </w:p>
    <w:p w14:paraId="12B33AE1" w14:textId="79B369EB" w:rsidR="003C62ED" w:rsidRPr="00126CFE" w:rsidRDefault="003C62ED" w:rsidP="008B5689">
      <w:pPr>
        <w:rPr>
          <w:rFonts w:ascii="Arial" w:hAnsi="Arial" w:cs="Arial"/>
          <w:sz w:val="24"/>
          <w:szCs w:val="24"/>
        </w:rPr>
      </w:pPr>
      <w:r w:rsidRPr="00126CFE">
        <w:rPr>
          <w:rFonts w:ascii="Arial" w:hAnsi="Arial" w:cs="Arial"/>
          <w:sz w:val="24"/>
          <w:szCs w:val="24"/>
        </w:rPr>
        <w:t>The strategic implication for Amcor</w:t>
      </w:r>
      <w:r w:rsidR="002F63C2" w:rsidRPr="00126CFE">
        <w:rPr>
          <w:rFonts w:ascii="Arial" w:hAnsi="Arial" w:cs="Arial"/>
          <w:sz w:val="24"/>
          <w:szCs w:val="24"/>
        </w:rPr>
        <w:t xml:space="preserve"> is legal compliance must be integrated into innovation strategy</w:t>
      </w:r>
      <w:r w:rsidR="009D76C9" w:rsidRPr="00126CFE">
        <w:rPr>
          <w:rFonts w:ascii="Arial" w:hAnsi="Arial" w:cs="Arial"/>
          <w:sz w:val="24"/>
          <w:szCs w:val="24"/>
        </w:rPr>
        <w:t>,</w:t>
      </w:r>
      <w:r w:rsidR="002F63C2" w:rsidRPr="00126CFE">
        <w:rPr>
          <w:rFonts w:ascii="Arial" w:hAnsi="Arial" w:cs="Arial"/>
          <w:sz w:val="24"/>
          <w:szCs w:val="24"/>
        </w:rPr>
        <w:t xml:space="preserve"> to drive ahead of the </w:t>
      </w:r>
      <w:r w:rsidR="009D76C9" w:rsidRPr="00126CFE">
        <w:rPr>
          <w:rFonts w:ascii="Arial" w:hAnsi="Arial" w:cs="Arial"/>
          <w:sz w:val="24"/>
          <w:szCs w:val="24"/>
        </w:rPr>
        <w:t>curve and</w:t>
      </w:r>
      <w:r w:rsidR="002F63C2" w:rsidRPr="00126CFE">
        <w:rPr>
          <w:rFonts w:ascii="Arial" w:hAnsi="Arial" w:cs="Arial"/>
          <w:sz w:val="24"/>
          <w:szCs w:val="24"/>
        </w:rPr>
        <w:t xml:space="preserve"> not viewed as a resultant task slowing down compliance.</w:t>
      </w:r>
    </w:p>
    <w:p w14:paraId="32837E03" w14:textId="77777777" w:rsidR="009D76C9" w:rsidRPr="00126CFE" w:rsidRDefault="009D76C9" w:rsidP="008B5689">
      <w:pPr>
        <w:rPr>
          <w:rFonts w:ascii="Arial" w:hAnsi="Arial" w:cs="Arial"/>
          <w:sz w:val="24"/>
          <w:szCs w:val="24"/>
        </w:rPr>
      </w:pPr>
    </w:p>
    <w:p w14:paraId="2765E813" w14:textId="1C52D49A" w:rsidR="009D76C9" w:rsidRPr="00126CFE" w:rsidRDefault="003B2D94" w:rsidP="009D76C9">
      <w:pPr>
        <w:pStyle w:val="ListParagraph"/>
        <w:numPr>
          <w:ilvl w:val="0"/>
          <w:numId w:val="2"/>
        </w:numPr>
        <w:jc w:val="center"/>
        <w:rPr>
          <w:rFonts w:ascii="Arial" w:hAnsi="Arial" w:cs="Arial"/>
          <w:b/>
          <w:bCs/>
          <w:sz w:val="24"/>
          <w:szCs w:val="24"/>
        </w:rPr>
      </w:pPr>
      <w:r w:rsidRPr="00126CFE">
        <w:rPr>
          <w:rFonts w:ascii="Arial" w:hAnsi="Arial" w:cs="Arial"/>
          <w:b/>
          <w:bCs/>
          <w:sz w:val="24"/>
          <w:szCs w:val="24"/>
        </w:rPr>
        <w:t>Porters Five Forces</w:t>
      </w:r>
    </w:p>
    <w:p w14:paraId="5A68AF68" w14:textId="55E3610D" w:rsidR="003B2D94" w:rsidRPr="00126CFE" w:rsidRDefault="00967093" w:rsidP="003B2D94">
      <w:pPr>
        <w:rPr>
          <w:rFonts w:ascii="Arial" w:hAnsi="Arial" w:cs="Arial"/>
          <w:sz w:val="24"/>
          <w:szCs w:val="24"/>
          <w:u w:val="single"/>
        </w:rPr>
      </w:pPr>
      <w:r w:rsidRPr="00126CFE">
        <w:rPr>
          <w:rFonts w:ascii="Arial" w:hAnsi="Arial" w:cs="Arial"/>
          <w:b/>
          <w:bCs/>
          <w:sz w:val="24"/>
          <w:szCs w:val="24"/>
        </w:rPr>
        <w:t>Threat of new entrants – Moderate</w:t>
      </w:r>
    </w:p>
    <w:p w14:paraId="7F754C5D" w14:textId="26E7D117" w:rsidR="00967093" w:rsidRPr="00126CFE" w:rsidRDefault="00365304" w:rsidP="003B2D94">
      <w:pPr>
        <w:rPr>
          <w:rFonts w:ascii="Arial" w:hAnsi="Arial" w:cs="Arial"/>
          <w:sz w:val="24"/>
          <w:szCs w:val="24"/>
        </w:rPr>
      </w:pPr>
      <w:r w:rsidRPr="00126CFE">
        <w:rPr>
          <w:rFonts w:ascii="Arial" w:hAnsi="Arial" w:cs="Arial"/>
          <w:sz w:val="24"/>
          <w:szCs w:val="24"/>
        </w:rPr>
        <w:t>The packaging industry contains significant barriers to entry due to the requirement of large capital expenditure, economy of scale, strict regulatory compliance and the need for advanced capabilities in R&amp;D.  Any new entrants must place significant investment in manufacturing equipment, materials technology, certifications in sustainability</w:t>
      </w:r>
      <w:r w:rsidR="00AE23A6" w:rsidRPr="00126CFE">
        <w:rPr>
          <w:rFonts w:ascii="Arial" w:hAnsi="Arial" w:cs="Arial"/>
          <w:sz w:val="24"/>
          <w:szCs w:val="24"/>
        </w:rPr>
        <w:t xml:space="preserve"> and supply chain integration</w:t>
      </w:r>
      <w:r w:rsidR="0041182E" w:rsidRPr="00126CFE">
        <w:rPr>
          <w:rFonts w:ascii="Arial" w:hAnsi="Arial" w:cs="Arial"/>
          <w:sz w:val="24"/>
          <w:szCs w:val="24"/>
        </w:rPr>
        <w:t xml:space="preserve"> (Karakaya</w:t>
      </w:r>
      <w:r w:rsidR="00D954DA" w:rsidRPr="00126CFE">
        <w:rPr>
          <w:rFonts w:ascii="Arial" w:hAnsi="Arial" w:cs="Arial"/>
          <w:sz w:val="24"/>
          <w:szCs w:val="24"/>
        </w:rPr>
        <w:t>, 2002)</w:t>
      </w:r>
      <w:r w:rsidR="00E51826" w:rsidRPr="00126CFE">
        <w:rPr>
          <w:rFonts w:ascii="Arial" w:hAnsi="Arial" w:cs="Arial"/>
          <w:sz w:val="24"/>
          <w:szCs w:val="24"/>
        </w:rPr>
        <w:t>.</w:t>
      </w:r>
      <w:r w:rsidR="00513E42" w:rsidRPr="00126CFE">
        <w:rPr>
          <w:rFonts w:ascii="Arial" w:hAnsi="Arial" w:cs="Arial"/>
          <w:sz w:val="24"/>
          <w:szCs w:val="24"/>
        </w:rPr>
        <w:t xml:space="preserve">  However, modern advances in technology such as digital printing, </w:t>
      </w:r>
      <w:r w:rsidR="0078282A" w:rsidRPr="00126CFE">
        <w:rPr>
          <w:rFonts w:ascii="Arial" w:hAnsi="Arial" w:cs="Arial"/>
          <w:sz w:val="24"/>
          <w:szCs w:val="24"/>
        </w:rPr>
        <w:t>lightweight</w:t>
      </w:r>
      <w:r w:rsidR="001000A8" w:rsidRPr="00126CFE">
        <w:rPr>
          <w:rFonts w:ascii="Arial" w:hAnsi="Arial" w:cs="Arial"/>
          <w:sz w:val="24"/>
          <w:szCs w:val="24"/>
        </w:rPr>
        <w:t xml:space="preserve"> or </w:t>
      </w:r>
      <w:r w:rsidR="000443D9" w:rsidRPr="00126CFE">
        <w:rPr>
          <w:rFonts w:ascii="Arial" w:hAnsi="Arial" w:cs="Arial"/>
          <w:sz w:val="24"/>
          <w:szCs w:val="24"/>
        </w:rPr>
        <w:t>low-cost</w:t>
      </w:r>
      <w:r w:rsidR="0078282A" w:rsidRPr="00126CFE">
        <w:rPr>
          <w:rFonts w:ascii="Arial" w:hAnsi="Arial" w:cs="Arial"/>
          <w:sz w:val="24"/>
          <w:szCs w:val="24"/>
        </w:rPr>
        <w:t xml:space="preserve"> materials and bio-based solutions have lowered the historical barriers, enabling smaller entrants focussed on niche sustainable products</w:t>
      </w:r>
      <w:r w:rsidR="008C0EDD" w:rsidRPr="00126CFE">
        <w:rPr>
          <w:rFonts w:ascii="Arial" w:hAnsi="Arial" w:cs="Arial"/>
          <w:sz w:val="24"/>
          <w:szCs w:val="24"/>
        </w:rPr>
        <w:t>.</w:t>
      </w:r>
    </w:p>
    <w:p w14:paraId="27EAC810" w14:textId="117E7FB9" w:rsidR="008C0EDD" w:rsidRPr="00126CFE" w:rsidRDefault="008C0EDD" w:rsidP="003B2D94">
      <w:pPr>
        <w:rPr>
          <w:rFonts w:ascii="Arial" w:hAnsi="Arial" w:cs="Arial"/>
          <w:sz w:val="24"/>
          <w:szCs w:val="24"/>
        </w:rPr>
      </w:pPr>
      <w:r w:rsidRPr="00126CFE">
        <w:rPr>
          <w:rFonts w:ascii="Arial" w:hAnsi="Arial" w:cs="Arial"/>
          <w:sz w:val="24"/>
          <w:szCs w:val="24"/>
        </w:rPr>
        <w:t>Start-ups who are specialising in compostable materials or circular solutions have gained investment interest, increasing the speciality competi</w:t>
      </w:r>
      <w:r w:rsidR="001000A8" w:rsidRPr="00126CFE">
        <w:rPr>
          <w:rFonts w:ascii="Arial" w:hAnsi="Arial" w:cs="Arial"/>
          <w:sz w:val="24"/>
          <w:szCs w:val="24"/>
        </w:rPr>
        <w:t>tors rather than scale competitors</w:t>
      </w:r>
      <w:r w:rsidR="005F6517" w:rsidRPr="00126CFE">
        <w:rPr>
          <w:rFonts w:ascii="Arial" w:hAnsi="Arial" w:cs="Arial"/>
          <w:sz w:val="24"/>
          <w:szCs w:val="24"/>
        </w:rPr>
        <w:t xml:space="preserve"> (Global Venturing, 2024)</w:t>
      </w:r>
      <w:r w:rsidR="001000A8" w:rsidRPr="00126CFE">
        <w:rPr>
          <w:rFonts w:ascii="Arial" w:hAnsi="Arial" w:cs="Arial"/>
          <w:sz w:val="24"/>
          <w:szCs w:val="24"/>
        </w:rPr>
        <w:t>.</w:t>
      </w:r>
    </w:p>
    <w:p w14:paraId="3A7BDCAD" w14:textId="3D5B1A9B" w:rsidR="001000A8" w:rsidRPr="00126CFE" w:rsidRDefault="001000A8" w:rsidP="003B2D94">
      <w:pPr>
        <w:rPr>
          <w:rFonts w:ascii="Arial" w:hAnsi="Arial" w:cs="Arial"/>
          <w:sz w:val="24"/>
          <w:szCs w:val="24"/>
        </w:rPr>
      </w:pPr>
      <w:r w:rsidRPr="00126CFE">
        <w:rPr>
          <w:rFonts w:ascii="Arial" w:hAnsi="Arial" w:cs="Arial"/>
          <w:sz w:val="24"/>
          <w:szCs w:val="24"/>
        </w:rPr>
        <w:t xml:space="preserve">The strategic implication is Amcor must leverage </w:t>
      </w:r>
      <w:r w:rsidR="000443D9" w:rsidRPr="00126CFE">
        <w:rPr>
          <w:rFonts w:ascii="Arial" w:hAnsi="Arial" w:cs="Arial"/>
          <w:sz w:val="24"/>
          <w:szCs w:val="24"/>
        </w:rPr>
        <w:t>its</w:t>
      </w:r>
      <w:r w:rsidRPr="00126CFE">
        <w:rPr>
          <w:rFonts w:ascii="Arial" w:hAnsi="Arial" w:cs="Arial"/>
          <w:sz w:val="24"/>
          <w:szCs w:val="24"/>
        </w:rPr>
        <w:t xml:space="preserve"> scale and R&amp;D investments to maintain larger scale barriers and avoid commoditisation of the product groups.</w:t>
      </w:r>
    </w:p>
    <w:p w14:paraId="58F92913" w14:textId="1DC29569" w:rsidR="00F404C0" w:rsidRPr="00126CFE" w:rsidRDefault="00F404C0" w:rsidP="003B2D94">
      <w:pPr>
        <w:rPr>
          <w:rFonts w:ascii="Arial" w:hAnsi="Arial" w:cs="Arial"/>
          <w:b/>
          <w:bCs/>
          <w:sz w:val="24"/>
          <w:szCs w:val="24"/>
        </w:rPr>
      </w:pPr>
    </w:p>
    <w:p w14:paraId="609AD453" w14:textId="7DADE978" w:rsidR="00F404C0" w:rsidRPr="00126CFE" w:rsidRDefault="00F404C0" w:rsidP="003B2D94">
      <w:pPr>
        <w:rPr>
          <w:rFonts w:ascii="Arial" w:hAnsi="Arial" w:cs="Arial"/>
          <w:sz w:val="24"/>
          <w:szCs w:val="24"/>
        </w:rPr>
      </w:pPr>
      <w:r w:rsidRPr="00126CFE">
        <w:rPr>
          <w:rFonts w:ascii="Arial" w:hAnsi="Arial" w:cs="Arial"/>
          <w:b/>
          <w:bCs/>
          <w:sz w:val="24"/>
          <w:szCs w:val="24"/>
        </w:rPr>
        <w:t>Bargaining power of suppliers – Moderate to High</w:t>
      </w:r>
    </w:p>
    <w:p w14:paraId="793C7879" w14:textId="7CFA3CCF" w:rsidR="00F404C0" w:rsidRPr="00126CFE" w:rsidRDefault="00897956" w:rsidP="003B2D94">
      <w:pPr>
        <w:rPr>
          <w:rFonts w:ascii="Arial" w:hAnsi="Arial" w:cs="Arial"/>
          <w:sz w:val="24"/>
          <w:szCs w:val="24"/>
        </w:rPr>
      </w:pPr>
      <w:r w:rsidRPr="00126CFE">
        <w:rPr>
          <w:rFonts w:ascii="Arial" w:hAnsi="Arial" w:cs="Arial"/>
          <w:sz w:val="24"/>
          <w:szCs w:val="24"/>
        </w:rPr>
        <w:t>Amcor is reliant on raw material suppliers for polymers, resins, aluminium, fibre, inks and adhesives.  These markets are dominated by a small number of chemical providers</w:t>
      </w:r>
      <w:r w:rsidR="003751E8" w:rsidRPr="00126CFE">
        <w:rPr>
          <w:rFonts w:ascii="Arial" w:hAnsi="Arial" w:cs="Arial"/>
          <w:sz w:val="24"/>
          <w:szCs w:val="24"/>
        </w:rPr>
        <w:t xml:space="preserve"> such as Dow, Exxon, Total.  This allows the suppliers moderate </w:t>
      </w:r>
      <w:r w:rsidR="003119C1" w:rsidRPr="00126CFE">
        <w:rPr>
          <w:rFonts w:ascii="Arial" w:hAnsi="Arial" w:cs="Arial"/>
          <w:sz w:val="24"/>
          <w:szCs w:val="24"/>
        </w:rPr>
        <w:t>power,</w:t>
      </w:r>
      <w:r w:rsidR="0094164A" w:rsidRPr="00126CFE">
        <w:rPr>
          <w:rFonts w:ascii="Arial" w:hAnsi="Arial" w:cs="Arial"/>
          <w:sz w:val="24"/>
          <w:szCs w:val="24"/>
        </w:rPr>
        <w:t xml:space="preserve"> but the market is also driven by oil prices as the base material to produce the raw materials creating a commodity market.</w:t>
      </w:r>
    </w:p>
    <w:p w14:paraId="449488B7" w14:textId="7F934A4A" w:rsidR="0077285A" w:rsidRPr="00126CFE" w:rsidRDefault="0077285A" w:rsidP="003B2D94">
      <w:pPr>
        <w:rPr>
          <w:rFonts w:ascii="Arial" w:hAnsi="Arial" w:cs="Arial"/>
          <w:sz w:val="24"/>
          <w:szCs w:val="24"/>
        </w:rPr>
      </w:pPr>
      <w:r w:rsidRPr="00126CFE">
        <w:rPr>
          <w:rFonts w:ascii="Arial" w:hAnsi="Arial" w:cs="Arial"/>
          <w:sz w:val="24"/>
          <w:szCs w:val="24"/>
        </w:rPr>
        <w:t xml:space="preserve">Events such as geopolitical conflicts and energy price </w:t>
      </w:r>
      <w:r w:rsidR="000F1C19" w:rsidRPr="00126CFE">
        <w:rPr>
          <w:rFonts w:ascii="Arial" w:hAnsi="Arial" w:cs="Arial"/>
          <w:sz w:val="24"/>
          <w:szCs w:val="24"/>
        </w:rPr>
        <w:t>swings exacerbate supplier bargaining power.  Amcor are protected to a level from this due to scale and a diversified supply base</w:t>
      </w:r>
      <w:r w:rsidR="00CD0E30" w:rsidRPr="00126CFE">
        <w:rPr>
          <w:rFonts w:ascii="Arial" w:hAnsi="Arial" w:cs="Arial"/>
          <w:sz w:val="24"/>
          <w:szCs w:val="24"/>
        </w:rPr>
        <w:t>.</w:t>
      </w:r>
    </w:p>
    <w:p w14:paraId="249E5173" w14:textId="5037E730" w:rsidR="00CD0E30" w:rsidRPr="00126CFE" w:rsidRDefault="00CD0E30" w:rsidP="003B2D94">
      <w:pPr>
        <w:rPr>
          <w:rFonts w:ascii="Arial" w:hAnsi="Arial" w:cs="Arial"/>
          <w:sz w:val="24"/>
          <w:szCs w:val="24"/>
        </w:rPr>
      </w:pPr>
      <w:r w:rsidRPr="00126CFE">
        <w:rPr>
          <w:rFonts w:ascii="Arial" w:hAnsi="Arial" w:cs="Arial"/>
          <w:sz w:val="24"/>
          <w:szCs w:val="24"/>
        </w:rPr>
        <w:t xml:space="preserve">Strategic implication for Amcor is to strengthen </w:t>
      </w:r>
      <w:r w:rsidR="00081E01" w:rsidRPr="00126CFE">
        <w:rPr>
          <w:rFonts w:ascii="Arial" w:hAnsi="Arial" w:cs="Arial"/>
          <w:sz w:val="24"/>
          <w:szCs w:val="24"/>
        </w:rPr>
        <w:t>its</w:t>
      </w:r>
      <w:r w:rsidRPr="00126CFE">
        <w:rPr>
          <w:rFonts w:ascii="Arial" w:hAnsi="Arial" w:cs="Arial"/>
          <w:sz w:val="24"/>
          <w:szCs w:val="24"/>
        </w:rPr>
        <w:t xml:space="preserve"> vertical integration where possible and investment to recycled </w:t>
      </w:r>
      <w:r w:rsidR="00081E01" w:rsidRPr="00126CFE">
        <w:rPr>
          <w:rFonts w:ascii="Arial" w:hAnsi="Arial" w:cs="Arial"/>
          <w:sz w:val="24"/>
          <w:szCs w:val="24"/>
        </w:rPr>
        <w:t>post-consumer</w:t>
      </w:r>
      <w:r w:rsidRPr="00126CFE">
        <w:rPr>
          <w:rFonts w:ascii="Arial" w:hAnsi="Arial" w:cs="Arial"/>
          <w:sz w:val="24"/>
          <w:szCs w:val="24"/>
        </w:rPr>
        <w:t xml:space="preserve"> resins</w:t>
      </w:r>
      <w:r w:rsidR="00081E01" w:rsidRPr="00126CFE">
        <w:rPr>
          <w:rFonts w:ascii="Arial" w:hAnsi="Arial" w:cs="Arial"/>
          <w:sz w:val="24"/>
          <w:szCs w:val="24"/>
        </w:rPr>
        <w:t>.  This will reduce risk, increase resilience but also reduce cost long term.</w:t>
      </w:r>
    </w:p>
    <w:p w14:paraId="06F4E202" w14:textId="236B9DC3" w:rsidR="00081E01" w:rsidRPr="00126CFE" w:rsidRDefault="00081E01" w:rsidP="003B2D94">
      <w:pPr>
        <w:rPr>
          <w:rFonts w:ascii="Arial" w:hAnsi="Arial" w:cs="Arial"/>
          <w:sz w:val="24"/>
          <w:szCs w:val="24"/>
        </w:rPr>
      </w:pPr>
      <w:r w:rsidRPr="00126CFE">
        <w:rPr>
          <w:rFonts w:ascii="Arial" w:hAnsi="Arial" w:cs="Arial"/>
          <w:b/>
          <w:bCs/>
          <w:sz w:val="24"/>
          <w:szCs w:val="24"/>
        </w:rPr>
        <w:lastRenderedPageBreak/>
        <w:t>Bargaining power of buyers – High</w:t>
      </w:r>
    </w:p>
    <w:p w14:paraId="3B77A9A4" w14:textId="2034A5A7" w:rsidR="00081E01" w:rsidRPr="00126CFE" w:rsidRDefault="00081E01" w:rsidP="003B2D94">
      <w:pPr>
        <w:rPr>
          <w:rFonts w:ascii="Arial" w:hAnsi="Arial" w:cs="Arial"/>
          <w:sz w:val="24"/>
          <w:szCs w:val="24"/>
        </w:rPr>
      </w:pPr>
      <w:r w:rsidRPr="00126CFE">
        <w:rPr>
          <w:rFonts w:ascii="Arial" w:hAnsi="Arial" w:cs="Arial"/>
          <w:sz w:val="24"/>
          <w:szCs w:val="24"/>
        </w:rPr>
        <w:t xml:space="preserve">Amcor’s customer base is spread from SME’s to multinational corporations such as Mars, Danone </w:t>
      </w:r>
      <w:r w:rsidR="009A067A" w:rsidRPr="00126CFE">
        <w:rPr>
          <w:rFonts w:ascii="Arial" w:hAnsi="Arial" w:cs="Arial"/>
          <w:sz w:val="24"/>
          <w:szCs w:val="24"/>
        </w:rPr>
        <w:t xml:space="preserve">and </w:t>
      </w:r>
      <w:r w:rsidR="001F43CB" w:rsidRPr="00126CFE">
        <w:rPr>
          <w:rFonts w:ascii="Arial" w:hAnsi="Arial" w:cs="Arial"/>
          <w:sz w:val="24"/>
          <w:szCs w:val="24"/>
        </w:rPr>
        <w:t>PepsiCo</w:t>
      </w:r>
      <w:r w:rsidR="009A067A" w:rsidRPr="00126CFE">
        <w:rPr>
          <w:rFonts w:ascii="Arial" w:hAnsi="Arial" w:cs="Arial"/>
          <w:sz w:val="24"/>
          <w:szCs w:val="24"/>
        </w:rPr>
        <w:t>.  The bargaining power of the SME’s is small whilst the multinationals have significant power</w:t>
      </w:r>
      <w:r w:rsidR="00000430" w:rsidRPr="00126CFE">
        <w:rPr>
          <w:rFonts w:ascii="Arial" w:hAnsi="Arial" w:cs="Arial"/>
          <w:sz w:val="24"/>
          <w:szCs w:val="24"/>
        </w:rPr>
        <w:t xml:space="preserve"> where they can switch suppliers with ease should Amcor fail to supply or comply with new regulation.  The </w:t>
      </w:r>
      <w:r w:rsidR="000816D6" w:rsidRPr="00126CFE">
        <w:rPr>
          <w:rFonts w:ascii="Arial" w:hAnsi="Arial" w:cs="Arial"/>
          <w:sz w:val="24"/>
          <w:szCs w:val="24"/>
        </w:rPr>
        <w:t>packaging market is increasingly cost driven whilst still expectant of constant innovation and strong supply.</w:t>
      </w:r>
    </w:p>
    <w:p w14:paraId="13C03231" w14:textId="244FA9E0" w:rsidR="00D54A9F" w:rsidRPr="00126CFE" w:rsidRDefault="00D54A9F" w:rsidP="003B2D94">
      <w:pPr>
        <w:rPr>
          <w:rFonts w:ascii="Arial" w:hAnsi="Arial" w:cs="Arial"/>
          <w:sz w:val="24"/>
          <w:szCs w:val="24"/>
        </w:rPr>
      </w:pPr>
      <w:r w:rsidRPr="00126CFE">
        <w:rPr>
          <w:rFonts w:ascii="Arial" w:hAnsi="Arial" w:cs="Arial"/>
          <w:sz w:val="24"/>
          <w:szCs w:val="24"/>
        </w:rPr>
        <w:t>Modern research indicates that business to business (B2B) buyers are increasingly prioritising value co-creation and the customer experience, whilst still focused on price</w:t>
      </w:r>
      <w:r w:rsidR="00594306" w:rsidRPr="00126CFE">
        <w:rPr>
          <w:rFonts w:ascii="Arial" w:hAnsi="Arial" w:cs="Arial"/>
          <w:sz w:val="24"/>
          <w:szCs w:val="24"/>
        </w:rPr>
        <w:t>.  This increases pressure on Amcor to offer tailored solutions whilst maintaining scale and supply excellence</w:t>
      </w:r>
      <w:r w:rsidR="008C3FDC" w:rsidRPr="00126CFE">
        <w:rPr>
          <w:rFonts w:ascii="Arial" w:hAnsi="Arial" w:cs="Arial"/>
          <w:sz w:val="24"/>
          <w:szCs w:val="24"/>
        </w:rPr>
        <w:t xml:space="preserve"> (Pathak et al, 2022)</w:t>
      </w:r>
      <w:r w:rsidR="00594306" w:rsidRPr="00126CFE">
        <w:rPr>
          <w:rFonts w:ascii="Arial" w:hAnsi="Arial" w:cs="Arial"/>
          <w:sz w:val="24"/>
          <w:szCs w:val="24"/>
        </w:rPr>
        <w:t>.</w:t>
      </w:r>
    </w:p>
    <w:p w14:paraId="5E862377" w14:textId="2517A5FA" w:rsidR="000D496D" w:rsidRPr="00126CFE" w:rsidRDefault="000D496D" w:rsidP="003B2D94">
      <w:pPr>
        <w:rPr>
          <w:rFonts w:ascii="Arial" w:hAnsi="Arial" w:cs="Arial"/>
          <w:sz w:val="24"/>
          <w:szCs w:val="24"/>
        </w:rPr>
      </w:pPr>
      <w:r w:rsidRPr="00126CFE">
        <w:rPr>
          <w:rFonts w:ascii="Arial" w:hAnsi="Arial" w:cs="Arial"/>
          <w:sz w:val="24"/>
          <w:szCs w:val="24"/>
        </w:rPr>
        <w:t>Strategic implications for Amcor are that differentiation though sustainability, customisation and strategic partnerships are crucial to reduce the buying power.</w:t>
      </w:r>
    </w:p>
    <w:p w14:paraId="2E6140F5" w14:textId="77777777" w:rsidR="002D4DC1" w:rsidRPr="00126CFE" w:rsidRDefault="002D4DC1" w:rsidP="003B2D94">
      <w:pPr>
        <w:rPr>
          <w:rFonts w:ascii="Arial" w:hAnsi="Arial" w:cs="Arial"/>
          <w:sz w:val="24"/>
          <w:szCs w:val="24"/>
        </w:rPr>
      </w:pPr>
    </w:p>
    <w:p w14:paraId="5810BA5D" w14:textId="73C14F5B" w:rsidR="007D66BB" w:rsidRPr="00126CFE" w:rsidRDefault="007D66BB" w:rsidP="003B2D94">
      <w:pPr>
        <w:rPr>
          <w:rFonts w:ascii="Arial" w:hAnsi="Arial" w:cs="Arial"/>
          <w:sz w:val="24"/>
          <w:szCs w:val="24"/>
        </w:rPr>
      </w:pPr>
      <w:r w:rsidRPr="00126CFE">
        <w:rPr>
          <w:rFonts w:ascii="Arial" w:hAnsi="Arial" w:cs="Arial"/>
          <w:b/>
          <w:bCs/>
          <w:sz w:val="24"/>
          <w:szCs w:val="24"/>
        </w:rPr>
        <w:t>Threat of substitutes – High</w:t>
      </w:r>
    </w:p>
    <w:p w14:paraId="07E63AD1" w14:textId="18756A81" w:rsidR="007D66BB" w:rsidRPr="00126CFE" w:rsidRDefault="007D66BB" w:rsidP="003B2D94">
      <w:pPr>
        <w:rPr>
          <w:rFonts w:ascii="Arial" w:hAnsi="Arial" w:cs="Arial"/>
          <w:sz w:val="24"/>
          <w:szCs w:val="24"/>
        </w:rPr>
      </w:pPr>
      <w:r w:rsidRPr="00126CFE">
        <w:rPr>
          <w:rFonts w:ascii="Arial" w:hAnsi="Arial" w:cs="Arial"/>
          <w:sz w:val="24"/>
          <w:szCs w:val="24"/>
        </w:rPr>
        <w:t xml:space="preserve">Substitution threats exist to Amcor from alternative packaging formats such as glass, metal or paper solutions, refillable and reusable solutions and zero waste retail models. </w:t>
      </w:r>
    </w:p>
    <w:p w14:paraId="4E245E8B" w14:textId="562754FB" w:rsidR="001A4DA6" w:rsidRPr="00126CFE" w:rsidRDefault="001A4DA6" w:rsidP="003B2D94">
      <w:pPr>
        <w:rPr>
          <w:rFonts w:ascii="Arial" w:hAnsi="Arial" w:cs="Arial"/>
          <w:sz w:val="24"/>
          <w:szCs w:val="24"/>
        </w:rPr>
      </w:pPr>
      <w:r w:rsidRPr="00126CFE">
        <w:rPr>
          <w:rFonts w:ascii="Arial" w:hAnsi="Arial" w:cs="Arial"/>
          <w:sz w:val="24"/>
          <w:szCs w:val="24"/>
        </w:rPr>
        <w:t xml:space="preserve">Consumer and regulatory pressure for sustainable alternatives accelerates substitution (Ellen </w:t>
      </w:r>
      <w:r w:rsidR="001F43CB" w:rsidRPr="00126CFE">
        <w:rPr>
          <w:rFonts w:ascii="Arial" w:hAnsi="Arial" w:cs="Arial"/>
          <w:sz w:val="24"/>
          <w:szCs w:val="24"/>
        </w:rPr>
        <w:t>McArthur</w:t>
      </w:r>
      <w:r w:rsidRPr="00126CFE">
        <w:rPr>
          <w:rFonts w:ascii="Arial" w:hAnsi="Arial" w:cs="Arial"/>
          <w:sz w:val="24"/>
          <w:szCs w:val="24"/>
        </w:rPr>
        <w:t xml:space="preserve"> Foundation, 2019)</w:t>
      </w:r>
      <w:r w:rsidR="005E4298" w:rsidRPr="00126CFE">
        <w:rPr>
          <w:rFonts w:ascii="Arial" w:hAnsi="Arial" w:cs="Arial"/>
          <w:sz w:val="24"/>
          <w:szCs w:val="24"/>
        </w:rPr>
        <w:t xml:space="preserve">.  Paper based substitutes have gained traction for many markets and several brands are substituting plastic with </w:t>
      </w:r>
      <w:r w:rsidR="00094A77" w:rsidRPr="00126CFE">
        <w:rPr>
          <w:rFonts w:ascii="Arial" w:hAnsi="Arial" w:cs="Arial"/>
          <w:sz w:val="24"/>
          <w:szCs w:val="24"/>
        </w:rPr>
        <w:t>fibre-based</w:t>
      </w:r>
      <w:r w:rsidR="005E4298" w:rsidRPr="00126CFE">
        <w:rPr>
          <w:rFonts w:ascii="Arial" w:hAnsi="Arial" w:cs="Arial"/>
          <w:sz w:val="24"/>
          <w:szCs w:val="24"/>
        </w:rPr>
        <w:t xml:space="preserve"> packaging.  Amcor do however also operate in this market with several </w:t>
      </w:r>
      <w:r w:rsidR="00094A77" w:rsidRPr="00126CFE">
        <w:rPr>
          <w:rFonts w:ascii="Arial" w:hAnsi="Arial" w:cs="Arial"/>
          <w:sz w:val="24"/>
          <w:szCs w:val="24"/>
        </w:rPr>
        <w:t>fibre-based</w:t>
      </w:r>
      <w:r w:rsidR="005E4298" w:rsidRPr="00126CFE">
        <w:rPr>
          <w:rFonts w:ascii="Arial" w:hAnsi="Arial" w:cs="Arial"/>
          <w:sz w:val="24"/>
          <w:szCs w:val="24"/>
        </w:rPr>
        <w:t xml:space="preserve"> product offerings.</w:t>
      </w:r>
    </w:p>
    <w:p w14:paraId="21C4354C" w14:textId="4CF78324" w:rsidR="00094A77" w:rsidRPr="00126CFE" w:rsidRDefault="00094A77" w:rsidP="003B2D94">
      <w:pPr>
        <w:rPr>
          <w:rFonts w:ascii="Arial" w:hAnsi="Arial" w:cs="Arial"/>
          <w:sz w:val="24"/>
          <w:szCs w:val="24"/>
        </w:rPr>
      </w:pPr>
      <w:r w:rsidRPr="00126CFE">
        <w:rPr>
          <w:rFonts w:ascii="Arial" w:hAnsi="Arial" w:cs="Arial"/>
          <w:sz w:val="24"/>
          <w:szCs w:val="24"/>
        </w:rPr>
        <w:t>Strategic implications for Amcor are that innovation in low-carbon, recyclable and circular solutions are key to remain competitive and reduce risk of substitutions in the market.</w:t>
      </w:r>
    </w:p>
    <w:p w14:paraId="0DF75FB3" w14:textId="77777777" w:rsidR="00094A77" w:rsidRPr="00126CFE" w:rsidRDefault="00094A77" w:rsidP="003B2D94">
      <w:pPr>
        <w:rPr>
          <w:rFonts w:ascii="Arial" w:hAnsi="Arial" w:cs="Arial"/>
          <w:sz w:val="24"/>
          <w:szCs w:val="24"/>
        </w:rPr>
      </w:pPr>
    </w:p>
    <w:p w14:paraId="52011169" w14:textId="02D4A1B4" w:rsidR="00094A77" w:rsidRPr="00126CFE" w:rsidRDefault="00094A77" w:rsidP="003B2D94">
      <w:pPr>
        <w:rPr>
          <w:rFonts w:ascii="Arial" w:hAnsi="Arial" w:cs="Arial"/>
          <w:sz w:val="24"/>
          <w:szCs w:val="24"/>
        </w:rPr>
      </w:pPr>
      <w:r w:rsidRPr="00126CFE">
        <w:rPr>
          <w:rFonts w:ascii="Arial" w:hAnsi="Arial" w:cs="Arial"/>
          <w:b/>
          <w:bCs/>
          <w:sz w:val="24"/>
          <w:szCs w:val="24"/>
        </w:rPr>
        <w:t>Competitive rivalry – High</w:t>
      </w:r>
    </w:p>
    <w:p w14:paraId="5BE35C2D" w14:textId="638D53F2" w:rsidR="00094A77" w:rsidRPr="00126CFE" w:rsidRDefault="008C7A98" w:rsidP="003B2D94">
      <w:pPr>
        <w:rPr>
          <w:rFonts w:ascii="Arial" w:hAnsi="Arial" w:cs="Arial"/>
          <w:sz w:val="24"/>
          <w:szCs w:val="24"/>
        </w:rPr>
      </w:pPr>
      <w:r w:rsidRPr="00126CFE">
        <w:rPr>
          <w:rFonts w:ascii="Arial" w:hAnsi="Arial" w:cs="Arial"/>
          <w:sz w:val="24"/>
          <w:szCs w:val="24"/>
        </w:rPr>
        <w:t>Globally the packaging market is extremely competitive with major rivals to Amcor such as Sealed air, Mondi and Tetrapak</w:t>
      </w:r>
      <w:r w:rsidR="00871D5C" w:rsidRPr="00126CFE">
        <w:rPr>
          <w:rFonts w:ascii="Arial" w:hAnsi="Arial" w:cs="Arial"/>
          <w:sz w:val="24"/>
          <w:szCs w:val="24"/>
        </w:rPr>
        <w:t>, but also many smaller regional players supplying local markets.</w:t>
      </w:r>
    </w:p>
    <w:p w14:paraId="33B4AFFA" w14:textId="71BCDE85" w:rsidR="00871D5C" w:rsidRPr="00126CFE" w:rsidRDefault="00871D5C" w:rsidP="003B2D94">
      <w:pPr>
        <w:rPr>
          <w:rFonts w:ascii="Arial" w:hAnsi="Arial" w:cs="Arial"/>
          <w:sz w:val="24"/>
          <w:szCs w:val="24"/>
        </w:rPr>
      </w:pPr>
      <w:r w:rsidRPr="00126CFE">
        <w:rPr>
          <w:rFonts w:ascii="Arial" w:hAnsi="Arial" w:cs="Arial"/>
          <w:sz w:val="24"/>
          <w:szCs w:val="24"/>
        </w:rPr>
        <w:t>The rivalry in the packaging market is heightened by the low costs to switch supplier, sustainability driven decision making for buyers, pressure on margins/cost</w:t>
      </w:r>
      <w:r w:rsidR="00EE62D7" w:rsidRPr="00126CFE">
        <w:rPr>
          <w:rFonts w:ascii="Arial" w:hAnsi="Arial" w:cs="Arial"/>
          <w:sz w:val="24"/>
          <w:szCs w:val="24"/>
        </w:rPr>
        <w:t xml:space="preserve"> and consolidation of suppliers by the customer.</w:t>
      </w:r>
    </w:p>
    <w:p w14:paraId="382B6908" w14:textId="1CAAF2C6" w:rsidR="00EE62D7" w:rsidRPr="00126CFE" w:rsidRDefault="00EE62D7" w:rsidP="003B2D94">
      <w:pPr>
        <w:rPr>
          <w:rFonts w:ascii="Arial" w:hAnsi="Arial" w:cs="Arial"/>
          <w:sz w:val="24"/>
          <w:szCs w:val="24"/>
        </w:rPr>
      </w:pPr>
      <w:r w:rsidRPr="00126CFE">
        <w:rPr>
          <w:rFonts w:ascii="Arial" w:hAnsi="Arial" w:cs="Arial"/>
          <w:sz w:val="24"/>
          <w:szCs w:val="24"/>
        </w:rPr>
        <w:t>Strategically Amcor must try and avoid differentiation on price alone and instead through R&amp;D, customisation</w:t>
      </w:r>
      <w:r w:rsidR="0016207D" w:rsidRPr="00126CFE">
        <w:rPr>
          <w:rFonts w:ascii="Arial" w:hAnsi="Arial" w:cs="Arial"/>
          <w:sz w:val="24"/>
          <w:szCs w:val="24"/>
        </w:rPr>
        <w:t>, service excellence and collaborative relationships.</w:t>
      </w:r>
    </w:p>
    <w:p w14:paraId="07C7D49B" w14:textId="77777777" w:rsidR="0016207D" w:rsidRPr="00126CFE" w:rsidRDefault="0016207D" w:rsidP="003B2D94">
      <w:pPr>
        <w:rPr>
          <w:rFonts w:ascii="Arial" w:hAnsi="Arial" w:cs="Arial"/>
          <w:sz w:val="24"/>
          <w:szCs w:val="24"/>
        </w:rPr>
      </w:pPr>
    </w:p>
    <w:p w14:paraId="1A682DDC" w14:textId="77777777" w:rsidR="0016207D" w:rsidRPr="00126CFE" w:rsidRDefault="0016207D" w:rsidP="003B2D94">
      <w:pPr>
        <w:rPr>
          <w:rFonts w:ascii="Arial" w:hAnsi="Arial" w:cs="Arial"/>
          <w:sz w:val="24"/>
          <w:szCs w:val="24"/>
        </w:rPr>
      </w:pPr>
    </w:p>
    <w:p w14:paraId="7C7DD32D" w14:textId="2F7569AD" w:rsidR="0016207D" w:rsidRPr="00126CFE" w:rsidRDefault="0016207D" w:rsidP="0016207D">
      <w:pPr>
        <w:pStyle w:val="ListParagraph"/>
        <w:numPr>
          <w:ilvl w:val="0"/>
          <w:numId w:val="2"/>
        </w:numPr>
        <w:jc w:val="center"/>
        <w:rPr>
          <w:rFonts w:ascii="Arial" w:hAnsi="Arial" w:cs="Arial"/>
          <w:b/>
          <w:bCs/>
          <w:sz w:val="24"/>
          <w:szCs w:val="24"/>
          <w:u w:val="single"/>
        </w:rPr>
      </w:pPr>
      <w:r w:rsidRPr="00126CFE">
        <w:rPr>
          <w:rFonts w:ascii="Arial" w:hAnsi="Arial" w:cs="Arial"/>
          <w:b/>
          <w:bCs/>
          <w:sz w:val="24"/>
          <w:szCs w:val="24"/>
          <w:u w:val="single"/>
        </w:rPr>
        <w:lastRenderedPageBreak/>
        <w:t>Internal Analyses</w:t>
      </w:r>
    </w:p>
    <w:p w14:paraId="7AD1A944" w14:textId="6F762F49" w:rsidR="009D76C9" w:rsidRPr="00126CFE" w:rsidRDefault="00DD5E44" w:rsidP="008B5689">
      <w:pPr>
        <w:rPr>
          <w:rFonts w:ascii="Arial" w:hAnsi="Arial" w:cs="Arial"/>
          <w:sz w:val="24"/>
          <w:szCs w:val="24"/>
          <w:u w:val="single"/>
        </w:rPr>
      </w:pPr>
      <w:r w:rsidRPr="00126CFE">
        <w:rPr>
          <w:rFonts w:ascii="Arial" w:hAnsi="Arial" w:cs="Arial"/>
          <w:b/>
          <w:bCs/>
          <w:sz w:val="24"/>
          <w:szCs w:val="24"/>
          <w:u w:val="single"/>
        </w:rPr>
        <w:t>VRIO – Valuable, Rare, Inimitable, Organised</w:t>
      </w:r>
    </w:p>
    <w:p w14:paraId="5388DE17" w14:textId="716BC5EB" w:rsidR="00DD5E44" w:rsidRPr="00126CFE" w:rsidRDefault="00063616" w:rsidP="008B5689">
      <w:pPr>
        <w:rPr>
          <w:rFonts w:ascii="Arial" w:hAnsi="Arial" w:cs="Arial"/>
          <w:sz w:val="24"/>
          <w:szCs w:val="24"/>
        </w:rPr>
      </w:pPr>
      <w:r w:rsidRPr="00126CFE">
        <w:rPr>
          <w:rFonts w:ascii="Arial" w:hAnsi="Arial" w:cs="Arial"/>
          <w:sz w:val="24"/>
          <w:szCs w:val="24"/>
        </w:rPr>
        <w:t>These analyses</w:t>
      </w:r>
      <w:r w:rsidR="00DD5E44" w:rsidRPr="00126CFE">
        <w:rPr>
          <w:rFonts w:ascii="Arial" w:hAnsi="Arial" w:cs="Arial"/>
          <w:sz w:val="24"/>
          <w:szCs w:val="24"/>
        </w:rPr>
        <w:t xml:space="preserve"> will </w:t>
      </w:r>
      <w:r w:rsidR="009A7EDC" w:rsidRPr="00126CFE">
        <w:rPr>
          <w:rFonts w:ascii="Arial" w:hAnsi="Arial" w:cs="Arial"/>
          <w:sz w:val="24"/>
          <w:szCs w:val="24"/>
        </w:rPr>
        <w:t>evaluate whether Amcor’s resources fit with the four aspects of the VRIO model (Barney, 1991).</w:t>
      </w:r>
    </w:p>
    <w:p w14:paraId="0A83086C" w14:textId="584BED44" w:rsidR="0041741D" w:rsidRPr="00126CFE" w:rsidRDefault="0041741D" w:rsidP="008B5689">
      <w:pPr>
        <w:rPr>
          <w:rFonts w:ascii="Arial" w:hAnsi="Arial" w:cs="Arial"/>
          <w:sz w:val="24"/>
          <w:szCs w:val="24"/>
        </w:rPr>
      </w:pPr>
      <w:r w:rsidRPr="00126CFE">
        <w:rPr>
          <w:rFonts w:ascii="Arial" w:hAnsi="Arial" w:cs="Arial"/>
          <w:b/>
          <w:bCs/>
          <w:sz w:val="24"/>
          <w:szCs w:val="24"/>
        </w:rPr>
        <w:t>Technological and R&amp;D Capabilities – Strong Competitive Advantage</w:t>
      </w:r>
    </w:p>
    <w:p w14:paraId="11E3050F" w14:textId="2C389014" w:rsidR="0041741D" w:rsidRPr="00126CFE" w:rsidRDefault="0041741D" w:rsidP="008B5689">
      <w:pPr>
        <w:rPr>
          <w:rFonts w:ascii="Arial" w:hAnsi="Arial" w:cs="Arial"/>
          <w:sz w:val="24"/>
          <w:szCs w:val="24"/>
        </w:rPr>
      </w:pPr>
      <w:r w:rsidRPr="00126CFE">
        <w:rPr>
          <w:rFonts w:ascii="Arial" w:hAnsi="Arial" w:cs="Arial"/>
          <w:sz w:val="24"/>
          <w:szCs w:val="24"/>
        </w:rPr>
        <w:t>Amcor invests significantly in its R&amp;D capabilities with over $1</w:t>
      </w:r>
      <w:r w:rsidR="00870896" w:rsidRPr="00126CFE">
        <w:rPr>
          <w:rFonts w:ascii="Arial" w:hAnsi="Arial" w:cs="Arial"/>
          <w:sz w:val="24"/>
          <w:szCs w:val="24"/>
        </w:rPr>
        <w:t>8</w:t>
      </w:r>
      <w:r w:rsidRPr="00126CFE">
        <w:rPr>
          <w:rFonts w:ascii="Arial" w:hAnsi="Arial" w:cs="Arial"/>
          <w:sz w:val="24"/>
          <w:szCs w:val="24"/>
        </w:rPr>
        <w:t>0million per year</w:t>
      </w:r>
      <w:r w:rsidR="00870896" w:rsidRPr="00126CFE">
        <w:rPr>
          <w:rFonts w:ascii="Arial" w:hAnsi="Arial" w:cs="Arial"/>
          <w:sz w:val="24"/>
          <w:szCs w:val="24"/>
        </w:rPr>
        <w:t>, over 1,500 R&amp;D professionals and 10 innovation centres worldwide (Amcor, 2025)</w:t>
      </w:r>
      <w:r w:rsidR="00FA1D30" w:rsidRPr="00126CFE">
        <w:rPr>
          <w:rFonts w:ascii="Arial" w:hAnsi="Arial" w:cs="Arial"/>
          <w:sz w:val="24"/>
          <w:szCs w:val="24"/>
        </w:rPr>
        <w:t xml:space="preserve">.  Collaboration with global innovators such as the Alliance to end plastic waste and the Ellen McArthur foundation </w:t>
      </w:r>
      <w:r w:rsidR="00BD7CCB" w:rsidRPr="00126CFE">
        <w:rPr>
          <w:rFonts w:ascii="Arial" w:hAnsi="Arial" w:cs="Arial"/>
          <w:sz w:val="24"/>
          <w:szCs w:val="24"/>
        </w:rPr>
        <w:t xml:space="preserve">aid with expertise in recyclability, bio-polymers, lightweight materials and high barrier packaging offers a valuable and rare capability.  These are difficult for competitors to compete against as they are technologically complex and </w:t>
      </w:r>
      <w:r w:rsidR="00A400A5" w:rsidRPr="00126CFE">
        <w:rPr>
          <w:rFonts w:ascii="Arial" w:hAnsi="Arial" w:cs="Arial"/>
          <w:sz w:val="24"/>
          <w:szCs w:val="24"/>
        </w:rPr>
        <w:t>come with significant scale.</w:t>
      </w:r>
    </w:p>
    <w:p w14:paraId="304F75B2" w14:textId="172B337F" w:rsidR="00A400A5" w:rsidRPr="00126CFE" w:rsidRDefault="00A400A5" w:rsidP="008B5689">
      <w:pPr>
        <w:rPr>
          <w:rFonts w:ascii="Arial" w:hAnsi="Arial" w:cs="Arial"/>
          <w:sz w:val="24"/>
          <w:szCs w:val="24"/>
        </w:rPr>
      </w:pPr>
      <w:r w:rsidRPr="00126CFE">
        <w:rPr>
          <w:rFonts w:ascii="Arial" w:hAnsi="Arial" w:cs="Arial"/>
          <w:sz w:val="24"/>
          <w:szCs w:val="24"/>
        </w:rPr>
        <w:t>Organisational structure is also supported via the global innovation hubs</w:t>
      </w:r>
      <w:r w:rsidR="00B520FA" w:rsidRPr="00126CFE">
        <w:rPr>
          <w:rFonts w:ascii="Arial" w:hAnsi="Arial" w:cs="Arial"/>
          <w:sz w:val="24"/>
          <w:szCs w:val="24"/>
        </w:rPr>
        <w:t xml:space="preserve"> making the capability of “Organised” effective.</w:t>
      </w:r>
    </w:p>
    <w:p w14:paraId="4D869823" w14:textId="7370E07B" w:rsidR="00B520FA" w:rsidRPr="00126CFE" w:rsidRDefault="00B520FA" w:rsidP="008B5689">
      <w:pPr>
        <w:rPr>
          <w:rFonts w:ascii="Arial" w:hAnsi="Arial" w:cs="Arial"/>
          <w:sz w:val="24"/>
          <w:szCs w:val="24"/>
        </w:rPr>
      </w:pPr>
      <w:r w:rsidRPr="00126CFE">
        <w:rPr>
          <w:rFonts w:ascii="Arial" w:hAnsi="Arial" w:cs="Arial"/>
          <w:sz w:val="24"/>
          <w:szCs w:val="24"/>
        </w:rPr>
        <w:t>This creates a positive outcome vs the VRIO analyses and shows sustained competitive advantage.</w:t>
      </w:r>
    </w:p>
    <w:p w14:paraId="359DB24A" w14:textId="53CF4A2B" w:rsidR="00B520FA" w:rsidRPr="00126CFE" w:rsidRDefault="00047F50" w:rsidP="008B5689">
      <w:pPr>
        <w:rPr>
          <w:rFonts w:ascii="Arial" w:hAnsi="Arial" w:cs="Arial"/>
          <w:sz w:val="24"/>
          <w:szCs w:val="24"/>
        </w:rPr>
      </w:pPr>
      <w:r w:rsidRPr="00126CFE">
        <w:rPr>
          <w:rFonts w:ascii="Arial" w:hAnsi="Arial" w:cs="Arial"/>
          <w:b/>
          <w:bCs/>
          <w:sz w:val="24"/>
          <w:szCs w:val="24"/>
        </w:rPr>
        <w:t>Global supply chain and Scale – Competitive advantage</w:t>
      </w:r>
    </w:p>
    <w:p w14:paraId="5AB8B43F" w14:textId="58197700" w:rsidR="00047F50" w:rsidRPr="00126CFE" w:rsidRDefault="00047F50" w:rsidP="008B5689">
      <w:pPr>
        <w:rPr>
          <w:rFonts w:ascii="Arial" w:hAnsi="Arial" w:cs="Arial"/>
          <w:sz w:val="24"/>
          <w:szCs w:val="24"/>
        </w:rPr>
      </w:pPr>
      <w:r w:rsidRPr="00126CFE">
        <w:rPr>
          <w:rFonts w:ascii="Arial" w:hAnsi="Arial" w:cs="Arial"/>
          <w:sz w:val="24"/>
          <w:szCs w:val="24"/>
        </w:rPr>
        <w:t xml:space="preserve">Amcor’s global footprint provides significant economies of scale </w:t>
      </w:r>
      <w:r w:rsidR="001F43CB" w:rsidRPr="00126CFE">
        <w:rPr>
          <w:rFonts w:ascii="Arial" w:hAnsi="Arial" w:cs="Arial"/>
          <w:sz w:val="24"/>
          <w:szCs w:val="24"/>
        </w:rPr>
        <w:t>and</w:t>
      </w:r>
      <w:r w:rsidRPr="00126CFE">
        <w:rPr>
          <w:rFonts w:ascii="Arial" w:hAnsi="Arial" w:cs="Arial"/>
          <w:sz w:val="24"/>
          <w:szCs w:val="24"/>
        </w:rPr>
        <w:t xml:space="preserve"> customer proximities.  Scale is not </w:t>
      </w:r>
      <w:r w:rsidR="007A0D3B" w:rsidRPr="00126CFE">
        <w:rPr>
          <w:rFonts w:ascii="Arial" w:hAnsi="Arial" w:cs="Arial"/>
          <w:sz w:val="24"/>
          <w:szCs w:val="24"/>
        </w:rPr>
        <w:t xml:space="preserve">only seen by Amcor but also within some competitors.  However, the combination of multiple factors such as global reach, </w:t>
      </w:r>
      <w:r w:rsidR="00294EAF" w:rsidRPr="00126CFE">
        <w:rPr>
          <w:rFonts w:ascii="Arial" w:hAnsi="Arial" w:cs="Arial"/>
          <w:sz w:val="24"/>
          <w:szCs w:val="24"/>
        </w:rPr>
        <w:t>standardised manufacturing processes and diversification of the supply chain cannot be quickly replicated.  This creates a sustainable competitive advantage for Amcor</w:t>
      </w:r>
      <w:r w:rsidR="00F10A5E" w:rsidRPr="00126CFE">
        <w:rPr>
          <w:rFonts w:ascii="Arial" w:hAnsi="Arial" w:cs="Arial"/>
          <w:sz w:val="24"/>
          <w:szCs w:val="24"/>
        </w:rPr>
        <w:t>.</w:t>
      </w:r>
    </w:p>
    <w:p w14:paraId="66C5FD34" w14:textId="57B216CD" w:rsidR="00F10A5E" w:rsidRPr="00126CFE" w:rsidRDefault="00F10A5E" w:rsidP="008B5689">
      <w:pPr>
        <w:rPr>
          <w:rFonts w:ascii="Arial" w:hAnsi="Arial" w:cs="Arial"/>
          <w:sz w:val="24"/>
          <w:szCs w:val="24"/>
        </w:rPr>
      </w:pPr>
      <w:r w:rsidRPr="00126CFE">
        <w:rPr>
          <w:rFonts w:ascii="Arial" w:hAnsi="Arial" w:cs="Arial"/>
          <w:b/>
          <w:bCs/>
          <w:sz w:val="24"/>
          <w:szCs w:val="24"/>
        </w:rPr>
        <w:t>Customer relationships and collaborate value creation – Partially developed</w:t>
      </w:r>
    </w:p>
    <w:p w14:paraId="326201F4" w14:textId="5873A8C5" w:rsidR="00F10A5E" w:rsidRPr="00126CFE" w:rsidRDefault="00F3692C" w:rsidP="008B5689">
      <w:pPr>
        <w:rPr>
          <w:rFonts w:ascii="Arial" w:hAnsi="Arial" w:cs="Arial"/>
          <w:sz w:val="24"/>
          <w:szCs w:val="24"/>
        </w:rPr>
      </w:pPr>
      <w:r w:rsidRPr="00126CFE">
        <w:rPr>
          <w:rFonts w:ascii="Arial" w:hAnsi="Arial" w:cs="Arial"/>
          <w:sz w:val="24"/>
          <w:szCs w:val="24"/>
        </w:rPr>
        <w:t xml:space="preserve">Amcor works with several major consumer </w:t>
      </w:r>
      <w:r w:rsidR="00AD4562" w:rsidRPr="00126CFE">
        <w:rPr>
          <w:rFonts w:ascii="Arial" w:hAnsi="Arial" w:cs="Arial"/>
          <w:sz w:val="24"/>
          <w:szCs w:val="24"/>
        </w:rPr>
        <w:t>goods businesses but</w:t>
      </w:r>
      <w:r w:rsidRPr="00126CFE">
        <w:rPr>
          <w:rFonts w:ascii="Arial" w:hAnsi="Arial" w:cs="Arial"/>
          <w:sz w:val="24"/>
          <w:szCs w:val="24"/>
        </w:rPr>
        <w:t xml:space="preserve"> has historically focussed on product performance and innovative capabilities </w:t>
      </w:r>
      <w:r w:rsidR="003846C6" w:rsidRPr="00126CFE">
        <w:rPr>
          <w:rFonts w:ascii="Arial" w:hAnsi="Arial" w:cs="Arial"/>
          <w:sz w:val="24"/>
          <w:szCs w:val="24"/>
        </w:rPr>
        <w:t>instead of personalised service.  Research shows that customers are increasingly focussed on customer experience and data-driven personalisation</w:t>
      </w:r>
      <w:r w:rsidR="0050327C" w:rsidRPr="00126CFE">
        <w:rPr>
          <w:rFonts w:ascii="Arial" w:hAnsi="Arial" w:cs="Arial"/>
          <w:sz w:val="24"/>
          <w:szCs w:val="24"/>
        </w:rPr>
        <w:t xml:space="preserve"> (Pathan, </w:t>
      </w:r>
      <w:r w:rsidR="00B22869" w:rsidRPr="00126CFE">
        <w:rPr>
          <w:rFonts w:ascii="Arial" w:hAnsi="Arial" w:cs="Arial"/>
          <w:sz w:val="24"/>
          <w:szCs w:val="24"/>
        </w:rPr>
        <w:t>2025)</w:t>
      </w:r>
      <w:r w:rsidR="00AD4562" w:rsidRPr="00126CFE">
        <w:rPr>
          <w:rFonts w:ascii="Arial" w:hAnsi="Arial" w:cs="Arial"/>
          <w:sz w:val="24"/>
          <w:szCs w:val="24"/>
        </w:rPr>
        <w:t>.  Amcor’s rivals have embodied this trend by investing heavily in co-creation labs and digital customer tools</w:t>
      </w:r>
      <w:r w:rsidR="00AC3893" w:rsidRPr="00126CFE">
        <w:rPr>
          <w:rFonts w:ascii="Arial" w:hAnsi="Arial" w:cs="Arial"/>
          <w:sz w:val="24"/>
          <w:szCs w:val="24"/>
        </w:rPr>
        <w:t xml:space="preserve"> (Mondi, 2025)</w:t>
      </w:r>
      <w:r w:rsidR="00AD4562" w:rsidRPr="00126CFE">
        <w:rPr>
          <w:rFonts w:ascii="Arial" w:hAnsi="Arial" w:cs="Arial"/>
          <w:sz w:val="24"/>
          <w:szCs w:val="24"/>
        </w:rPr>
        <w:t>.</w:t>
      </w:r>
    </w:p>
    <w:p w14:paraId="66B497F7" w14:textId="05A4EEE9" w:rsidR="00AD4562" w:rsidRPr="00126CFE" w:rsidRDefault="00AD4562" w:rsidP="008B5689">
      <w:pPr>
        <w:rPr>
          <w:rFonts w:ascii="Arial" w:hAnsi="Arial" w:cs="Arial"/>
          <w:sz w:val="24"/>
          <w:szCs w:val="24"/>
        </w:rPr>
      </w:pPr>
      <w:r w:rsidRPr="00126CFE">
        <w:rPr>
          <w:rFonts w:ascii="Arial" w:hAnsi="Arial" w:cs="Arial"/>
          <w:sz w:val="24"/>
          <w:szCs w:val="24"/>
        </w:rPr>
        <w:t>This makes the capability valuable for Amcor</w:t>
      </w:r>
      <w:r w:rsidR="00BB2903" w:rsidRPr="00126CFE">
        <w:rPr>
          <w:rFonts w:ascii="Arial" w:hAnsi="Arial" w:cs="Arial"/>
          <w:sz w:val="24"/>
          <w:szCs w:val="24"/>
        </w:rPr>
        <w:t>,</w:t>
      </w:r>
      <w:r w:rsidRPr="00126CFE">
        <w:rPr>
          <w:rFonts w:ascii="Arial" w:hAnsi="Arial" w:cs="Arial"/>
          <w:sz w:val="24"/>
          <w:szCs w:val="24"/>
        </w:rPr>
        <w:t xml:space="preserve"> but not sufficiently differentiated or rare.</w:t>
      </w:r>
    </w:p>
    <w:p w14:paraId="43EA945B" w14:textId="118F0786" w:rsidR="00D7497D" w:rsidRPr="00126CFE" w:rsidRDefault="00D7497D" w:rsidP="008B5689">
      <w:pPr>
        <w:rPr>
          <w:rFonts w:ascii="Arial" w:hAnsi="Arial" w:cs="Arial"/>
          <w:sz w:val="24"/>
          <w:szCs w:val="24"/>
        </w:rPr>
      </w:pPr>
      <w:r w:rsidRPr="00126CFE">
        <w:rPr>
          <w:rFonts w:ascii="Arial" w:hAnsi="Arial" w:cs="Arial"/>
          <w:b/>
          <w:bCs/>
          <w:sz w:val="24"/>
          <w:szCs w:val="24"/>
        </w:rPr>
        <w:t>Sustainability Credentials – Competitive but not unique</w:t>
      </w:r>
    </w:p>
    <w:p w14:paraId="6D1A8319" w14:textId="26C4BFC8" w:rsidR="00D7497D" w:rsidRPr="00126CFE" w:rsidRDefault="00D7497D" w:rsidP="008B5689">
      <w:pPr>
        <w:rPr>
          <w:rFonts w:ascii="Arial" w:hAnsi="Arial" w:cs="Arial"/>
          <w:sz w:val="24"/>
          <w:szCs w:val="24"/>
        </w:rPr>
      </w:pPr>
      <w:r w:rsidRPr="00126CFE">
        <w:rPr>
          <w:rFonts w:ascii="Arial" w:hAnsi="Arial" w:cs="Arial"/>
          <w:sz w:val="24"/>
          <w:szCs w:val="24"/>
        </w:rPr>
        <w:t xml:space="preserve">Amcor’s 2025 sustainability commitments and circularity agenda provide value to the </w:t>
      </w:r>
      <w:r w:rsidR="00C3168D" w:rsidRPr="00126CFE">
        <w:rPr>
          <w:rFonts w:ascii="Arial" w:hAnsi="Arial" w:cs="Arial"/>
          <w:sz w:val="24"/>
          <w:szCs w:val="24"/>
        </w:rPr>
        <w:t>business but</w:t>
      </w:r>
      <w:r w:rsidRPr="00126CFE">
        <w:rPr>
          <w:rFonts w:ascii="Arial" w:hAnsi="Arial" w:cs="Arial"/>
          <w:sz w:val="24"/>
          <w:szCs w:val="24"/>
        </w:rPr>
        <w:t xml:space="preserve"> are not differentiated to the competitors as many have similar targets</w:t>
      </w:r>
      <w:r w:rsidR="00425D9C" w:rsidRPr="00126CFE">
        <w:rPr>
          <w:rFonts w:ascii="Arial" w:hAnsi="Arial" w:cs="Arial"/>
          <w:sz w:val="24"/>
          <w:szCs w:val="24"/>
        </w:rPr>
        <w:t xml:space="preserve">.  Recyclability commitments are driven by regulatory change also, so not only individual targeting from packaging companies, </w:t>
      </w:r>
      <w:r w:rsidR="00C3168D" w:rsidRPr="00126CFE">
        <w:rPr>
          <w:rFonts w:ascii="Arial" w:hAnsi="Arial" w:cs="Arial"/>
          <w:sz w:val="24"/>
          <w:szCs w:val="24"/>
        </w:rPr>
        <w:t>but these have also</w:t>
      </w:r>
      <w:r w:rsidR="00425D9C" w:rsidRPr="00126CFE">
        <w:rPr>
          <w:rFonts w:ascii="Arial" w:hAnsi="Arial" w:cs="Arial"/>
          <w:sz w:val="24"/>
          <w:szCs w:val="24"/>
        </w:rPr>
        <w:t xml:space="preserve"> become standard within the industry.  </w:t>
      </w:r>
    </w:p>
    <w:p w14:paraId="6B9F1722" w14:textId="0962BBC2" w:rsidR="00C3168D" w:rsidRPr="00126CFE" w:rsidRDefault="00C3168D" w:rsidP="008B5689">
      <w:pPr>
        <w:rPr>
          <w:rFonts w:ascii="Arial" w:hAnsi="Arial" w:cs="Arial"/>
          <w:sz w:val="24"/>
          <w:szCs w:val="24"/>
        </w:rPr>
      </w:pPr>
      <w:r w:rsidRPr="00126CFE">
        <w:rPr>
          <w:rFonts w:ascii="Arial" w:hAnsi="Arial" w:cs="Arial"/>
          <w:sz w:val="24"/>
          <w:szCs w:val="24"/>
        </w:rPr>
        <w:t>This gives Amcor competitive parity in the market but no significant advantage.</w:t>
      </w:r>
    </w:p>
    <w:p w14:paraId="05FE2A55" w14:textId="2D8A0CD2" w:rsidR="00C3168D" w:rsidRPr="00126CFE" w:rsidRDefault="00C3168D" w:rsidP="008B5689">
      <w:pPr>
        <w:rPr>
          <w:rFonts w:ascii="Arial" w:hAnsi="Arial" w:cs="Arial"/>
          <w:sz w:val="24"/>
          <w:szCs w:val="24"/>
        </w:rPr>
      </w:pPr>
      <w:r w:rsidRPr="00126CFE">
        <w:rPr>
          <w:rFonts w:ascii="Arial" w:hAnsi="Arial" w:cs="Arial"/>
          <w:b/>
          <w:bCs/>
          <w:sz w:val="24"/>
          <w:szCs w:val="24"/>
        </w:rPr>
        <w:lastRenderedPageBreak/>
        <w:t>Organisational Culture – Mixed impact</w:t>
      </w:r>
    </w:p>
    <w:p w14:paraId="2AF0C3B1" w14:textId="194BDEF7" w:rsidR="00C3168D" w:rsidRPr="00126CFE" w:rsidRDefault="00C3168D" w:rsidP="008B5689">
      <w:pPr>
        <w:rPr>
          <w:rFonts w:ascii="Arial" w:hAnsi="Arial" w:cs="Arial"/>
          <w:sz w:val="24"/>
          <w:szCs w:val="24"/>
        </w:rPr>
      </w:pPr>
      <w:r w:rsidRPr="00126CFE">
        <w:rPr>
          <w:rFonts w:ascii="Arial" w:hAnsi="Arial" w:cs="Arial"/>
          <w:sz w:val="24"/>
          <w:szCs w:val="24"/>
        </w:rPr>
        <w:t>Academic re</w:t>
      </w:r>
      <w:r w:rsidR="000B1C32" w:rsidRPr="00126CFE">
        <w:rPr>
          <w:rFonts w:ascii="Arial" w:hAnsi="Arial" w:cs="Arial"/>
          <w:sz w:val="24"/>
          <w:szCs w:val="24"/>
        </w:rPr>
        <w:t>search shows that organisational culture impacts and influences strategic agility (Teece et al, 2016)</w:t>
      </w:r>
      <w:r w:rsidR="008026FB" w:rsidRPr="00126CFE">
        <w:rPr>
          <w:rFonts w:ascii="Arial" w:hAnsi="Arial" w:cs="Arial"/>
          <w:sz w:val="24"/>
          <w:szCs w:val="24"/>
        </w:rPr>
        <w:t xml:space="preserve">.  Amcor’s culture has been overall </w:t>
      </w:r>
      <w:r w:rsidR="00063616" w:rsidRPr="00126CFE">
        <w:rPr>
          <w:rFonts w:ascii="Arial" w:hAnsi="Arial" w:cs="Arial"/>
          <w:sz w:val="24"/>
          <w:szCs w:val="24"/>
        </w:rPr>
        <w:t>operational,</w:t>
      </w:r>
      <w:r w:rsidR="008026FB" w:rsidRPr="00126CFE">
        <w:rPr>
          <w:rFonts w:ascii="Arial" w:hAnsi="Arial" w:cs="Arial"/>
          <w:sz w:val="24"/>
          <w:szCs w:val="24"/>
        </w:rPr>
        <w:t xml:space="preserve"> and efficiency driven which can at times limit speed of innovation. The business is undergoing a cultural transformation currently </w:t>
      </w:r>
      <w:r w:rsidR="00CC1182" w:rsidRPr="00126CFE">
        <w:rPr>
          <w:rFonts w:ascii="Arial" w:hAnsi="Arial" w:cs="Arial"/>
          <w:sz w:val="24"/>
          <w:szCs w:val="24"/>
        </w:rPr>
        <w:t xml:space="preserve">moving towards agility, customer centricity and cross functional collaboration.  However, this is still in construction and whilst showing strong early signs </w:t>
      </w:r>
      <w:r w:rsidR="00F504F6" w:rsidRPr="00126CFE">
        <w:rPr>
          <w:rFonts w:ascii="Arial" w:hAnsi="Arial" w:cs="Arial"/>
          <w:sz w:val="24"/>
          <w:szCs w:val="24"/>
        </w:rPr>
        <w:t>not yet fully implemented.</w:t>
      </w:r>
    </w:p>
    <w:p w14:paraId="618B482D" w14:textId="266DFDB6" w:rsidR="00F504F6" w:rsidRPr="00126CFE" w:rsidRDefault="00F504F6" w:rsidP="008B5689">
      <w:pPr>
        <w:rPr>
          <w:rFonts w:ascii="Arial" w:hAnsi="Arial" w:cs="Arial"/>
          <w:sz w:val="24"/>
          <w:szCs w:val="24"/>
        </w:rPr>
      </w:pPr>
      <w:r w:rsidRPr="00126CFE">
        <w:rPr>
          <w:rFonts w:ascii="Arial" w:hAnsi="Arial" w:cs="Arial"/>
          <w:sz w:val="24"/>
          <w:szCs w:val="24"/>
        </w:rPr>
        <w:t>This shows that there is a potential future advantage but still currently developing.</w:t>
      </w:r>
    </w:p>
    <w:p w14:paraId="0F21E096" w14:textId="46274AB4" w:rsidR="00F504F6" w:rsidRPr="00126CFE" w:rsidRDefault="00F504F6" w:rsidP="008B5689">
      <w:pPr>
        <w:rPr>
          <w:rFonts w:ascii="Arial" w:hAnsi="Arial" w:cs="Arial"/>
          <w:b/>
          <w:bCs/>
          <w:sz w:val="24"/>
          <w:szCs w:val="24"/>
          <w:u w:val="single"/>
        </w:rPr>
      </w:pPr>
      <w:r w:rsidRPr="00126CFE">
        <w:rPr>
          <w:rFonts w:ascii="Arial" w:hAnsi="Arial" w:cs="Arial"/>
          <w:b/>
          <w:bCs/>
          <w:sz w:val="24"/>
          <w:szCs w:val="24"/>
          <w:u w:val="single"/>
        </w:rPr>
        <w:t>Value Chain Analyses</w:t>
      </w:r>
    </w:p>
    <w:p w14:paraId="75468E74" w14:textId="1280904D" w:rsidR="00403E92" w:rsidRPr="00126CFE" w:rsidRDefault="00000E44" w:rsidP="004E3307">
      <w:pPr>
        <w:rPr>
          <w:rFonts w:ascii="Arial" w:hAnsi="Arial" w:cs="Arial"/>
          <w:sz w:val="24"/>
          <w:szCs w:val="24"/>
        </w:rPr>
      </w:pPr>
      <w:r w:rsidRPr="00126CFE">
        <w:rPr>
          <w:rFonts w:ascii="Arial" w:hAnsi="Arial" w:cs="Arial"/>
          <w:sz w:val="24"/>
          <w:szCs w:val="24"/>
        </w:rPr>
        <w:t xml:space="preserve">Porters value chain analyses (1985) </w:t>
      </w:r>
      <w:r w:rsidR="008E7F95" w:rsidRPr="00126CFE">
        <w:rPr>
          <w:rFonts w:ascii="Arial" w:hAnsi="Arial" w:cs="Arial"/>
          <w:sz w:val="24"/>
          <w:szCs w:val="24"/>
        </w:rPr>
        <w:t>will be used to analyse where value at Amcor can be created or eroded.</w:t>
      </w:r>
    </w:p>
    <w:p w14:paraId="70014681" w14:textId="500854C0" w:rsidR="008E7F95" w:rsidRPr="00126CFE" w:rsidRDefault="008E7F95" w:rsidP="004E3307">
      <w:pPr>
        <w:rPr>
          <w:rFonts w:ascii="Arial" w:hAnsi="Arial" w:cs="Arial"/>
          <w:sz w:val="24"/>
          <w:szCs w:val="24"/>
        </w:rPr>
      </w:pPr>
      <w:r w:rsidRPr="00126CFE">
        <w:rPr>
          <w:rFonts w:ascii="Arial" w:hAnsi="Arial" w:cs="Arial"/>
          <w:b/>
          <w:bCs/>
          <w:sz w:val="24"/>
          <w:szCs w:val="24"/>
        </w:rPr>
        <w:t>Primary Activities</w:t>
      </w:r>
    </w:p>
    <w:p w14:paraId="4DBAFCED" w14:textId="3A88B7E0" w:rsidR="008E7F95" w:rsidRPr="00126CFE" w:rsidRDefault="008E7F95" w:rsidP="004E3307">
      <w:pPr>
        <w:rPr>
          <w:rFonts w:ascii="Arial" w:hAnsi="Arial" w:cs="Arial"/>
          <w:sz w:val="24"/>
          <w:szCs w:val="24"/>
        </w:rPr>
      </w:pPr>
      <w:r w:rsidRPr="00126CFE">
        <w:rPr>
          <w:rFonts w:ascii="Arial" w:hAnsi="Arial" w:cs="Arial"/>
          <w:sz w:val="24"/>
          <w:szCs w:val="24"/>
        </w:rPr>
        <w:t>Inbound Logistics – Amcor has a diversified global sourcing model which mitigates risk to supply</w:t>
      </w:r>
      <w:r w:rsidR="007B281A" w:rsidRPr="00126CFE">
        <w:rPr>
          <w:rFonts w:ascii="Arial" w:hAnsi="Arial" w:cs="Arial"/>
          <w:sz w:val="24"/>
          <w:szCs w:val="24"/>
        </w:rPr>
        <w:t>.  The model is however as per the rest of the industry vulnerable to volatility in the resin price market and geopolitical disruptions.</w:t>
      </w:r>
    </w:p>
    <w:p w14:paraId="4D719034" w14:textId="127EDC69" w:rsidR="007B281A" w:rsidRPr="00126CFE" w:rsidRDefault="007B281A" w:rsidP="004E3307">
      <w:pPr>
        <w:rPr>
          <w:rFonts w:ascii="Arial" w:hAnsi="Arial" w:cs="Arial"/>
          <w:sz w:val="24"/>
          <w:szCs w:val="24"/>
        </w:rPr>
      </w:pPr>
      <w:r w:rsidRPr="00126CFE">
        <w:rPr>
          <w:rFonts w:ascii="Arial" w:hAnsi="Arial" w:cs="Arial"/>
          <w:sz w:val="24"/>
          <w:szCs w:val="24"/>
        </w:rPr>
        <w:t xml:space="preserve">Operations </w:t>
      </w:r>
      <w:r w:rsidR="00AD6964" w:rsidRPr="00126CFE">
        <w:rPr>
          <w:rFonts w:ascii="Arial" w:hAnsi="Arial" w:cs="Arial"/>
          <w:sz w:val="24"/>
          <w:szCs w:val="24"/>
        </w:rPr>
        <w:t>–</w:t>
      </w:r>
      <w:r w:rsidRPr="00126CFE">
        <w:rPr>
          <w:rFonts w:ascii="Arial" w:hAnsi="Arial" w:cs="Arial"/>
          <w:sz w:val="24"/>
          <w:szCs w:val="24"/>
        </w:rPr>
        <w:t xml:space="preserve"> </w:t>
      </w:r>
      <w:r w:rsidR="00AD6964" w:rsidRPr="00126CFE">
        <w:rPr>
          <w:rFonts w:ascii="Arial" w:hAnsi="Arial" w:cs="Arial"/>
          <w:sz w:val="24"/>
          <w:szCs w:val="24"/>
        </w:rPr>
        <w:t>At Amcor manufacturing excellence is strong following internally created models of Operations+ and Performance Boost to drive machine efficiencies and the operating system of manufacturing.</w:t>
      </w:r>
      <w:r w:rsidR="007570D8" w:rsidRPr="00126CFE">
        <w:rPr>
          <w:rFonts w:ascii="Arial" w:hAnsi="Arial" w:cs="Arial"/>
          <w:sz w:val="24"/>
          <w:szCs w:val="24"/>
        </w:rPr>
        <w:t xml:space="preserve">  There are </w:t>
      </w:r>
      <w:r w:rsidR="001F43CB" w:rsidRPr="00126CFE">
        <w:rPr>
          <w:rFonts w:ascii="Arial" w:hAnsi="Arial" w:cs="Arial"/>
          <w:sz w:val="24"/>
          <w:szCs w:val="24"/>
        </w:rPr>
        <w:t>several</w:t>
      </w:r>
      <w:r w:rsidR="007570D8" w:rsidRPr="00126CFE">
        <w:rPr>
          <w:rFonts w:ascii="Arial" w:hAnsi="Arial" w:cs="Arial"/>
          <w:sz w:val="24"/>
          <w:szCs w:val="24"/>
        </w:rPr>
        <w:t xml:space="preserve"> lean process tools </w:t>
      </w:r>
      <w:r w:rsidR="00AE03BD" w:rsidRPr="00126CFE">
        <w:rPr>
          <w:rFonts w:ascii="Arial" w:hAnsi="Arial" w:cs="Arial"/>
          <w:sz w:val="24"/>
          <w:szCs w:val="24"/>
        </w:rPr>
        <w:t>and</w:t>
      </w:r>
      <w:r w:rsidR="007570D8" w:rsidRPr="00126CFE">
        <w:rPr>
          <w:rFonts w:ascii="Arial" w:hAnsi="Arial" w:cs="Arial"/>
          <w:sz w:val="24"/>
          <w:szCs w:val="24"/>
        </w:rPr>
        <w:t xml:space="preserve"> global quality systems in place to drive standardisation across the global business.  However, this model is at different stages of maturity in the various sites so full benefits are not yet realised</w:t>
      </w:r>
      <w:r w:rsidR="0086707E" w:rsidRPr="00126CFE">
        <w:rPr>
          <w:rFonts w:ascii="Arial" w:hAnsi="Arial" w:cs="Arial"/>
          <w:sz w:val="24"/>
          <w:szCs w:val="24"/>
        </w:rPr>
        <w:t>.</w:t>
      </w:r>
    </w:p>
    <w:p w14:paraId="1C90954F" w14:textId="5A5C796F" w:rsidR="0086707E" w:rsidRPr="00126CFE" w:rsidRDefault="0086707E" w:rsidP="004E3307">
      <w:pPr>
        <w:rPr>
          <w:rFonts w:ascii="Arial" w:hAnsi="Arial" w:cs="Arial"/>
          <w:sz w:val="24"/>
          <w:szCs w:val="24"/>
        </w:rPr>
      </w:pPr>
      <w:r w:rsidRPr="00126CFE">
        <w:rPr>
          <w:rFonts w:ascii="Arial" w:hAnsi="Arial" w:cs="Arial"/>
          <w:sz w:val="24"/>
          <w:szCs w:val="24"/>
        </w:rPr>
        <w:t>Outbound Logistics – The globalised manufacturing base supports efficient distribution models where theoretically the distance from an Amcor site to various customers is reduced by scale of factories.</w:t>
      </w:r>
      <w:r w:rsidR="002F6D44" w:rsidRPr="00126CFE">
        <w:rPr>
          <w:rFonts w:ascii="Arial" w:hAnsi="Arial" w:cs="Arial"/>
          <w:sz w:val="24"/>
          <w:szCs w:val="24"/>
        </w:rPr>
        <w:t xml:space="preserve">  Amcor uses subcontractors for logistics primarily which leaves potential price impacts and disruption of the contracting business.</w:t>
      </w:r>
    </w:p>
    <w:p w14:paraId="5690EDDD" w14:textId="5D899D4D" w:rsidR="002F6D44" w:rsidRPr="00126CFE" w:rsidRDefault="00C5155E" w:rsidP="00C5155E">
      <w:pPr>
        <w:tabs>
          <w:tab w:val="left" w:pos="8260"/>
        </w:tabs>
        <w:rPr>
          <w:rFonts w:ascii="Arial" w:hAnsi="Arial" w:cs="Arial"/>
          <w:sz w:val="24"/>
          <w:szCs w:val="24"/>
        </w:rPr>
      </w:pPr>
      <w:r w:rsidRPr="00126CFE">
        <w:rPr>
          <w:rFonts w:ascii="Arial" w:hAnsi="Arial" w:cs="Arial"/>
          <w:sz w:val="24"/>
          <w:szCs w:val="24"/>
        </w:rPr>
        <w:t>Marketing and sales – Sales have traditionally focussed on product performance</w:t>
      </w:r>
      <w:r w:rsidR="00E723DB" w:rsidRPr="00126CFE">
        <w:rPr>
          <w:rFonts w:ascii="Arial" w:hAnsi="Arial" w:cs="Arial"/>
          <w:sz w:val="24"/>
          <w:szCs w:val="24"/>
        </w:rPr>
        <w:t xml:space="preserve"> rather than increasing the customer experience.  </w:t>
      </w:r>
      <w:r w:rsidR="00141FF2" w:rsidRPr="00126CFE">
        <w:rPr>
          <w:rFonts w:ascii="Arial" w:hAnsi="Arial" w:cs="Arial"/>
          <w:sz w:val="24"/>
          <w:szCs w:val="24"/>
        </w:rPr>
        <w:t xml:space="preserve">To drive </w:t>
      </w:r>
      <w:r w:rsidR="00544D6C" w:rsidRPr="00126CFE">
        <w:rPr>
          <w:rFonts w:ascii="Arial" w:hAnsi="Arial" w:cs="Arial"/>
          <w:sz w:val="24"/>
          <w:szCs w:val="24"/>
        </w:rPr>
        <w:t>this forward</w:t>
      </w:r>
      <w:r w:rsidR="00141FF2" w:rsidRPr="00126CFE">
        <w:rPr>
          <w:rFonts w:ascii="Arial" w:hAnsi="Arial" w:cs="Arial"/>
          <w:sz w:val="24"/>
          <w:szCs w:val="24"/>
        </w:rPr>
        <w:t xml:space="preserve"> and ensure sales are not based only on cost attributes, a customer centric and solutions centric approach is required to build advantage in the market</w:t>
      </w:r>
      <w:r w:rsidR="007B07A5" w:rsidRPr="00126CFE">
        <w:rPr>
          <w:rFonts w:ascii="Arial" w:hAnsi="Arial" w:cs="Arial"/>
          <w:sz w:val="24"/>
          <w:szCs w:val="24"/>
        </w:rPr>
        <w:t xml:space="preserve"> (Liu et al, 2023)</w:t>
      </w:r>
    </w:p>
    <w:p w14:paraId="7F860964" w14:textId="77777777" w:rsidR="00475068" w:rsidRPr="00126CFE" w:rsidRDefault="00940B78" w:rsidP="00C5155E">
      <w:pPr>
        <w:tabs>
          <w:tab w:val="left" w:pos="8260"/>
        </w:tabs>
        <w:rPr>
          <w:rFonts w:ascii="Arial" w:hAnsi="Arial" w:cs="Arial"/>
          <w:sz w:val="24"/>
          <w:szCs w:val="24"/>
        </w:rPr>
      </w:pPr>
      <w:r w:rsidRPr="00126CFE">
        <w:rPr>
          <w:rFonts w:ascii="Arial" w:hAnsi="Arial" w:cs="Arial"/>
          <w:sz w:val="24"/>
          <w:szCs w:val="24"/>
        </w:rPr>
        <w:t xml:space="preserve">Service – Amcor required improvement in service offerings to customers.  In </w:t>
      </w:r>
      <w:r w:rsidR="00641ADF" w:rsidRPr="00126CFE">
        <w:rPr>
          <w:rFonts w:ascii="Arial" w:hAnsi="Arial" w:cs="Arial"/>
          <w:sz w:val="24"/>
          <w:szCs w:val="24"/>
        </w:rPr>
        <w:t xml:space="preserve">some business units the offering is strong with digital services and collaboration via the innovation centres.  However, in other business units this is distinctly lacking, and the model is focussed too much on price rather than customers as partners. </w:t>
      </w:r>
    </w:p>
    <w:p w14:paraId="3993C745" w14:textId="77777777" w:rsidR="00475068" w:rsidRPr="00126CFE" w:rsidRDefault="00475068" w:rsidP="00C5155E">
      <w:pPr>
        <w:tabs>
          <w:tab w:val="left" w:pos="8260"/>
        </w:tabs>
        <w:rPr>
          <w:rFonts w:ascii="Arial" w:hAnsi="Arial" w:cs="Arial"/>
          <w:sz w:val="24"/>
          <w:szCs w:val="24"/>
        </w:rPr>
      </w:pPr>
      <w:r w:rsidRPr="00126CFE">
        <w:rPr>
          <w:rFonts w:ascii="Arial" w:hAnsi="Arial" w:cs="Arial"/>
          <w:b/>
          <w:bCs/>
          <w:sz w:val="24"/>
          <w:szCs w:val="24"/>
        </w:rPr>
        <w:t>Support Activities</w:t>
      </w:r>
    </w:p>
    <w:p w14:paraId="4DA1FB77" w14:textId="77777777" w:rsidR="00525580" w:rsidRPr="00126CFE" w:rsidRDefault="000D4394" w:rsidP="00C5155E">
      <w:pPr>
        <w:tabs>
          <w:tab w:val="left" w:pos="8260"/>
        </w:tabs>
        <w:rPr>
          <w:rFonts w:ascii="Arial" w:hAnsi="Arial" w:cs="Arial"/>
          <w:sz w:val="24"/>
          <w:szCs w:val="24"/>
        </w:rPr>
      </w:pPr>
      <w:r w:rsidRPr="00126CFE">
        <w:rPr>
          <w:rFonts w:ascii="Arial" w:hAnsi="Arial" w:cs="Arial"/>
          <w:sz w:val="24"/>
          <w:szCs w:val="24"/>
        </w:rPr>
        <w:t>Technological development – Amcor has a strong R&amp;D presence with $180million invested annually into innovation and sustainability for products</w:t>
      </w:r>
      <w:r w:rsidR="00525580" w:rsidRPr="00126CFE">
        <w:rPr>
          <w:rFonts w:ascii="Arial" w:hAnsi="Arial" w:cs="Arial"/>
          <w:sz w:val="24"/>
          <w:szCs w:val="24"/>
        </w:rPr>
        <w:t>.  This contributes significant value for the business.</w:t>
      </w:r>
    </w:p>
    <w:p w14:paraId="4ACE5BE2" w14:textId="77777777" w:rsidR="003B095C" w:rsidRPr="00126CFE" w:rsidRDefault="00525580" w:rsidP="00C5155E">
      <w:pPr>
        <w:tabs>
          <w:tab w:val="left" w:pos="8260"/>
        </w:tabs>
        <w:rPr>
          <w:rFonts w:ascii="Arial" w:hAnsi="Arial" w:cs="Arial"/>
          <w:sz w:val="24"/>
          <w:szCs w:val="24"/>
        </w:rPr>
      </w:pPr>
      <w:r w:rsidRPr="00126CFE">
        <w:rPr>
          <w:rFonts w:ascii="Arial" w:hAnsi="Arial" w:cs="Arial"/>
          <w:sz w:val="24"/>
          <w:szCs w:val="24"/>
        </w:rPr>
        <w:lastRenderedPageBreak/>
        <w:t xml:space="preserve">Procurement – Amcor has high expertise in leveraging its scale for procurement </w:t>
      </w:r>
      <w:r w:rsidR="003B095C" w:rsidRPr="00126CFE">
        <w:rPr>
          <w:rFonts w:ascii="Arial" w:hAnsi="Arial" w:cs="Arial"/>
          <w:sz w:val="24"/>
          <w:szCs w:val="24"/>
        </w:rPr>
        <w:t>but must ensure in alignment with the R&amp;D strategy that recyclable procurement is forefront to the strategy.</w:t>
      </w:r>
    </w:p>
    <w:p w14:paraId="75941C6E" w14:textId="77777777" w:rsidR="000B505E" w:rsidRPr="00126CFE" w:rsidRDefault="003B095C" w:rsidP="00C5155E">
      <w:pPr>
        <w:tabs>
          <w:tab w:val="left" w:pos="8260"/>
        </w:tabs>
        <w:rPr>
          <w:rFonts w:ascii="Arial" w:hAnsi="Arial" w:cs="Arial"/>
          <w:sz w:val="24"/>
          <w:szCs w:val="24"/>
        </w:rPr>
      </w:pPr>
      <w:r w:rsidRPr="00126CFE">
        <w:rPr>
          <w:rFonts w:ascii="Arial" w:hAnsi="Arial" w:cs="Arial"/>
          <w:sz w:val="24"/>
          <w:szCs w:val="24"/>
        </w:rPr>
        <w:t>Human Resources – The talent pool is strong for operational and technical staff at Amcor.  To move forwards and maintain competitiveness talent in digitalisation</w:t>
      </w:r>
      <w:r w:rsidR="000B505E" w:rsidRPr="00126CFE">
        <w:rPr>
          <w:rFonts w:ascii="Arial" w:hAnsi="Arial" w:cs="Arial"/>
          <w:sz w:val="24"/>
          <w:szCs w:val="24"/>
        </w:rPr>
        <w:t>, data analytics and AI must be brought into the business.</w:t>
      </w:r>
    </w:p>
    <w:p w14:paraId="312D38D3" w14:textId="089416B0" w:rsidR="00EF0E2A" w:rsidRPr="00126CFE" w:rsidRDefault="000B505E" w:rsidP="00C5155E">
      <w:pPr>
        <w:tabs>
          <w:tab w:val="left" w:pos="8260"/>
        </w:tabs>
        <w:rPr>
          <w:rFonts w:ascii="Arial" w:hAnsi="Arial" w:cs="Arial"/>
          <w:sz w:val="24"/>
          <w:szCs w:val="24"/>
        </w:rPr>
      </w:pPr>
      <w:r w:rsidRPr="00126CFE">
        <w:rPr>
          <w:rFonts w:ascii="Arial" w:hAnsi="Arial" w:cs="Arial"/>
          <w:sz w:val="24"/>
          <w:szCs w:val="24"/>
        </w:rPr>
        <w:t xml:space="preserve">Infrastructure – Amcor’s governance and financial systems support the global </w:t>
      </w:r>
      <w:r w:rsidR="00063616" w:rsidRPr="00126CFE">
        <w:rPr>
          <w:rFonts w:ascii="Arial" w:hAnsi="Arial" w:cs="Arial"/>
          <w:sz w:val="24"/>
          <w:szCs w:val="24"/>
        </w:rPr>
        <w:t>operations;</w:t>
      </w:r>
      <w:r w:rsidRPr="00126CFE">
        <w:rPr>
          <w:rFonts w:ascii="Arial" w:hAnsi="Arial" w:cs="Arial"/>
          <w:sz w:val="24"/>
          <w:szCs w:val="24"/>
        </w:rPr>
        <w:t xml:space="preserve"> </w:t>
      </w:r>
      <w:r w:rsidR="00063616" w:rsidRPr="00126CFE">
        <w:rPr>
          <w:rFonts w:ascii="Arial" w:hAnsi="Arial" w:cs="Arial"/>
          <w:sz w:val="24"/>
          <w:szCs w:val="24"/>
        </w:rPr>
        <w:t>however,</w:t>
      </w:r>
      <w:r w:rsidRPr="00126CFE">
        <w:rPr>
          <w:rFonts w:ascii="Arial" w:hAnsi="Arial" w:cs="Arial"/>
          <w:sz w:val="24"/>
          <w:szCs w:val="24"/>
        </w:rPr>
        <w:t xml:space="preserve"> this can also slow down decision making as the organisation is complex as the amount of levels from C-Suite to the plants is significant</w:t>
      </w:r>
      <w:r w:rsidR="00EF0E2A" w:rsidRPr="00126CFE">
        <w:rPr>
          <w:rFonts w:ascii="Arial" w:hAnsi="Arial" w:cs="Arial"/>
          <w:sz w:val="24"/>
          <w:szCs w:val="24"/>
        </w:rPr>
        <w:t xml:space="preserve"> with up to 6 levels from CEO to a plant manager.</w:t>
      </w:r>
    </w:p>
    <w:p w14:paraId="5A7A68BF" w14:textId="77777777" w:rsidR="00EF0E2A" w:rsidRPr="00126CFE" w:rsidRDefault="00EF0E2A" w:rsidP="00C5155E">
      <w:pPr>
        <w:tabs>
          <w:tab w:val="left" w:pos="8260"/>
        </w:tabs>
        <w:rPr>
          <w:rFonts w:ascii="Arial" w:hAnsi="Arial" w:cs="Arial"/>
          <w:sz w:val="24"/>
          <w:szCs w:val="24"/>
        </w:rPr>
      </w:pPr>
    </w:p>
    <w:p w14:paraId="2441E5C0" w14:textId="5930793E" w:rsidR="00EF0E2A" w:rsidRPr="00126CFE" w:rsidRDefault="00EF0E2A" w:rsidP="00EF0E2A">
      <w:pPr>
        <w:pStyle w:val="ListParagraph"/>
        <w:numPr>
          <w:ilvl w:val="0"/>
          <w:numId w:val="2"/>
        </w:numPr>
        <w:tabs>
          <w:tab w:val="left" w:pos="8260"/>
        </w:tabs>
        <w:jc w:val="center"/>
        <w:rPr>
          <w:rFonts w:ascii="Arial" w:hAnsi="Arial" w:cs="Arial"/>
          <w:b/>
          <w:bCs/>
          <w:sz w:val="24"/>
          <w:szCs w:val="24"/>
          <w:u w:val="single"/>
        </w:rPr>
      </w:pPr>
      <w:r w:rsidRPr="00126CFE">
        <w:rPr>
          <w:rFonts w:ascii="Arial" w:hAnsi="Arial" w:cs="Arial"/>
          <w:b/>
          <w:bCs/>
          <w:sz w:val="24"/>
          <w:szCs w:val="24"/>
          <w:u w:val="single"/>
        </w:rPr>
        <w:t>SWOT Analyses</w:t>
      </w:r>
    </w:p>
    <w:p w14:paraId="547CE3F6" w14:textId="2FE9EE62" w:rsidR="00EF0E2A" w:rsidRPr="00126CFE" w:rsidRDefault="00807141" w:rsidP="00EF0E2A">
      <w:pPr>
        <w:tabs>
          <w:tab w:val="left" w:pos="8260"/>
        </w:tabs>
        <w:rPr>
          <w:rFonts w:ascii="Arial" w:hAnsi="Arial" w:cs="Arial"/>
          <w:sz w:val="24"/>
          <w:szCs w:val="24"/>
        </w:rPr>
      </w:pPr>
      <w:r w:rsidRPr="00126CFE">
        <w:rPr>
          <w:rFonts w:ascii="Arial" w:hAnsi="Arial" w:cs="Arial"/>
          <w:b/>
          <w:bCs/>
          <w:sz w:val="24"/>
          <w:szCs w:val="24"/>
        </w:rPr>
        <w:t>Strengths</w:t>
      </w:r>
    </w:p>
    <w:p w14:paraId="6FEA82D1" w14:textId="04206E1B" w:rsidR="00807141" w:rsidRPr="00126CFE" w:rsidRDefault="001E7E9C" w:rsidP="001E7E9C">
      <w:pPr>
        <w:pStyle w:val="ListParagraph"/>
        <w:numPr>
          <w:ilvl w:val="0"/>
          <w:numId w:val="7"/>
        </w:numPr>
        <w:tabs>
          <w:tab w:val="left" w:pos="8260"/>
        </w:tabs>
        <w:rPr>
          <w:rFonts w:ascii="Arial" w:hAnsi="Arial" w:cs="Arial"/>
          <w:sz w:val="24"/>
          <w:szCs w:val="24"/>
        </w:rPr>
      </w:pPr>
      <w:r w:rsidRPr="00126CFE">
        <w:rPr>
          <w:rFonts w:ascii="Arial" w:hAnsi="Arial" w:cs="Arial"/>
          <w:sz w:val="24"/>
          <w:szCs w:val="24"/>
        </w:rPr>
        <w:t xml:space="preserve">Global scale and a </w:t>
      </w:r>
      <w:r w:rsidR="00A948D9" w:rsidRPr="00126CFE">
        <w:rPr>
          <w:rFonts w:ascii="Arial" w:hAnsi="Arial" w:cs="Arial"/>
          <w:sz w:val="24"/>
          <w:szCs w:val="24"/>
        </w:rPr>
        <w:t>large, diversified</w:t>
      </w:r>
      <w:r w:rsidRPr="00126CFE">
        <w:rPr>
          <w:rFonts w:ascii="Arial" w:hAnsi="Arial" w:cs="Arial"/>
          <w:sz w:val="24"/>
          <w:szCs w:val="24"/>
        </w:rPr>
        <w:t xml:space="preserve"> manufacturing footprint</w:t>
      </w:r>
    </w:p>
    <w:p w14:paraId="17750CA8" w14:textId="46F83666" w:rsidR="001E7E9C" w:rsidRPr="00126CFE" w:rsidRDefault="001E7E9C" w:rsidP="001E7E9C">
      <w:pPr>
        <w:pStyle w:val="ListParagraph"/>
        <w:numPr>
          <w:ilvl w:val="0"/>
          <w:numId w:val="7"/>
        </w:numPr>
        <w:tabs>
          <w:tab w:val="left" w:pos="8260"/>
        </w:tabs>
        <w:rPr>
          <w:rFonts w:ascii="Arial" w:hAnsi="Arial" w:cs="Arial"/>
          <w:sz w:val="24"/>
          <w:szCs w:val="24"/>
        </w:rPr>
      </w:pPr>
      <w:r w:rsidRPr="00126CFE">
        <w:rPr>
          <w:rFonts w:ascii="Arial" w:hAnsi="Arial" w:cs="Arial"/>
          <w:sz w:val="24"/>
          <w:szCs w:val="24"/>
        </w:rPr>
        <w:t>Strong capabilities in R&amp;D and sustainable materials</w:t>
      </w:r>
    </w:p>
    <w:p w14:paraId="66C06581" w14:textId="2279F8C2" w:rsidR="001E7E9C" w:rsidRPr="00126CFE" w:rsidRDefault="00B46253" w:rsidP="001E7E9C">
      <w:pPr>
        <w:pStyle w:val="ListParagraph"/>
        <w:numPr>
          <w:ilvl w:val="0"/>
          <w:numId w:val="7"/>
        </w:numPr>
        <w:tabs>
          <w:tab w:val="left" w:pos="8260"/>
        </w:tabs>
        <w:rPr>
          <w:rFonts w:ascii="Arial" w:hAnsi="Arial" w:cs="Arial"/>
          <w:sz w:val="24"/>
          <w:szCs w:val="24"/>
        </w:rPr>
      </w:pPr>
      <w:r w:rsidRPr="00126CFE">
        <w:rPr>
          <w:rFonts w:ascii="Arial" w:hAnsi="Arial" w:cs="Arial"/>
          <w:sz w:val="24"/>
          <w:szCs w:val="24"/>
        </w:rPr>
        <w:t>Long term relationships with multinational customers</w:t>
      </w:r>
    </w:p>
    <w:p w14:paraId="57CD0DE2" w14:textId="48E3EA5A" w:rsidR="00B46253" w:rsidRPr="00126CFE" w:rsidRDefault="00B46253" w:rsidP="001E7E9C">
      <w:pPr>
        <w:pStyle w:val="ListParagraph"/>
        <w:numPr>
          <w:ilvl w:val="0"/>
          <w:numId w:val="7"/>
        </w:numPr>
        <w:tabs>
          <w:tab w:val="left" w:pos="8260"/>
        </w:tabs>
        <w:rPr>
          <w:rFonts w:ascii="Arial" w:hAnsi="Arial" w:cs="Arial"/>
          <w:sz w:val="24"/>
          <w:szCs w:val="24"/>
        </w:rPr>
      </w:pPr>
      <w:r w:rsidRPr="00126CFE">
        <w:rPr>
          <w:rFonts w:ascii="Arial" w:hAnsi="Arial" w:cs="Arial"/>
          <w:sz w:val="24"/>
          <w:szCs w:val="24"/>
        </w:rPr>
        <w:t>Financial resilience enabling reinvestment for innovation</w:t>
      </w:r>
    </w:p>
    <w:p w14:paraId="714DCFE3" w14:textId="71D2E150" w:rsidR="00B46253" w:rsidRPr="00126CFE" w:rsidRDefault="00B46253" w:rsidP="001E7E9C">
      <w:pPr>
        <w:pStyle w:val="ListParagraph"/>
        <w:numPr>
          <w:ilvl w:val="0"/>
          <w:numId w:val="7"/>
        </w:numPr>
        <w:tabs>
          <w:tab w:val="left" w:pos="8260"/>
        </w:tabs>
        <w:rPr>
          <w:rFonts w:ascii="Arial" w:hAnsi="Arial" w:cs="Arial"/>
          <w:sz w:val="24"/>
          <w:szCs w:val="24"/>
        </w:rPr>
      </w:pPr>
      <w:r w:rsidRPr="00126CFE">
        <w:rPr>
          <w:rFonts w:ascii="Arial" w:hAnsi="Arial" w:cs="Arial"/>
          <w:sz w:val="24"/>
          <w:szCs w:val="24"/>
        </w:rPr>
        <w:t xml:space="preserve">Wide portfolio of products covering numerous sectors such as </w:t>
      </w:r>
      <w:r w:rsidR="00A948D9" w:rsidRPr="00126CFE">
        <w:rPr>
          <w:rFonts w:ascii="Arial" w:hAnsi="Arial" w:cs="Arial"/>
          <w:sz w:val="24"/>
          <w:szCs w:val="24"/>
        </w:rPr>
        <w:t>f</w:t>
      </w:r>
      <w:r w:rsidRPr="00126CFE">
        <w:rPr>
          <w:rFonts w:ascii="Arial" w:hAnsi="Arial" w:cs="Arial"/>
          <w:sz w:val="24"/>
          <w:szCs w:val="24"/>
        </w:rPr>
        <w:t xml:space="preserve">ood, </w:t>
      </w:r>
      <w:r w:rsidR="00A948D9" w:rsidRPr="00126CFE">
        <w:rPr>
          <w:rFonts w:ascii="Arial" w:hAnsi="Arial" w:cs="Arial"/>
          <w:sz w:val="24"/>
          <w:szCs w:val="24"/>
        </w:rPr>
        <w:t>h</w:t>
      </w:r>
      <w:r w:rsidRPr="00126CFE">
        <w:rPr>
          <w:rFonts w:ascii="Arial" w:hAnsi="Arial" w:cs="Arial"/>
          <w:sz w:val="24"/>
          <w:szCs w:val="24"/>
        </w:rPr>
        <w:t xml:space="preserve">ealthcare, </w:t>
      </w:r>
      <w:r w:rsidR="00A948D9" w:rsidRPr="00126CFE">
        <w:rPr>
          <w:rFonts w:ascii="Arial" w:hAnsi="Arial" w:cs="Arial"/>
          <w:sz w:val="24"/>
          <w:szCs w:val="24"/>
        </w:rPr>
        <w:t>beverages and personal care</w:t>
      </w:r>
    </w:p>
    <w:p w14:paraId="2F94E7C7" w14:textId="0C589BC0" w:rsidR="00A948D9" w:rsidRPr="00126CFE" w:rsidRDefault="00A948D9" w:rsidP="00A948D9">
      <w:pPr>
        <w:tabs>
          <w:tab w:val="left" w:pos="8260"/>
        </w:tabs>
        <w:rPr>
          <w:rFonts w:ascii="Arial" w:hAnsi="Arial" w:cs="Arial"/>
          <w:sz w:val="24"/>
          <w:szCs w:val="24"/>
        </w:rPr>
      </w:pPr>
      <w:r w:rsidRPr="00126CFE">
        <w:rPr>
          <w:rFonts w:ascii="Arial" w:hAnsi="Arial" w:cs="Arial"/>
          <w:b/>
          <w:bCs/>
          <w:sz w:val="24"/>
          <w:szCs w:val="24"/>
        </w:rPr>
        <w:t>Weaknesses</w:t>
      </w:r>
    </w:p>
    <w:p w14:paraId="616812E3" w14:textId="5523A9A2" w:rsidR="00A948D9" w:rsidRPr="00126CFE" w:rsidRDefault="00A948D9" w:rsidP="00A948D9">
      <w:pPr>
        <w:pStyle w:val="ListParagraph"/>
        <w:numPr>
          <w:ilvl w:val="0"/>
          <w:numId w:val="8"/>
        </w:numPr>
        <w:tabs>
          <w:tab w:val="left" w:pos="8260"/>
        </w:tabs>
        <w:rPr>
          <w:rFonts w:ascii="Arial" w:hAnsi="Arial" w:cs="Arial"/>
          <w:sz w:val="24"/>
          <w:szCs w:val="24"/>
        </w:rPr>
      </w:pPr>
      <w:r w:rsidRPr="00126CFE">
        <w:rPr>
          <w:rFonts w:ascii="Arial" w:hAnsi="Arial" w:cs="Arial"/>
          <w:sz w:val="24"/>
          <w:szCs w:val="24"/>
        </w:rPr>
        <w:t xml:space="preserve">Customer experience and personalisation </w:t>
      </w:r>
      <w:r w:rsidR="00185E06" w:rsidRPr="00126CFE">
        <w:rPr>
          <w:rFonts w:ascii="Arial" w:hAnsi="Arial" w:cs="Arial"/>
          <w:sz w:val="24"/>
          <w:szCs w:val="24"/>
        </w:rPr>
        <w:t>not in line with other industry competitors</w:t>
      </w:r>
    </w:p>
    <w:p w14:paraId="3D2034DF" w14:textId="6E2DF957" w:rsidR="00185E06" w:rsidRPr="00126CFE" w:rsidRDefault="00185E06" w:rsidP="00A948D9">
      <w:pPr>
        <w:pStyle w:val="ListParagraph"/>
        <w:numPr>
          <w:ilvl w:val="0"/>
          <w:numId w:val="8"/>
        </w:numPr>
        <w:tabs>
          <w:tab w:val="left" w:pos="8260"/>
        </w:tabs>
        <w:rPr>
          <w:rFonts w:ascii="Arial" w:hAnsi="Arial" w:cs="Arial"/>
          <w:sz w:val="24"/>
          <w:szCs w:val="24"/>
        </w:rPr>
      </w:pPr>
      <w:r w:rsidRPr="00126CFE">
        <w:rPr>
          <w:rFonts w:ascii="Arial" w:hAnsi="Arial" w:cs="Arial"/>
          <w:sz w:val="24"/>
          <w:szCs w:val="24"/>
        </w:rPr>
        <w:t xml:space="preserve">Culture has been traditionally operationally focussed </w:t>
      </w:r>
      <w:r w:rsidR="000256D6" w:rsidRPr="00126CFE">
        <w:rPr>
          <w:rFonts w:ascii="Arial" w:hAnsi="Arial" w:cs="Arial"/>
          <w:sz w:val="24"/>
          <w:szCs w:val="24"/>
        </w:rPr>
        <w:t>instead of customer</w:t>
      </w:r>
    </w:p>
    <w:p w14:paraId="09329067" w14:textId="5A961949" w:rsidR="000256D6" w:rsidRPr="00126CFE" w:rsidRDefault="000256D6" w:rsidP="00A948D9">
      <w:pPr>
        <w:pStyle w:val="ListParagraph"/>
        <w:numPr>
          <w:ilvl w:val="0"/>
          <w:numId w:val="8"/>
        </w:numPr>
        <w:tabs>
          <w:tab w:val="left" w:pos="8260"/>
        </w:tabs>
        <w:rPr>
          <w:rFonts w:ascii="Arial" w:hAnsi="Arial" w:cs="Arial"/>
          <w:sz w:val="24"/>
          <w:szCs w:val="24"/>
        </w:rPr>
      </w:pPr>
      <w:r w:rsidRPr="00126CFE">
        <w:rPr>
          <w:rFonts w:ascii="Arial" w:hAnsi="Arial" w:cs="Arial"/>
          <w:sz w:val="24"/>
          <w:szCs w:val="24"/>
        </w:rPr>
        <w:t xml:space="preserve">Heavily </w:t>
      </w:r>
      <w:r w:rsidR="00063616" w:rsidRPr="00126CFE">
        <w:rPr>
          <w:rFonts w:ascii="Arial" w:hAnsi="Arial" w:cs="Arial"/>
          <w:sz w:val="24"/>
          <w:szCs w:val="24"/>
        </w:rPr>
        <w:t>dependent</w:t>
      </w:r>
      <w:r w:rsidRPr="00126CFE">
        <w:rPr>
          <w:rFonts w:ascii="Arial" w:hAnsi="Arial" w:cs="Arial"/>
          <w:sz w:val="24"/>
          <w:szCs w:val="24"/>
        </w:rPr>
        <w:t xml:space="preserve"> on virgin polymer raw materials</w:t>
      </w:r>
    </w:p>
    <w:p w14:paraId="15D06702" w14:textId="3C5EE847" w:rsidR="000256D6" w:rsidRPr="00126CFE" w:rsidRDefault="000256D6" w:rsidP="00A948D9">
      <w:pPr>
        <w:pStyle w:val="ListParagraph"/>
        <w:numPr>
          <w:ilvl w:val="0"/>
          <w:numId w:val="8"/>
        </w:numPr>
        <w:tabs>
          <w:tab w:val="left" w:pos="8260"/>
        </w:tabs>
        <w:rPr>
          <w:rFonts w:ascii="Arial" w:hAnsi="Arial" w:cs="Arial"/>
          <w:sz w:val="24"/>
          <w:szCs w:val="24"/>
        </w:rPr>
      </w:pPr>
      <w:r w:rsidRPr="00126CFE">
        <w:rPr>
          <w:rFonts w:ascii="Arial" w:hAnsi="Arial" w:cs="Arial"/>
          <w:sz w:val="24"/>
          <w:szCs w:val="24"/>
        </w:rPr>
        <w:t>Adoption of digital manufacturing not at pace of industry</w:t>
      </w:r>
    </w:p>
    <w:p w14:paraId="7B560B12" w14:textId="4388922E" w:rsidR="000256D6" w:rsidRPr="00126CFE" w:rsidRDefault="000256D6" w:rsidP="00A948D9">
      <w:pPr>
        <w:pStyle w:val="ListParagraph"/>
        <w:numPr>
          <w:ilvl w:val="0"/>
          <w:numId w:val="8"/>
        </w:numPr>
        <w:tabs>
          <w:tab w:val="left" w:pos="8260"/>
        </w:tabs>
        <w:rPr>
          <w:rFonts w:ascii="Arial" w:hAnsi="Arial" w:cs="Arial"/>
          <w:sz w:val="24"/>
          <w:szCs w:val="24"/>
        </w:rPr>
      </w:pPr>
      <w:r w:rsidRPr="00126CFE">
        <w:rPr>
          <w:rFonts w:ascii="Arial" w:hAnsi="Arial" w:cs="Arial"/>
          <w:sz w:val="24"/>
          <w:szCs w:val="24"/>
        </w:rPr>
        <w:t>Complexity in organisational structure inhibiting agility</w:t>
      </w:r>
    </w:p>
    <w:p w14:paraId="2641C983" w14:textId="6A114B31" w:rsidR="000256D6" w:rsidRPr="00126CFE" w:rsidRDefault="001C3B5B" w:rsidP="000256D6">
      <w:pPr>
        <w:tabs>
          <w:tab w:val="left" w:pos="8260"/>
        </w:tabs>
        <w:rPr>
          <w:rFonts w:ascii="Arial" w:hAnsi="Arial" w:cs="Arial"/>
          <w:sz w:val="24"/>
          <w:szCs w:val="24"/>
        </w:rPr>
      </w:pPr>
      <w:r w:rsidRPr="00126CFE">
        <w:rPr>
          <w:rFonts w:ascii="Arial" w:hAnsi="Arial" w:cs="Arial"/>
          <w:b/>
          <w:bCs/>
          <w:sz w:val="24"/>
          <w:szCs w:val="24"/>
        </w:rPr>
        <w:t>Opportunities</w:t>
      </w:r>
    </w:p>
    <w:p w14:paraId="760F6312" w14:textId="22AC4C09" w:rsidR="001C3B5B" w:rsidRPr="00126CFE" w:rsidRDefault="001C3B5B" w:rsidP="001C3B5B">
      <w:pPr>
        <w:pStyle w:val="ListParagraph"/>
        <w:numPr>
          <w:ilvl w:val="0"/>
          <w:numId w:val="9"/>
        </w:numPr>
        <w:tabs>
          <w:tab w:val="left" w:pos="8260"/>
        </w:tabs>
        <w:rPr>
          <w:rFonts w:ascii="Arial" w:hAnsi="Arial" w:cs="Arial"/>
          <w:sz w:val="24"/>
          <w:szCs w:val="24"/>
        </w:rPr>
      </w:pPr>
      <w:r w:rsidRPr="00126CFE">
        <w:rPr>
          <w:rFonts w:ascii="Arial" w:hAnsi="Arial" w:cs="Arial"/>
          <w:sz w:val="24"/>
          <w:szCs w:val="24"/>
        </w:rPr>
        <w:t>Growth in demand for sustainable, recycle ready and low-carbon packaging solutions</w:t>
      </w:r>
    </w:p>
    <w:p w14:paraId="264CFA9D" w14:textId="6A112F5D" w:rsidR="001C3B5B" w:rsidRPr="00126CFE" w:rsidRDefault="001C3B5B" w:rsidP="001C3B5B">
      <w:pPr>
        <w:pStyle w:val="ListParagraph"/>
        <w:numPr>
          <w:ilvl w:val="0"/>
          <w:numId w:val="9"/>
        </w:numPr>
        <w:tabs>
          <w:tab w:val="left" w:pos="8260"/>
        </w:tabs>
        <w:rPr>
          <w:rFonts w:ascii="Arial" w:hAnsi="Arial" w:cs="Arial"/>
          <w:sz w:val="24"/>
          <w:szCs w:val="24"/>
        </w:rPr>
      </w:pPr>
      <w:r w:rsidRPr="00126CFE">
        <w:rPr>
          <w:rFonts w:ascii="Arial" w:hAnsi="Arial" w:cs="Arial"/>
          <w:sz w:val="24"/>
          <w:szCs w:val="24"/>
        </w:rPr>
        <w:t>Digital personalisation for customer and smart packaging innovations</w:t>
      </w:r>
    </w:p>
    <w:p w14:paraId="78539BDC" w14:textId="355496A8" w:rsidR="001C3B5B" w:rsidRPr="00126CFE" w:rsidRDefault="001C3B5B" w:rsidP="001C3B5B">
      <w:pPr>
        <w:pStyle w:val="ListParagraph"/>
        <w:numPr>
          <w:ilvl w:val="0"/>
          <w:numId w:val="9"/>
        </w:numPr>
        <w:tabs>
          <w:tab w:val="left" w:pos="8260"/>
        </w:tabs>
        <w:rPr>
          <w:rFonts w:ascii="Arial" w:hAnsi="Arial" w:cs="Arial"/>
          <w:sz w:val="24"/>
          <w:szCs w:val="24"/>
        </w:rPr>
      </w:pPr>
      <w:r w:rsidRPr="00126CFE">
        <w:rPr>
          <w:rFonts w:ascii="Arial" w:hAnsi="Arial" w:cs="Arial"/>
          <w:sz w:val="24"/>
          <w:szCs w:val="24"/>
        </w:rPr>
        <w:t>Expansion into emerging markets where consumption is rising</w:t>
      </w:r>
    </w:p>
    <w:p w14:paraId="57F63D19" w14:textId="36A08BF7" w:rsidR="001C3B5B" w:rsidRPr="00126CFE" w:rsidRDefault="001C3B5B" w:rsidP="001C3B5B">
      <w:pPr>
        <w:pStyle w:val="ListParagraph"/>
        <w:numPr>
          <w:ilvl w:val="0"/>
          <w:numId w:val="9"/>
        </w:numPr>
        <w:tabs>
          <w:tab w:val="left" w:pos="8260"/>
        </w:tabs>
        <w:rPr>
          <w:rFonts w:ascii="Arial" w:hAnsi="Arial" w:cs="Arial"/>
          <w:sz w:val="24"/>
          <w:szCs w:val="24"/>
        </w:rPr>
      </w:pPr>
      <w:r w:rsidRPr="00126CFE">
        <w:rPr>
          <w:rFonts w:ascii="Arial" w:hAnsi="Arial" w:cs="Arial"/>
          <w:sz w:val="24"/>
          <w:szCs w:val="24"/>
        </w:rPr>
        <w:t>Increasing circular economy partnerships and further recycled feedstock integration</w:t>
      </w:r>
    </w:p>
    <w:p w14:paraId="7ECEEBD8" w14:textId="7DF1BCA0" w:rsidR="001C3B5B" w:rsidRPr="00126CFE" w:rsidRDefault="00E8471C" w:rsidP="001C3B5B">
      <w:pPr>
        <w:pStyle w:val="ListParagraph"/>
        <w:numPr>
          <w:ilvl w:val="0"/>
          <w:numId w:val="9"/>
        </w:numPr>
        <w:tabs>
          <w:tab w:val="left" w:pos="8260"/>
        </w:tabs>
        <w:rPr>
          <w:rFonts w:ascii="Arial" w:hAnsi="Arial" w:cs="Arial"/>
          <w:sz w:val="24"/>
          <w:szCs w:val="24"/>
        </w:rPr>
      </w:pPr>
      <w:r w:rsidRPr="00126CFE">
        <w:rPr>
          <w:rFonts w:ascii="Arial" w:hAnsi="Arial" w:cs="Arial"/>
          <w:sz w:val="24"/>
          <w:szCs w:val="24"/>
        </w:rPr>
        <w:t>Demographic trends giving increased demand in healthcare and pharmaceutical packaging</w:t>
      </w:r>
    </w:p>
    <w:p w14:paraId="122322F0" w14:textId="2C2005AF" w:rsidR="00E8471C" w:rsidRPr="00126CFE" w:rsidRDefault="00E8471C" w:rsidP="00E8471C">
      <w:pPr>
        <w:tabs>
          <w:tab w:val="left" w:pos="8260"/>
        </w:tabs>
        <w:rPr>
          <w:rFonts w:ascii="Arial" w:hAnsi="Arial" w:cs="Arial"/>
          <w:sz w:val="24"/>
          <w:szCs w:val="24"/>
        </w:rPr>
      </w:pPr>
      <w:r w:rsidRPr="00126CFE">
        <w:rPr>
          <w:rFonts w:ascii="Arial" w:hAnsi="Arial" w:cs="Arial"/>
          <w:b/>
          <w:bCs/>
          <w:sz w:val="24"/>
          <w:szCs w:val="24"/>
        </w:rPr>
        <w:t>Threats</w:t>
      </w:r>
    </w:p>
    <w:p w14:paraId="47DEB4B9" w14:textId="5ACEB823" w:rsidR="00E8471C" w:rsidRPr="00126CFE" w:rsidRDefault="00E8471C" w:rsidP="00E8471C">
      <w:pPr>
        <w:pStyle w:val="ListParagraph"/>
        <w:numPr>
          <w:ilvl w:val="0"/>
          <w:numId w:val="10"/>
        </w:numPr>
        <w:tabs>
          <w:tab w:val="left" w:pos="8260"/>
        </w:tabs>
        <w:rPr>
          <w:rFonts w:ascii="Arial" w:hAnsi="Arial" w:cs="Arial"/>
          <w:sz w:val="24"/>
          <w:szCs w:val="24"/>
        </w:rPr>
      </w:pPr>
      <w:r w:rsidRPr="00126CFE">
        <w:rPr>
          <w:rFonts w:ascii="Arial" w:hAnsi="Arial" w:cs="Arial"/>
          <w:sz w:val="24"/>
          <w:szCs w:val="24"/>
        </w:rPr>
        <w:t xml:space="preserve">Regulatory changes </w:t>
      </w:r>
      <w:r w:rsidR="00775176" w:rsidRPr="00126CFE">
        <w:rPr>
          <w:rFonts w:ascii="Arial" w:hAnsi="Arial" w:cs="Arial"/>
          <w:sz w:val="24"/>
          <w:szCs w:val="24"/>
        </w:rPr>
        <w:t>are increasing pressure on the plastics industry and especially waste generation</w:t>
      </w:r>
    </w:p>
    <w:p w14:paraId="5661FB9B" w14:textId="70D85237" w:rsidR="00775176" w:rsidRPr="00126CFE" w:rsidRDefault="00113CA5" w:rsidP="00E8471C">
      <w:pPr>
        <w:pStyle w:val="ListParagraph"/>
        <w:numPr>
          <w:ilvl w:val="0"/>
          <w:numId w:val="10"/>
        </w:numPr>
        <w:tabs>
          <w:tab w:val="left" w:pos="8260"/>
        </w:tabs>
        <w:rPr>
          <w:rFonts w:ascii="Arial" w:hAnsi="Arial" w:cs="Arial"/>
          <w:sz w:val="24"/>
          <w:szCs w:val="24"/>
        </w:rPr>
      </w:pPr>
      <w:r w:rsidRPr="00126CFE">
        <w:rPr>
          <w:rFonts w:ascii="Arial" w:hAnsi="Arial" w:cs="Arial"/>
          <w:sz w:val="24"/>
          <w:szCs w:val="24"/>
        </w:rPr>
        <w:t>Highly competitive industry with large price pressures</w:t>
      </w:r>
    </w:p>
    <w:p w14:paraId="134DFCD3" w14:textId="44A232B4" w:rsidR="00113CA5" w:rsidRPr="00126CFE" w:rsidRDefault="00113CA5" w:rsidP="00E8471C">
      <w:pPr>
        <w:pStyle w:val="ListParagraph"/>
        <w:numPr>
          <w:ilvl w:val="0"/>
          <w:numId w:val="10"/>
        </w:numPr>
        <w:tabs>
          <w:tab w:val="left" w:pos="8260"/>
        </w:tabs>
        <w:rPr>
          <w:rFonts w:ascii="Arial" w:hAnsi="Arial" w:cs="Arial"/>
          <w:sz w:val="24"/>
          <w:szCs w:val="24"/>
        </w:rPr>
      </w:pPr>
      <w:r w:rsidRPr="00126CFE">
        <w:rPr>
          <w:rFonts w:ascii="Arial" w:hAnsi="Arial" w:cs="Arial"/>
          <w:sz w:val="24"/>
          <w:szCs w:val="24"/>
        </w:rPr>
        <w:lastRenderedPageBreak/>
        <w:t xml:space="preserve">Substitutionary materials </w:t>
      </w:r>
      <w:r w:rsidR="00E26726" w:rsidRPr="00126CFE">
        <w:rPr>
          <w:rFonts w:ascii="Arial" w:hAnsi="Arial" w:cs="Arial"/>
          <w:sz w:val="24"/>
          <w:szCs w:val="24"/>
        </w:rPr>
        <w:t>removing the requirement for traditional packaging solutions</w:t>
      </w:r>
    </w:p>
    <w:p w14:paraId="53842233" w14:textId="6E9E7182" w:rsidR="00E26726" w:rsidRPr="00126CFE" w:rsidRDefault="00E26726" w:rsidP="00E8471C">
      <w:pPr>
        <w:pStyle w:val="ListParagraph"/>
        <w:numPr>
          <w:ilvl w:val="0"/>
          <w:numId w:val="10"/>
        </w:numPr>
        <w:tabs>
          <w:tab w:val="left" w:pos="8260"/>
        </w:tabs>
        <w:rPr>
          <w:rFonts w:ascii="Arial" w:hAnsi="Arial" w:cs="Arial"/>
          <w:sz w:val="24"/>
          <w:szCs w:val="24"/>
        </w:rPr>
      </w:pPr>
      <w:r w:rsidRPr="00126CFE">
        <w:rPr>
          <w:rFonts w:ascii="Arial" w:hAnsi="Arial" w:cs="Arial"/>
          <w:sz w:val="24"/>
          <w:szCs w:val="24"/>
        </w:rPr>
        <w:t>Volatile raw material pricing driven by the oil commodity markets</w:t>
      </w:r>
    </w:p>
    <w:p w14:paraId="6767DF17" w14:textId="24C2F67A" w:rsidR="00E26726" w:rsidRPr="00126CFE" w:rsidRDefault="00E26726" w:rsidP="00E8471C">
      <w:pPr>
        <w:pStyle w:val="ListParagraph"/>
        <w:numPr>
          <w:ilvl w:val="0"/>
          <w:numId w:val="10"/>
        </w:numPr>
        <w:tabs>
          <w:tab w:val="left" w:pos="8260"/>
        </w:tabs>
        <w:rPr>
          <w:rFonts w:ascii="Arial" w:hAnsi="Arial" w:cs="Arial"/>
          <w:sz w:val="24"/>
          <w:szCs w:val="24"/>
        </w:rPr>
      </w:pPr>
      <w:r w:rsidRPr="00126CFE">
        <w:rPr>
          <w:rFonts w:ascii="Arial" w:hAnsi="Arial" w:cs="Arial"/>
          <w:sz w:val="24"/>
          <w:szCs w:val="24"/>
        </w:rPr>
        <w:t>Customer switching to follow sustainability if Amcor is not at pace</w:t>
      </w:r>
    </w:p>
    <w:p w14:paraId="01152F9C" w14:textId="77777777" w:rsidR="00E26726" w:rsidRPr="00126CFE" w:rsidRDefault="00E26726" w:rsidP="00E26726">
      <w:pPr>
        <w:tabs>
          <w:tab w:val="left" w:pos="8260"/>
        </w:tabs>
        <w:rPr>
          <w:rFonts w:ascii="Arial" w:hAnsi="Arial" w:cs="Arial"/>
          <w:sz w:val="24"/>
          <w:szCs w:val="24"/>
        </w:rPr>
      </w:pPr>
    </w:p>
    <w:p w14:paraId="71DA0FE6" w14:textId="7596C907" w:rsidR="00496AD7" w:rsidRPr="00126CFE" w:rsidRDefault="00496AD7" w:rsidP="00496AD7">
      <w:pPr>
        <w:pStyle w:val="ListParagraph"/>
        <w:numPr>
          <w:ilvl w:val="0"/>
          <w:numId w:val="2"/>
        </w:numPr>
        <w:tabs>
          <w:tab w:val="left" w:pos="8260"/>
        </w:tabs>
        <w:jc w:val="center"/>
        <w:rPr>
          <w:rFonts w:ascii="Arial" w:hAnsi="Arial" w:cs="Arial"/>
          <w:b/>
          <w:bCs/>
          <w:sz w:val="24"/>
          <w:szCs w:val="24"/>
          <w:u w:val="single"/>
        </w:rPr>
      </w:pPr>
      <w:r w:rsidRPr="00126CFE">
        <w:rPr>
          <w:rFonts w:ascii="Arial" w:hAnsi="Arial" w:cs="Arial"/>
          <w:b/>
          <w:bCs/>
          <w:sz w:val="24"/>
          <w:szCs w:val="24"/>
          <w:u w:val="single"/>
        </w:rPr>
        <w:t>Strategic Option Analyses</w:t>
      </w:r>
    </w:p>
    <w:p w14:paraId="1DD82BF9" w14:textId="2C7474F2" w:rsidR="00496AD7" w:rsidRPr="00126CFE" w:rsidRDefault="00F24CB2" w:rsidP="00496AD7">
      <w:pPr>
        <w:tabs>
          <w:tab w:val="left" w:pos="8260"/>
        </w:tabs>
        <w:rPr>
          <w:rFonts w:ascii="Arial" w:hAnsi="Arial" w:cs="Arial"/>
          <w:sz w:val="24"/>
          <w:szCs w:val="24"/>
        </w:rPr>
      </w:pPr>
      <w:r w:rsidRPr="00126CFE">
        <w:rPr>
          <w:rFonts w:ascii="Arial" w:hAnsi="Arial" w:cs="Arial"/>
          <w:sz w:val="24"/>
          <w:szCs w:val="24"/>
        </w:rPr>
        <w:t xml:space="preserve">Based on the external and internal analyses, </w:t>
      </w:r>
      <w:r w:rsidR="001F43CB" w:rsidRPr="00126CFE">
        <w:rPr>
          <w:rFonts w:ascii="Arial" w:hAnsi="Arial" w:cs="Arial"/>
          <w:sz w:val="24"/>
          <w:szCs w:val="24"/>
        </w:rPr>
        <w:t>Amcor</w:t>
      </w:r>
      <w:r w:rsidRPr="00126CFE">
        <w:rPr>
          <w:rFonts w:ascii="Arial" w:hAnsi="Arial" w:cs="Arial"/>
          <w:sz w:val="24"/>
          <w:szCs w:val="24"/>
        </w:rPr>
        <w:t xml:space="preserve"> must pursue a strategy that delivers </w:t>
      </w:r>
      <w:r w:rsidR="00752F27" w:rsidRPr="00126CFE">
        <w:rPr>
          <w:rFonts w:ascii="Arial" w:hAnsi="Arial" w:cs="Arial"/>
          <w:sz w:val="24"/>
          <w:szCs w:val="24"/>
        </w:rPr>
        <w:t xml:space="preserve">Agility, Sustainability and Customer value creation whilst in a volatile global environment.  Strategic management </w:t>
      </w:r>
      <w:r w:rsidR="00DA58AD" w:rsidRPr="00126CFE">
        <w:rPr>
          <w:rFonts w:ascii="Arial" w:hAnsi="Arial" w:cs="Arial"/>
          <w:sz w:val="24"/>
          <w:szCs w:val="24"/>
        </w:rPr>
        <w:t>theory emphasises companies facing uncertain market conditions must adopt a multifaceted approach</w:t>
      </w:r>
      <w:r w:rsidR="00CA3090" w:rsidRPr="00126CFE">
        <w:rPr>
          <w:rFonts w:ascii="Arial" w:hAnsi="Arial" w:cs="Arial"/>
          <w:sz w:val="24"/>
          <w:szCs w:val="24"/>
        </w:rPr>
        <w:t xml:space="preserve">, balancing existing strengths with the opportunities brought by innovation (Tushman et al, 2013).  This section evaluates with </w:t>
      </w:r>
      <w:r w:rsidR="00B160D3" w:rsidRPr="00126CFE">
        <w:rPr>
          <w:rFonts w:ascii="Arial" w:hAnsi="Arial" w:cs="Arial"/>
          <w:sz w:val="24"/>
          <w:szCs w:val="24"/>
        </w:rPr>
        <w:t>potential strategic pathways utilising established frameworks and research.</w:t>
      </w:r>
    </w:p>
    <w:p w14:paraId="07B65CE6" w14:textId="7032B012" w:rsidR="007B07A5" w:rsidRPr="00126CFE" w:rsidRDefault="004D788D" w:rsidP="00C5155E">
      <w:pPr>
        <w:tabs>
          <w:tab w:val="left" w:pos="8260"/>
        </w:tabs>
        <w:rPr>
          <w:rFonts w:ascii="Arial" w:hAnsi="Arial" w:cs="Arial"/>
          <w:sz w:val="24"/>
          <w:szCs w:val="24"/>
          <w:u w:val="single"/>
        </w:rPr>
      </w:pPr>
      <w:r w:rsidRPr="00126CFE">
        <w:rPr>
          <w:rFonts w:ascii="Arial" w:hAnsi="Arial" w:cs="Arial"/>
          <w:b/>
          <w:bCs/>
          <w:sz w:val="24"/>
          <w:szCs w:val="24"/>
          <w:u w:val="single"/>
        </w:rPr>
        <w:t>Ansoff’s Matrix – Growth Options</w:t>
      </w:r>
    </w:p>
    <w:p w14:paraId="1578A20E" w14:textId="6DAA614A" w:rsidR="004D788D" w:rsidRPr="00126CFE" w:rsidRDefault="004D788D" w:rsidP="00C5155E">
      <w:pPr>
        <w:tabs>
          <w:tab w:val="left" w:pos="8260"/>
        </w:tabs>
        <w:rPr>
          <w:rFonts w:ascii="Arial" w:hAnsi="Arial" w:cs="Arial"/>
          <w:sz w:val="24"/>
          <w:szCs w:val="24"/>
        </w:rPr>
      </w:pPr>
      <w:r w:rsidRPr="00126CFE">
        <w:rPr>
          <w:rFonts w:ascii="Arial" w:hAnsi="Arial" w:cs="Arial"/>
          <w:sz w:val="24"/>
          <w:szCs w:val="24"/>
        </w:rPr>
        <w:t>Ansoff (1957) identifies four primary strategies for growth</w:t>
      </w:r>
      <w:r w:rsidR="009D6C26" w:rsidRPr="00126CFE">
        <w:rPr>
          <w:rFonts w:ascii="Arial" w:hAnsi="Arial" w:cs="Arial"/>
          <w:sz w:val="24"/>
          <w:szCs w:val="24"/>
        </w:rPr>
        <w:t>, Market penetration, Product development, Market development and Diversification</w:t>
      </w:r>
      <w:r w:rsidR="00963F95" w:rsidRPr="00126CFE">
        <w:rPr>
          <w:rFonts w:ascii="Arial" w:hAnsi="Arial" w:cs="Arial"/>
          <w:sz w:val="24"/>
          <w:szCs w:val="24"/>
        </w:rPr>
        <w:t xml:space="preserve">.  This model is widely used </w:t>
      </w:r>
      <w:r w:rsidR="007E7BA4" w:rsidRPr="00126CFE">
        <w:rPr>
          <w:rFonts w:ascii="Arial" w:hAnsi="Arial" w:cs="Arial"/>
          <w:sz w:val="24"/>
          <w:szCs w:val="24"/>
        </w:rPr>
        <w:t>in strategic planning for evaluating risk to growth (Johnson et al, 2023).</w:t>
      </w:r>
    </w:p>
    <w:p w14:paraId="2183D2A2" w14:textId="77777777" w:rsidR="004E3307" w:rsidRPr="00126CFE" w:rsidRDefault="004E3307" w:rsidP="004E3307">
      <w:pPr>
        <w:rPr>
          <w:rFonts w:ascii="Arial" w:hAnsi="Arial" w:cs="Arial"/>
          <w:b/>
          <w:bCs/>
          <w:sz w:val="24"/>
          <w:szCs w:val="24"/>
          <w:u w:val="single"/>
        </w:rPr>
      </w:pPr>
    </w:p>
    <w:p w14:paraId="0AC7B696" w14:textId="462F440F" w:rsidR="007E7BA4" w:rsidRPr="00126CFE" w:rsidRDefault="007E7BA4" w:rsidP="004E3307">
      <w:pPr>
        <w:rPr>
          <w:rFonts w:ascii="Arial" w:hAnsi="Arial" w:cs="Arial"/>
          <w:sz w:val="24"/>
          <w:szCs w:val="24"/>
        </w:rPr>
      </w:pPr>
      <w:r w:rsidRPr="00126CFE">
        <w:rPr>
          <w:rFonts w:ascii="Arial" w:hAnsi="Arial" w:cs="Arial"/>
          <w:b/>
          <w:bCs/>
          <w:sz w:val="24"/>
          <w:szCs w:val="24"/>
        </w:rPr>
        <w:t>Market Penetration – Low</w:t>
      </w:r>
      <w:r w:rsidR="00AA4565" w:rsidRPr="00126CFE">
        <w:rPr>
          <w:rFonts w:ascii="Arial" w:hAnsi="Arial" w:cs="Arial"/>
          <w:b/>
          <w:bCs/>
          <w:sz w:val="24"/>
          <w:szCs w:val="24"/>
        </w:rPr>
        <w:t>er</w:t>
      </w:r>
      <w:r w:rsidRPr="00126CFE">
        <w:rPr>
          <w:rFonts w:ascii="Arial" w:hAnsi="Arial" w:cs="Arial"/>
          <w:b/>
          <w:bCs/>
          <w:sz w:val="24"/>
          <w:szCs w:val="24"/>
        </w:rPr>
        <w:t xml:space="preserve"> Risk</w:t>
      </w:r>
    </w:p>
    <w:p w14:paraId="61344673" w14:textId="43B47B8E" w:rsidR="00F3779B" w:rsidRPr="00126CFE" w:rsidRDefault="00AA4565" w:rsidP="004E3307">
      <w:pPr>
        <w:rPr>
          <w:rFonts w:ascii="Arial" w:hAnsi="Arial" w:cs="Arial"/>
          <w:sz w:val="24"/>
          <w:szCs w:val="24"/>
        </w:rPr>
      </w:pPr>
      <w:r w:rsidRPr="00126CFE">
        <w:rPr>
          <w:rFonts w:ascii="Arial" w:hAnsi="Arial" w:cs="Arial"/>
          <w:sz w:val="24"/>
          <w:szCs w:val="24"/>
        </w:rPr>
        <w:t>Amcor can strengthen its existing market leading position by offering innovative improvements to their current product offering</w:t>
      </w:r>
      <w:r w:rsidR="00D06D94" w:rsidRPr="00126CFE">
        <w:rPr>
          <w:rFonts w:ascii="Arial" w:hAnsi="Arial" w:cs="Arial"/>
          <w:sz w:val="24"/>
          <w:szCs w:val="24"/>
        </w:rPr>
        <w:t xml:space="preserve">, increasing market share in fast moving consumer goods (FMCG) sectors and enhancing operational excellence in the manufacturing plants.  </w:t>
      </w:r>
      <w:r w:rsidR="00F3779B" w:rsidRPr="00126CFE">
        <w:rPr>
          <w:rFonts w:ascii="Arial" w:hAnsi="Arial" w:cs="Arial"/>
          <w:sz w:val="24"/>
          <w:szCs w:val="24"/>
        </w:rPr>
        <w:t>Market penetration in the packaging industry is however limited by commodity style competition, shifts in customer preference for sustainable products and increasing rivalry on price from competitors</w:t>
      </w:r>
      <w:r w:rsidR="00715E02" w:rsidRPr="00126CFE">
        <w:rPr>
          <w:rFonts w:ascii="Arial" w:hAnsi="Arial" w:cs="Arial"/>
          <w:sz w:val="24"/>
          <w:szCs w:val="24"/>
        </w:rPr>
        <w:t xml:space="preserve"> (Colwill et al, 2022)</w:t>
      </w:r>
      <w:r w:rsidR="00F3779B" w:rsidRPr="00126CFE">
        <w:rPr>
          <w:rFonts w:ascii="Arial" w:hAnsi="Arial" w:cs="Arial"/>
          <w:sz w:val="24"/>
          <w:szCs w:val="24"/>
        </w:rPr>
        <w:t>.</w:t>
      </w:r>
    </w:p>
    <w:p w14:paraId="387B4161" w14:textId="77777777" w:rsidR="00883019" w:rsidRPr="00126CFE" w:rsidRDefault="00883019" w:rsidP="004E3307">
      <w:pPr>
        <w:rPr>
          <w:rFonts w:ascii="Arial" w:hAnsi="Arial" w:cs="Arial"/>
          <w:sz w:val="24"/>
          <w:szCs w:val="24"/>
        </w:rPr>
      </w:pPr>
    </w:p>
    <w:p w14:paraId="5B2D144C" w14:textId="79F7E941" w:rsidR="00883019" w:rsidRPr="00126CFE" w:rsidRDefault="00883019" w:rsidP="004E3307">
      <w:pPr>
        <w:rPr>
          <w:rFonts w:ascii="Arial" w:hAnsi="Arial" w:cs="Arial"/>
          <w:sz w:val="24"/>
          <w:szCs w:val="24"/>
        </w:rPr>
      </w:pPr>
      <w:r w:rsidRPr="00126CFE">
        <w:rPr>
          <w:rFonts w:ascii="Arial" w:hAnsi="Arial" w:cs="Arial"/>
          <w:b/>
          <w:bCs/>
          <w:sz w:val="24"/>
          <w:szCs w:val="24"/>
        </w:rPr>
        <w:t>Product Development – High Potential</w:t>
      </w:r>
    </w:p>
    <w:p w14:paraId="70B5454C" w14:textId="19FAF03E" w:rsidR="00883019" w:rsidRPr="00126CFE" w:rsidRDefault="006C132E" w:rsidP="004E3307">
      <w:pPr>
        <w:rPr>
          <w:rFonts w:ascii="Arial" w:hAnsi="Arial" w:cs="Arial"/>
          <w:sz w:val="24"/>
          <w:szCs w:val="24"/>
        </w:rPr>
      </w:pPr>
      <w:r w:rsidRPr="00126CFE">
        <w:rPr>
          <w:rFonts w:ascii="Arial" w:hAnsi="Arial" w:cs="Arial"/>
          <w:sz w:val="24"/>
          <w:szCs w:val="24"/>
        </w:rPr>
        <w:t>Product development aligns with Amcor’s vast R&amp;D capabilities.  Opportunities for Amcor are as follows:</w:t>
      </w:r>
    </w:p>
    <w:p w14:paraId="724A4142" w14:textId="148617CE" w:rsidR="006C132E" w:rsidRPr="00126CFE" w:rsidRDefault="006C132E" w:rsidP="006C132E">
      <w:pPr>
        <w:pStyle w:val="ListParagraph"/>
        <w:numPr>
          <w:ilvl w:val="0"/>
          <w:numId w:val="11"/>
        </w:numPr>
        <w:rPr>
          <w:rFonts w:ascii="Arial" w:hAnsi="Arial" w:cs="Arial"/>
          <w:sz w:val="24"/>
          <w:szCs w:val="24"/>
        </w:rPr>
      </w:pPr>
      <w:r w:rsidRPr="00126CFE">
        <w:rPr>
          <w:rFonts w:ascii="Arial" w:hAnsi="Arial" w:cs="Arial"/>
          <w:sz w:val="24"/>
          <w:szCs w:val="24"/>
        </w:rPr>
        <w:t>Recycle ready packing in the flexibles segment</w:t>
      </w:r>
    </w:p>
    <w:p w14:paraId="36438E97" w14:textId="2A095058" w:rsidR="006C132E" w:rsidRPr="00126CFE" w:rsidRDefault="006C132E" w:rsidP="006C132E">
      <w:pPr>
        <w:pStyle w:val="ListParagraph"/>
        <w:numPr>
          <w:ilvl w:val="0"/>
          <w:numId w:val="11"/>
        </w:numPr>
        <w:rPr>
          <w:rFonts w:ascii="Arial" w:hAnsi="Arial" w:cs="Arial"/>
          <w:sz w:val="24"/>
          <w:szCs w:val="24"/>
        </w:rPr>
      </w:pPr>
      <w:r w:rsidRPr="00126CFE">
        <w:rPr>
          <w:rFonts w:ascii="Arial" w:hAnsi="Arial" w:cs="Arial"/>
          <w:sz w:val="24"/>
          <w:szCs w:val="24"/>
        </w:rPr>
        <w:t>Mono-material packaging solutions</w:t>
      </w:r>
    </w:p>
    <w:p w14:paraId="5D6BE484" w14:textId="0B704D61" w:rsidR="006C132E" w:rsidRPr="00126CFE" w:rsidRDefault="006C132E" w:rsidP="006C132E">
      <w:pPr>
        <w:pStyle w:val="ListParagraph"/>
        <w:numPr>
          <w:ilvl w:val="0"/>
          <w:numId w:val="11"/>
        </w:numPr>
        <w:rPr>
          <w:rFonts w:ascii="Arial" w:hAnsi="Arial" w:cs="Arial"/>
          <w:sz w:val="24"/>
          <w:szCs w:val="24"/>
        </w:rPr>
      </w:pPr>
      <w:r w:rsidRPr="00126CFE">
        <w:rPr>
          <w:rFonts w:ascii="Arial" w:hAnsi="Arial" w:cs="Arial"/>
          <w:sz w:val="24"/>
          <w:szCs w:val="24"/>
        </w:rPr>
        <w:t>Bio based polymers</w:t>
      </w:r>
    </w:p>
    <w:p w14:paraId="572B3171" w14:textId="00C55514" w:rsidR="006C132E" w:rsidRPr="00126CFE" w:rsidRDefault="006C132E" w:rsidP="006C132E">
      <w:pPr>
        <w:pStyle w:val="ListParagraph"/>
        <w:numPr>
          <w:ilvl w:val="0"/>
          <w:numId w:val="11"/>
        </w:numPr>
        <w:rPr>
          <w:rFonts w:ascii="Arial" w:hAnsi="Arial" w:cs="Arial"/>
          <w:sz w:val="24"/>
          <w:szCs w:val="24"/>
        </w:rPr>
      </w:pPr>
      <w:r w:rsidRPr="00126CFE">
        <w:rPr>
          <w:rFonts w:ascii="Arial" w:hAnsi="Arial" w:cs="Arial"/>
          <w:sz w:val="24"/>
          <w:szCs w:val="24"/>
        </w:rPr>
        <w:t>Lightweight / downgauged packaging materials</w:t>
      </w:r>
    </w:p>
    <w:p w14:paraId="7AA06A31" w14:textId="36314F25" w:rsidR="006C132E" w:rsidRPr="00126CFE" w:rsidRDefault="00CB1778" w:rsidP="006C132E">
      <w:pPr>
        <w:pStyle w:val="ListParagraph"/>
        <w:numPr>
          <w:ilvl w:val="0"/>
          <w:numId w:val="11"/>
        </w:numPr>
        <w:rPr>
          <w:rFonts w:ascii="Arial" w:hAnsi="Arial" w:cs="Arial"/>
          <w:sz w:val="24"/>
          <w:szCs w:val="24"/>
        </w:rPr>
      </w:pPr>
      <w:r w:rsidRPr="00126CFE">
        <w:rPr>
          <w:rFonts w:ascii="Arial" w:hAnsi="Arial" w:cs="Arial"/>
          <w:sz w:val="24"/>
          <w:szCs w:val="24"/>
        </w:rPr>
        <w:t>Smart packaging for traceability and consumer engagement</w:t>
      </w:r>
    </w:p>
    <w:p w14:paraId="121BC4D4" w14:textId="4E1F2F7B" w:rsidR="00CB1778" w:rsidRPr="00126CFE" w:rsidRDefault="00CB1778" w:rsidP="00CB1778">
      <w:pPr>
        <w:rPr>
          <w:rFonts w:ascii="Arial" w:hAnsi="Arial" w:cs="Arial"/>
          <w:sz w:val="24"/>
          <w:szCs w:val="24"/>
        </w:rPr>
      </w:pPr>
      <w:r w:rsidRPr="00126CFE">
        <w:rPr>
          <w:rFonts w:ascii="Arial" w:hAnsi="Arial" w:cs="Arial"/>
          <w:sz w:val="24"/>
          <w:szCs w:val="24"/>
        </w:rPr>
        <w:t>Recent research confirms that packaging innovation gives superior differentiation and enhances likelihood for customers to switch suppliers</w:t>
      </w:r>
      <w:r w:rsidR="003D2FBC" w:rsidRPr="00126CFE">
        <w:rPr>
          <w:rFonts w:ascii="Arial" w:hAnsi="Arial" w:cs="Arial"/>
          <w:sz w:val="24"/>
          <w:szCs w:val="24"/>
        </w:rPr>
        <w:t xml:space="preserve">, especially when the customer is </w:t>
      </w:r>
      <w:r w:rsidR="00DB7055" w:rsidRPr="00126CFE">
        <w:rPr>
          <w:rFonts w:ascii="Arial" w:hAnsi="Arial" w:cs="Arial"/>
          <w:sz w:val="24"/>
          <w:szCs w:val="24"/>
        </w:rPr>
        <w:t>involved in the development (</w:t>
      </w:r>
      <w:r w:rsidR="00D2038D" w:rsidRPr="00126CFE">
        <w:rPr>
          <w:rFonts w:ascii="Arial" w:hAnsi="Arial" w:cs="Arial"/>
          <w:sz w:val="24"/>
          <w:szCs w:val="24"/>
        </w:rPr>
        <w:t>Zaefarian et al, 2025)</w:t>
      </w:r>
    </w:p>
    <w:p w14:paraId="3576858E" w14:textId="77777777" w:rsidR="00883019" w:rsidRPr="00126CFE" w:rsidRDefault="00883019" w:rsidP="004E3307">
      <w:pPr>
        <w:rPr>
          <w:rFonts w:ascii="Arial" w:hAnsi="Arial" w:cs="Arial"/>
          <w:b/>
          <w:bCs/>
          <w:sz w:val="24"/>
          <w:szCs w:val="24"/>
        </w:rPr>
      </w:pPr>
    </w:p>
    <w:p w14:paraId="63219A92" w14:textId="52F05CCD" w:rsidR="005C1ED6" w:rsidRPr="00126CFE" w:rsidRDefault="005C1ED6" w:rsidP="004E3307">
      <w:pPr>
        <w:rPr>
          <w:rFonts w:ascii="Arial" w:hAnsi="Arial" w:cs="Arial"/>
          <w:sz w:val="24"/>
          <w:szCs w:val="24"/>
        </w:rPr>
      </w:pPr>
      <w:r w:rsidRPr="00126CFE">
        <w:rPr>
          <w:rFonts w:ascii="Arial" w:hAnsi="Arial" w:cs="Arial"/>
          <w:b/>
          <w:bCs/>
          <w:sz w:val="24"/>
          <w:szCs w:val="24"/>
        </w:rPr>
        <w:lastRenderedPageBreak/>
        <w:t>Market Development – Moderate Potential</w:t>
      </w:r>
    </w:p>
    <w:p w14:paraId="281D7629" w14:textId="11ECDF64" w:rsidR="005C1ED6" w:rsidRPr="00126CFE" w:rsidRDefault="005C1ED6" w:rsidP="004E3307">
      <w:pPr>
        <w:rPr>
          <w:rFonts w:ascii="Arial" w:hAnsi="Arial" w:cs="Arial"/>
          <w:sz w:val="24"/>
          <w:szCs w:val="24"/>
        </w:rPr>
      </w:pPr>
      <w:r w:rsidRPr="00126CFE">
        <w:rPr>
          <w:rFonts w:ascii="Arial" w:hAnsi="Arial" w:cs="Arial"/>
          <w:sz w:val="24"/>
          <w:szCs w:val="24"/>
        </w:rPr>
        <w:t>Amcor has potential to grow into new emerging markets within Southeast Asia and Africa</w:t>
      </w:r>
      <w:r w:rsidR="003B6D47" w:rsidRPr="00126CFE">
        <w:rPr>
          <w:rFonts w:ascii="Arial" w:hAnsi="Arial" w:cs="Arial"/>
          <w:sz w:val="24"/>
          <w:szCs w:val="24"/>
        </w:rPr>
        <w:t xml:space="preserve">, or different industries such as </w:t>
      </w:r>
      <w:r w:rsidR="00063616" w:rsidRPr="00126CFE">
        <w:rPr>
          <w:rFonts w:ascii="Arial" w:hAnsi="Arial" w:cs="Arial"/>
          <w:sz w:val="24"/>
          <w:szCs w:val="24"/>
        </w:rPr>
        <w:t>electronic</w:t>
      </w:r>
      <w:r w:rsidR="003B6D47" w:rsidRPr="00126CFE">
        <w:rPr>
          <w:rFonts w:ascii="Arial" w:hAnsi="Arial" w:cs="Arial"/>
          <w:sz w:val="24"/>
          <w:szCs w:val="24"/>
        </w:rPr>
        <w:t xml:space="preserve"> packaging.  </w:t>
      </w:r>
      <w:r w:rsidR="00197AA5" w:rsidRPr="00126CFE">
        <w:rPr>
          <w:rFonts w:ascii="Arial" w:hAnsi="Arial" w:cs="Arial"/>
          <w:sz w:val="24"/>
          <w:szCs w:val="24"/>
        </w:rPr>
        <w:t>Emerging markets present an opportunity for high growth, however risks including regulatory uncertainty in new markets and existing local suppliers offer risks</w:t>
      </w:r>
      <w:r w:rsidR="00116EB3" w:rsidRPr="00126CFE">
        <w:rPr>
          <w:rFonts w:ascii="Arial" w:hAnsi="Arial" w:cs="Arial"/>
          <w:sz w:val="24"/>
          <w:szCs w:val="24"/>
        </w:rPr>
        <w:t xml:space="preserve"> (Simmons et al, 2020)</w:t>
      </w:r>
      <w:r w:rsidR="00197AA5" w:rsidRPr="00126CFE">
        <w:rPr>
          <w:rFonts w:ascii="Arial" w:hAnsi="Arial" w:cs="Arial"/>
          <w:sz w:val="24"/>
          <w:szCs w:val="24"/>
        </w:rPr>
        <w:t>.</w:t>
      </w:r>
    </w:p>
    <w:p w14:paraId="0C524AB7" w14:textId="3F05A798" w:rsidR="001B2C73" w:rsidRPr="00126CFE" w:rsidRDefault="001B2C73" w:rsidP="004E3307">
      <w:pPr>
        <w:rPr>
          <w:rFonts w:ascii="Arial" w:hAnsi="Arial" w:cs="Arial"/>
          <w:b/>
          <w:bCs/>
          <w:sz w:val="24"/>
          <w:szCs w:val="24"/>
        </w:rPr>
      </w:pPr>
    </w:p>
    <w:p w14:paraId="0370784E" w14:textId="47A5E539" w:rsidR="00181270" w:rsidRPr="00126CFE" w:rsidRDefault="00181270" w:rsidP="004E3307">
      <w:pPr>
        <w:rPr>
          <w:rFonts w:ascii="Arial" w:hAnsi="Arial" w:cs="Arial"/>
          <w:sz w:val="24"/>
          <w:szCs w:val="24"/>
        </w:rPr>
      </w:pPr>
      <w:r w:rsidRPr="00126CFE">
        <w:rPr>
          <w:rFonts w:ascii="Arial" w:hAnsi="Arial" w:cs="Arial"/>
          <w:b/>
          <w:bCs/>
          <w:sz w:val="24"/>
          <w:szCs w:val="24"/>
        </w:rPr>
        <w:t>Diversification – Higher Risk</w:t>
      </w:r>
    </w:p>
    <w:p w14:paraId="34E2EF9A" w14:textId="652E565E" w:rsidR="00181270" w:rsidRPr="00126CFE" w:rsidRDefault="00181270" w:rsidP="004E3307">
      <w:pPr>
        <w:rPr>
          <w:rFonts w:ascii="Arial" w:hAnsi="Arial" w:cs="Arial"/>
          <w:sz w:val="24"/>
          <w:szCs w:val="24"/>
        </w:rPr>
      </w:pPr>
      <w:r w:rsidRPr="00126CFE">
        <w:rPr>
          <w:rFonts w:ascii="Arial" w:hAnsi="Arial" w:cs="Arial"/>
          <w:sz w:val="24"/>
          <w:szCs w:val="24"/>
        </w:rPr>
        <w:t xml:space="preserve">Diversification poses a risk for Amcor as moving away from </w:t>
      </w:r>
      <w:r w:rsidR="00063616" w:rsidRPr="00126CFE">
        <w:rPr>
          <w:rFonts w:ascii="Arial" w:hAnsi="Arial" w:cs="Arial"/>
          <w:sz w:val="24"/>
          <w:szCs w:val="24"/>
        </w:rPr>
        <w:t>its</w:t>
      </w:r>
      <w:r w:rsidRPr="00126CFE">
        <w:rPr>
          <w:rFonts w:ascii="Arial" w:hAnsi="Arial" w:cs="Arial"/>
          <w:sz w:val="24"/>
          <w:szCs w:val="24"/>
        </w:rPr>
        <w:t xml:space="preserve"> core competencies in materials science, </w:t>
      </w:r>
      <w:r w:rsidR="00FC7F04" w:rsidRPr="00126CFE">
        <w:rPr>
          <w:rFonts w:ascii="Arial" w:hAnsi="Arial" w:cs="Arial"/>
          <w:sz w:val="24"/>
          <w:szCs w:val="24"/>
        </w:rPr>
        <w:t>packaging engineering and B2B relationships</w:t>
      </w:r>
      <w:r w:rsidR="00EC5FF9" w:rsidRPr="00126CFE">
        <w:rPr>
          <w:rFonts w:ascii="Arial" w:hAnsi="Arial" w:cs="Arial"/>
          <w:sz w:val="24"/>
          <w:szCs w:val="24"/>
        </w:rPr>
        <w:t>.  Prahalad (1990) argues this</w:t>
      </w:r>
      <w:r w:rsidR="00FC7F04" w:rsidRPr="00126CFE">
        <w:rPr>
          <w:rFonts w:ascii="Arial" w:hAnsi="Arial" w:cs="Arial"/>
          <w:sz w:val="24"/>
          <w:szCs w:val="24"/>
        </w:rPr>
        <w:t xml:space="preserve"> could destabilise </w:t>
      </w:r>
      <w:r w:rsidR="00EC5FF9" w:rsidRPr="00126CFE">
        <w:rPr>
          <w:rFonts w:ascii="Arial" w:hAnsi="Arial" w:cs="Arial"/>
          <w:sz w:val="24"/>
          <w:szCs w:val="24"/>
        </w:rPr>
        <w:t xml:space="preserve">the </w:t>
      </w:r>
      <w:r w:rsidR="00FC7F04" w:rsidRPr="00126CFE">
        <w:rPr>
          <w:rFonts w:ascii="Arial" w:hAnsi="Arial" w:cs="Arial"/>
          <w:sz w:val="24"/>
          <w:szCs w:val="24"/>
        </w:rPr>
        <w:t>business by diverting focus and capital to a new area losing focus on the core business</w:t>
      </w:r>
      <w:r w:rsidR="002645AD" w:rsidRPr="00126CFE">
        <w:rPr>
          <w:rFonts w:ascii="Arial" w:hAnsi="Arial" w:cs="Arial"/>
          <w:sz w:val="24"/>
          <w:szCs w:val="24"/>
        </w:rPr>
        <w:t>.</w:t>
      </w:r>
      <w:r w:rsidR="007B6C30" w:rsidRPr="00126CFE">
        <w:rPr>
          <w:rFonts w:ascii="Arial" w:hAnsi="Arial" w:cs="Arial"/>
          <w:sz w:val="24"/>
          <w:szCs w:val="24"/>
        </w:rPr>
        <w:t xml:space="preserve">  Amcor should only consider diversification where it supports the core sustainability and personalisation capabilities.</w:t>
      </w:r>
    </w:p>
    <w:p w14:paraId="12EB5E7F" w14:textId="77777777" w:rsidR="007A57FA" w:rsidRPr="00126CFE" w:rsidRDefault="007A57FA" w:rsidP="004E3307">
      <w:pPr>
        <w:rPr>
          <w:rFonts w:ascii="Arial" w:hAnsi="Arial" w:cs="Arial"/>
          <w:sz w:val="24"/>
          <w:szCs w:val="24"/>
        </w:rPr>
      </w:pPr>
    </w:p>
    <w:p w14:paraId="1604CD0B" w14:textId="200D6AFB" w:rsidR="00403E92" w:rsidRPr="00126CFE" w:rsidRDefault="0038636E" w:rsidP="0038636E">
      <w:pPr>
        <w:jc w:val="both"/>
        <w:rPr>
          <w:rFonts w:ascii="Arial" w:hAnsi="Arial" w:cs="Arial"/>
          <w:sz w:val="24"/>
          <w:szCs w:val="24"/>
        </w:rPr>
      </w:pPr>
      <w:r w:rsidRPr="00126CFE">
        <w:rPr>
          <w:rFonts w:ascii="Arial" w:hAnsi="Arial" w:cs="Arial"/>
          <w:b/>
          <w:bCs/>
          <w:sz w:val="24"/>
          <w:szCs w:val="24"/>
          <w:u w:val="single"/>
        </w:rPr>
        <w:t>Porter’s Generic Strategies: Competitive Positioning</w:t>
      </w:r>
    </w:p>
    <w:p w14:paraId="4B9365AA" w14:textId="691891A1" w:rsidR="00147BF8" w:rsidRPr="00126CFE" w:rsidRDefault="00032BC6" w:rsidP="0038636E">
      <w:pPr>
        <w:jc w:val="both"/>
        <w:rPr>
          <w:rFonts w:ascii="Arial" w:hAnsi="Arial" w:cs="Arial"/>
          <w:sz w:val="24"/>
          <w:szCs w:val="24"/>
        </w:rPr>
      </w:pPr>
      <w:r w:rsidRPr="00126CFE">
        <w:rPr>
          <w:rFonts w:ascii="Arial" w:hAnsi="Arial" w:cs="Arial"/>
          <w:sz w:val="24"/>
          <w:szCs w:val="24"/>
        </w:rPr>
        <w:t>Porter (1985) identified three core strategies: Cost leadership, differentiation and focus.  Modern research confirms relevance to current challenges but require adaptation to include aspects such as di</w:t>
      </w:r>
      <w:r w:rsidR="00147BF8" w:rsidRPr="00126CFE">
        <w:rPr>
          <w:rFonts w:ascii="Arial" w:hAnsi="Arial" w:cs="Arial"/>
          <w:sz w:val="24"/>
          <w:szCs w:val="24"/>
        </w:rPr>
        <w:t>gitalisation and sustainability trends (Grant, 2021).</w:t>
      </w:r>
    </w:p>
    <w:p w14:paraId="1FD1C422" w14:textId="26E7CC73" w:rsidR="0038636E" w:rsidRPr="00126CFE" w:rsidRDefault="00147BF8" w:rsidP="007B6C30">
      <w:pPr>
        <w:rPr>
          <w:rFonts w:ascii="Arial" w:hAnsi="Arial" w:cs="Arial"/>
          <w:sz w:val="24"/>
          <w:szCs w:val="24"/>
        </w:rPr>
      </w:pPr>
      <w:r w:rsidRPr="00126CFE">
        <w:rPr>
          <w:rFonts w:ascii="Arial" w:hAnsi="Arial" w:cs="Arial"/>
          <w:b/>
          <w:bCs/>
          <w:sz w:val="24"/>
          <w:szCs w:val="24"/>
        </w:rPr>
        <w:t xml:space="preserve">Cost Leadership – Limited </w:t>
      </w:r>
      <w:r w:rsidR="00CE373D" w:rsidRPr="00126CFE">
        <w:rPr>
          <w:rFonts w:ascii="Arial" w:hAnsi="Arial" w:cs="Arial"/>
          <w:b/>
          <w:bCs/>
          <w:sz w:val="24"/>
          <w:szCs w:val="24"/>
        </w:rPr>
        <w:t>long-term</w:t>
      </w:r>
      <w:r w:rsidRPr="00126CFE">
        <w:rPr>
          <w:rFonts w:ascii="Arial" w:hAnsi="Arial" w:cs="Arial"/>
          <w:b/>
          <w:bCs/>
          <w:sz w:val="24"/>
          <w:szCs w:val="24"/>
        </w:rPr>
        <w:t xml:space="preserve"> benefit</w:t>
      </w:r>
    </w:p>
    <w:p w14:paraId="0761FAE3" w14:textId="05EADFE4" w:rsidR="00147BF8" w:rsidRPr="00126CFE" w:rsidRDefault="00CE373D" w:rsidP="007B6C30">
      <w:pPr>
        <w:rPr>
          <w:rFonts w:ascii="Arial" w:hAnsi="Arial" w:cs="Arial"/>
          <w:sz w:val="24"/>
          <w:szCs w:val="24"/>
        </w:rPr>
      </w:pPr>
      <w:r w:rsidRPr="00126CFE">
        <w:rPr>
          <w:rFonts w:ascii="Arial" w:hAnsi="Arial" w:cs="Arial"/>
          <w:sz w:val="24"/>
          <w:szCs w:val="24"/>
        </w:rPr>
        <w:t>The scale of which Amcor operates offers multiple cost advantages that appear alongside scale</w:t>
      </w:r>
      <w:r w:rsidR="00C80888" w:rsidRPr="00126CFE">
        <w:rPr>
          <w:rFonts w:ascii="Arial" w:hAnsi="Arial" w:cs="Arial"/>
          <w:sz w:val="24"/>
          <w:szCs w:val="24"/>
        </w:rPr>
        <w:t xml:space="preserve">.  </w:t>
      </w:r>
      <w:r w:rsidR="00417362" w:rsidRPr="00126CFE">
        <w:rPr>
          <w:rFonts w:ascii="Arial" w:hAnsi="Arial" w:cs="Arial"/>
          <w:sz w:val="24"/>
          <w:szCs w:val="24"/>
        </w:rPr>
        <w:t>However,</w:t>
      </w:r>
      <w:r w:rsidR="00C80888" w:rsidRPr="00126CFE">
        <w:rPr>
          <w:rFonts w:ascii="Arial" w:hAnsi="Arial" w:cs="Arial"/>
          <w:sz w:val="24"/>
          <w:szCs w:val="24"/>
        </w:rPr>
        <w:t xml:space="preserve"> several mitigating factors must be considered such as raw material price volatility, competitors in </w:t>
      </w:r>
      <w:r w:rsidR="005444ED" w:rsidRPr="00126CFE">
        <w:rPr>
          <w:rFonts w:ascii="Arial" w:hAnsi="Arial" w:cs="Arial"/>
          <w:sz w:val="24"/>
          <w:szCs w:val="24"/>
        </w:rPr>
        <w:t>low-cost</w:t>
      </w:r>
      <w:r w:rsidR="00C80888" w:rsidRPr="00126CFE">
        <w:rPr>
          <w:rFonts w:ascii="Arial" w:hAnsi="Arial" w:cs="Arial"/>
          <w:sz w:val="24"/>
          <w:szCs w:val="24"/>
        </w:rPr>
        <w:t xml:space="preserve"> regions eroding margin</w:t>
      </w:r>
      <w:r w:rsidR="006D20DC" w:rsidRPr="00126CFE">
        <w:rPr>
          <w:rFonts w:ascii="Arial" w:hAnsi="Arial" w:cs="Arial"/>
          <w:sz w:val="24"/>
          <w:szCs w:val="24"/>
        </w:rPr>
        <w:t xml:space="preserve"> and customers valuing sustainability and innovation alongside price constraints.  This indicates it should be a supporting aspect of the strategy and not the core </w:t>
      </w:r>
      <w:r w:rsidR="00277941" w:rsidRPr="00126CFE">
        <w:rPr>
          <w:rFonts w:ascii="Arial" w:hAnsi="Arial" w:cs="Arial"/>
          <w:sz w:val="24"/>
          <w:szCs w:val="24"/>
        </w:rPr>
        <w:t>position.</w:t>
      </w:r>
    </w:p>
    <w:p w14:paraId="037CEF3B" w14:textId="56934478" w:rsidR="006C632A" w:rsidRPr="00126CFE" w:rsidRDefault="006C632A" w:rsidP="007B6C30">
      <w:pPr>
        <w:rPr>
          <w:rFonts w:ascii="Arial" w:hAnsi="Arial" w:cs="Arial"/>
          <w:b/>
          <w:bCs/>
          <w:sz w:val="24"/>
          <w:szCs w:val="24"/>
        </w:rPr>
      </w:pPr>
    </w:p>
    <w:p w14:paraId="79921B2D" w14:textId="1D85E9B7" w:rsidR="006C632A" w:rsidRPr="00126CFE" w:rsidRDefault="006C632A" w:rsidP="007B6C30">
      <w:pPr>
        <w:rPr>
          <w:rFonts w:ascii="Arial" w:hAnsi="Arial" w:cs="Arial"/>
          <w:b/>
          <w:bCs/>
          <w:sz w:val="24"/>
          <w:szCs w:val="24"/>
        </w:rPr>
      </w:pPr>
      <w:r w:rsidRPr="00126CFE">
        <w:rPr>
          <w:rFonts w:ascii="Arial" w:hAnsi="Arial" w:cs="Arial"/>
          <w:b/>
          <w:bCs/>
          <w:sz w:val="24"/>
          <w:szCs w:val="24"/>
        </w:rPr>
        <w:t xml:space="preserve">Differentiation – Strong </w:t>
      </w:r>
      <w:r w:rsidR="00F36FA4" w:rsidRPr="00126CFE">
        <w:rPr>
          <w:rFonts w:ascii="Arial" w:hAnsi="Arial" w:cs="Arial"/>
          <w:b/>
          <w:bCs/>
          <w:sz w:val="24"/>
          <w:szCs w:val="24"/>
        </w:rPr>
        <w:t>s</w:t>
      </w:r>
      <w:r w:rsidRPr="00126CFE">
        <w:rPr>
          <w:rFonts w:ascii="Arial" w:hAnsi="Arial" w:cs="Arial"/>
          <w:b/>
          <w:bCs/>
          <w:sz w:val="24"/>
          <w:szCs w:val="24"/>
        </w:rPr>
        <w:t xml:space="preserve">trategic </w:t>
      </w:r>
      <w:r w:rsidR="00F36FA4" w:rsidRPr="00126CFE">
        <w:rPr>
          <w:rFonts w:ascii="Arial" w:hAnsi="Arial" w:cs="Arial"/>
          <w:b/>
          <w:bCs/>
          <w:sz w:val="24"/>
          <w:szCs w:val="24"/>
        </w:rPr>
        <w:t>f</w:t>
      </w:r>
      <w:r w:rsidRPr="00126CFE">
        <w:rPr>
          <w:rFonts w:ascii="Arial" w:hAnsi="Arial" w:cs="Arial"/>
          <w:b/>
          <w:bCs/>
          <w:sz w:val="24"/>
          <w:szCs w:val="24"/>
        </w:rPr>
        <w:t>it</w:t>
      </w:r>
    </w:p>
    <w:p w14:paraId="50485403" w14:textId="000EBF56" w:rsidR="00F36FA4" w:rsidRPr="00126CFE" w:rsidRDefault="00F36FA4" w:rsidP="007B6C30">
      <w:pPr>
        <w:rPr>
          <w:rFonts w:ascii="Arial" w:hAnsi="Arial" w:cs="Arial"/>
          <w:sz w:val="24"/>
          <w:szCs w:val="24"/>
        </w:rPr>
      </w:pPr>
      <w:r w:rsidRPr="00126CFE">
        <w:rPr>
          <w:rFonts w:ascii="Arial" w:hAnsi="Arial" w:cs="Arial"/>
          <w:sz w:val="24"/>
          <w:szCs w:val="24"/>
        </w:rPr>
        <w:t>Differentiation in strategy c</w:t>
      </w:r>
      <w:r w:rsidR="00417362" w:rsidRPr="00126CFE">
        <w:rPr>
          <w:rFonts w:ascii="Arial" w:hAnsi="Arial" w:cs="Arial"/>
          <w:sz w:val="24"/>
          <w:szCs w:val="24"/>
        </w:rPr>
        <w:t>ould</w:t>
      </w:r>
      <w:r w:rsidRPr="00126CFE">
        <w:rPr>
          <w:rFonts w:ascii="Arial" w:hAnsi="Arial" w:cs="Arial"/>
          <w:sz w:val="24"/>
          <w:szCs w:val="24"/>
        </w:rPr>
        <w:t xml:space="preserve"> be seen at Amcor </w:t>
      </w:r>
      <w:r w:rsidR="00417362" w:rsidRPr="00126CFE">
        <w:rPr>
          <w:rFonts w:ascii="Arial" w:hAnsi="Arial" w:cs="Arial"/>
          <w:sz w:val="24"/>
          <w:szCs w:val="24"/>
        </w:rPr>
        <w:t>though aspects such as:</w:t>
      </w:r>
    </w:p>
    <w:p w14:paraId="3C5895B0" w14:textId="1E962346" w:rsidR="00417362" w:rsidRPr="00126CFE" w:rsidRDefault="00417362" w:rsidP="00417362">
      <w:pPr>
        <w:pStyle w:val="ListParagraph"/>
        <w:numPr>
          <w:ilvl w:val="0"/>
          <w:numId w:val="12"/>
        </w:numPr>
        <w:rPr>
          <w:rFonts w:ascii="Arial" w:hAnsi="Arial" w:cs="Arial"/>
          <w:sz w:val="24"/>
          <w:szCs w:val="24"/>
        </w:rPr>
      </w:pPr>
      <w:r w:rsidRPr="00126CFE">
        <w:rPr>
          <w:rFonts w:ascii="Arial" w:hAnsi="Arial" w:cs="Arial"/>
          <w:sz w:val="24"/>
          <w:szCs w:val="24"/>
        </w:rPr>
        <w:t>Sustainable materials leadership</w:t>
      </w:r>
    </w:p>
    <w:p w14:paraId="5C3263ED" w14:textId="1425B02C" w:rsidR="00417362" w:rsidRPr="00126CFE" w:rsidRDefault="00417362" w:rsidP="00417362">
      <w:pPr>
        <w:pStyle w:val="ListParagraph"/>
        <w:numPr>
          <w:ilvl w:val="0"/>
          <w:numId w:val="12"/>
        </w:numPr>
        <w:rPr>
          <w:rFonts w:ascii="Arial" w:hAnsi="Arial" w:cs="Arial"/>
          <w:sz w:val="24"/>
          <w:szCs w:val="24"/>
        </w:rPr>
      </w:pPr>
      <w:r w:rsidRPr="00126CFE">
        <w:rPr>
          <w:rFonts w:ascii="Arial" w:hAnsi="Arial" w:cs="Arial"/>
          <w:sz w:val="24"/>
          <w:szCs w:val="24"/>
        </w:rPr>
        <w:t>Customisation of packaging designs</w:t>
      </w:r>
    </w:p>
    <w:p w14:paraId="30460E65" w14:textId="091E6077" w:rsidR="00417362" w:rsidRPr="00126CFE" w:rsidRDefault="00417362" w:rsidP="00417362">
      <w:pPr>
        <w:pStyle w:val="ListParagraph"/>
        <w:numPr>
          <w:ilvl w:val="0"/>
          <w:numId w:val="12"/>
        </w:numPr>
        <w:rPr>
          <w:rFonts w:ascii="Arial" w:hAnsi="Arial" w:cs="Arial"/>
          <w:sz w:val="24"/>
          <w:szCs w:val="24"/>
        </w:rPr>
      </w:pPr>
      <w:r w:rsidRPr="00126CFE">
        <w:rPr>
          <w:rFonts w:ascii="Arial" w:hAnsi="Arial" w:cs="Arial"/>
          <w:sz w:val="24"/>
          <w:szCs w:val="24"/>
        </w:rPr>
        <w:t xml:space="preserve">Superior R&amp;D </w:t>
      </w:r>
      <w:r w:rsidR="005444ED" w:rsidRPr="00126CFE">
        <w:rPr>
          <w:rFonts w:ascii="Arial" w:hAnsi="Arial" w:cs="Arial"/>
          <w:sz w:val="24"/>
          <w:szCs w:val="24"/>
        </w:rPr>
        <w:t>capabilities</w:t>
      </w:r>
      <w:r w:rsidRPr="00126CFE">
        <w:rPr>
          <w:rFonts w:ascii="Arial" w:hAnsi="Arial" w:cs="Arial"/>
          <w:sz w:val="24"/>
          <w:szCs w:val="24"/>
        </w:rPr>
        <w:t xml:space="preserve"> </w:t>
      </w:r>
      <w:r w:rsidR="005D0FA0" w:rsidRPr="00126CFE">
        <w:rPr>
          <w:rFonts w:ascii="Arial" w:hAnsi="Arial" w:cs="Arial"/>
          <w:sz w:val="24"/>
          <w:szCs w:val="24"/>
        </w:rPr>
        <w:t>in comparison to Amcor’s</w:t>
      </w:r>
      <w:r w:rsidRPr="00126CFE">
        <w:rPr>
          <w:rFonts w:ascii="Arial" w:hAnsi="Arial" w:cs="Arial"/>
          <w:sz w:val="24"/>
          <w:szCs w:val="24"/>
        </w:rPr>
        <w:t xml:space="preserve"> competition</w:t>
      </w:r>
    </w:p>
    <w:p w14:paraId="3639761F" w14:textId="5B6BB2B6" w:rsidR="005D0FA0" w:rsidRPr="00126CFE" w:rsidRDefault="005D0FA0" w:rsidP="00417362">
      <w:pPr>
        <w:pStyle w:val="ListParagraph"/>
        <w:numPr>
          <w:ilvl w:val="0"/>
          <w:numId w:val="12"/>
        </w:numPr>
        <w:rPr>
          <w:rFonts w:ascii="Arial" w:hAnsi="Arial" w:cs="Arial"/>
          <w:sz w:val="24"/>
          <w:szCs w:val="24"/>
        </w:rPr>
      </w:pPr>
      <w:r w:rsidRPr="00126CFE">
        <w:rPr>
          <w:rFonts w:ascii="Arial" w:hAnsi="Arial" w:cs="Arial"/>
          <w:sz w:val="24"/>
          <w:szCs w:val="24"/>
        </w:rPr>
        <w:t>Digital modelling tools</w:t>
      </w:r>
    </w:p>
    <w:p w14:paraId="098A9D50" w14:textId="0617D143" w:rsidR="005D0FA0" w:rsidRPr="00126CFE" w:rsidRDefault="005D0FA0" w:rsidP="00417362">
      <w:pPr>
        <w:pStyle w:val="ListParagraph"/>
        <w:numPr>
          <w:ilvl w:val="0"/>
          <w:numId w:val="12"/>
        </w:numPr>
        <w:rPr>
          <w:rFonts w:ascii="Arial" w:hAnsi="Arial" w:cs="Arial"/>
          <w:sz w:val="24"/>
          <w:szCs w:val="24"/>
        </w:rPr>
      </w:pPr>
      <w:r w:rsidRPr="00126CFE">
        <w:rPr>
          <w:rFonts w:ascii="Arial" w:hAnsi="Arial" w:cs="Arial"/>
          <w:sz w:val="24"/>
          <w:szCs w:val="24"/>
        </w:rPr>
        <w:t>Value creation via customer collaboration</w:t>
      </w:r>
    </w:p>
    <w:p w14:paraId="20125EE0" w14:textId="0BCAAC28" w:rsidR="005D0FA0" w:rsidRPr="00126CFE" w:rsidRDefault="00B62EE1" w:rsidP="005D0FA0">
      <w:pPr>
        <w:rPr>
          <w:rFonts w:ascii="Arial" w:hAnsi="Arial" w:cs="Arial"/>
          <w:sz w:val="24"/>
          <w:szCs w:val="24"/>
        </w:rPr>
      </w:pPr>
      <w:r w:rsidRPr="00126CFE">
        <w:rPr>
          <w:rFonts w:ascii="Arial" w:hAnsi="Arial" w:cs="Arial"/>
          <w:sz w:val="24"/>
          <w:szCs w:val="24"/>
        </w:rPr>
        <w:t>These align with the market trends Amcor faces and aligns with existing capabilities</w:t>
      </w:r>
      <w:r w:rsidR="00D96BC1" w:rsidRPr="00126CFE">
        <w:rPr>
          <w:rFonts w:ascii="Arial" w:hAnsi="Arial" w:cs="Arial"/>
          <w:sz w:val="24"/>
          <w:szCs w:val="24"/>
        </w:rPr>
        <w:t>.  Research indicates that differentiation via sustainability creat</w:t>
      </w:r>
      <w:r w:rsidR="00EB2A41" w:rsidRPr="00126CFE">
        <w:rPr>
          <w:rFonts w:ascii="Arial" w:hAnsi="Arial" w:cs="Arial"/>
          <w:sz w:val="24"/>
          <w:szCs w:val="24"/>
        </w:rPr>
        <w:t>es</w:t>
      </w:r>
      <w:r w:rsidR="00D96BC1" w:rsidRPr="00126CFE">
        <w:rPr>
          <w:rFonts w:ascii="Arial" w:hAnsi="Arial" w:cs="Arial"/>
          <w:sz w:val="24"/>
          <w:szCs w:val="24"/>
        </w:rPr>
        <w:t xml:space="preserve"> lasting economic advantages</w:t>
      </w:r>
      <w:r w:rsidR="00561450" w:rsidRPr="00126CFE">
        <w:rPr>
          <w:rFonts w:ascii="Arial" w:hAnsi="Arial" w:cs="Arial"/>
          <w:sz w:val="24"/>
          <w:szCs w:val="24"/>
        </w:rPr>
        <w:t xml:space="preserve"> (Porter et al, 2011)</w:t>
      </w:r>
      <w:r w:rsidR="00D96BC1" w:rsidRPr="00126CFE">
        <w:rPr>
          <w:rFonts w:ascii="Arial" w:hAnsi="Arial" w:cs="Arial"/>
          <w:sz w:val="24"/>
          <w:szCs w:val="24"/>
        </w:rPr>
        <w:t>.  This is a high strategic fit for Amcor and should be the core aspect of the future strategy.</w:t>
      </w:r>
    </w:p>
    <w:p w14:paraId="1F3449B5" w14:textId="77777777" w:rsidR="001C143E" w:rsidRPr="00126CFE" w:rsidRDefault="001C143E" w:rsidP="005D0FA0">
      <w:pPr>
        <w:rPr>
          <w:rFonts w:ascii="Arial" w:hAnsi="Arial" w:cs="Arial"/>
          <w:sz w:val="24"/>
          <w:szCs w:val="24"/>
        </w:rPr>
      </w:pPr>
    </w:p>
    <w:p w14:paraId="72646604" w14:textId="77777777" w:rsidR="001C143E" w:rsidRPr="00126CFE" w:rsidRDefault="001C143E" w:rsidP="005D0FA0">
      <w:pPr>
        <w:rPr>
          <w:rFonts w:ascii="Arial" w:hAnsi="Arial" w:cs="Arial"/>
          <w:sz w:val="24"/>
          <w:szCs w:val="24"/>
        </w:rPr>
      </w:pPr>
    </w:p>
    <w:p w14:paraId="7E56251E" w14:textId="3F02C658" w:rsidR="001C143E" w:rsidRPr="00126CFE" w:rsidRDefault="001C143E" w:rsidP="005D0FA0">
      <w:pPr>
        <w:rPr>
          <w:rFonts w:ascii="Arial" w:hAnsi="Arial" w:cs="Arial"/>
          <w:sz w:val="24"/>
          <w:szCs w:val="24"/>
        </w:rPr>
      </w:pPr>
      <w:r w:rsidRPr="00126CFE">
        <w:rPr>
          <w:rFonts w:ascii="Arial" w:hAnsi="Arial" w:cs="Arial"/>
          <w:b/>
          <w:bCs/>
          <w:sz w:val="24"/>
          <w:szCs w:val="24"/>
        </w:rPr>
        <w:lastRenderedPageBreak/>
        <w:t>Focus Strategies – Niche opportunities</w:t>
      </w:r>
    </w:p>
    <w:p w14:paraId="10443285" w14:textId="005818C1" w:rsidR="001C143E" w:rsidRPr="00126CFE" w:rsidRDefault="008A4E26" w:rsidP="005D0FA0">
      <w:pPr>
        <w:rPr>
          <w:rFonts w:ascii="Arial" w:hAnsi="Arial" w:cs="Arial"/>
          <w:sz w:val="24"/>
          <w:szCs w:val="24"/>
        </w:rPr>
      </w:pPr>
      <w:r w:rsidRPr="00126CFE">
        <w:rPr>
          <w:rFonts w:ascii="Arial" w:hAnsi="Arial" w:cs="Arial"/>
          <w:sz w:val="24"/>
          <w:szCs w:val="24"/>
        </w:rPr>
        <w:t>Focus strategies are relevant to Amcor for:</w:t>
      </w:r>
    </w:p>
    <w:p w14:paraId="5B100C70" w14:textId="7337D63F" w:rsidR="008A4E26" w:rsidRPr="00126CFE" w:rsidRDefault="008A4E26" w:rsidP="008A4E26">
      <w:pPr>
        <w:pStyle w:val="ListParagraph"/>
        <w:numPr>
          <w:ilvl w:val="0"/>
          <w:numId w:val="13"/>
        </w:numPr>
        <w:rPr>
          <w:rFonts w:ascii="Arial" w:hAnsi="Arial" w:cs="Arial"/>
          <w:sz w:val="24"/>
          <w:szCs w:val="24"/>
        </w:rPr>
      </w:pPr>
      <w:r w:rsidRPr="00126CFE">
        <w:rPr>
          <w:rFonts w:ascii="Arial" w:hAnsi="Arial" w:cs="Arial"/>
          <w:sz w:val="24"/>
          <w:szCs w:val="24"/>
        </w:rPr>
        <w:t>High value pharmaceutical packaging</w:t>
      </w:r>
    </w:p>
    <w:p w14:paraId="1FC14351" w14:textId="6E1312CB" w:rsidR="008A4E26" w:rsidRPr="00126CFE" w:rsidRDefault="008A4E26" w:rsidP="008A4E26">
      <w:pPr>
        <w:pStyle w:val="ListParagraph"/>
        <w:numPr>
          <w:ilvl w:val="0"/>
          <w:numId w:val="13"/>
        </w:numPr>
        <w:rPr>
          <w:rFonts w:ascii="Arial" w:hAnsi="Arial" w:cs="Arial"/>
          <w:sz w:val="24"/>
          <w:szCs w:val="24"/>
        </w:rPr>
      </w:pPr>
      <w:r w:rsidRPr="00126CFE">
        <w:rPr>
          <w:rFonts w:ascii="Arial" w:hAnsi="Arial" w:cs="Arial"/>
          <w:sz w:val="24"/>
          <w:szCs w:val="24"/>
        </w:rPr>
        <w:t>Premium segment personalised packaging</w:t>
      </w:r>
    </w:p>
    <w:p w14:paraId="58113FFF" w14:textId="691EA807" w:rsidR="008A4E26" w:rsidRPr="00126CFE" w:rsidRDefault="008A4E26" w:rsidP="008A4E26">
      <w:pPr>
        <w:pStyle w:val="ListParagraph"/>
        <w:numPr>
          <w:ilvl w:val="0"/>
          <w:numId w:val="13"/>
        </w:numPr>
        <w:rPr>
          <w:rFonts w:ascii="Arial" w:hAnsi="Arial" w:cs="Arial"/>
          <w:sz w:val="24"/>
          <w:szCs w:val="24"/>
        </w:rPr>
      </w:pPr>
      <w:r w:rsidRPr="00126CFE">
        <w:rPr>
          <w:rFonts w:ascii="Arial" w:hAnsi="Arial" w:cs="Arial"/>
          <w:sz w:val="24"/>
          <w:szCs w:val="24"/>
        </w:rPr>
        <w:t>Sustainable niche segments such as luxury eco-packaging</w:t>
      </w:r>
    </w:p>
    <w:p w14:paraId="65148D9F" w14:textId="718F1B71" w:rsidR="00132B9C" w:rsidRPr="00126CFE" w:rsidRDefault="00132B9C" w:rsidP="00132B9C">
      <w:pPr>
        <w:rPr>
          <w:rFonts w:ascii="Arial" w:hAnsi="Arial" w:cs="Arial"/>
          <w:sz w:val="24"/>
          <w:szCs w:val="24"/>
        </w:rPr>
      </w:pPr>
      <w:r w:rsidRPr="00126CFE">
        <w:rPr>
          <w:rFonts w:ascii="Arial" w:hAnsi="Arial" w:cs="Arial"/>
          <w:sz w:val="24"/>
          <w:szCs w:val="24"/>
        </w:rPr>
        <w:t>This can be a complementary strategy but not overarching the main strategic direction of the business.</w:t>
      </w:r>
    </w:p>
    <w:p w14:paraId="5C5AF314" w14:textId="55495AC4" w:rsidR="00403E92" w:rsidRPr="00126CFE" w:rsidRDefault="00403E92" w:rsidP="00EE489E">
      <w:pPr>
        <w:rPr>
          <w:rFonts w:ascii="Arial" w:hAnsi="Arial" w:cs="Arial"/>
          <w:b/>
          <w:bCs/>
          <w:sz w:val="24"/>
          <w:szCs w:val="24"/>
          <w:u w:val="single"/>
        </w:rPr>
      </w:pPr>
    </w:p>
    <w:p w14:paraId="02ED4AC6" w14:textId="155732E9" w:rsidR="00B34342" w:rsidRPr="00126CFE" w:rsidRDefault="00B34342" w:rsidP="00EE489E">
      <w:pPr>
        <w:rPr>
          <w:rFonts w:ascii="Arial" w:hAnsi="Arial" w:cs="Arial"/>
          <w:sz w:val="24"/>
          <w:szCs w:val="24"/>
        </w:rPr>
      </w:pPr>
      <w:r w:rsidRPr="00126CFE">
        <w:rPr>
          <w:rFonts w:ascii="Arial" w:hAnsi="Arial" w:cs="Arial"/>
          <w:b/>
          <w:bCs/>
          <w:sz w:val="24"/>
          <w:szCs w:val="24"/>
          <w:u w:val="single"/>
        </w:rPr>
        <w:t xml:space="preserve">Bowmans Strategy Clock: Value Positioning </w:t>
      </w:r>
    </w:p>
    <w:p w14:paraId="7E6B4553" w14:textId="0C50CF5C" w:rsidR="00B34342" w:rsidRPr="00126CFE" w:rsidRDefault="00D6356D" w:rsidP="00EE489E">
      <w:pPr>
        <w:rPr>
          <w:rFonts w:ascii="Arial" w:hAnsi="Arial" w:cs="Arial"/>
          <w:sz w:val="24"/>
          <w:szCs w:val="24"/>
        </w:rPr>
      </w:pPr>
      <w:r w:rsidRPr="00126CFE">
        <w:rPr>
          <w:rFonts w:ascii="Arial" w:hAnsi="Arial" w:cs="Arial"/>
          <w:sz w:val="24"/>
          <w:szCs w:val="24"/>
        </w:rPr>
        <w:t xml:space="preserve">Bowman and Faulkner (1997) provided a more nuanced model vs Porter, which emphasised customer perceived value.  For Amcor two positions are most strategically relevant in </w:t>
      </w:r>
      <w:r w:rsidR="001B44AE" w:rsidRPr="00126CFE">
        <w:rPr>
          <w:rFonts w:ascii="Arial" w:hAnsi="Arial" w:cs="Arial"/>
          <w:sz w:val="24"/>
          <w:szCs w:val="24"/>
        </w:rPr>
        <w:t>these analyses</w:t>
      </w:r>
      <w:r w:rsidRPr="00126CFE">
        <w:rPr>
          <w:rFonts w:ascii="Arial" w:hAnsi="Arial" w:cs="Arial"/>
          <w:sz w:val="24"/>
          <w:szCs w:val="24"/>
        </w:rPr>
        <w:t>:</w:t>
      </w:r>
    </w:p>
    <w:p w14:paraId="3C6A0868" w14:textId="4199CB80" w:rsidR="00D6356D" w:rsidRPr="00126CFE" w:rsidRDefault="00D6356D" w:rsidP="00EE489E">
      <w:pPr>
        <w:rPr>
          <w:rFonts w:ascii="Arial" w:hAnsi="Arial" w:cs="Arial"/>
          <w:sz w:val="24"/>
          <w:szCs w:val="24"/>
        </w:rPr>
      </w:pPr>
      <w:r w:rsidRPr="00126CFE">
        <w:rPr>
          <w:rFonts w:ascii="Arial" w:hAnsi="Arial" w:cs="Arial"/>
          <w:b/>
          <w:bCs/>
          <w:sz w:val="24"/>
          <w:szCs w:val="24"/>
        </w:rPr>
        <w:t>Differentiation (Position 4)</w:t>
      </w:r>
    </w:p>
    <w:p w14:paraId="3766F378" w14:textId="334445B2" w:rsidR="00D6356D" w:rsidRPr="00126CFE" w:rsidRDefault="00D6356D" w:rsidP="00EE489E">
      <w:pPr>
        <w:rPr>
          <w:rFonts w:ascii="Arial" w:hAnsi="Arial" w:cs="Arial"/>
          <w:sz w:val="24"/>
          <w:szCs w:val="24"/>
        </w:rPr>
      </w:pPr>
      <w:r w:rsidRPr="00126CFE">
        <w:rPr>
          <w:rFonts w:ascii="Arial" w:hAnsi="Arial" w:cs="Arial"/>
          <w:sz w:val="24"/>
          <w:szCs w:val="24"/>
        </w:rPr>
        <w:t xml:space="preserve">Differentiation emphasises high perceived value whilst maintaining moderate pricing </w:t>
      </w:r>
      <w:r w:rsidR="001B44AE" w:rsidRPr="00126CFE">
        <w:rPr>
          <w:rFonts w:ascii="Arial" w:hAnsi="Arial" w:cs="Arial"/>
          <w:sz w:val="24"/>
          <w:szCs w:val="24"/>
        </w:rPr>
        <w:t>strategy, For</w:t>
      </w:r>
      <w:r w:rsidRPr="00126CFE">
        <w:rPr>
          <w:rFonts w:ascii="Arial" w:hAnsi="Arial" w:cs="Arial"/>
          <w:sz w:val="24"/>
          <w:szCs w:val="24"/>
        </w:rPr>
        <w:t xml:space="preserve"> Amcor </w:t>
      </w:r>
      <w:r w:rsidR="00A54A8F" w:rsidRPr="00126CFE">
        <w:rPr>
          <w:rFonts w:ascii="Arial" w:hAnsi="Arial" w:cs="Arial"/>
          <w:sz w:val="24"/>
          <w:szCs w:val="24"/>
        </w:rPr>
        <w:t xml:space="preserve">it means working on low-carbon recyclable packaging, collaborative innovation alongside customers, smart packaging features and personalised design platforms.  </w:t>
      </w:r>
      <w:r w:rsidR="003811BB" w:rsidRPr="00126CFE">
        <w:rPr>
          <w:rFonts w:ascii="Arial" w:hAnsi="Arial" w:cs="Arial"/>
          <w:sz w:val="24"/>
          <w:szCs w:val="24"/>
        </w:rPr>
        <w:t>Research shows that B2B customers value suppliers which collaborate for solutions and reduce the total cost of ownership vs purely unit cost</w:t>
      </w:r>
      <w:r w:rsidR="00563FA5" w:rsidRPr="00126CFE">
        <w:rPr>
          <w:rFonts w:ascii="Arial" w:hAnsi="Arial" w:cs="Arial"/>
          <w:sz w:val="24"/>
          <w:szCs w:val="24"/>
        </w:rPr>
        <w:t xml:space="preserve"> (Baxter et al, 2004).</w:t>
      </w:r>
    </w:p>
    <w:p w14:paraId="76DA1954" w14:textId="016A01C6" w:rsidR="00563FA5" w:rsidRPr="00126CFE" w:rsidRDefault="00361390" w:rsidP="00EE489E">
      <w:pPr>
        <w:rPr>
          <w:rFonts w:ascii="Arial" w:hAnsi="Arial" w:cs="Arial"/>
          <w:sz w:val="24"/>
          <w:szCs w:val="24"/>
        </w:rPr>
      </w:pPr>
      <w:r w:rsidRPr="00126CFE">
        <w:rPr>
          <w:rFonts w:ascii="Arial" w:hAnsi="Arial" w:cs="Arial"/>
          <w:b/>
          <w:bCs/>
          <w:sz w:val="24"/>
          <w:szCs w:val="24"/>
        </w:rPr>
        <w:t>Focussed Differentiation (Position 5)</w:t>
      </w:r>
    </w:p>
    <w:p w14:paraId="60FA5A4F" w14:textId="09ED9DEB" w:rsidR="00361390" w:rsidRPr="00126CFE" w:rsidRDefault="00361390" w:rsidP="00EE489E">
      <w:pPr>
        <w:rPr>
          <w:rFonts w:ascii="Arial" w:hAnsi="Arial" w:cs="Arial"/>
          <w:sz w:val="24"/>
          <w:szCs w:val="24"/>
        </w:rPr>
      </w:pPr>
      <w:r w:rsidRPr="00126CFE">
        <w:rPr>
          <w:rFonts w:ascii="Arial" w:hAnsi="Arial" w:cs="Arial"/>
          <w:sz w:val="24"/>
          <w:szCs w:val="24"/>
        </w:rPr>
        <w:t>This value position is especially relevant for Amcor’s premium segments such as Pharmaceuticals, Premium FMCG brands and emerging personalised product lines.  These segments place value on traceability, quality and uniqueness of customer experience.</w:t>
      </w:r>
    </w:p>
    <w:p w14:paraId="77241560" w14:textId="7F07BBCF" w:rsidR="0077286D" w:rsidRPr="00126CFE" w:rsidRDefault="0077286D" w:rsidP="00EE489E">
      <w:pPr>
        <w:rPr>
          <w:rFonts w:ascii="Arial" w:hAnsi="Arial" w:cs="Arial"/>
          <w:sz w:val="24"/>
          <w:szCs w:val="24"/>
        </w:rPr>
      </w:pPr>
      <w:r w:rsidRPr="00126CFE">
        <w:rPr>
          <w:rFonts w:ascii="Arial" w:hAnsi="Arial" w:cs="Arial"/>
          <w:sz w:val="24"/>
          <w:szCs w:val="24"/>
        </w:rPr>
        <w:t xml:space="preserve">Bowmans model reinforces the need for a </w:t>
      </w:r>
      <w:r w:rsidR="00E32A5B" w:rsidRPr="00126CFE">
        <w:rPr>
          <w:rFonts w:ascii="Arial" w:hAnsi="Arial" w:cs="Arial"/>
          <w:sz w:val="24"/>
          <w:szCs w:val="24"/>
        </w:rPr>
        <w:t>differentiation-based</w:t>
      </w:r>
      <w:r w:rsidRPr="00126CFE">
        <w:rPr>
          <w:rFonts w:ascii="Arial" w:hAnsi="Arial" w:cs="Arial"/>
          <w:sz w:val="24"/>
          <w:szCs w:val="24"/>
        </w:rPr>
        <w:t xml:space="preserve"> strategy with emphasis on sustainabi</w:t>
      </w:r>
      <w:r w:rsidR="003D0A53" w:rsidRPr="00126CFE">
        <w:rPr>
          <w:rFonts w:ascii="Arial" w:hAnsi="Arial" w:cs="Arial"/>
          <w:sz w:val="24"/>
          <w:szCs w:val="24"/>
        </w:rPr>
        <w:t>lity, innovation and customer collaboration.</w:t>
      </w:r>
    </w:p>
    <w:p w14:paraId="0D9A217B" w14:textId="77777777" w:rsidR="003D0A53" w:rsidRPr="00126CFE" w:rsidRDefault="003D0A53" w:rsidP="00EE489E">
      <w:pPr>
        <w:rPr>
          <w:rFonts w:ascii="Arial" w:hAnsi="Arial" w:cs="Arial"/>
          <w:sz w:val="24"/>
          <w:szCs w:val="24"/>
        </w:rPr>
      </w:pPr>
    </w:p>
    <w:p w14:paraId="2C8A1129" w14:textId="040FB28B" w:rsidR="003D0A53" w:rsidRPr="00126CFE" w:rsidRDefault="003D0A53" w:rsidP="00EE489E">
      <w:pPr>
        <w:rPr>
          <w:rFonts w:ascii="Arial" w:hAnsi="Arial" w:cs="Arial"/>
          <w:sz w:val="24"/>
          <w:szCs w:val="24"/>
        </w:rPr>
      </w:pPr>
      <w:r w:rsidRPr="00126CFE">
        <w:rPr>
          <w:rFonts w:ascii="Arial" w:hAnsi="Arial" w:cs="Arial"/>
          <w:b/>
          <w:bCs/>
          <w:sz w:val="24"/>
          <w:szCs w:val="24"/>
          <w:u w:val="single"/>
        </w:rPr>
        <w:t>Dynamic Capabilities: Agility and Adaptation</w:t>
      </w:r>
    </w:p>
    <w:p w14:paraId="043579FF" w14:textId="0ACB51E1" w:rsidR="003D0A53" w:rsidRPr="00126CFE" w:rsidRDefault="003D0A53" w:rsidP="00EE489E">
      <w:pPr>
        <w:rPr>
          <w:rFonts w:ascii="Arial" w:hAnsi="Arial" w:cs="Arial"/>
          <w:sz w:val="24"/>
          <w:szCs w:val="24"/>
        </w:rPr>
      </w:pPr>
      <w:r w:rsidRPr="00126CFE">
        <w:rPr>
          <w:rFonts w:ascii="Arial" w:hAnsi="Arial" w:cs="Arial"/>
          <w:sz w:val="24"/>
          <w:szCs w:val="24"/>
        </w:rPr>
        <w:t xml:space="preserve">The dynamic capabilities theory (Teece, 2007) argues that companies must develop the ability to </w:t>
      </w:r>
      <w:r w:rsidR="000D5CEF" w:rsidRPr="00126CFE">
        <w:rPr>
          <w:rFonts w:ascii="Arial" w:hAnsi="Arial" w:cs="Arial"/>
          <w:sz w:val="24"/>
          <w:szCs w:val="24"/>
        </w:rPr>
        <w:t>sense</w:t>
      </w:r>
      <w:r w:rsidR="00E32A5B" w:rsidRPr="00126CFE">
        <w:rPr>
          <w:rFonts w:ascii="Arial" w:hAnsi="Arial" w:cs="Arial"/>
          <w:sz w:val="24"/>
          <w:szCs w:val="24"/>
        </w:rPr>
        <w:t xml:space="preserve"> opportunities, seize them via targeted investment and reconfigure the organisational assets as required.  This framework is particularly relevant to industries such as packaging where it is fast changing and sustainability driven.</w:t>
      </w:r>
    </w:p>
    <w:p w14:paraId="2F0E9489" w14:textId="0C0D3F45" w:rsidR="00E32A5B" w:rsidRPr="00126CFE" w:rsidRDefault="00E32A5B" w:rsidP="00EE489E">
      <w:pPr>
        <w:rPr>
          <w:rFonts w:ascii="Arial" w:hAnsi="Arial" w:cs="Arial"/>
          <w:sz w:val="24"/>
          <w:szCs w:val="24"/>
        </w:rPr>
      </w:pPr>
      <w:r w:rsidRPr="00126CFE">
        <w:rPr>
          <w:rFonts w:ascii="Arial" w:hAnsi="Arial" w:cs="Arial"/>
          <w:b/>
          <w:bCs/>
          <w:sz w:val="24"/>
          <w:szCs w:val="24"/>
        </w:rPr>
        <w:t>Sensing Capabilities</w:t>
      </w:r>
    </w:p>
    <w:p w14:paraId="61AF7E50" w14:textId="4250F810" w:rsidR="000D5CEF" w:rsidRPr="00126CFE" w:rsidRDefault="000D5CEF" w:rsidP="00EE489E">
      <w:pPr>
        <w:rPr>
          <w:rFonts w:ascii="Arial" w:hAnsi="Arial" w:cs="Arial"/>
          <w:sz w:val="24"/>
          <w:szCs w:val="24"/>
        </w:rPr>
      </w:pPr>
      <w:r w:rsidRPr="00126CFE">
        <w:rPr>
          <w:rFonts w:ascii="Arial" w:hAnsi="Arial" w:cs="Arial"/>
          <w:sz w:val="24"/>
          <w:szCs w:val="24"/>
        </w:rPr>
        <w:t xml:space="preserve">Amcor must partake in environmental scanning and predictive analyses.  This fives the ability to detect potential regulatory changes, sustainability driven demand changes, emerging technologies and customer preferences for customisation.  </w:t>
      </w:r>
    </w:p>
    <w:p w14:paraId="21648F1C" w14:textId="77777777" w:rsidR="007F42AA" w:rsidRPr="00126CFE" w:rsidRDefault="007F42AA" w:rsidP="00EE489E">
      <w:pPr>
        <w:rPr>
          <w:rFonts w:ascii="Arial" w:hAnsi="Arial" w:cs="Arial"/>
          <w:sz w:val="24"/>
          <w:szCs w:val="24"/>
        </w:rPr>
      </w:pPr>
    </w:p>
    <w:p w14:paraId="58A5263B" w14:textId="6EE01381" w:rsidR="00B96A42" w:rsidRPr="00126CFE" w:rsidRDefault="00AE03BD" w:rsidP="00EE489E">
      <w:pPr>
        <w:rPr>
          <w:rFonts w:ascii="Arial" w:hAnsi="Arial" w:cs="Arial"/>
          <w:sz w:val="24"/>
          <w:szCs w:val="24"/>
        </w:rPr>
      </w:pPr>
      <w:r w:rsidRPr="00126CFE">
        <w:rPr>
          <w:rFonts w:ascii="Arial" w:hAnsi="Arial" w:cs="Arial"/>
          <w:sz w:val="24"/>
          <w:szCs w:val="24"/>
        </w:rPr>
        <w:lastRenderedPageBreak/>
        <w:t>Sensing</w:t>
      </w:r>
      <w:r w:rsidR="00B96A42" w:rsidRPr="00126CFE">
        <w:rPr>
          <w:rFonts w:ascii="Arial" w:hAnsi="Arial" w:cs="Arial"/>
          <w:sz w:val="24"/>
          <w:szCs w:val="24"/>
        </w:rPr>
        <w:t xml:space="preserve"> capabilities are essential to gain early innovation advantage over the competition</w:t>
      </w:r>
      <w:r w:rsidR="006B359E" w:rsidRPr="00126CFE">
        <w:rPr>
          <w:rFonts w:ascii="Arial" w:hAnsi="Arial" w:cs="Arial"/>
          <w:sz w:val="24"/>
          <w:szCs w:val="24"/>
        </w:rPr>
        <w:t xml:space="preserve"> via first mover </w:t>
      </w:r>
      <w:r w:rsidR="0038630C" w:rsidRPr="00126CFE">
        <w:rPr>
          <w:rFonts w:ascii="Arial" w:hAnsi="Arial" w:cs="Arial"/>
          <w:sz w:val="24"/>
          <w:szCs w:val="24"/>
        </w:rPr>
        <w:t>benefits (Teece, 2018)</w:t>
      </w:r>
      <w:r w:rsidR="00B96A42" w:rsidRPr="00126CFE">
        <w:rPr>
          <w:rFonts w:ascii="Arial" w:hAnsi="Arial" w:cs="Arial"/>
          <w:sz w:val="24"/>
          <w:szCs w:val="24"/>
        </w:rPr>
        <w:t>.</w:t>
      </w:r>
    </w:p>
    <w:p w14:paraId="57AE3093" w14:textId="77777777" w:rsidR="007F42AA" w:rsidRPr="00126CFE" w:rsidRDefault="007F42AA" w:rsidP="00EE489E">
      <w:pPr>
        <w:rPr>
          <w:rFonts w:ascii="Arial" w:hAnsi="Arial" w:cs="Arial"/>
          <w:sz w:val="24"/>
          <w:szCs w:val="24"/>
        </w:rPr>
      </w:pPr>
    </w:p>
    <w:p w14:paraId="66A8FA31" w14:textId="762EBB50" w:rsidR="007F42AA" w:rsidRPr="00126CFE" w:rsidRDefault="007F42AA" w:rsidP="00EE489E">
      <w:pPr>
        <w:rPr>
          <w:rFonts w:ascii="Arial" w:hAnsi="Arial" w:cs="Arial"/>
          <w:sz w:val="24"/>
          <w:szCs w:val="24"/>
        </w:rPr>
      </w:pPr>
      <w:r w:rsidRPr="00126CFE">
        <w:rPr>
          <w:rFonts w:ascii="Arial" w:hAnsi="Arial" w:cs="Arial"/>
          <w:b/>
          <w:bCs/>
          <w:sz w:val="24"/>
          <w:szCs w:val="24"/>
        </w:rPr>
        <w:t>Seizing Capabilities</w:t>
      </w:r>
    </w:p>
    <w:p w14:paraId="77FD23EF" w14:textId="42737DDA" w:rsidR="007F42AA" w:rsidRPr="00126CFE" w:rsidRDefault="007F42AA" w:rsidP="00EE489E">
      <w:pPr>
        <w:rPr>
          <w:rFonts w:ascii="Arial" w:hAnsi="Arial" w:cs="Arial"/>
          <w:sz w:val="24"/>
          <w:szCs w:val="24"/>
        </w:rPr>
      </w:pPr>
      <w:r w:rsidRPr="00126CFE">
        <w:rPr>
          <w:rFonts w:ascii="Arial" w:hAnsi="Arial" w:cs="Arial"/>
          <w:sz w:val="24"/>
          <w:szCs w:val="24"/>
        </w:rPr>
        <w:t>For Amcor to benefit from seizing capabilities it must target specific investment in materials innovation hubs, digital customer platforms, circular economy partnerships and personalised packaging technologies.  This shows the requirement for flexible resource allocation</w:t>
      </w:r>
      <w:r w:rsidR="0071474E" w:rsidRPr="00126CFE">
        <w:rPr>
          <w:rFonts w:ascii="Arial" w:hAnsi="Arial" w:cs="Arial"/>
          <w:sz w:val="24"/>
          <w:szCs w:val="24"/>
        </w:rPr>
        <w:t xml:space="preserve"> giving cross functionality and agility in governance.</w:t>
      </w:r>
    </w:p>
    <w:p w14:paraId="7017B7C2" w14:textId="633B6ACC" w:rsidR="0071474E" w:rsidRPr="00126CFE" w:rsidRDefault="0071474E" w:rsidP="00EE489E">
      <w:pPr>
        <w:rPr>
          <w:rFonts w:ascii="Arial" w:hAnsi="Arial" w:cs="Arial"/>
          <w:sz w:val="24"/>
          <w:szCs w:val="24"/>
        </w:rPr>
      </w:pPr>
      <w:r w:rsidRPr="00126CFE">
        <w:rPr>
          <w:rFonts w:ascii="Arial" w:hAnsi="Arial" w:cs="Arial"/>
          <w:b/>
          <w:bCs/>
          <w:sz w:val="24"/>
          <w:szCs w:val="24"/>
        </w:rPr>
        <w:t>Reconfiguring Capabilities</w:t>
      </w:r>
    </w:p>
    <w:p w14:paraId="0AA87849" w14:textId="32127C30" w:rsidR="00FF2163" w:rsidRPr="00126CFE" w:rsidRDefault="0071474E" w:rsidP="00EE489E">
      <w:pPr>
        <w:rPr>
          <w:rFonts w:ascii="Arial" w:hAnsi="Arial" w:cs="Arial"/>
          <w:sz w:val="24"/>
          <w:szCs w:val="24"/>
        </w:rPr>
      </w:pPr>
      <w:r w:rsidRPr="00126CFE">
        <w:rPr>
          <w:rFonts w:ascii="Arial" w:hAnsi="Arial" w:cs="Arial"/>
          <w:sz w:val="24"/>
          <w:szCs w:val="24"/>
        </w:rPr>
        <w:t>Reconfigur</w:t>
      </w:r>
      <w:r w:rsidR="007F6C15" w:rsidRPr="00126CFE">
        <w:rPr>
          <w:rFonts w:ascii="Arial" w:hAnsi="Arial" w:cs="Arial"/>
          <w:sz w:val="24"/>
          <w:szCs w:val="24"/>
        </w:rPr>
        <w:t xml:space="preserve">ation for Amcor would require restricting the organisational set-up for agility, integration of digital tools for industry 4.0 </w:t>
      </w:r>
      <w:r w:rsidR="00FF2163" w:rsidRPr="00126CFE">
        <w:rPr>
          <w:rFonts w:ascii="Arial" w:hAnsi="Arial" w:cs="Arial"/>
          <w:sz w:val="24"/>
          <w:szCs w:val="24"/>
        </w:rPr>
        <w:t>into operations</w:t>
      </w:r>
      <w:r w:rsidR="00A6411B" w:rsidRPr="00126CFE">
        <w:rPr>
          <w:rFonts w:ascii="Arial" w:hAnsi="Arial" w:cs="Arial"/>
          <w:sz w:val="24"/>
          <w:szCs w:val="24"/>
        </w:rPr>
        <w:t xml:space="preserve"> (Hermann et al, 2016)</w:t>
      </w:r>
      <w:r w:rsidR="00FF2163" w:rsidRPr="00126CFE">
        <w:rPr>
          <w:rFonts w:ascii="Arial" w:hAnsi="Arial" w:cs="Arial"/>
          <w:sz w:val="24"/>
          <w:szCs w:val="24"/>
        </w:rPr>
        <w:t xml:space="preserve">, cultural change towards experimentation and upskilling of the existing </w:t>
      </w:r>
      <w:r w:rsidR="00D83967" w:rsidRPr="00126CFE">
        <w:rPr>
          <w:rFonts w:ascii="Arial" w:hAnsi="Arial" w:cs="Arial"/>
          <w:sz w:val="24"/>
          <w:szCs w:val="24"/>
        </w:rPr>
        <w:t>workforce</w:t>
      </w:r>
      <w:r w:rsidR="00FF2163" w:rsidRPr="00126CFE">
        <w:rPr>
          <w:rFonts w:ascii="Arial" w:hAnsi="Arial" w:cs="Arial"/>
          <w:sz w:val="24"/>
          <w:szCs w:val="24"/>
        </w:rPr>
        <w:t xml:space="preserve"> to data analyses to drive customer centric designs.</w:t>
      </w:r>
    </w:p>
    <w:p w14:paraId="438FF2AC" w14:textId="77777777" w:rsidR="00403E92" w:rsidRPr="00126CFE" w:rsidRDefault="00403E92" w:rsidP="00513DA1">
      <w:pPr>
        <w:rPr>
          <w:rFonts w:ascii="Arial" w:hAnsi="Arial" w:cs="Arial"/>
          <w:b/>
          <w:bCs/>
          <w:sz w:val="24"/>
          <w:szCs w:val="24"/>
          <w:u w:val="single"/>
        </w:rPr>
      </w:pPr>
    </w:p>
    <w:p w14:paraId="3605B475" w14:textId="141B1C02" w:rsidR="00513DA1" w:rsidRPr="00126CFE" w:rsidRDefault="00513DA1" w:rsidP="00513DA1">
      <w:pPr>
        <w:pStyle w:val="ListParagraph"/>
        <w:numPr>
          <w:ilvl w:val="0"/>
          <w:numId w:val="2"/>
        </w:numPr>
        <w:jc w:val="center"/>
        <w:rPr>
          <w:rFonts w:ascii="Arial" w:hAnsi="Arial" w:cs="Arial"/>
          <w:sz w:val="24"/>
          <w:szCs w:val="24"/>
        </w:rPr>
      </w:pPr>
      <w:r w:rsidRPr="00126CFE">
        <w:rPr>
          <w:rFonts w:ascii="Arial" w:hAnsi="Arial" w:cs="Arial"/>
          <w:b/>
          <w:bCs/>
          <w:sz w:val="24"/>
          <w:szCs w:val="24"/>
          <w:u w:val="single"/>
        </w:rPr>
        <w:t>Evaluation of Options</w:t>
      </w:r>
    </w:p>
    <w:p w14:paraId="0F71DC2B" w14:textId="41308029" w:rsidR="00513DA1" w:rsidRPr="00126CFE" w:rsidRDefault="00513DA1" w:rsidP="00513DA1">
      <w:pPr>
        <w:rPr>
          <w:rFonts w:ascii="Arial" w:hAnsi="Arial" w:cs="Arial"/>
          <w:sz w:val="24"/>
          <w:szCs w:val="24"/>
        </w:rPr>
      </w:pPr>
      <w:r w:rsidRPr="00126CFE">
        <w:rPr>
          <w:rFonts w:ascii="Arial" w:hAnsi="Arial" w:cs="Arial"/>
          <w:b/>
          <w:bCs/>
          <w:sz w:val="24"/>
          <w:szCs w:val="24"/>
        </w:rPr>
        <w:t>Strategic Option 1</w:t>
      </w:r>
      <w:r w:rsidR="005E4B17">
        <w:rPr>
          <w:rFonts w:ascii="Arial" w:hAnsi="Arial" w:cs="Arial"/>
          <w:b/>
          <w:bCs/>
          <w:sz w:val="24"/>
          <w:szCs w:val="24"/>
        </w:rPr>
        <w:t xml:space="preserve"> -</w:t>
      </w:r>
      <w:r w:rsidRPr="00126CFE">
        <w:rPr>
          <w:rFonts w:ascii="Arial" w:hAnsi="Arial" w:cs="Arial"/>
          <w:b/>
          <w:bCs/>
          <w:sz w:val="24"/>
          <w:szCs w:val="24"/>
        </w:rPr>
        <w:t xml:space="preserve"> Sustainable Innovation Leadership</w:t>
      </w:r>
    </w:p>
    <w:p w14:paraId="5EA459DB" w14:textId="32AD786F" w:rsidR="00513DA1" w:rsidRPr="00126CFE" w:rsidRDefault="00720C80" w:rsidP="00513DA1">
      <w:pPr>
        <w:rPr>
          <w:rFonts w:ascii="Arial" w:hAnsi="Arial" w:cs="Arial"/>
          <w:sz w:val="24"/>
          <w:szCs w:val="24"/>
        </w:rPr>
      </w:pPr>
      <w:r w:rsidRPr="00126CFE">
        <w:rPr>
          <w:rFonts w:ascii="Arial" w:hAnsi="Arial" w:cs="Arial"/>
          <w:sz w:val="24"/>
          <w:szCs w:val="24"/>
        </w:rPr>
        <w:t>This strategic is focussed on positioning Amcor as the leading global provider of sustainable, circular and low-carbon packaging.</w:t>
      </w:r>
    </w:p>
    <w:p w14:paraId="5235284A" w14:textId="73BFD81C" w:rsidR="00513DA1" w:rsidRPr="00126CFE" w:rsidRDefault="00720C80" w:rsidP="00513DA1">
      <w:pPr>
        <w:rPr>
          <w:rFonts w:ascii="Arial" w:hAnsi="Arial" w:cs="Arial"/>
          <w:sz w:val="24"/>
          <w:szCs w:val="24"/>
        </w:rPr>
      </w:pPr>
      <w:r w:rsidRPr="00126CFE">
        <w:rPr>
          <w:rFonts w:ascii="Arial" w:hAnsi="Arial" w:cs="Arial"/>
          <w:sz w:val="24"/>
          <w:szCs w:val="24"/>
        </w:rPr>
        <w:t>Key components:</w:t>
      </w:r>
    </w:p>
    <w:p w14:paraId="2A5D70EF" w14:textId="6A68859B" w:rsidR="00720C80" w:rsidRDefault="00720C80" w:rsidP="00720C80">
      <w:pPr>
        <w:pStyle w:val="ListParagraph"/>
        <w:numPr>
          <w:ilvl w:val="0"/>
          <w:numId w:val="14"/>
        </w:numPr>
        <w:rPr>
          <w:rFonts w:ascii="Arial" w:hAnsi="Arial" w:cs="Arial"/>
          <w:sz w:val="24"/>
          <w:szCs w:val="24"/>
        </w:rPr>
      </w:pPr>
      <w:r w:rsidRPr="00126CFE">
        <w:rPr>
          <w:rFonts w:ascii="Arial" w:hAnsi="Arial" w:cs="Arial"/>
          <w:sz w:val="24"/>
          <w:szCs w:val="24"/>
        </w:rPr>
        <w:t>Accelerated R&amp;D in recyclable mono-materials</w:t>
      </w:r>
    </w:p>
    <w:p w14:paraId="2EA4633D" w14:textId="6CF064BD" w:rsidR="00126CFE" w:rsidRDefault="00126CFE" w:rsidP="00720C80">
      <w:pPr>
        <w:pStyle w:val="ListParagraph"/>
        <w:numPr>
          <w:ilvl w:val="0"/>
          <w:numId w:val="14"/>
        </w:numPr>
        <w:rPr>
          <w:rFonts w:ascii="Arial" w:hAnsi="Arial" w:cs="Arial"/>
          <w:sz w:val="24"/>
          <w:szCs w:val="24"/>
        </w:rPr>
      </w:pPr>
      <w:r>
        <w:rPr>
          <w:rFonts w:ascii="Arial" w:hAnsi="Arial" w:cs="Arial"/>
          <w:sz w:val="24"/>
          <w:szCs w:val="24"/>
        </w:rPr>
        <w:t>Investment in advanced mechanical and chemical recycling partnerships</w:t>
      </w:r>
    </w:p>
    <w:p w14:paraId="3565F248" w14:textId="5F43AADF" w:rsidR="00126CFE" w:rsidRDefault="00126CFE" w:rsidP="00720C80">
      <w:pPr>
        <w:pStyle w:val="ListParagraph"/>
        <w:numPr>
          <w:ilvl w:val="0"/>
          <w:numId w:val="14"/>
        </w:numPr>
        <w:rPr>
          <w:rFonts w:ascii="Arial" w:hAnsi="Arial" w:cs="Arial"/>
          <w:sz w:val="24"/>
          <w:szCs w:val="24"/>
        </w:rPr>
      </w:pPr>
      <w:r>
        <w:rPr>
          <w:rFonts w:ascii="Arial" w:hAnsi="Arial" w:cs="Arial"/>
          <w:sz w:val="24"/>
          <w:szCs w:val="24"/>
        </w:rPr>
        <w:t xml:space="preserve">Expansion of compostable and </w:t>
      </w:r>
      <w:r w:rsidR="008F712E">
        <w:rPr>
          <w:rFonts w:ascii="Arial" w:hAnsi="Arial" w:cs="Arial"/>
          <w:sz w:val="24"/>
          <w:szCs w:val="24"/>
        </w:rPr>
        <w:t>bio-based</w:t>
      </w:r>
      <w:r>
        <w:rPr>
          <w:rFonts w:ascii="Arial" w:hAnsi="Arial" w:cs="Arial"/>
          <w:sz w:val="24"/>
          <w:szCs w:val="24"/>
        </w:rPr>
        <w:t xml:space="preserve"> product lines</w:t>
      </w:r>
    </w:p>
    <w:p w14:paraId="011450EF" w14:textId="6072BD99" w:rsidR="00126CFE" w:rsidRDefault="00126CFE" w:rsidP="00720C80">
      <w:pPr>
        <w:pStyle w:val="ListParagraph"/>
        <w:numPr>
          <w:ilvl w:val="0"/>
          <w:numId w:val="14"/>
        </w:numPr>
        <w:rPr>
          <w:rFonts w:ascii="Arial" w:hAnsi="Arial" w:cs="Arial"/>
          <w:sz w:val="24"/>
          <w:szCs w:val="24"/>
        </w:rPr>
      </w:pPr>
      <w:r>
        <w:rPr>
          <w:rFonts w:ascii="Arial" w:hAnsi="Arial" w:cs="Arial"/>
          <w:sz w:val="24"/>
          <w:szCs w:val="24"/>
        </w:rPr>
        <w:t xml:space="preserve">Lifecycle </w:t>
      </w:r>
      <w:r w:rsidR="00214C69">
        <w:rPr>
          <w:rFonts w:ascii="Arial" w:hAnsi="Arial" w:cs="Arial"/>
          <w:sz w:val="24"/>
          <w:szCs w:val="24"/>
        </w:rPr>
        <w:t>carbon modelling ability for customers</w:t>
      </w:r>
    </w:p>
    <w:p w14:paraId="3B2E5AEC" w14:textId="60C99EE2" w:rsidR="00214C69" w:rsidRDefault="00214C69" w:rsidP="00720C80">
      <w:pPr>
        <w:pStyle w:val="ListParagraph"/>
        <w:numPr>
          <w:ilvl w:val="0"/>
          <w:numId w:val="14"/>
        </w:numPr>
        <w:rPr>
          <w:rFonts w:ascii="Arial" w:hAnsi="Arial" w:cs="Arial"/>
          <w:sz w:val="24"/>
          <w:szCs w:val="24"/>
        </w:rPr>
      </w:pPr>
      <w:r>
        <w:rPr>
          <w:rFonts w:ascii="Arial" w:hAnsi="Arial" w:cs="Arial"/>
          <w:sz w:val="24"/>
          <w:szCs w:val="24"/>
        </w:rPr>
        <w:t xml:space="preserve">Supplier collaboration to secure recycled feedstock </w:t>
      </w:r>
    </w:p>
    <w:p w14:paraId="27BBD064" w14:textId="45BE0EAA" w:rsidR="00214C69" w:rsidRDefault="00214C69" w:rsidP="00214C69">
      <w:pPr>
        <w:rPr>
          <w:rFonts w:ascii="Arial" w:hAnsi="Arial" w:cs="Arial"/>
          <w:sz w:val="24"/>
          <w:szCs w:val="24"/>
        </w:rPr>
      </w:pPr>
      <w:r>
        <w:rPr>
          <w:rFonts w:ascii="Arial" w:hAnsi="Arial" w:cs="Arial"/>
          <w:sz w:val="24"/>
          <w:szCs w:val="24"/>
        </w:rPr>
        <w:t>Advantages:</w:t>
      </w:r>
    </w:p>
    <w:p w14:paraId="2B7B3511" w14:textId="451E0E7B" w:rsidR="00214C69" w:rsidRDefault="00214C69" w:rsidP="00214C69">
      <w:pPr>
        <w:pStyle w:val="ListParagraph"/>
        <w:numPr>
          <w:ilvl w:val="0"/>
          <w:numId w:val="15"/>
        </w:numPr>
        <w:rPr>
          <w:rFonts w:ascii="Arial" w:hAnsi="Arial" w:cs="Arial"/>
          <w:sz w:val="24"/>
          <w:szCs w:val="24"/>
        </w:rPr>
      </w:pPr>
      <w:r>
        <w:rPr>
          <w:rFonts w:ascii="Arial" w:hAnsi="Arial" w:cs="Arial"/>
          <w:sz w:val="24"/>
          <w:szCs w:val="24"/>
        </w:rPr>
        <w:t>Strong alignment with current regulatory and consumer trends</w:t>
      </w:r>
    </w:p>
    <w:p w14:paraId="03CEED51" w14:textId="0BC5AAB2" w:rsidR="00214C69" w:rsidRDefault="00214C69" w:rsidP="00214C69">
      <w:pPr>
        <w:pStyle w:val="ListParagraph"/>
        <w:numPr>
          <w:ilvl w:val="0"/>
          <w:numId w:val="15"/>
        </w:numPr>
        <w:rPr>
          <w:rFonts w:ascii="Arial" w:hAnsi="Arial" w:cs="Arial"/>
          <w:sz w:val="24"/>
          <w:szCs w:val="24"/>
        </w:rPr>
      </w:pPr>
      <w:r>
        <w:rPr>
          <w:rFonts w:ascii="Arial" w:hAnsi="Arial" w:cs="Arial"/>
          <w:sz w:val="24"/>
          <w:szCs w:val="24"/>
        </w:rPr>
        <w:t>Builds upon Amcor’s existing strength in R&amp;D</w:t>
      </w:r>
    </w:p>
    <w:p w14:paraId="55B31576" w14:textId="4D1026B0" w:rsidR="00214C69" w:rsidRDefault="00214C69" w:rsidP="00214C69">
      <w:pPr>
        <w:pStyle w:val="ListParagraph"/>
        <w:numPr>
          <w:ilvl w:val="0"/>
          <w:numId w:val="15"/>
        </w:numPr>
        <w:rPr>
          <w:rFonts w:ascii="Arial" w:hAnsi="Arial" w:cs="Arial"/>
          <w:sz w:val="24"/>
          <w:szCs w:val="24"/>
        </w:rPr>
      </w:pPr>
      <w:r>
        <w:rPr>
          <w:rFonts w:ascii="Arial" w:hAnsi="Arial" w:cs="Arial"/>
          <w:sz w:val="24"/>
          <w:szCs w:val="24"/>
        </w:rPr>
        <w:t xml:space="preserve">Creation of long-term differentiation </w:t>
      </w:r>
      <w:r w:rsidR="00AE18AB">
        <w:rPr>
          <w:rFonts w:ascii="Arial" w:hAnsi="Arial" w:cs="Arial"/>
          <w:sz w:val="24"/>
          <w:szCs w:val="24"/>
        </w:rPr>
        <w:t>for major customers</w:t>
      </w:r>
    </w:p>
    <w:p w14:paraId="121AD4CA" w14:textId="1E093B6E" w:rsidR="00AE18AB" w:rsidRDefault="00AE18AB" w:rsidP="00214C69">
      <w:pPr>
        <w:pStyle w:val="ListParagraph"/>
        <w:numPr>
          <w:ilvl w:val="0"/>
          <w:numId w:val="15"/>
        </w:numPr>
        <w:rPr>
          <w:rFonts w:ascii="Arial" w:hAnsi="Arial" w:cs="Arial"/>
          <w:sz w:val="24"/>
          <w:szCs w:val="24"/>
        </w:rPr>
      </w:pPr>
      <w:r>
        <w:rPr>
          <w:rFonts w:ascii="Arial" w:hAnsi="Arial" w:cs="Arial"/>
          <w:sz w:val="24"/>
          <w:szCs w:val="24"/>
        </w:rPr>
        <w:t>Reduction in risk of substitution by paper, glass and other reusable models</w:t>
      </w:r>
    </w:p>
    <w:p w14:paraId="6FBF4A7A" w14:textId="35D58C72" w:rsidR="008F712E" w:rsidRDefault="008F712E" w:rsidP="008F712E">
      <w:pPr>
        <w:rPr>
          <w:rFonts w:ascii="Arial" w:hAnsi="Arial" w:cs="Arial"/>
          <w:sz w:val="24"/>
          <w:szCs w:val="24"/>
        </w:rPr>
      </w:pPr>
      <w:r>
        <w:rPr>
          <w:rFonts w:ascii="Arial" w:hAnsi="Arial" w:cs="Arial"/>
          <w:sz w:val="24"/>
          <w:szCs w:val="24"/>
        </w:rPr>
        <w:t>Disadvantages:</w:t>
      </w:r>
    </w:p>
    <w:p w14:paraId="483505C0" w14:textId="263BC39B" w:rsidR="008F712E" w:rsidRDefault="008F712E" w:rsidP="008F712E">
      <w:pPr>
        <w:pStyle w:val="ListParagraph"/>
        <w:numPr>
          <w:ilvl w:val="0"/>
          <w:numId w:val="16"/>
        </w:numPr>
        <w:rPr>
          <w:rFonts w:ascii="Arial" w:hAnsi="Arial" w:cs="Arial"/>
          <w:sz w:val="24"/>
          <w:szCs w:val="24"/>
        </w:rPr>
      </w:pPr>
      <w:r>
        <w:rPr>
          <w:rFonts w:ascii="Arial" w:hAnsi="Arial" w:cs="Arial"/>
          <w:sz w:val="24"/>
          <w:szCs w:val="24"/>
        </w:rPr>
        <w:t xml:space="preserve">High investment costs </w:t>
      </w:r>
      <w:r w:rsidR="005544B4">
        <w:rPr>
          <w:rFonts w:ascii="Arial" w:hAnsi="Arial" w:cs="Arial"/>
          <w:sz w:val="24"/>
          <w:szCs w:val="24"/>
        </w:rPr>
        <w:t>in innovation and potential asset changes</w:t>
      </w:r>
    </w:p>
    <w:p w14:paraId="6DB65FC6" w14:textId="6797BD72" w:rsidR="005544B4" w:rsidRDefault="005544B4" w:rsidP="008F712E">
      <w:pPr>
        <w:pStyle w:val="ListParagraph"/>
        <w:numPr>
          <w:ilvl w:val="0"/>
          <w:numId w:val="16"/>
        </w:numPr>
        <w:rPr>
          <w:rFonts w:ascii="Arial" w:hAnsi="Arial" w:cs="Arial"/>
          <w:sz w:val="24"/>
          <w:szCs w:val="24"/>
        </w:rPr>
      </w:pPr>
      <w:r>
        <w:rPr>
          <w:rFonts w:ascii="Arial" w:hAnsi="Arial" w:cs="Arial"/>
          <w:sz w:val="24"/>
          <w:szCs w:val="24"/>
        </w:rPr>
        <w:t>Long development cycles for product creating</w:t>
      </w:r>
    </w:p>
    <w:p w14:paraId="4A21D8FC" w14:textId="1CFD68C9" w:rsidR="005544B4" w:rsidRDefault="005544B4" w:rsidP="008F712E">
      <w:pPr>
        <w:pStyle w:val="ListParagraph"/>
        <w:numPr>
          <w:ilvl w:val="0"/>
          <w:numId w:val="16"/>
        </w:numPr>
        <w:rPr>
          <w:rFonts w:ascii="Arial" w:hAnsi="Arial" w:cs="Arial"/>
          <w:sz w:val="24"/>
          <w:szCs w:val="24"/>
        </w:rPr>
      </w:pPr>
      <w:r>
        <w:rPr>
          <w:rFonts w:ascii="Arial" w:hAnsi="Arial" w:cs="Arial"/>
          <w:sz w:val="24"/>
          <w:szCs w:val="24"/>
        </w:rPr>
        <w:t>Requires cross industry partnerships creating dependency risks</w:t>
      </w:r>
    </w:p>
    <w:p w14:paraId="47FD1043" w14:textId="77777777" w:rsidR="005544B4" w:rsidRDefault="005544B4" w:rsidP="005544B4">
      <w:pPr>
        <w:rPr>
          <w:rFonts w:ascii="Arial" w:hAnsi="Arial" w:cs="Arial"/>
          <w:sz w:val="24"/>
          <w:szCs w:val="24"/>
        </w:rPr>
      </w:pPr>
    </w:p>
    <w:p w14:paraId="6E320BCA" w14:textId="77777777" w:rsidR="005544B4" w:rsidRDefault="005544B4" w:rsidP="005544B4">
      <w:pPr>
        <w:rPr>
          <w:rFonts w:ascii="Arial" w:hAnsi="Arial" w:cs="Arial"/>
          <w:b/>
          <w:bCs/>
          <w:sz w:val="24"/>
          <w:szCs w:val="24"/>
        </w:rPr>
      </w:pPr>
    </w:p>
    <w:p w14:paraId="102D1B24" w14:textId="77777777" w:rsidR="005544B4" w:rsidRDefault="005544B4" w:rsidP="005544B4">
      <w:pPr>
        <w:rPr>
          <w:rFonts w:ascii="Arial" w:hAnsi="Arial" w:cs="Arial"/>
          <w:b/>
          <w:bCs/>
          <w:sz w:val="24"/>
          <w:szCs w:val="24"/>
        </w:rPr>
      </w:pPr>
    </w:p>
    <w:p w14:paraId="14404DF4" w14:textId="10FB3501" w:rsidR="005544B4" w:rsidRDefault="005544B4" w:rsidP="005544B4">
      <w:pPr>
        <w:rPr>
          <w:rFonts w:ascii="Arial" w:hAnsi="Arial" w:cs="Arial"/>
          <w:sz w:val="24"/>
          <w:szCs w:val="24"/>
          <w:u w:val="single"/>
        </w:rPr>
      </w:pPr>
      <w:r>
        <w:rPr>
          <w:rFonts w:ascii="Arial" w:hAnsi="Arial" w:cs="Arial"/>
          <w:b/>
          <w:bCs/>
          <w:sz w:val="24"/>
          <w:szCs w:val="24"/>
        </w:rPr>
        <w:lastRenderedPageBreak/>
        <w:t>Strategic Option 2 – Customer Collaboration &amp; Personalisation Strategy</w:t>
      </w:r>
    </w:p>
    <w:p w14:paraId="73D65365" w14:textId="210FCA23" w:rsidR="005544B4" w:rsidRDefault="005544B4" w:rsidP="005544B4">
      <w:pPr>
        <w:rPr>
          <w:rFonts w:ascii="Arial" w:hAnsi="Arial" w:cs="Arial"/>
          <w:sz w:val="24"/>
          <w:szCs w:val="24"/>
        </w:rPr>
      </w:pPr>
      <w:r>
        <w:rPr>
          <w:rFonts w:ascii="Arial" w:hAnsi="Arial" w:cs="Arial"/>
          <w:sz w:val="24"/>
          <w:szCs w:val="24"/>
        </w:rPr>
        <w:t>This strategic option focusses on transforming Amcor into a customer-centric innovative partner, offering personalised packaging and digital services.</w:t>
      </w:r>
    </w:p>
    <w:p w14:paraId="2812B9BB" w14:textId="0604B4F2" w:rsidR="00835625" w:rsidRDefault="00835625" w:rsidP="005544B4">
      <w:pPr>
        <w:rPr>
          <w:rFonts w:ascii="Arial" w:hAnsi="Arial" w:cs="Arial"/>
          <w:sz w:val="24"/>
          <w:szCs w:val="24"/>
        </w:rPr>
      </w:pPr>
      <w:r>
        <w:rPr>
          <w:rFonts w:ascii="Arial" w:hAnsi="Arial" w:cs="Arial"/>
          <w:sz w:val="24"/>
          <w:szCs w:val="24"/>
        </w:rPr>
        <w:t>Key components:</w:t>
      </w:r>
    </w:p>
    <w:p w14:paraId="3F7DF8FE" w14:textId="6C24397D" w:rsidR="00835625" w:rsidRDefault="00835625" w:rsidP="00835625">
      <w:pPr>
        <w:pStyle w:val="ListParagraph"/>
        <w:numPr>
          <w:ilvl w:val="0"/>
          <w:numId w:val="17"/>
        </w:numPr>
        <w:rPr>
          <w:rFonts w:ascii="Arial" w:hAnsi="Arial" w:cs="Arial"/>
          <w:sz w:val="24"/>
          <w:szCs w:val="24"/>
        </w:rPr>
      </w:pPr>
      <w:r>
        <w:rPr>
          <w:rFonts w:ascii="Arial" w:hAnsi="Arial" w:cs="Arial"/>
          <w:sz w:val="24"/>
          <w:szCs w:val="24"/>
        </w:rPr>
        <w:t>Digital customer collaboration platforms enabling real-time design, fast prototyping, cost simulation and sustainability modelling</w:t>
      </w:r>
    </w:p>
    <w:p w14:paraId="578E98D1" w14:textId="65D6C97F" w:rsidR="00835625" w:rsidRDefault="003067D1" w:rsidP="00835625">
      <w:pPr>
        <w:pStyle w:val="ListParagraph"/>
        <w:numPr>
          <w:ilvl w:val="0"/>
          <w:numId w:val="17"/>
        </w:numPr>
        <w:rPr>
          <w:rFonts w:ascii="Arial" w:hAnsi="Arial" w:cs="Arial"/>
          <w:sz w:val="24"/>
          <w:szCs w:val="24"/>
        </w:rPr>
      </w:pPr>
      <w:r w:rsidRPr="003067D1">
        <w:rPr>
          <w:rFonts w:ascii="Arial" w:hAnsi="Arial" w:cs="Arial"/>
          <w:sz w:val="24"/>
          <w:szCs w:val="24"/>
        </w:rPr>
        <w:t>B2B personalisation via variable data printing, short run capabilities an</w:t>
      </w:r>
      <w:r>
        <w:rPr>
          <w:rFonts w:ascii="Arial" w:hAnsi="Arial" w:cs="Arial"/>
          <w:sz w:val="24"/>
          <w:szCs w:val="24"/>
        </w:rPr>
        <w:t>d rapid design integration</w:t>
      </w:r>
    </w:p>
    <w:p w14:paraId="30CE2FA4" w14:textId="17E38AA0" w:rsidR="003067D1" w:rsidRDefault="00390677" w:rsidP="00835625">
      <w:pPr>
        <w:pStyle w:val="ListParagraph"/>
        <w:numPr>
          <w:ilvl w:val="0"/>
          <w:numId w:val="17"/>
        </w:numPr>
        <w:rPr>
          <w:rFonts w:ascii="Arial" w:hAnsi="Arial" w:cs="Arial"/>
          <w:sz w:val="24"/>
          <w:szCs w:val="24"/>
        </w:rPr>
      </w:pPr>
      <w:r>
        <w:rPr>
          <w:rFonts w:ascii="Arial" w:hAnsi="Arial" w:cs="Arial"/>
          <w:sz w:val="24"/>
          <w:szCs w:val="24"/>
        </w:rPr>
        <w:t>Utilisation of co-creating labs at Amcor’s innovation centres</w:t>
      </w:r>
    </w:p>
    <w:p w14:paraId="1D01A061" w14:textId="7A93CC79" w:rsidR="00390677" w:rsidRDefault="00390677" w:rsidP="00835625">
      <w:pPr>
        <w:pStyle w:val="ListParagraph"/>
        <w:numPr>
          <w:ilvl w:val="0"/>
          <w:numId w:val="17"/>
        </w:numPr>
        <w:rPr>
          <w:rFonts w:ascii="Arial" w:hAnsi="Arial" w:cs="Arial"/>
          <w:sz w:val="24"/>
          <w:szCs w:val="24"/>
        </w:rPr>
      </w:pPr>
      <w:r w:rsidRPr="00390677">
        <w:rPr>
          <w:rFonts w:ascii="Arial" w:hAnsi="Arial" w:cs="Arial"/>
          <w:sz w:val="24"/>
          <w:szCs w:val="24"/>
        </w:rPr>
        <w:t>Smart packaging solutions utilising QR codes, track an</w:t>
      </w:r>
      <w:r>
        <w:rPr>
          <w:rFonts w:ascii="Arial" w:hAnsi="Arial" w:cs="Arial"/>
          <w:sz w:val="24"/>
          <w:szCs w:val="24"/>
        </w:rPr>
        <w:t>d trace with engagement features</w:t>
      </w:r>
    </w:p>
    <w:p w14:paraId="25742CDE" w14:textId="755090B7" w:rsidR="00390677" w:rsidRDefault="00390677" w:rsidP="00835625">
      <w:pPr>
        <w:pStyle w:val="ListParagraph"/>
        <w:numPr>
          <w:ilvl w:val="0"/>
          <w:numId w:val="17"/>
        </w:numPr>
        <w:rPr>
          <w:rFonts w:ascii="Arial" w:hAnsi="Arial" w:cs="Arial"/>
          <w:sz w:val="24"/>
          <w:szCs w:val="24"/>
        </w:rPr>
      </w:pPr>
      <w:r>
        <w:rPr>
          <w:rFonts w:ascii="Arial" w:hAnsi="Arial" w:cs="Arial"/>
          <w:sz w:val="24"/>
          <w:szCs w:val="24"/>
        </w:rPr>
        <w:t xml:space="preserve">Service excellence initiatives </w:t>
      </w:r>
      <w:r w:rsidR="0066765E">
        <w:rPr>
          <w:rFonts w:ascii="Arial" w:hAnsi="Arial" w:cs="Arial"/>
          <w:sz w:val="24"/>
          <w:szCs w:val="24"/>
        </w:rPr>
        <w:t>with predictive inventory management, digital order visibility and customised logistics options.</w:t>
      </w:r>
    </w:p>
    <w:p w14:paraId="7F191B32" w14:textId="3C069B27" w:rsidR="0066765E" w:rsidRDefault="0066765E" w:rsidP="0066765E">
      <w:pPr>
        <w:rPr>
          <w:rFonts w:ascii="Arial" w:hAnsi="Arial" w:cs="Arial"/>
          <w:sz w:val="24"/>
          <w:szCs w:val="24"/>
        </w:rPr>
      </w:pPr>
      <w:r>
        <w:rPr>
          <w:rFonts w:ascii="Arial" w:hAnsi="Arial" w:cs="Arial"/>
          <w:sz w:val="24"/>
          <w:szCs w:val="24"/>
        </w:rPr>
        <w:t>Advantages:</w:t>
      </w:r>
    </w:p>
    <w:p w14:paraId="5DB19D98" w14:textId="0FF91657" w:rsidR="0066765E" w:rsidRDefault="002347A2" w:rsidP="0066765E">
      <w:pPr>
        <w:pStyle w:val="ListParagraph"/>
        <w:numPr>
          <w:ilvl w:val="0"/>
          <w:numId w:val="18"/>
        </w:numPr>
        <w:rPr>
          <w:rFonts w:ascii="Arial" w:hAnsi="Arial" w:cs="Arial"/>
          <w:sz w:val="24"/>
          <w:szCs w:val="24"/>
        </w:rPr>
      </w:pPr>
      <w:r>
        <w:rPr>
          <w:rFonts w:ascii="Arial" w:hAnsi="Arial" w:cs="Arial"/>
          <w:sz w:val="24"/>
          <w:szCs w:val="24"/>
        </w:rPr>
        <w:t>Reduction in buyer bargaining power</w:t>
      </w:r>
    </w:p>
    <w:p w14:paraId="1D9E7972" w14:textId="34562AA9" w:rsidR="002347A2" w:rsidRDefault="002347A2" w:rsidP="0066765E">
      <w:pPr>
        <w:pStyle w:val="ListParagraph"/>
        <w:numPr>
          <w:ilvl w:val="0"/>
          <w:numId w:val="18"/>
        </w:numPr>
        <w:rPr>
          <w:rFonts w:ascii="Arial" w:hAnsi="Arial" w:cs="Arial"/>
          <w:sz w:val="24"/>
          <w:szCs w:val="24"/>
        </w:rPr>
      </w:pPr>
      <w:r>
        <w:rPr>
          <w:rFonts w:ascii="Arial" w:hAnsi="Arial" w:cs="Arial"/>
          <w:sz w:val="24"/>
          <w:szCs w:val="24"/>
        </w:rPr>
        <w:t>Enhanced customer loyalty and lock-in effects</w:t>
      </w:r>
    </w:p>
    <w:p w14:paraId="2AC73F70" w14:textId="540A18B9" w:rsidR="002347A2" w:rsidRDefault="002347A2" w:rsidP="0066765E">
      <w:pPr>
        <w:pStyle w:val="ListParagraph"/>
        <w:numPr>
          <w:ilvl w:val="0"/>
          <w:numId w:val="18"/>
        </w:numPr>
        <w:rPr>
          <w:rFonts w:ascii="Arial" w:hAnsi="Arial" w:cs="Arial"/>
          <w:sz w:val="24"/>
          <w:szCs w:val="24"/>
        </w:rPr>
      </w:pPr>
      <w:r>
        <w:rPr>
          <w:rFonts w:ascii="Arial" w:hAnsi="Arial" w:cs="Arial"/>
          <w:sz w:val="24"/>
          <w:szCs w:val="24"/>
        </w:rPr>
        <w:t>Enablement of premium pricing strategy for customised solutions</w:t>
      </w:r>
    </w:p>
    <w:p w14:paraId="63AD1A08" w14:textId="77777777" w:rsidR="00352443" w:rsidRDefault="00CF7FE4" w:rsidP="0066765E">
      <w:pPr>
        <w:pStyle w:val="ListParagraph"/>
        <w:numPr>
          <w:ilvl w:val="0"/>
          <w:numId w:val="18"/>
        </w:numPr>
        <w:rPr>
          <w:rFonts w:ascii="Arial" w:hAnsi="Arial" w:cs="Arial"/>
          <w:sz w:val="24"/>
          <w:szCs w:val="24"/>
        </w:rPr>
      </w:pPr>
      <w:r>
        <w:rPr>
          <w:rFonts w:ascii="Arial" w:hAnsi="Arial" w:cs="Arial"/>
          <w:sz w:val="24"/>
          <w:szCs w:val="24"/>
        </w:rPr>
        <w:t>Alignment with global trend of mass customisation (Pine et al, 2013)</w:t>
      </w:r>
    </w:p>
    <w:p w14:paraId="071E8103" w14:textId="77777777" w:rsidR="00352443" w:rsidRDefault="00352443" w:rsidP="00352443">
      <w:pPr>
        <w:rPr>
          <w:rFonts w:ascii="Arial" w:hAnsi="Arial" w:cs="Arial"/>
          <w:sz w:val="24"/>
          <w:szCs w:val="24"/>
        </w:rPr>
      </w:pPr>
      <w:r>
        <w:rPr>
          <w:rFonts w:ascii="Arial" w:hAnsi="Arial" w:cs="Arial"/>
          <w:sz w:val="24"/>
          <w:szCs w:val="24"/>
        </w:rPr>
        <w:t>Disadvantages:</w:t>
      </w:r>
    </w:p>
    <w:p w14:paraId="590BBCF5" w14:textId="736BADA8" w:rsidR="002347A2" w:rsidRDefault="00352443" w:rsidP="00352443">
      <w:pPr>
        <w:pStyle w:val="ListParagraph"/>
        <w:numPr>
          <w:ilvl w:val="0"/>
          <w:numId w:val="19"/>
        </w:numPr>
        <w:rPr>
          <w:rFonts w:ascii="Arial" w:hAnsi="Arial" w:cs="Arial"/>
          <w:sz w:val="24"/>
          <w:szCs w:val="24"/>
        </w:rPr>
      </w:pPr>
      <w:r>
        <w:rPr>
          <w:rFonts w:ascii="Arial" w:hAnsi="Arial" w:cs="Arial"/>
          <w:sz w:val="24"/>
          <w:szCs w:val="24"/>
        </w:rPr>
        <w:t>Large scale cultural and capability changes required</w:t>
      </w:r>
    </w:p>
    <w:p w14:paraId="4F8D9B0E" w14:textId="603645F8" w:rsidR="00352443" w:rsidRDefault="00352443" w:rsidP="00352443">
      <w:pPr>
        <w:pStyle w:val="ListParagraph"/>
        <w:numPr>
          <w:ilvl w:val="0"/>
          <w:numId w:val="19"/>
        </w:numPr>
        <w:rPr>
          <w:rFonts w:ascii="Arial" w:hAnsi="Arial" w:cs="Arial"/>
          <w:sz w:val="24"/>
          <w:szCs w:val="24"/>
        </w:rPr>
      </w:pPr>
      <w:r>
        <w:rPr>
          <w:rFonts w:ascii="Arial" w:hAnsi="Arial" w:cs="Arial"/>
          <w:sz w:val="24"/>
          <w:szCs w:val="24"/>
        </w:rPr>
        <w:t>High digitalisation investment, consideration required on data security</w:t>
      </w:r>
    </w:p>
    <w:p w14:paraId="02C1DF50" w14:textId="04098F3A" w:rsidR="00352443" w:rsidRDefault="005E4B17" w:rsidP="00352443">
      <w:pPr>
        <w:pStyle w:val="ListParagraph"/>
        <w:numPr>
          <w:ilvl w:val="0"/>
          <w:numId w:val="19"/>
        </w:numPr>
        <w:rPr>
          <w:rFonts w:ascii="Arial" w:hAnsi="Arial" w:cs="Arial"/>
          <w:sz w:val="24"/>
          <w:szCs w:val="24"/>
        </w:rPr>
      </w:pPr>
      <w:r>
        <w:rPr>
          <w:rFonts w:ascii="Arial" w:hAnsi="Arial" w:cs="Arial"/>
          <w:sz w:val="24"/>
          <w:szCs w:val="24"/>
        </w:rPr>
        <w:t>Operational complexity during integration across global footprint</w:t>
      </w:r>
    </w:p>
    <w:p w14:paraId="07132738" w14:textId="77777777" w:rsidR="005E4B17" w:rsidRDefault="005E4B17" w:rsidP="005E4B17">
      <w:pPr>
        <w:rPr>
          <w:rFonts w:ascii="Arial" w:hAnsi="Arial" w:cs="Arial"/>
          <w:sz w:val="24"/>
          <w:szCs w:val="24"/>
        </w:rPr>
      </w:pPr>
    </w:p>
    <w:p w14:paraId="1EA5477D" w14:textId="7157157A" w:rsidR="005E4B17" w:rsidRDefault="005E4B17" w:rsidP="005E4B17">
      <w:pPr>
        <w:rPr>
          <w:rFonts w:ascii="Arial" w:hAnsi="Arial" w:cs="Arial"/>
          <w:sz w:val="24"/>
          <w:szCs w:val="24"/>
        </w:rPr>
      </w:pPr>
      <w:r>
        <w:rPr>
          <w:rFonts w:ascii="Arial" w:hAnsi="Arial" w:cs="Arial"/>
          <w:b/>
          <w:bCs/>
          <w:sz w:val="24"/>
          <w:szCs w:val="24"/>
        </w:rPr>
        <w:t>Strategic Option 3 – Integrated Circular Economy Strategy</w:t>
      </w:r>
    </w:p>
    <w:p w14:paraId="3FB10B78" w14:textId="25959C25" w:rsidR="005E4B17" w:rsidRDefault="00D078C2" w:rsidP="005E4B17">
      <w:pPr>
        <w:rPr>
          <w:rFonts w:ascii="Arial" w:hAnsi="Arial" w:cs="Arial"/>
          <w:sz w:val="24"/>
          <w:szCs w:val="24"/>
        </w:rPr>
      </w:pPr>
      <w:r>
        <w:rPr>
          <w:rFonts w:ascii="Arial" w:hAnsi="Arial" w:cs="Arial"/>
          <w:sz w:val="24"/>
          <w:szCs w:val="24"/>
        </w:rPr>
        <w:t>This strategy is centred on entering upstream and downstream segments of the circular value stream.</w:t>
      </w:r>
    </w:p>
    <w:p w14:paraId="03234E77" w14:textId="5B0442AB" w:rsidR="00D078C2" w:rsidRDefault="00D078C2" w:rsidP="005E4B17">
      <w:pPr>
        <w:rPr>
          <w:rFonts w:ascii="Arial" w:hAnsi="Arial" w:cs="Arial"/>
          <w:sz w:val="24"/>
          <w:szCs w:val="24"/>
        </w:rPr>
      </w:pPr>
    </w:p>
    <w:p w14:paraId="09473E1E" w14:textId="3D99B269" w:rsidR="00D078C2" w:rsidRDefault="00D078C2" w:rsidP="005E4B17">
      <w:pPr>
        <w:rPr>
          <w:rFonts w:ascii="Arial" w:hAnsi="Arial" w:cs="Arial"/>
          <w:sz w:val="24"/>
          <w:szCs w:val="24"/>
        </w:rPr>
      </w:pPr>
      <w:r>
        <w:rPr>
          <w:rFonts w:ascii="Arial" w:hAnsi="Arial" w:cs="Arial"/>
          <w:sz w:val="24"/>
          <w:szCs w:val="24"/>
        </w:rPr>
        <w:t>Key Components:</w:t>
      </w:r>
    </w:p>
    <w:p w14:paraId="570E751D" w14:textId="1D4EF2F2" w:rsidR="00D078C2" w:rsidRDefault="00D078C2" w:rsidP="00D078C2">
      <w:pPr>
        <w:pStyle w:val="ListParagraph"/>
        <w:numPr>
          <w:ilvl w:val="0"/>
          <w:numId w:val="20"/>
        </w:numPr>
        <w:rPr>
          <w:rFonts w:ascii="Arial" w:hAnsi="Arial" w:cs="Arial"/>
          <w:sz w:val="24"/>
          <w:szCs w:val="24"/>
        </w:rPr>
      </w:pPr>
      <w:r>
        <w:rPr>
          <w:rFonts w:ascii="Arial" w:hAnsi="Arial" w:cs="Arial"/>
          <w:sz w:val="24"/>
          <w:szCs w:val="24"/>
        </w:rPr>
        <w:t>Investment in recycling capabilities</w:t>
      </w:r>
    </w:p>
    <w:p w14:paraId="110088E2" w14:textId="61009D6B" w:rsidR="00D078C2" w:rsidRDefault="00D078C2" w:rsidP="00D078C2">
      <w:pPr>
        <w:pStyle w:val="ListParagraph"/>
        <w:numPr>
          <w:ilvl w:val="0"/>
          <w:numId w:val="20"/>
        </w:numPr>
        <w:rPr>
          <w:rFonts w:ascii="Arial" w:hAnsi="Arial" w:cs="Arial"/>
          <w:sz w:val="24"/>
          <w:szCs w:val="24"/>
        </w:rPr>
      </w:pPr>
      <w:r>
        <w:rPr>
          <w:rFonts w:ascii="Arial" w:hAnsi="Arial" w:cs="Arial"/>
          <w:sz w:val="24"/>
          <w:szCs w:val="24"/>
        </w:rPr>
        <w:t>Joint ventures with chemical recyclers</w:t>
      </w:r>
    </w:p>
    <w:p w14:paraId="015996FB" w14:textId="64987A5A" w:rsidR="00D078C2" w:rsidRDefault="001B0F9B" w:rsidP="00D078C2">
      <w:pPr>
        <w:pStyle w:val="ListParagraph"/>
        <w:numPr>
          <w:ilvl w:val="0"/>
          <w:numId w:val="20"/>
        </w:numPr>
        <w:rPr>
          <w:rFonts w:ascii="Arial" w:hAnsi="Arial" w:cs="Arial"/>
          <w:sz w:val="24"/>
          <w:szCs w:val="24"/>
        </w:rPr>
      </w:pPr>
      <w:r>
        <w:rPr>
          <w:rFonts w:ascii="Arial" w:hAnsi="Arial" w:cs="Arial"/>
          <w:sz w:val="24"/>
          <w:szCs w:val="24"/>
        </w:rPr>
        <w:t>Collection and sorting partnerships with local authorities</w:t>
      </w:r>
    </w:p>
    <w:p w14:paraId="722ECB32" w14:textId="6A8D7BCA" w:rsidR="001B0F9B" w:rsidRDefault="001B0F9B" w:rsidP="00D078C2">
      <w:pPr>
        <w:pStyle w:val="ListParagraph"/>
        <w:numPr>
          <w:ilvl w:val="0"/>
          <w:numId w:val="20"/>
        </w:numPr>
        <w:rPr>
          <w:rFonts w:ascii="Arial" w:hAnsi="Arial" w:cs="Arial"/>
          <w:sz w:val="24"/>
          <w:szCs w:val="24"/>
        </w:rPr>
      </w:pPr>
      <w:r>
        <w:rPr>
          <w:rFonts w:ascii="Arial" w:hAnsi="Arial" w:cs="Arial"/>
          <w:sz w:val="24"/>
          <w:szCs w:val="24"/>
        </w:rPr>
        <w:t>Reverse logistics and material recovery systems</w:t>
      </w:r>
    </w:p>
    <w:p w14:paraId="434F4618" w14:textId="57B13189" w:rsidR="001B0F9B" w:rsidRDefault="001B0F9B" w:rsidP="001B0F9B">
      <w:pPr>
        <w:rPr>
          <w:rFonts w:ascii="Arial" w:hAnsi="Arial" w:cs="Arial"/>
          <w:sz w:val="24"/>
          <w:szCs w:val="24"/>
        </w:rPr>
      </w:pPr>
    </w:p>
    <w:p w14:paraId="24D749C5" w14:textId="4ED832BD" w:rsidR="001B0F9B" w:rsidRDefault="001B0F9B" w:rsidP="001B0F9B">
      <w:pPr>
        <w:rPr>
          <w:rFonts w:ascii="Arial" w:hAnsi="Arial" w:cs="Arial"/>
          <w:sz w:val="24"/>
          <w:szCs w:val="24"/>
        </w:rPr>
      </w:pPr>
      <w:r>
        <w:rPr>
          <w:rFonts w:ascii="Arial" w:hAnsi="Arial" w:cs="Arial"/>
          <w:sz w:val="24"/>
          <w:szCs w:val="24"/>
        </w:rPr>
        <w:t>Advantages:</w:t>
      </w:r>
    </w:p>
    <w:p w14:paraId="6B9ED7A1" w14:textId="47ECEADC" w:rsidR="001B0F9B" w:rsidRDefault="001B0F9B" w:rsidP="001B0F9B">
      <w:pPr>
        <w:pStyle w:val="ListParagraph"/>
        <w:numPr>
          <w:ilvl w:val="0"/>
          <w:numId w:val="21"/>
        </w:numPr>
        <w:rPr>
          <w:rFonts w:ascii="Arial" w:hAnsi="Arial" w:cs="Arial"/>
          <w:sz w:val="24"/>
          <w:szCs w:val="24"/>
        </w:rPr>
      </w:pPr>
      <w:r>
        <w:rPr>
          <w:rFonts w:ascii="Arial" w:hAnsi="Arial" w:cs="Arial"/>
          <w:sz w:val="24"/>
          <w:szCs w:val="24"/>
        </w:rPr>
        <w:t>Security of feedstock supply</w:t>
      </w:r>
    </w:p>
    <w:p w14:paraId="4035EA87" w14:textId="7892D0D6" w:rsidR="001B0F9B" w:rsidRDefault="001B0F9B" w:rsidP="001B0F9B">
      <w:pPr>
        <w:pStyle w:val="ListParagraph"/>
        <w:numPr>
          <w:ilvl w:val="0"/>
          <w:numId w:val="21"/>
        </w:numPr>
        <w:rPr>
          <w:rFonts w:ascii="Arial" w:hAnsi="Arial" w:cs="Arial"/>
          <w:sz w:val="24"/>
          <w:szCs w:val="24"/>
        </w:rPr>
      </w:pPr>
      <w:r>
        <w:rPr>
          <w:rFonts w:ascii="Arial" w:hAnsi="Arial" w:cs="Arial"/>
          <w:sz w:val="24"/>
          <w:szCs w:val="24"/>
        </w:rPr>
        <w:t>Reduction in dependence on virgin raw materials</w:t>
      </w:r>
    </w:p>
    <w:p w14:paraId="6A980AE6" w14:textId="71A6423B" w:rsidR="001B0F9B" w:rsidRDefault="00F5288A" w:rsidP="001B0F9B">
      <w:pPr>
        <w:pStyle w:val="ListParagraph"/>
        <w:numPr>
          <w:ilvl w:val="0"/>
          <w:numId w:val="21"/>
        </w:numPr>
        <w:rPr>
          <w:rFonts w:ascii="Arial" w:hAnsi="Arial" w:cs="Arial"/>
          <w:sz w:val="24"/>
          <w:szCs w:val="24"/>
        </w:rPr>
      </w:pPr>
      <w:r>
        <w:rPr>
          <w:rFonts w:ascii="Arial" w:hAnsi="Arial" w:cs="Arial"/>
          <w:sz w:val="24"/>
          <w:szCs w:val="24"/>
        </w:rPr>
        <w:t>Strengthens sustainability credentials</w:t>
      </w:r>
    </w:p>
    <w:p w14:paraId="64AA5558" w14:textId="6A24375A" w:rsidR="00F5288A" w:rsidRDefault="00F5288A" w:rsidP="00F5288A">
      <w:pPr>
        <w:rPr>
          <w:rFonts w:ascii="Arial" w:hAnsi="Arial" w:cs="Arial"/>
          <w:sz w:val="24"/>
          <w:szCs w:val="24"/>
        </w:rPr>
      </w:pPr>
      <w:r>
        <w:rPr>
          <w:rFonts w:ascii="Arial" w:hAnsi="Arial" w:cs="Arial"/>
          <w:sz w:val="24"/>
          <w:szCs w:val="24"/>
        </w:rPr>
        <w:lastRenderedPageBreak/>
        <w:t>Disadvantages:</w:t>
      </w:r>
    </w:p>
    <w:p w14:paraId="7D496659" w14:textId="2CCA79A2" w:rsidR="00F5288A" w:rsidRDefault="00F5288A" w:rsidP="00F5288A">
      <w:pPr>
        <w:pStyle w:val="ListParagraph"/>
        <w:numPr>
          <w:ilvl w:val="0"/>
          <w:numId w:val="22"/>
        </w:numPr>
        <w:rPr>
          <w:rFonts w:ascii="Arial" w:hAnsi="Arial" w:cs="Arial"/>
          <w:sz w:val="24"/>
          <w:szCs w:val="24"/>
        </w:rPr>
      </w:pPr>
      <w:r>
        <w:rPr>
          <w:rFonts w:ascii="Arial" w:hAnsi="Arial" w:cs="Arial"/>
          <w:sz w:val="24"/>
          <w:szCs w:val="24"/>
        </w:rPr>
        <w:t>Extremely high initial capital requirements</w:t>
      </w:r>
    </w:p>
    <w:p w14:paraId="638A68D2" w14:textId="32E199BC" w:rsidR="00F5288A" w:rsidRDefault="0030138F" w:rsidP="00F5288A">
      <w:pPr>
        <w:pStyle w:val="ListParagraph"/>
        <w:numPr>
          <w:ilvl w:val="0"/>
          <w:numId w:val="22"/>
        </w:numPr>
        <w:rPr>
          <w:rFonts w:ascii="Arial" w:hAnsi="Arial" w:cs="Arial"/>
          <w:sz w:val="24"/>
          <w:szCs w:val="24"/>
        </w:rPr>
      </w:pPr>
      <w:r>
        <w:rPr>
          <w:rFonts w:ascii="Arial" w:hAnsi="Arial" w:cs="Arial"/>
          <w:sz w:val="24"/>
          <w:szCs w:val="24"/>
        </w:rPr>
        <w:t>Regulatory and technological uncertainty</w:t>
      </w:r>
    </w:p>
    <w:p w14:paraId="338CA078" w14:textId="14E6ADAB" w:rsidR="0030138F" w:rsidRDefault="0030138F" w:rsidP="00F5288A">
      <w:pPr>
        <w:pStyle w:val="ListParagraph"/>
        <w:numPr>
          <w:ilvl w:val="0"/>
          <w:numId w:val="22"/>
        </w:numPr>
        <w:rPr>
          <w:rFonts w:ascii="Arial" w:hAnsi="Arial" w:cs="Arial"/>
          <w:sz w:val="24"/>
          <w:szCs w:val="24"/>
        </w:rPr>
      </w:pPr>
      <w:r>
        <w:rPr>
          <w:rFonts w:ascii="Arial" w:hAnsi="Arial" w:cs="Arial"/>
          <w:sz w:val="24"/>
          <w:szCs w:val="24"/>
        </w:rPr>
        <w:t>Not a core part of Amcor’s current business</w:t>
      </w:r>
    </w:p>
    <w:p w14:paraId="718F22E2" w14:textId="6447A63E" w:rsidR="0030138F" w:rsidRDefault="0030138F" w:rsidP="0030138F">
      <w:pPr>
        <w:rPr>
          <w:rFonts w:ascii="Arial" w:hAnsi="Arial" w:cs="Arial"/>
          <w:b/>
          <w:bCs/>
          <w:sz w:val="24"/>
          <w:szCs w:val="24"/>
        </w:rPr>
      </w:pPr>
    </w:p>
    <w:p w14:paraId="3C0FF4A0" w14:textId="1ADE0A32" w:rsidR="00EB5E76" w:rsidRDefault="00EB5E76" w:rsidP="0030138F">
      <w:pPr>
        <w:rPr>
          <w:rFonts w:ascii="Arial" w:hAnsi="Arial" w:cs="Arial"/>
          <w:sz w:val="24"/>
          <w:szCs w:val="24"/>
        </w:rPr>
      </w:pPr>
      <w:r>
        <w:rPr>
          <w:rFonts w:ascii="Arial" w:hAnsi="Arial" w:cs="Arial"/>
          <w:b/>
          <w:bCs/>
          <w:sz w:val="24"/>
          <w:szCs w:val="24"/>
        </w:rPr>
        <w:t>Evaluation of 3 options</w:t>
      </w:r>
    </w:p>
    <w:p w14:paraId="6E369834" w14:textId="0563859B" w:rsidR="00EB5E76" w:rsidRPr="00EB5E76" w:rsidRDefault="00EB5E76" w:rsidP="0030138F">
      <w:pPr>
        <w:rPr>
          <w:rFonts w:ascii="Arial" w:hAnsi="Arial" w:cs="Arial"/>
          <w:sz w:val="24"/>
          <w:szCs w:val="24"/>
        </w:rPr>
      </w:pPr>
      <w:r>
        <w:rPr>
          <w:rFonts w:ascii="Arial" w:hAnsi="Arial" w:cs="Arial"/>
          <w:sz w:val="24"/>
          <w:szCs w:val="24"/>
        </w:rPr>
        <w:t>Utilising criteria from Johnson et al (</w:t>
      </w:r>
      <w:r w:rsidR="00C44252">
        <w:rPr>
          <w:rFonts w:ascii="Arial" w:hAnsi="Arial" w:cs="Arial"/>
          <w:sz w:val="24"/>
          <w:szCs w:val="24"/>
        </w:rPr>
        <w:t>1997</w:t>
      </w:r>
      <w:r>
        <w:rPr>
          <w:rFonts w:ascii="Arial" w:hAnsi="Arial" w:cs="Arial"/>
          <w:sz w:val="24"/>
          <w:szCs w:val="24"/>
        </w:rPr>
        <w:t>)</w:t>
      </w:r>
      <w:r w:rsidR="00F41F6C">
        <w:rPr>
          <w:rFonts w:ascii="Arial" w:hAnsi="Arial" w:cs="Arial"/>
          <w:sz w:val="24"/>
          <w:szCs w:val="24"/>
        </w:rPr>
        <w:t xml:space="preserve"> the options are measured against three factors: Suitability, Acceptability and Feasibility </w:t>
      </w:r>
    </w:p>
    <w:p w14:paraId="653DAA98" w14:textId="7C2E1153" w:rsidR="001B0F9B" w:rsidRDefault="00933505" w:rsidP="001B0F9B">
      <w:pPr>
        <w:rPr>
          <w:rFonts w:ascii="Arial" w:hAnsi="Arial" w:cs="Arial"/>
          <w:sz w:val="24"/>
          <w:szCs w:val="24"/>
        </w:rPr>
      </w:pPr>
      <w:r>
        <w:rPr>
          <w:rFonts w:ascii="Arial" w:hAnsi="Arial" w:cs="Arial"/>
          <w:b/>
          <w:bCs/>
          <w:sz w:val="24"/>
          <w:szCs w:val="24"/>
        </w:rPr>
        <w:t>Suitability</w:t>
      </w:r>
    </w:p>
    <w:p w14:paraId="6AD8E76D" w14:textId="78D7858E" w:rsidR="00933505" w:rsidRDefault="00933505" w:rsidP="00933505">
      <w:pPr>
        <w:pStyle w:val="ListParagraph"/>
        <w:numPr>
          <w:ilvl w:val="0"/>
          <w:numId w:val="23"/>
        </w:numPr>
        <w:rPr>
          <w:rFonts w:ascii="Arial" w:hAnsi="Arial" w:cs="Arial"/>
          <w:sz w:val="24"/>
          <w:szCs w:val="24"/>
        </w:rPr>
      </w:pPr>
      <w:r>
        <w:rPr>
          <w:rFonts w:ascii="Arial" w:hAnsi="Arial" w:cs="Arial"/>
          <w:sz w:val="24"/>
          <w:szCs w:val="24"/>
        </w:rPr>
        <w:t>Sustainable innovation leadership – Highly suitable</w:t>
      </w:r>
    </w:p>
    <w:p w14:paraId="47016A29" w14:textId="074C05A2" w:rsidR="00933505" w:rsidRDefault="00933505" w:rsidP="00933505">
      <w:pPr>
        <w:pStyle w:val="ListParagraph"/>
        <w:numPr>
          <w:ilvl w:val="0"/>
          <w:numId w:val="23"/>
        </w:numPr>
        <w:rPr>
          <w:rFonts w:ascii="Arial" w:hAnsi="Arial" w:cs="Arial"/>
          <w:sz w:val="24"/>
          <w:szCs w:val="24"/>
        </w:rPr>
      </w:pPr>
      <w:r>
        <w:rPr>
          <w:rFonts w:ascii="Arial" w:hAnsi="Arial" w:cs="Arial"/>
          <w:sz w:val="24"/>
          <w:szCs w:val="24"/>
        </w:rPr>
        <w:t>Customer Collaboration &amp; personalisation – Highly suitable</w:t>
      </w:r>
    </w:p>
    <w:p w14:paraId="0B8C159A" w14:textId="7EE39ECF" w:rsidR="00933505" w:rsidRDefault="00B43118" w:rsidP="00933505">
      <w:pPr>
        <w:pStyle w:val="ListParagraph"/>
        <w:numPr>
          <w:ilvl w:val="0"/>
          <w:numId w:val="23"/>
        </w:numPr>
        <w:rPr>
          <w:rFonts w:ascii="Arial" w:hAnsi="Arial" w:cs="Arial"/>
          <w:sz w:val="24"/>
          <w:szCs w:val="24"/>
        </w:rPr>
      </w:pPr>
      <w:r>
        <w:rPr>
          <w:rFonts w:ascii="Arial" w:hAnsi="Arial" w:cs="Arial"/>
          <w:sz w:val="24"/>
          <w:szCs w:val="24"/>
        </w:rPr>
        <w:t>Integrated circular economy – Moderately suitable</w:t>
      </w:r>
    </w:p>
    <w:p w14:paraId="0F7D5408" w14:textId="77777777" w:rsidR="00B43118" w:rsidRPr="00B43118" w:rsidRDefault="00B43118" w:rsidP="00B43118">
      <w:pPr>
        <w:rPr>
          <w:rFonts w:ascii="Arial" w:hAnsi="Arial" w:cs="Arial"/>
          <w:sz w:val="24"/>
          <w:szCs w:val="24"/>
        </w:rPr>
      </w:pPr>
    </w:p>
    <w:p w14:paraId="6E5ACAFD" w14:textId="44F4042F" w:rsidR="00B43118" w:rsidRDefault="00B43118" w:rsidP="00B43118">
      <w:pPr>
        <w:rPr>
          <w:rFonts w:ascii="Arial" w:hAnsi="Arial" w:cs="Arial"/>
          <w:sz w:val="24"/>
          <w:szCs w:val="24"/>
        </w:rPr>
      </w:pPr>
      <w:r>
        <w:rPr>
          <w:rFonts w:ascii="Arial" w:hAnsi="Arial" w:cs="Arial"/>
          <w:b/>
          <w:bCs/>
          <w:sz w:val="24"/>
          <w:szCs w:val="24"/>
        </w:rPr>
        <w:t>Acceptability</w:t>
      </w:r>
    </w:p>
    <w:p w14:paraId="2C2A4179" w14:textId="6B08D450" w:rsidR="00B43118" w:rsidRDefault="00B43118" w:rsidP="00B43118">
      <w:pPr>
        <w:pStyle w:val="ListParagraph"/>
        <w:numPr>
          <w:ilvl w:val="0"/>
          <w:numId w:val="23"/>
        </w:numPr>
        <w:rPr>
          <w:rFonts w:ascii="Arial" w:hAnsi="Arial" w:cs="Arial"/>
          <w:sz w:val="24"/>
          <w:szCs w:val="24"/>
        </w:rPr>
      </w:pPr>
      <w:r>
        <w:rPr>
          <w:rFonts w:ascii="Arial" w:hAnsi="Arial" w:cs="Arial"/>
          <w:sz w:val="24"/>
          <w:szCs w:val="24"/>
        </w:rPr>
        <w:t>Sustainable innovation leadership – Highly customer support</w:t>
      </w:r>
    </w:p>
    <w:p w14:paraId="6C1E98A5" w14:textId="312999AF" w:rsidR="00B43118" w:rsidRDefault="00B43118" w:rsidP="00B43118">
      <w:pPr>
        <w:pStyle w:val="ListParagraph"/>
        <w:numPr>
          <w:ilvl w:val="0"/>
          <w:numId w:val="23"/>
        </w:numPr>
        <w:rPr>
          <w:rFonts w:ascii="Arial" w:hAnsi="Arial" w:cs="Arial"/>
          <w:sz w:val="24"/>
          <w:szCs w:val="24"/>
        </w:rPr>
      </w:pPr>
      <w:r>
        <w:rPr>
          <w:rFonts w:ascii="Arial" w:hAnsi="Arial" w:cs="Arial"/>
          <w:sz w:val="24"/>
          <w:szCs w:val="24"/>
        </w:rPr>
        <w:t>Customer Collaboration &amp; personalisation – Highly customer value</w:t>
      </w:r>
    </w:p>
    <w:p w14:paraId="6CD2DC0A" w14:textId="2867BCE6" w:rsidR="00B43118" w:rsidRDefault="00B43118" w:rsidP="00B43118">
      <w:pPr>
        <w:pStyle w:val="ListParagraph"/>
        <w:numPr>
          <w:ilvl w:val="0"/>
          <w:numId w:val="23"/>
        </w:numPr>
        <w:rPr>
          <w:rFonts w:ascii="Arial" w:hAnsi="Arial" w:cs="Arial"/>
          <w:sz w:val="24"/>
          <w:szCs w:val="24"/>
        </w:rPr>
      </w:pPr>
      <w:r>
        <w:rPr>
          <w:rFonts w:ascii="Arial" w:hAnsi="Arial" w:cs="Arial"/>
          <w:sz w:val="24"/>
          <w:szCs w:val="24"/>
        </w:rPr>
        <w:t xml:space="preserve">Integrated circular economy – Moderately </w:t>
      </w:r>
      <w:r w:rsidR="00D5470B">
        <w:rPr>
          <w:rFonts w:ascii="Arial" w:hAnsi="Arial" w:cs="Arial"/>
          <w:sz w:val="24"/>
          <w:szCs w:val="24"/>
        </w:rPr>
        <w:t>due to high risk</w:t>
      </w:r>
    </w:p>
    <w:p w14:paraId="5C36D6BE" w14:textId="77777777" w:rsidR="00D5470B" w:rsidRDefault="00D5470B" w:rsidP="00D5470B">
      <w:pPr>
        <w:rPr>
          <w:rFonts w:ascii="Arial" w:hAnsi="Arial" w:cs="Arial"/>
          <w:b/>
          <w:bCs/>
          <w:sz w:val="24"/>
          <w:szCs w:val="24"/>
        </w:rPr>
      </w:pPr>
    </w:p>
    <w:p w14:paraId="3DED017D" w14:textId="41935DFD" w:rsidR="00D5470B" w:rsidRDefault="006D3D5A" w:rsidP="00D5470B">
      <w:pPr>
        <w:rPr>
          <w:rFonts w:ascii="Arial" w:hAnsi="Arial" w:cs="Arial"/>
          <w:sz w:val="24"/>
          <w:szCs w:val="24"/>
        </w:rPr>
      </w:pPr>
      <w:r>
        <w:rPr>
          <w:rFonts w:ascii="Arial" w:hAnsi="Arial" w:cs="Arial"/>
          <w:b/>
          <w:bCs/>
          <w:sz w:val="24"/>
          <w:szCs w:val="24"/>
        </w:rPr>
        <w:t>Feasibility</w:t>
      </w:r>
    </w:p>
    <w:p w14:paraId="485EF3BF" w14:textId="409316E1" w:rsidR="00D5470B" w:rsidRDefault="00D5470B" w:rsidP="00D5470B">
      <w:pPr>
        <w:pStyle w:val="ListParagraph"/>
        <w:numPr>
          <w:ilvl w:val="0"/>
          <w:numId w:val="23"/>
        </w:numPr>
        <w:rPr>
          <w:rFonts w:ascii="Arial" w:hAnsi="Arial" w:cs="Arial"/>
          <w:sz w:val="24"/>
          <w:szCs w:val="24"/>
        </w:rPr>
      </w:pPr>
      <w:r>
        <w:rPr>
          <w:rFonts w:ascii="Arial" w:hAnsi="Arial" w:cs="Arial"/>
          <w:sz w:val="24"/>
          <w:szCs w:val="24"/>
        </w:rPr>
        <w:t>Sustainable innovation leadership – High feasibility</w:t>
      </w:r>
    </w:p>
    <w:p w14:paraId="198D2F98" w14:textId="4193B873" w:rsidR="00D5470B" w:rsidRPr="00D5470B" w:rsidRDefault="00D5470B" w:rsidP="00D5470B">
      <w:pPr>
        <w:pStyle w:val="ListParagraph"/>
        <w:numPr>
          <w:ilvl w:val="0"/>
          <w:numId w:val="23"/>
        </w:numPr>
        <w:rPr>
          <w:rFonts w:ascii="Arial" w:hAnsi="Arial" w:cs="Arial"/>
          <w:sz w:val="24"/>
          <w:szCs w:val="24"/>
        </w:rPr>
      </w:pPr>
      <w:r>
        <w:rPr>
          <w:rFonts w:ascii="Arial" w:hAnsi="Arial" w:cs="Arial"/>
          <w:sz w:val="24"/>
          <w:szCs w:val="24"/>
        </w:rPr>
        <w:t xml:space="preserve">Customer Collaboration &amp; personalisation – Moderate feasibility </w:t>
      </w:r>
      <w:r w:rsidR="00A639B4">
        <w:rPr>
          <w:rFonts w:ascii="Arial" w:hAnsi="Arial" w:cs="Arial"/>
          <w:sz w:val="24"/>
          <w:szCs w:val="24"/>
        </w:rPr>
        <w:t>due to capacity building required</w:t>
      </w:r>
    </w:p>
    <w:p w14:paraId="5C7A46F0" w14:textId="5B0DE2B9" w:rsidR="00D5470B" w:rsidRDefault="00D5470B" w:rsidP="00D5470B">
      <w:pPr>
        <w:pStyle w:val="ListParagraph"/>
        <w:numPr>
          <w:ilvl w:val="0"/>
          <w:numId w:val="23"/>
        </w:numPr>
        <w:rPr>
          <w:rFonts w:ascii="Arial" w:hAnsi="Arial" w:cs="Arial"/>
          <w:sz w:val="24"/>
          <w:szCs w:val="24"/>
        </w:rPr>
      </w:pPr>
      <w:r>
        <w:rPr>
          <w:rFonts w:ascii="Arial" w:hAnsi="Arial" w:cs="Arial"/>
          <w:sz w:val="24"/>
          <w:szCs w:val="24"/>
        </w:rPr>
        <w:t xml:space="preserve">Integrated circular economy – </w:t>
      </w:r>
      <w:r w:rsidR="00A639B4">
        <w:rPr>
          <w:rFonts w:ascii="Arial" w:hAnsi="Arial" w:cs="Arial"/>
          <w:sz w:val="24"/>
          <w:szCs w:val="24"/>
        </w:rPr>
        <w:t>Low feasibility</w:t>
      </w:r>
    </w:p>
    <w:p w14:paraId="308A97B1" w14:textId="496E7E7F" w:rsidR="006D3D5A" w:rsidRDefault="006D3D5A" w:rsidP="006D3D5A">
      <w:pPr>
        <w:rPr>
          <w:rFonts w:ascii="Arial" w:hAnsi="Arial" w:cs="Arial"/>
          <w:sz w:val="24"/>
          <w:szCs w:val="24"/>
        </w:rPr>
      </w:pPr>
      <w:r>
        <w:rPr>
          <w:rFonts w:ascii="Arial" w:hAnsi="Arial" w:cs="Arial"/>
          <w:b/>
          <w:bCs/>
          <w:sz w:val="24"/>
          <w:szCs w:val="24"/>
        </w:rPr>
        <w:t>Result</w:t>
      </w:r>
    </w:p>
    <w:p w14:paraId="6C224871" w14:textId="1FD0AFEE" w:rsidR="006D3D5A" w:rsidRDefault="006D3D5A" w:rsidP="006D3D5A">
      <w:pPr>
        <w:rPr>
          <w:rFonts w:ascii="Arial" w:hAnsi="Arial" w:cs="Arial"/>
          <w:sz w:val="24"/>
          <w:szCs w:val="24"/>
        </w:rPr>
      </w:pPr>
      <w:r>
        <w:rPr>
          <w:rFonts w:ascii="Arial" w:hAnsi="Arial" w:cs="Arial"/>
          <w:sz w:val="24"/>
          <w:szCs w:val="24"/>
        </w:rPr>
        <w:t>The strongest strategic direction can be seen as a combination between Sustainable innovation leadership and Customer collaboration &amp; personalisation.</w:t>
      </w:r>
    </w:p>
    <w:p w14:paraId="4B5FC206" w14:textId="07069F19" w:rsidR="006D3D5A" w:rsidRPr="006D3D5A" w:rsidRDefault="006D3D5A" w:rsidP="006D3D5A">
      <w:pPr>
        <w:rPr>
          <w:rFonts w:ascii="Arial" w:hAnsi="Arial" w:cs="Arial"/>
          <w:sz w:val="24"/>
          <w:szCs w:val="24"/>
        </w:rPr>
      </w:pPr>
      <w:r>
        <w:rPr>
          <w:rFonts w:ascii="Arial" w:hAnsi="Arial" w:cs="Arial"/>
          <w:sz w:val="24"/>
          <w:szCs w:val="24"/>
        </w:rPr>
        <w:t>The two are mutually beneficial and support each other by increasing differentiation, reduction buyer power and building of long-term competitive advantage.</w:t>
      </w:r>
    </w:p>
    <w:p w14:paraId="127A556C" w14:textId="77777777" w:rsidR="00D5470B" w:rsidRPr="00D5470B" w:rsidRDefault="00D5470B" w:rsidP="00D5470B">
      <w:pPr>
        <w:rPr>
          <w:rFonts w:ascii="Arial" w:hAnsi="Arial" w:cs="Arial"/>
          <w:sz w:val="24"/>
          <w:szCs w:val="24"/>
        </w:rPr>
      </w:pPr>
    </w:p>
    <w:p w14:paraId="1DC7061C" w14:textId="77777777" w:rsidR="001B0F9B" w:rsidRDefault="001B0F9B" w:rsidP="001B0F9B">
      <w:pPr>
        <w:rPr>
          <w:rFonts w:ascii="Arial" w:hAnsi="Arial" w:cs="Arial"/>
          <w:sz w:val="24"/>
          <w:szCs w:val="24"/>
        </w:rPr>
      </w:pPr>
    </w:p>
    <w:p w14:paraId="7A9E1729" w14:textId="77777777" w:rsidR="00ED7DFB" w:rsidRDefault="00ED7DFB" w:rsidP="001B0F9B">
      <w:pPr>
        <w:rPr>
          <w:rFonts w:ascii="Arial" w:hAnsi="Arial" w:cs="Arial"/>
          <w:sz w:val="24"/>
          <w:szCs w:val="24"/>
        </w:rPr>
      </w:pPr>
    </w:p>
    <w:p w14:paraId="6BFA8F25" w14:textId="77777777" w:rsidR="00ED7DFB" w:rsidRDefault="00ED7DFB" w:rsidP="001B0F9B">
      <w:pPr>
        <w:rPr>
          <w:rFonts w:ascii="Arial" w:hAnsi="Arial" w:cs="Arial"/>
          <w:sz w:val="24"/>
          <w:szCs w:val="24"/>
        </w:rPr>
      </w:pPr>
    </w:p>
    <w:p w14:paraId="2167A497" w14:textId="77777777" w:rsidR="00ED7DFB" w:rsidRDefault="00ED7DFB" w:rsidP="001B0F9B">
      <w:pPr>
        <w:rPr>
          <w:rFonts w:ascii="Arial" w:hAnsi="Arial" w:cs="Arial"/>
          <w:sz w:val="24"/>
          <w:szCs w:val="24"/>
        </w:rPr>
      </w:pPr>
    </w:p>
    <w:p w14:paraId="531F50EB" w14:textId="77777777" w:rsidR="00ED7DFB" w:rsidRDefault="00ED7DFB" w:rsidP="001B0F9B">
      <w:pPr>
        <w:rPr>
          <w:rFonts w:ascii="Arial" w:hAnsi="Arial" w:cs="Arial"/>
          <w:sz w:val="24"/>
          <w:szCs w:val="24"/>
        </w:rPr>
      </w:pPr>
    </w:p>
    <w:p w14:paraId="4E656557" w14:textId="2D8CF84F" w:rsidR="00ED7DFB" w:rsidRPr="00ED7DFB" w:rsidRDefault="00ED7DFB" w:rsidP="00ED7DFB">
      <w:pPr>
        <w:pStyle w:val="ListParagraph"/>
        <w:numPr>
          <w:ilvl w:val="0"/>
          <w:numId w:val="2"/>
        </w:numPr>
        <w:jc w:val="center"/>
        <w:rPr>
          <w:rFonts w:ascii="Arial" w:hAnsi="Arial" w:cs="Arial"/>
          <w:b/>
          <w:bCs/>
          <w:sz w:val="24"/>
          <w:szCs w:val="24"/>
          <w:u w:val="single"/>
        </w:rPr>
      </w:pPr>
      <w:r>
        <w:rPr>
          <w:rFonts w:ascii="Arial" w:hAnsi="Arial" w:cs="Arial"/>
          <w:b/>
          <w:bCs/>
          <w:sz w:val="24"/>
          <w:szCs w:val="24"/>
          <w:u w:val="single"/>
        </w:rPr>
        <w:lastRenderedPageBreak/>
        <w:t>Conclusion</w:t>
      </w:r>
    </w:p>
    <w:p w14:paraId="78121511" w14:textId="31DC9648" w:rsidR="00ED7DFB" w:rsidRDefault="00D46ECA" w:rsidP="00ED7DFB">
      <w:pPr>
        <w:rPr>
          <w:rFonts w:ascii="Arial" w:hAnsi="Arial" w:cs="Arial"/>
          <w:sz w:val="24"/>
          <w:szCs w:val="24"/>
        </w:rPr>
      </w:pPr>
      <w:r>
        <w:rPr>
          <w:rFonts w:ascii="Arial" w:hAnsi="Arial" w:cs="Arial"/>
          <w:sz w:val="24"/>
          <w:szCs w:val="24"/>
        </w:rPr>
        <w:t>This report has undertaken a comprehensive strategic analysis of Amcor, examining its external environment, internal resources and strategic options within the context of a volatile and rapidly evolving global packaging industry.  The fin</w:t>
      </w:r>
      <w:r w:rsidR="008C1300">
        <w:rPr>
          <w:rFonts w:ascii="Arial" w:hAnsi="Arial" w:cs="Arial"/>
          <w:sz w:val="24"/>
          <w:szCs w:val="24"/>
        </w:rPr>
        <w:t xml:space="preserve">dings indicate that Amcor’s business landscape is increasingly complex and characterised by tightening sustainability regulations, </w:t>
      </w:r>
      <w:r w:rsidR="00C33642">
        <w:rPr>
          <w:rFonts w:ascii="Arial" w:hAnsi="Arial" w:cs="Arial"/>
          <w:sz w:val="24"/>
          <w:szCs w:val="24"/>
        </w:rPr>
        <w:t xml:space="preserve">geopolitical uncertainty, technological transitions and shifting consumer expectations.  </w:t>
      </w:r>
      <w:r w:rsidR="00546DBD">
        <w:rPr>
          <w:rFonts w:ascii="Arial" w:hAnsi="Arial" w:cs="Arial"/>
          <w:sz w:val="24"/>
          <w:szCs w:val="24"/>
        </w:rPr>
        <w:t>There are macro-environmental pressures especially from political and environmental aspects, which are re-shaping the industry</w:t>
      </w:r>
      <w:r w:rsidR="00B00AC2">
        <w:rPr>
          <w:rFonts w:ascii="Arial" w:hAnsi="Arial" w:cs="Arial"/>
          <w:sz w:val="24"/>
          <w:szCs w:val="24"/>
        </w:rPr>
        <w:t xml:space="preserve"> requiring agility and increasing circularity, digitalisation and customer centricity.</w:t>
      </w:r>
      <w:r w:rsidR="008C1300">
        <w:rPr>
          <w:rFonts w:ascii="Arial" w:hAnsi="Arial" w:cs="Arial"/>
          <w:sz w:val="24"/>
          <w:szCs w:val="24"/>
        </w:rPr>
        <w:t xml:space="preserve"> </w:t>
      </w:r>
    </w:p>
    <w:p w14:paraId="5E83B579" w14:textId="28E653EB" w:rsidR="00B00AC2" w:rsidRDefault="00B00AC2" w:rsidP="00ED7DFB">
      <w:pPr>
        <w:rPr>
          <w:rFonts w:ascii="Arial" w:hAnsi="Arial" w:cs="Arial"/>
          <w:sz w:val="24"/>
          <w:szCs w:val="24"/>
        </w:rPr>
      </w:pPr>
      <w:r>
        <w:rPr>
          <w:rFonts w:ascii="Arial" w:hAnsi="Arial" w:cs="Arial"/>
          <w:sz w:val="24"/>
          <w:szCs w:val="24"/>
        </w:rPr>
        <w:t xml:space="preserve">The internal analyses </w:t>
      </w:r>
      <w:r w:rsidR="007E0682">
        <w:rPr>
          <w:rFonts w:ascii="Arial" w:hAnsi="Arial" w:cs="Arial"/>
          <w:sz w:val="24"/>
          <w:szCs w:val="24"/>
        </w:rPr>
        <w:t>reveal</w:t>
      </w:r>
      <w:r>
        <w:rPr>
          <w:rFonts w:ascii="Arial" w:hAnsi="Arial" w:cs="Arial"/>
          <w:sz w:val="24"/>
          <w:szCs w:val="24"/>
        </w:rPr>
        <w:t xml:space="preserve"> that Amcor possess </w:t>
      </w:r>
      <w:r w:rsidR="00A7383B">
        <w:rPr>
          <w:rFonts w:ascii="Arial" w:hAnsi="Arial" w:cs="Arial"/>
          <w:sz w:val="24"/>
          <w:szCs w:val="24"/>
        </w:rPr>
        <w:t>several</w:t>
      </w:r>
      <w:r>
        <w:rPr>
          <w:rFonts w:ascii="Arial" w:hAnsi="Arial" w:cs="Arial"/>
          <w:sz w:val="24"/>
          <w:szCs w:val="24"/>
        </w:rPr>
        <w:t xml:space="preserve"> strong defensive capabilities, most clearly in global scale, R&amp;D leadership</w:t>
      </w:r>
      <w:r w:rsidR="007E0682">
        <w:rPr>
          <w:rFonts w:ascii="Arial" w:hAnsi="Arial" w:cs="Arial"/>
          <w:sz w:val="24"/>
          <w:szCs w:val="24"/>
        </w:rPr>
        <w:t xml:space="preserve"> and supply chain integration.  These assets support long term competitive advantage and provide a foundation for future growth</w:t>
      </w:r>
      <w:r w:rsidR="00E97709">
        <w:rPr>
          <w:rFonts w:ascii="Arial" w:hAnsi="Arial" w:cs="Arial"/>
          <w:sz w:val="24"/>
          <w:szCs w:val="24"/>
        </w:rPr>
        <w:t>.  However, weaknesses in digital maturity, customer experience, cultural agility and reliance on virgin raw materials can constrain perfor</w:t>
      </w:r>
      <w:r w:rsidR="0095634D">
        <w:rPr>
          <w:rFonts w:ascii="Arial" w:hAnsi="Arial" w:cs="Arial"/>
          <w:sz w:val="24"/>
          <w:szCs w:val="24"/>
        </w:rPr>
        <w:t>mance if not proactively actioned.</w:t>
      </w:r>
      <w:r w:rsidR="00A7383B">
        <w:rPr>
          <w:rFonts w:ascii="Arial" w:hAnsi="Arial" w:cs="Arial"/>
          <w:sz w:val="24"/>
          <w:szCs w:val="24"/>
        </w:rPr>
        <w:t xml:space="preserve">  The competitive analyses further </w:t>
      </w:r>
      <w:r w:rsidR="00D17270">
        <w:rPr>
          <w:rFonts w:ascii="Arial" w:hAnsi="Arial" w:cs="Arial"/>
          <w:sz w:val="24"/>
          <w:szCs w:val="24"/>
        </w:rPr>
        <w:t>highlight</w:t>
      </w:r>
      <w:r w:rsidR="00A7383B">
        <w:rPr>
          <w:rFonts w:ascii="Arial" w:hAnsi="Arial" w:cs="Arial"/>
          <w:sz w:val="24"/>
          <w:szCs w:val="24"/>
        </w:rPr>
        <w:t xml:space="preserve"> </w:t>
      </w:r>
      <w:r w:rsidR="00D17270">
        <w:rPr>
          <w:rFonts w:ascii="Arial" w:hAnsi="Arial" w:cs="Arial"/>
          <w:sz w:val="24"/>
          <w:szCs w:val="24"/>
        </w:rPr>
        <w:t>that buyer bargaining power and the threat of substitutes are reasonably high.  This reinforces the need for differentiation focussed strategy.</w:t>
      </w:r>
    </w:p>
    <w:p w14:paraId="31FE8F00" w14:textId="6F7B67A3" w:rsidR="00D17270" w:rsidRDefault="00D17270" w:rsidP="00ED7DFB">
      <w:pPr>
        <w:rPr>
          <w:rFonts w:ascii="Arial" w:hAnsi="Arial" w:cs="Arial"/>
          <w:sz w:val="24"/>
          <w:szCs w:val="24"/>
        </w:rPr>
      </w:pPr>
      <w:r>
        <w:rPr>
          <w:rFonts w:ascii="Arial" w:hAnsi="Arial" w:cs="Arial"/>
          <w:sz w:val="24"/>
          <w:szCs w:val="24"/>
        </w:rPr>
        <w:t>Strategic frameworks applied within this report consistently point toward t</w:t>
      </w:r>
      <w:r w:rsidR="00C6713A">
        <w:rPr>
          <w:rFonts w:ascii="Arial" w:hAnsi="Arial" w:cs="Arial"/>
          <w:sz w:val="24"/>
          <w:szCs w:val="24"/>
        </w:rPr>
        <w:t>wo high potential strategic directions: Sustainable innovation leadership and Customer collaboration &amp; personalisation</w:t>
      </w:r>
      <w:r w:rsidR="003A3C99">
        <w:rPr>
          <w:rFonts w:ascii="Arial" w:hAnsi="Arial" w:cs="Arial"/>
          <w:sz w:val="24"/>
          <w:szCs w:val="24"/>
        </w:rPr>
        <w:t>.  These strategies are well aligned to Amcor’s core competencies and address the market demands present and future</w:t>
      </w:r>
      <w:r w:rsidR="000C59F8">
        <w:rPr>
          <w:rFonts w:ascii="Arial" w:hAnsi="Arial" w:cs="Arial"/>
          <w:sz w:val="24"/>
          <w:szCs w:val="24"/>
        </w:rPr>
        <w:t>.  The third strategic option where diversification into large scale circularity</w:t>
      </w:r>
      <w:r w:rsidR="00574C6E">
        <w:rPr>
          <w:rFonts w:ascii="Arial" w:hAnsi="Arial" w:cs="Arial"/>
          <w:sz w:val="24"/>
          <w:szCs w:val="24"/>
        </w:rPr>
        <w:t xml:space="preserve"> carries a significantly higher risk and lower strategic fit against core competencies.</w:t>
      </w:r>
    </w:p>
    <w:p w14:paraId="1F084A29" w14:textId="06E42FAD" w:rsidR="001B0F9B" w:rsidRDefault="006970DD" w:rsidP="001B0F9B">
      <w:pPr>
        <w:rPr>
          <w:rFonts w:ascii="Arial" w:hAnsi="Arial" w:cs="Arial"/>
          <w:sz w:val="24"/>
          <w:szCs w:val="24"/>
        </w:rPr>
      </w:pPr>
      <w:r>
        <w:rPr>
          <w:rFonts w:ascii="Arial" w:hAnsi="Arial" w:cs="Arial"/>
          <w:sz w:val="24"/>
          <w:szCs w:val="24"/>
        </w:rPr>
        <w:t>The integration of sustainability alongside customer experience presents a</w:t>
      </w:r>
      <w:r w:rsidR="00402574">
        <w:rPr>
          <w:rFonts w:ascii="Arial" w:hAnsi="Arial" w:cs="Arial"/>
          <w:sz w:val="24"/>
          <w:szCs w:val="24"/>
        </w:rPr>
        <w:t xml:space="preserve"> compelling opportunity for Amcor to position itself as a value partner rather than a simple supplier customer relationship of purchase and receipt.</w:t>
      </w:r>
      <w:r w:rsidR="007156D8">
        <w:rPr>
          <w:rFonts w:ascii="Arial" w:hAnsi="Arial" w:cs="Arial"/>
          <w:sz w:val="24"/>
          <w:szCs w:val="24"/>
        </w:rPr>
        <w:t xml:space="preserve">  This is aligned with research showing B2B customers preference for collaboration and innovation support giving an enhance customer service experience. </w:t>
      </w:r>
    </w:p>
    <w:p w14:paraId="245B8D39" w14:textId="3E8D1A07" w:rsidR="003D66AB" w:rsidRDefault="003D66AB" w:rsidP="001B0F9B">
      <w:pPr>
        <w:rPr>
          <w:rFonts w:ascii="Arial" w:hAnsi="Arial" w:cs="Arial"/>
          <w:sz w:val="24"/>
          <w:szCs w:val="24"/>
        </w:rPr>
      </w:pPr>
      <w:r>
        <w:rPr>
          <w:rFonts w:ascii="Arial" w:hAnsi="Arial" w:cs="Arial"/>
          <w:sz w:val="24"/>
          <w:szCs w:val="24"/>
        </w:rPr>
        <w:t>To successfully execute the recommended strategy, Amcor must develop dynami</w:t>
      </w:r>
      <w:r w:rsidR="00101FC5">
        <w:rPr>
          <w:rFonts w:ascii="Arial" w:hAnsi="Arial" w:cs="Arial"/>
          <w:sz w:val="24"/>
          <w:szCs w:val="24"/>
        </w:rPr>
        <w:t>c capabilities to successfully sense emerging opportunities, seize them via targeted investment and effectively reconfigure for agility.  This requires cultural transformation, digital capability development</w:t>
      </w:r>
      <w:r w:rsidR="008D2F06">
        <w:rPr>
          <w:rFonts w:ascii="Arial" w:hAnsi="Arial" w:cs="Arial"/>
          <w:sz w:val="24"/>
          <w:szCs w:val="24"/>
        </w:rPr>
        <w:t>, new governance structures and cross functional integration.  Furthermore, investment in digital collaboration platforms, smart packaging and customer cooperative designs are essential.</w:t>
      </w:r>
    </w:p>
    <w:p w14:paraId="3038C2E7" w14:textId="1A4C5A9A" w:rsidR="008D2F06" w:rsidRPr="001B0F9B" w:rsidRDefault="008D2F06" w:rsidP="001B0F9B">
      <w:pPr>
        <w:rPr>
          <w:rFonts w:ascii="Arial" w:hAnsi="Arial" w:cs="Arial"/>
          <w:sz w:val="24"/>
          <w:szCs w:val="24"/>
        </w:rPr>
      </w:pPr>
      <w:r>
        <w:rPr>
          <w:rFonts w:ascii="Arial" w:hAnsi="Arial" w:cs="Arial"/>
          <w:sz w:val="24"/>
          <w:szCs w:val="24"/>
        </w:rPr>
        <w:t>Overall Amcor is well positioned to capitalise on future growth opportunities if it can accelerate transformation in sustainability and personalisation.  The recommended strategy is balanced between leveraging existing strengths and building new capabilities to drive resilience, competitive advantage and innovation.</w:t>
      </w:r>
    </w:p>
    <w:p w14:paraId="2FAA7167" w14:textId="77777777" w:rsidR="000E5F24" w:rsidRDefault="000E5F24" w:rsidP="000E5F24">
      <w:pPr>
        <w:pStyle w:val="ListParagraph"/>
        <w:rPr>
          <w:rFonts w:ascii="Arial" w:hAnsi="Arial" w:cs="Arial"/>
          <w:b/>
          <w:bCs/>
          <w:sz w:val="24"/>
          <w:szCs w:val="24"/>
          <w:u w:val="single"/>
        </w:rPr>
      </w:pPr>
    </w:p>
    <w:p w14:paraId="01C2F10C" w14:textId="77777777" w:rsidR="000E5F24" w:rsidRDefault="000E5F24" w:rsidP="000E5F24">
      <w:pPr>
        <w:pStyle w:val="ListParagraph"/>
        <w:rPr>
          <w:rFonts w:ascii="Arial" w:hAnsi="Arial" w:cs="Arial"/>
          <w:b/>
          <w:bCs/>
          <w:sz w:val="24"/>
          <w:szCs w:val="24"/>
          <w:u w:val="single"/>
        </w:rPr>
      </w:pPr>
    </w:p>
    <w:p w14:paraId="4CCBB781" w14:textId="77777777" w:rsidR="000E5F24" w:rsidRPr="000E5F24" w:rsidRDefault="000E5F24" w:rsidP="000E5F24">
      <w:pPr>
        <w:rPr>
          <w:rFonts w:ascii="Arial" w:hAnsi="Arial" w:cs="Arial"/>
          <w:b/>
          <w:bCs/>
          <w:sz w:val="24"/>
          <w:szCs w:val="24"/>
          <w:u w:val="single"/>
        </w:rPr>
      </w:pPr>
    </w:p>
    <w:p w14:paraId="01403F55" w14:textId="77777777" w:rsidR="000E5F24" w:rsidRDefault="000E5F24" w:rsidP="000E5F24">
      <w:pPr>
        <w:pStyle w:val="ListParagraph"/>
        <w:rPr>
          <w:rFonts w:ascii="Arial" w:hAnsi="Arial" w:cs="Arial"/>
          <w:b/>
          <w:bCs/>
          <w:sz w:val="24"/>
          <w:szCs w:val="24"/>
          <w:u w:val="single"/>
        </w:rPr>
      </w:pPr>
    </w:p>
    <w:p w14:paraId="23491CAC" w14:textId="34DC4498" w:rsidR="00513DA1" w:rsidRPr="00EE01C9" w:rsidRDefault="00EE01C9" w:rsidP="00EE01C9">
      <w:pPr>
        <w:pStyle w:val="ListParagraph"/>
        <w:numPr>
          <w:ilvl w:val="0"/>
          <w:numId w:val="2"/>
        </w:numPr>
        <w:jc w:val="center"/>
        <w:rPr>
          <w:rFonts w:ascii="Arial" w:hAnsi="Arial" w:cs="Arial"/>
          <w:b/>
          <w:bCs/>
          <w:sz w:val="24"/>
          <w:szCs w:val="24"/>
          <w:u w:val="single"/>
        </w:rPr>
      </w:pPr>
      <w:r w:rsidRPr="00EE01C9">
        <w:rPr>
          <w:rFonts w:ascii="Arial" w:hAnsi="Arial" w:cs="Arial"/>
          <w:b/>
          <w:bCs/>
          <w:sz w:val="24"/>
          <w:szCs w:val="24"/>
          <w:u w:val="single"/>
        </w:rPr>
        <w:t>Recommendations</w:t>
      </w:r>
    </w:p>
    <w:p w14:paraId="44FD28F2" w14:textId="5A127B40" w:rsidR="00513DA1" w:rsidRDefault="000E5F24" w:rsidP="00513DA1">
      <w:pPr>
        <w:rPr>
          <w:rFonts w:ascii="Arial" w:hAnsi="Arial" w:cs="Arial"/>
          <w:sz w:val="24"/>
          <w:szCs w:val="24"/>
        </w:rPr>
      </w:pPr>
      <w:r>
        <w:rPr>
          <w:rFonts w:ascii="Arial" w:hAnsi="Arial" w:cs="Arial"/>
          <w:sz w:val="24"/>
          <w:szCs w:val="24"/>
        </w:rPr>
        <w:t xml:space="preserve">Based on the analyses and evaluation, the following recommendations are proposed </w:t>
      </w:r>
      <w:r w:rsidR="00272753">
        <w:rPr>
          <w:rFonts w:ascii="Arial" w:hAnsi="Arial" w:cs="Arial"/>
          <w:sz w:val="24"/>
          <w:szCs w:val="24"/>
        </w:rPr>
        <w:t>for senior management at Amcor.  These are aligned with the combined strategic direction of Sustainable innovation leadership and Customer collaboration &amp; personalisation.</w:t>
      </w:r>
    </w:p>
    <w:p w14:paraId="0E2D1128" w14:textId="77777777" w:rsidR="00633F0B" w:rsidRDefault="00633F0B" w:rsidP="00513DA1">
      <w:pPr>
        <w:rPr>
          <w:rFonts w:ascii="Arial" w:hAnsi="Arial" w:cs="Arial"/>
          <w:sz w:val="24"/>
          <w:szCs w:val="24"/>
        </w:rPr>
      </w:pPr>
    </w:p>
    <w:p w14:paraId="4DA05C7C" w14:textId="0FF3479B" w:rsidR="00633F0B" w:rsidRDefault="00633F0B" w:rsidP="00513DA1">
      <w:pPr>
        <w:rPr>
          <w:rFonts w:ascii="Arial" w:hAnsi="Arial" w:cs="Arial"/>
          <w:sz w:val="24"/>
          <w:szCs w:val="24"/>
        </w:rPr>
      </w:pPr>
      <w:r>
        <w:rPr>
          <w:rFonts w:ascii="Arial" w:hAnsi="Arial" w:cs="Arial"/>
          <w:b/>
          <w:bCs/>
          <w:sz w:val="24"/>
          <w:szCs w:val="24"/>
        </w:rPr>
        <w:t>Accelerate sustainable innovation leadership:</w:t>
      </w:r>
    </w:p>
    <w:p w14:paraId="67FEBB3D" w14:textId="7FBEBE1A" w:rsidR="00633F0B" w:rsidRDefault="00F543ED" w:rsidP="00F543ED">
      <w:pPr>
        <w:pStyle w:val="ListParagraph"/>
        <w:numPr>
          <w:ilvl w:val="0"/>
          <w:numId w:val="24"/>
        </w:numPr>
        <w:rPr>
          <w:rFonts w:ascii="Arial" w:hAnsi="Arial" w:cs="Arial"/>
          <w:sz w:val="24"/>
          <w:szCs w:val="24"/>
        </w:rPr>
      </w:pPr>
      <w:r>
        <w:rPr>
          <w:rFonts w:ascii="Arial" w:hAnsi="Arial" w:cs="Arial"/>
          <w:sz w:val="24"/>
          <w:szCs w:val="24"/>
        </w:rPr>
        <w:t>Invest in advanced materials R&amp;D</w:t>
      </w:r>
    </w:p>
    <w:p w14:paraId="556C78BD" w14:textId="0E3F988B" w:rsidR="00F543ED" w:rsidRDefault="00F543ED" w:rsidP="00F543ED">
      <w:pPr>
        <w:pStyle w:val="ListParagraph"/>
        <w:numPr>
          <w:ilvl w:val="0"/>
          <w:numId w:val="24"/>
        </w:numPr>
        <w:rPr>
          <w:rFonts w:ascii="Arial" w:hAnsi="Arial" w:cs="Arial"/>
          <w:sz w:val="24"/>
          <w:szCs w:val="24"/>
        </w:rPr>
      </w:pPr>
      <w:r w:rsidRPr="0025614A">
        <w:rPr>
          <w:rFonts w:ascii="Arial" w:hAnsi="Arial" w:cs="Arial"/>
          <w:sz w:val="24"/>
          <w:szCs w:val="24"/>
        </w:rPr>
        <w:t xml:space="preserve">Prioritise mono-material solutions, recyclable laminates, high barrier </w:t>
      </w:r>
      <w:r w:rsidR="0025614A" w:rsidRPr="0025614A">
        <w:rPr>
          <w:rFonts w:ascii="Arial" w:hAnsi="Arial" w:cs="Arial"/>
          <w:sz w:val="24"/>
          <w:szCs w:val="24"/>
        </w:rPr>
        <w:t>recyclable films and bio</w:t>
      </w:r>
      <w:r w:rsidR="0025614A">
        <w:rPr>
          <w:rFonts w:ascii="Arial" w:hAnsi="Arial" w:cs="Arial"/>
          <w:sz w:val="24"/>
          <w:szCs w:val="24"/>
        </w:rPr>
        <w:t>-based polymers</w:t>
      </w:r>
    </w:p>
    <w:p w14:paraId="7A7C918A" w14:textId="3CAE1BF5" w:rsidR="0025614A" w:rsidRDefault="0025614A" w:rsidP="00F543ED">
      <w:pPr>
        <w:pStyle w:val="ListParagraph"/>
        <w:numPr>
          <w:ilvl w:val="0"/>
          <w:numId w:val="24"/>
        </w:numPr>
        <w:rPr>
          <w:rFonts w:ascii="Arial" w:hAnsi="Arial" w:cs="Arial"/>
          <w:sz w:val="24"/>
          <w:szCs w:val="24"/>
        </w:rPr>
      </w:pPr>
      <w:r>
        <w:rPr>
          <w:rFonts w:ascii="Arial" w:hAnsi="Arial" w:cs="Arial"/>
          <w:sz w:val="24"/>
          <w:szCs w:val="24"/>
        </w:rPr>
        <w:t>Expand partnerships with universities, start-ups and sustainability leaders</w:t>
      </w:r>
    </w:p>
    <w:p w14:paraId="2CA66254" w14:textId="099992A0" w:rsidR="0025614A" w:rsidRDefault="003173E5" w:rsidP="00F543ED">
      <w:pPr>
        <w:pStyle w:val="ListParagraph"/>
        <w:numPr>
          <w:ilvl w:val="0"/>
          <w:numId w:val="24"/>
        </w:numPr>
        <w:rPr>
          <w:rFonts w:ascii="Arial" w:hAnsi="Arial" w:cs="Arial"/>
          <w:sz w:val="24"/>
          <w:szCs w:val="24"/>
        </w:rPr>
      </w:pPr>
      <w:r>
        <w:rPr>
          <w:rFonts w:ascii="Arial" w:hAnsi="Arial" w:cs="Arial"/>
          <w:sz w:val="24"/>
          <w:szCs w:val="24"/>
        </w:rPr>
        <w:t xml:space="preserve">Increase funding to </w:t>
      </w:r>
      <w:r w:rsidR="00016FE6">
        <w:rPr>
          <w:rFonts w:ascii="Arial" w:hAnsi="Arial" w:cs="Arial"/>
          <w:sz w:val="24"/>
          <w:szCs w:val="24"/>
        </w:rPr>
        <w:t>Amcor’s</w:t>
      </w:r>
      <w:r>
        <w:rPr>
          <w:rFonts w:ascii="Arial" w:hAnsi="Arial" w:cs="Arial"/>
          <w:sz w:val="24"/>
          <w:szCs w:val="24"/>
        </w:rPr>
        <w:t xml:space="preserve"> global R&amp;D hubs to focus on circularity possibilities</w:t>
      </w:r>
    </w:p>
    <w:p w14:paraId="00F3CD13" w14:textId="16A6029E" w:rsidR="003173E5" w:rsidRDefault="003173E5" w:rsidP="00F543ED">
      <w:pPr>
        <w:pStyle w:val="ListParagraph"/>
        <w:numPr>
          <w:ilvl w:val="0"/>
          <w:numId w:val="24"/>
        </w:numPr>
        <w:rPr>
          <w:rFonts w:ascii="Arial" w:hAnsi="Arial" w:cs="Arial"/>
          <w:sz w:val="24"/>
          <w:szCs w:val="24"/>
        </w:rPr>
      </w:pPr>
      <w:r>
        <w:rPr>
          <w:rFonts w:ascii="Arial" w:hAnsi="Arial" w:cs="Arial"/>
          <w:sz w:val="24"/>
          <w:szCs w:val="24"/>
        </w:rPr>
        <w:t>Form long-term supply contracts for recycled resins to remove risk on virgin materials</w:t>
      </w:r>
    </w:p>
    <w:p w14:paraId="335A1657" w14:textId="13239CD1" w:rsidR="003173E5" w:rsidRDefault="00016FE6" w:rsidP="00F543ED">
      <w:pPr>
        <w:pStyle w:val="ListParagraph"/>
        <w:numPr>
          <w:ilvl w:val="0"/>
          <w:numId w:val="24"/>
        </w:numPr>
        <w:rPr>
          <w:rFonts w:ascii="Arial" w:hAnsi="Arial" w:cs="Arial"/>
          <w:sz w:val="24"/>
          <w:szCs w:val="24"/>
        </w:rPr>
      </w:pPr>
      <w:r>
        <w:rPr>
          <w:rFonts w:ascii="Arial" w:hAnsi="Arial" w:cs="Arial"/>
          <w:sz w:val="24"/>
          <w:szCs w:val="24"/>
        </w:rPr>
        <w:t>Offer carbon footprint modelling, recyclability analyses and packaging minimisation strategies as value added services</w:t>
      </w:r>
    </w:p>
    <w:p w14:paraId="3F51D9D6" w14:textId="6F658232" w:rsidR="00016FE6" w:rsidRDefault="00F66E3C" w:rsidP="00F543ED">
      <w:pPr>
        <w:pStyle w:val="ListParagraph"/>
        <w:numPr>
          <w:ilvl w:val="0"/>
          <w:numId w:val="24"/>
        </w:numPr>
        <w:rPr>
          <w:rFonts w:ascii="Arial" w:hAnsi="Arial" w:cs="Arial"/>
          <w:sz w:val="24"/>
          <w:szCs w:val="24"/>
        </w:rPr>
      </w:pPr>
      <w:r>
        <w:rPr>
          <w:rFonts w:ascii="Arial" w:hAnsi="Arial" w:cs="Arial"/>
          <w:sz w:val="24"/>
          <w:szCs w:val="24"/>
        </w:rPr>
        <w:t>Integrate sustainability scorecards with customer dashboards</w:t>
      </w:r>
    </w:p>
    <w:p w14:paraId="5E308B09" w14:textId="340E9080" w:rsidR="00F66E3C" w:rsidRDefault="00F66E3C" w:rsidP="00F66E3C">
      <w:pPr>
        <w:rPr>
          <w:rFonts w:ascii="Arial" w:hAnsi="Arial" w:cs="Arial"/>
          <w:sz w:val="24"/>
          <w:szCs w:val="24"/>
        </w:rPr>
      </w:pPr>
      <w:r>
        <w:rPr>
          <w:rFonts w:ascii="Arial" w:hAnsi="Arial" w:cs="Arial"/>
          <w:sz w:val="24"/>
          <w:szCs w:val="24"/>
        </w:rPr>
        <w:t>These actions reinforce the differentiation strategy, reduce regulatory risk, strengthen competitive positioning an</w:t>
      </w:r>
      <w:r w:rsidR="00E813AD">
        <w:rPr>
          <w:rFonts w:ascii="Arial" w:hAnsi="Arial" w:cs="Arial"/>
          <w:sz w:val="24"/>
          <w:szCs w:val="24"/>
        </w:rPr>
        <w:t>d create high costs for customers to switch when seeking integrated sustainability solutions</w:t>
      </w:r>
      <w:r w:rsidR="00C23CDE">
        <w:rPr>
          <w:rFonts w:ascii="Arial" w:hAnsi="Arial" w:cs="Arial"/>
          <w:sz w:val="24"/>
          <w:szCs w:val="24"/>
        </w:rPr>
        <w:t xml:space="preserve"> (Nidumolu, 2009)</w:t>
      </w:r>
      <w:r w:rsidR="00E813AD">
        <w:rPr>
          <w:rFonts w:ascii="Arial" w:hAnsi="Arial" w:cs="Arial"/>
          <w:sz w:val="24"/>
          <w:szCs w:val="24"/>
        </w:rPr>
        <w:t>.</w:t>
      </w:r>
    </w:p>
    <w:p w14:paraId="5C64F2A5" w14:textId="7DBEDE9F" w:rsidR="00E813AD" w:rsidRDefault="00E813AD" w:rsidP="00F66E3C">
      <w:pPr>
        <w:rPr>
          <w:rFonts w:ascii="Arial" w:hAnsi="Arial" w:cs="Arial"/>
          <w:sz w:val="24"/>
          <w:szCs w:val="24"/>
        </w:rPr>
      </w:pPr>
      <w:r>
        <w:rPr>
          <w:rFonts w:ascii="Arial" w:hAnsi="Arial" w:cs="Arial"/>
          <w:b/>
          <w:bCs/>
          <w:sz w:val="24"/>
          <w:szCs w:val="24"/>
        </w:rPr>
        <w:t>Build world class customer collaboration and personalisation</w:t>
      </w:r>
    </w:p>
    <w:p w14:paraId="3689E056" w14:textId="13BF3C53" w:rsidR="00E813AD" w:rsidRDefault="00E813AD" w:rsidP="00E813AD">
      <w:pPr>
        <w:pStyle w:val="ListParagraph"/>
        <w:numPr>
          <w:ilvl w:val="0"/>
          <w:numId w:val="25"/>
        </w:numPr>
        <w:rPr>
          <w:rFonts w:ascii="Arial" w:hAnsi="Arial" w:cs="Arial"/>
          <w:sz w:val="24"/>
          <w:szCs w:val="24"/>
        </w:rPr>
      </w:pPr>
      <w:r>
        <w:rPr>
          <w:rFonts w:ascii="Arial" w:hAnsi="Arial" w:cs="Arial"/>
          <w:sz w:val="24"/>
          <w:szCs w:val="24"/>
        </w:rPr>
        <w:t>Launch digital collaboration platforms</w:t>
      </w:r>
    </w:p>
    <w:p w14:paraId="2432766B" w14:textId="52D3FE91" w:rsidR="00E813AD" w:rsidRDefault="008B3927" w:rsidP="00E813AD">
      <w:pPr>
        <w:pStyle w:val="ListParagraph"/>
        <w:numPr>
          <w:ilvl w:val="0"/>
          <w:numId w:val="25"/>
        </w:numPr>
        <w:rPr>
          <w:rFonts w:ascii="Arial" w:hAnsi="Arial" w:cs="Arial"/>
          <w:sz w:val="24"/>
          <w:szCs w:val="24"/>
        </w:rPr>
      </w:pPr>
      <w:r>
        <w:rPr>
          <w:rFonts w:ascii="Arial" w:hAnsi="Arial" w:cs="Arial"/>
          <w:sz w:val="24"/>
          <w:szCs w:val="24"/>
        </w:rPr>
        <w:t>Create a platform for real-time design prototyping</w:t>
      </w:r>
    </w:p>
    <w:p w14:paraId="24FCF300" w14:textId="07D4183E" w:rsidR="008B3927" w:rsidRDefault="008B3927" w:rsidP="00E813AD">
      <w:pPr>
        <w:pStyle w:val="ListParagraph"/>
        <w:numPr>
          <w:ilvl w:val="0"/>
          <w:numId w:val="25"/>
        </w:numPr>
        <w:rPr>
          <w:rFonts w:ascii="Arial" w:hAnsi="Arial" w:cs="Arial"/>
          <w:sz w:val="24"/>
          <w:szCs w:val="24"/>
        </w:rPr>
      </w:pPr>
      <w:r>
        <w:rPr>
          <w:rFonts w:ascii="Arial" w:hAnsi="Arial" w:cs="Arial"/>
          <w:sz w:val="24"/>
          <w:szCs w:val="24"/>
        </w:rPr>
        <w:t>Simulation systems for cost and sustainability</w:t>
      </w:r>
    </w:p>
    <w:p w14:paraId="68C1AA8B" w14:textId="04FA6F64" w:rsidR="008B3927" w:rsidRDefault="008B3927" w:rsidP="00E813AD">
      <w:pPr>
        <w:pStyle w:val="ListParagraph"/>
        <w:numPr>
          <w:ilvl w:val="0"/>
          <w:numId w:val="25"/>
        </w:numPr>
        <w:rPr>
          <w:rFonts w:ascii="Arial" w:hAnsi="Arial" w:cs="Arial"/>
          <w:sz w:val="24"/>
          <w:szCs w:val="24"/>
        </w:rPr>
      </w:pPr>
      <w:r>
        <w:rPr>
          <w:rFonts w:ascii="Arial" w:hAnsi="Arial" w:cs="Arial"/>
          <w:sz w:val="24"/>
          <w:szCs w:val="24"/>
        </w:rPr>
        <w:t>Virtual testing environments for product performance</w:t>
      </w:r>
    </w:p>
    <w:p w14:paraId="2F71D75E" w14:textId="195612B1" w:rsidR="008B3927" w:rsidRDefault="000E10E2" w:rsidP="00E813AD">
      <w:pPr>
        <w:pStyle w:val="ListParagraph"/>
        <w:numPr>
          <w:ilvl w:val="0"/>
          <w:numId w:val="25"/>
        </w:numPr>
        <w:rPr>
          <w:rFonts w:ascii="Arial" w:hAnsi="Arial" w:cs="Arial"/>
          <w:sz w:val="24"/>
          <w:szCs w:val="24"/>
        </w:rPr>
      </w:pPr>
      <w:r>
        <w:rPr>
          <w:rFonts w:ascii="Arial" w:hAnsi="Arial" w:cs="Arial"/>
          <w:sz w:val="24"/>
          <w:szCs w:val="24"/>
        </w:rPr>
        <w:t xml:space="preserve">Digitalised artwork submission and approval </w:t>
      </w:r>
    </w:p>
    <w:p w14:paraId="2CE60B1E" w14:textId="07DB2FDA" w:rsidR="000E10E2" w:rsidRDefault="000E10E2" w:rsidP="00E813AD">
      <w:pPr>
        <w:pStyle w:val="ListParagraph"/>
        <w:numPr>
          <w:ilvl w:val="0"/>
          <w:numId w:val="25"/>
        </w:numPr>
        <w:rPr>
          <w:rFonts w:ascii="Arial" w:hAnsi="Arial" w:cs="Arial"/>
          <w:sz w:val="24"/>
          <w:szCs w:val="24"/>
        </w:rPr>
      </w:pPr>
      <w:r>
        <w:rPr>
          <w:rFonts w:ascii="Arial" w:hAnsi="Arial" w:cs="Arial"/>
          <w:sz w:val="24"/>
          <w:szCs w:val="24"/>
        </w:rPr>
        <w:t>Establish co-creation labs at Amcor innovation centres</w:t>
      </w:r>
    </w:p>
    <w:p w14:paraId="43413217" w14:textId="4F39E8F4" w:rsidR="000E10E2" w:rsidRDefault="000E10E2" w:rsidP="00E813AD">
      <w:pPr>
        <w:pStyle w:val="ListParagraph"/>
        <w:numPr>
          <w:ilvl w:val="0"/>
          <w:numId w:val="25"/>
        </w:numPr>
        <w:rPr>
          <w:rFonts w:ascii="Arial" w:hAnsi="Arial" w:cs="Arial"/>
          <w:sz w:val="24"/>
          <w:szCs w:val="24"/>
        </w:rPr>
      </w:pPr>
      <w:r>
        <w:rPr>
          <w:rFonts w:ascii="Arial" w:hAnsi="Arial" w:cs="Arial"/>
          <w:sz w:val="24"/>
          <w:szCs w:val="24"/>
        </w:rPr>
        <w:t>Expand personalised packaging capabilities</w:t>
      </w:r>
    </w:p>
    <w:p w14:paraId="5E5D0C8D" w14:textId="4360402D" w:rsidR="000E10E2" w:rsidRDefault="000E10E2" w:rsidP="00E813AD">
      <w:pPr>
        <w:pStyle w:val="ListParagraph"/>
        <w:numPr>
          <w:ilvl w:val="0"/>
          <w:numId w:val="25"/>
        </w:numPr>
        <w:rPr>
          <w:rFonts w:ascii="Arial" w:hAnsi="Arial" w:cs="Arial"/>
          <w:sz w:val="24"/>
          <w:szCs w:val="24"/>
        </w:rPr>
      </w:pPr>
      <w:r>
        <w:rPr>
          <w:rFonts w:ascii="Arial" w:hAnsi="Arial" w:cs="Arial"/>
          <w:sz w:val="24"/>
          <w:szCs w:val="24"/>
        </w:rPr>
        <w:t>Invest in advanced digital printing and variable data</w:t>
      </w:r>
    </w:p>
    <w:p w14:paraId="111B6986" w14:textId="34626BEE" w:rsidR="000E10E2" w:rsidRDefault="000E10E2" w:rsidP="00E813AD">
      <w:pPr>
        <w:pStyle w:val="ListParagraph"/>
        <w:numPr>
          <w:ilvl w:val="0"/>
          <w:numId w:val="25"/>
        </w:numPr>
        <w:rPr>
          <w:rFonts w:ascii="Arial" w:hAnsi="Arial" w:cs="Arial"/>
          <w:sz w:val="24"/>
          <w:szCs w:val="24"/>
        </w:rPr>
      </w:pPr>
      <w:r>
        <w:rPr>
          <w:rFonts w:ascii="Arial" w:hAnsi="Arial" w:cs="Arial"/>
          <w:sz w:val="24"/>
          <w:szCs w:val="24"/>
        </w:rPr>
        <w:t xml:space="preserve">Develop </w:t>
      </w:r>
      <w:r w:rsidR="005B1573">
        <w:rPr>
          <w:rFonts w:ascii="Arial" w:hAnsi="Arial" w:cs="Arial"/>
          <w:sz w:val="24"/>
          <w:szCs w:val="24"/>
        </w:rPr>
        <w:t>configurable</w:t>
      </w:r>
      <w:r>
        <w:rPr>
          <w:rFonts w:ascii="Arial" w:hAnsi="Arial" w:cs="Arial"/>
          <w:sz w:val="24"/>
          <w:szCs w:val="24"/>
        </w:rPr>
        <w:t xml:space="preserve"> packaging templates</w:t>
      </w:r>
    </w:p>
    <w:p w14:paraId="4BA154A8" w14:textId="207740AD" w:rsidR="005B1573" w:rsidRDefault="005B1573" w:rsidP="005B1573">
      <w:pPr>
        <w:pStyle w:val="ListParagraph"/>
        <w:numPr>
          <w:ilvl w:val="0"/>
          <w:numId w:val="25"/>
        </w:numPr>
        <w:rPr>
          <w:rFonts w:ascii="Arial" w:hAnsi="Arial" w:cs="Arial"/>
          <w:sz w:val="24"/>
          <w:szCs w:val="24"/>
        </w:rPr>
      </w:pPr>
      <w:r>
        <w:rPr>
          <w:rFonts w:ascii="Arial" w:hAnsi="Arial" w:cs="Arial"/>
          <w:sz w:val="24"/>
          <w:szCs w:val="24"/>
        </w:rPr>
        <w:t>Offer short-run premium products for high value categories</w:t>
      </w:r>
    </w:p>
    <w:p w14:paraId="7F0FBBCD" w14:textId="41C0429C" w:rsidR="005B1573" w:rsidRPr="005B1573" w:rsidRDefault="005B1573" w:rsidP="005B1573">
      <w:pPr>
        <w:rPr>
          <w:rFonts w:ascii="Arial" w:hAnsi="Arial" w:cs="Arial"/>
          <w:sz w:val="24"/>
          <w:szCs w:val="24"/>
        </w:rPr>
      </w:pPr>
      <w:r>
        <w:rPr>
          <w:rFonts w:ascii="Arial" w:hAnsi="Arial" w:cs="Arial"/>
          <w:sz w:val="24"/>
          <w:szCs w:val="24"/>
        </w:rPr>
        <w:t>These actions reduce buyer bargaining power, enable premium pricing models whilst improving loyalty via an enhanced customer experience.</w:t>
      </w:r>
    </w:p>
    <w:p w14:paraId="3BAFD569" w14:textId="01BD83BB" w:rsidR="000E5F24" w:rsidRPr="0025614A" w:rsidRDefault="000F117E" w:rsidP="00513DA1">
      <w:pPr>
        <w:rPr>
          <w:rFonts w:ascii="Arial" w:hAnsi="Arial" w:cs="Arial"/>
          <w:sz w:val="24"/>
          <w:szCs w:val="24"/>
        </w:rPr>
      </w:pPr>
      <w:r>
        <w:rPr>
          <w:rFonts w:ascii="Arial" w:hAnsi="Arial" w:cs="Arial"/>
          <w:sz w:val="24"/>
          <w:szCs w:val="24"/>
        </w:rPr>
        <w:t>Furthermore,</w:t>
      </w:r>
      <w:r w:rsidR="00B31441">
        <w:rPr>
          <w:rFonts w:ascii="Arial" w:hAnsi="Arial" w:cs="Arial"/>
          <w:sz w:val="24"/>
          <w:szCs w:val="24"/>
        </w:rPr>
        <w:t xml:space="preserve"> Amcor should invest in the digitalisation of its operations.  Implementation of smart technologies </w:t>
      </w:r>
      <w:r>
        <w:rPr>
          <w:rFonts w:ascii="Arial" w:hAnsi="Arial" w:cs="Arial"/>
          <w:sz w:val="24"/>
          <w:szCs w:val="24"/>
        </w:rPr>
        <w:t>in the manufacturing sites will support the strategic direction by reducing costs, removing inefficiencies and upskilling the workforce</w:t>
      </w:r>
      <w:r w:rsidR="00183CA4">
        <w:rPr>
          <w:rFonts w:ascii="Arial" w:hAnsi="Arial" w:cs="Arial"/>
          <w:sz w:val="24"/>
          <w:szCs w:val="24"/>
        </w:rPr>
        <w:t xml:space="preserve"> (Frank et al</w:t>
      </w:r>
      <w:r w:rsidR="00394661">
        <w:rPr>
          <w:rFonts w:ascii="Arial" w:hAnsi="Arial" w:cs="Arial"/>
          <w:sz w:val="24"/>
          <w:szCs w:val="24"/>
        </w:rPr>
        <w:t>, 2019, Sony et al, 2020)</w:t>
      </w:r>
    </w:p>
    <w:p w14:paraId="4A9D57BF" w14:textId="77777777" w:rsidR="000E5F24" w:rsidRPr="0025614A" w:rsidRDefault="000E5F24" w:rsidP="00513DA1">
      <w:pPr>
        <w:rPr>
          <w:rFonts w:ascii="Arial" w:hAnsi="Arial" w:cs="Arial"/>
          <w:sz w:val="24"/>
          <w:szCs w:val="24"/>
        </w:rPr>
      </w:pPr>
    </w:p>
    <w:p w14:paraId="476DF76D" w14:textId="77777777" w:rsidR="000E5F24" w:rsidRPr="0025614A" w:rsidRDefault="000E5F24" w:rsidP="00513DA1">
      <w:pPr>
        <w:rPr>
          <w:rFonts w:ascii="Arial" w:hAnsi="Arial" w:cs="Arial"/>
          <w:sz w:val="24"/>
          <w:szCs w:val="24"/>
        </w:rPr>
      </w:pPr>
    </w:p>
    <w:p w14:paraId="5E11AB56" w14:textId="029D17A5" w:rsidR="00F4682E" w:rsidRPr="00EE01C9" w:rsidRDefault="00174FA7" w:rsidP="00EE01C9">
      <w:pPr>
        <w:pStyle w:val="ListParagraph"/>
        <w:numPr>
          <w:ilvl w:val="0"/>
          <w:numId w:val="2"/>
        </w:numPr>
        <w:jc w:val="center"/>
        <w:rPr>
          <w:rFonts w:ascii="Arial" w:hAnsi="Arial" w:cs="Arial"/>
          <w:sz w:val="24"/>
          <w:szCs w:val="24"/>
          <w:u w:val="single"/>
        </w:rPr>
      </w:pPr>
      <w:r w:rsidRPr="00EE01C9">
        <w:rPr>
          <w:rFonts w:ascii="Arial" w:hAnsi="Arial" w:cs="Arial"/>
          <w:b/>
          <w:bCs/>
          <w:sz w:val="24"/>
          <w:szCs w:val="24"/>
          <w:u w:val="single"/>
        </w:rPr>
        <w:t>Bibliography</w:t>
      </w:r>
    </w:p>
    <w:p w14:paraId="4C73F88C" w14:textId="0D432F4E" w:rsidR="00174FA7" w:rsidRPr="00126CFE" w:rsidRDefault="00174FA7"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Amcor (2025) </w:t>
      </w:r>
      <w:r w:rsidRPr="00126CFE">
        <w:rPr>
          <w:rFonts w:ascii="Arial" w:hAnsi="Arial" w:cs="Arial"/>
          <w:i/>
          <w:iCs/>
          <w:sz w:val="24"/>
          <w:szCs w:val="24"/>
        </w:rPr>
        <w:t>Our history</w:t>
      </w:r>
      <w:r w:rsidRPr="00126CFE">
        <w:rPr>
          <w:rFonts w:ascii="Arial" w:hAnsi="Arial" w:cs="Arial"/>
          <w:sz w:val="24"/>
          <w:szCs w:val="24"/>
        </w:rPr>
        <w:t xml:space="preserve">. Available at: </w:t>
      </w:r>
      <w:hyperlink r:id="rId8" w:tgtFrame="_new" w:history="1">
        <w:r w:rsidRPr="00126CFE">
          <w:rPr>
            <w:rStyle w:val="Hyperlink"/>
            <w:rFonts w:ascii="Arial" w:hAnsi="Arial" w:cs="Arial"/>
            <w:sz w:val="24"/>
            <w:szCs w:val="24"/>
            <w:u w:val="none"/>
          </w:rPr>
          <w:t>https://www.amcor.com/about/overview/history</w:t>
        </w:r>
      </w:hyperlink>
      <w:r w:rsidRPr="00126CFE">
        <w:rPr>
          <w:rFonts w:ascii="Arial" w:hAnsi="Arial" w:cs="Arial"/>
          <w:sz w:val="24"/>
          <w:szCs w:val="24"/>
        </w:rPr>
        <w:t xml:space="preserve"> (Accessed: 29 November 2025)</w:t>
      </w:r>
    </w:p>
    <w:p w14:paraId="54579A62" w14:textId="46193345" w:rsidR="00B14BE8" w:rsidRPr="00126CFE" w:rsidRDefault="00B14BE8"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Zhu, Z., Liu, W., Ye, S. &amp; Batista, L., 2022. </w:t>
      </w:r>
      <w:r w:rsidRPr="00126CFE">
        <w:rPr>
          <w:rFonts w:ascii="Arial" w:hAnsi="Arial" w:cs="Arial"/>
          <w:i/>
          <w:iCs/>
          <w:sz w:val="24"/>
          <w:szCs w:val="24"/>
        </w:rPr>
        <w:t>Packaging design for the circular economy: A systematic review</w:t>
      </w:r>
      <w:r w:rsidRPr="00126CFE">
        <w:rPr>
          <w:rFonts w:ascii="Arial" w:hAnsi="Arial" w:cs="Arial"/>
          <w:sz w:val="24"/>
          <w:szCs w:val="24"/>
        </w:rPr>
        <w:t>. Sustainable Production and Consumption, 32, pp.817–832</w:t>
      </w:r>
    </w:p>
    <w:p w14:paraId="1D7341C7" w14:textId="61A2D25C" w:rsidR="00B14BE8" w:rsidRPr="00126CFE" w:rsidRDefault="00B14BE8" w:rsidP="00174FA7">
      <w:pPr>
        <w:pStyle w:val="ListParagraph"/>
        <w:numPr>
          <w:ilvl w:val="0"/>
          <w:numId w:val="3"/>
        </w:numPr>
        <w:rPr>
          <w:rFonts w:ascii="Arial" w:hAnsi="Arial" w:cs="Arial"/>
          <w:sz w:val="24"/>
          <w:szCs w:val="24"/>
        </w:rPr>
      </w:pPr>
      <w:r w:rsidRPr="002C1C8A">
        <w:rPr>
          <w:rFonts w:ascii="Arial" w:hAnsi="Arial" w:cs="Arial"/>
          <w:sz w:val="24"/>
          <w:szCs w:val="24"/>
          <w:lang w:val="de-DE"/>
        </w:rPr>
        <w:t xml:space="preserve">Tomaschko, F., Reichelt, L. &amp; Krommes, S., 2024. </w:t>
      </w:r>
      <w:r w:rsidRPr="00126CFE">
        <w:rPr>
          <w:rFonts w:ascii="Arial" w:hAnsi="Arial" w:cs="Arial"/>
          <w:i/>
          <w:iCs/>
          <w:sz w:val="24"/>
          <w:szCs w:val="24"/>
        </w:rPr>
        <w:t>Digitalisation of Manufacturing Systems: A Literature Review of Approaches to Assess the Sustainability of Digitalisation Technologies in Production Systems</w:t>
      </w:r>
      <w:r w:rsidRPr="00126CFE">
        <w:rPr>
          <w:rFonts w:ascii="Arial" w:hAnsi="Arial" w:cs="Arial"/>
          <w:sz w:val="24"/>
          <w:szCs w:val="24"/>
        </w:rPr>
        <w:t>. Sustainability, 16(15), p.6275</w:t>
      </w:r>
    </w:p>
    <w:p w14:paraId="5B07C1EC" w14:textId="79C4FFA1" w:rsidR="00B14BE8" w:rsidRPr="00126CFE" w:rsidRDefault="00B14BE8" w:rsidP="00174FA7">
      <w:pPr>
        <w:pStyle w:val="ListParagraph"/>
        <w:numPr>
          <w:ilvl w:val="0"/>
          <w:numId w:val="3"/>
        </w:numPr>
        <w:rPr>
          <w:rFonts w:ascii="Arial" w:hAnsi="Arial" w:cs="Arial"/>
          <w:sz w:val="24"/>
          <w:szCs w:val="24"/>
        </w:rPr>
      </w:pPr>
      <w:r w:rsidRPr="002C1C8A">
        <w:rPr>
          <w:rFonts w:ascii="Arial" w:hAnsi="Arial" w:cs="Arial"/>
          <w:sz w:val="24"/>
          <w:szCs w:val="24"/>
          <w:lang w:val="it-IT"/>
        </w:rPr>
        <w:t xml:space="preserve">D’Amico, S., Ottolenghi, C. &amp; Iasevoli, G., 2023. </w:t>
      </w:r>
      <w:r w:rsidRPr="00126CFE">
        <w:rPr>
          <w:rFonts w:ascii="Arial" w:hAnsi="Arial" w:cs="Arial"/>
          <w:i/>
          <w:iCs/>
          <w:sz w:val="24"/>
          <w:szCs w:val="24"/>
        </w:rPr>
        <w:t>Packaging personalization in the food industry: an analysis of motivations, attitudes, and methods.</w:t>
      </w:r>
      <w:r w:rsidRPr="00126CFE">
        <w:rPr>
          <w:rFonts w:ascii="Arial" w:hAnsi="Arial" w:cs="Arial"/>
          <w:sz w:val="24"/>
          <w:szCs w:val="24"/>
        </w:rPr>
        <w:t xml:space="preserve"> In: Proceedings of the International Marketing Trends Congress.</w:t>
      </w:r>
    </w:p>
    <w:p w14:paraId="3BC3C860" w14:textId="379B9B40" w:rsidR="00B14BE8" w:rsidRPr="00126CFE" w:rsidRDefault="00B14BE8"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Teece, D.J., Peteraf, M. and Leih, S. (2016) ‘Dynamic Capabilities and Organizational Agility’, </w:t>
      </w:r>
      <w:r w:rsidRPr="00126CFE">
        <w:rPr>
          <w:rFonts w:ascii="Arial" w:hAnsi="Arial" w:cs="Arial"/>
          <w:i/>
          <w:iCs/>
          <w:sz w:val="24"/>
          <w:szCs w:val="24"/>
        </w:rPr>
        <w:t>California Management Review</w:t>
      </w:r>
      <w:r w:rsidRPr="00126CFE">
        <w:rPr>
          <w:rFonts w:ascii="Arial" w:hAnsi="Arial" w:cs="Arial"/>
          <w:sz w:val="24"/>
          <w:szCs w:val="24"/>
        </w:rPr>
        <w:t>, 58(4), pp. 13–35.</w:t>
      </w:r>
    </w:p>
    <w:p w14:paraId="4ACC6314" w14:textId="22C6A4DE" w:rsidR="00E047BB" w:rsidRPr="00126CFE" w:rsidRDefault="00E047BB"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Johnson, G., Whittington, R. and Scholes, K. (2023) </w:t>
      </w:r>
      <w:r w:rsidRPr="00126CFE">
        <w:rPr>
          <w:rFonts w:ascii="Arial" w:hAnsi="Arial" w:cs="Arial"/>
          <w:i/>
          <w:iCs/>
          <w:sz w:val="24"/>
          <w:szCs w:val="24"/>
        </w:rPr>
        <w:t>Exploring Corporate Strategy</w:t>
      </w:r>
      <w:r w:rsidRPr="00126CFE">
        <w:rPr>
          <w:rFonts w:ascii="Arial" w:hAnsi="Arial" w:cs="Arial"/>
          <w:sz w:val="24"/>
          <w:szCs w:val="24"/>
        </w:rPr>
        <w:t>. 13th edn. Pearson.</w:t>
      </w:r>
    </w:p>
    <w:p w14:paraId="64382A7F" w14:textId="34164B7B" w:rsidR="00E047BB" w:rsidRPr="00126CFE" w:rsidRDefault="00E047BB"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Porter, M.E. (1980) </w:t>
      </w:r>
      <w:r w:rsidRPr="00126CFE">
        <w:rPr>
          <w:rFonts w:ascii="Arial" w:hAnsi="Arial" w:cs="Arial"/>
          <w:i/>
          <w:iCs/>
          <w:sz w:val="24"/>
          <w:szCs w:val="24"/>
        </w:rPr>
        <w:t>Competitive Strategy</w:t>
      </w:r>
      <w:r w:rsidRPr="00126CFE">
        <w:rPr>
          <w:rFonts w:ascii="Arial" w:hAnsi="Arial" w:cs="Arial"/>
          <w:sz w:val="24"/>
          <w:szCs w:val="24"/>
        </w:rPr>
        <w:t>. Free Press.</w:t>
      </w:r>
    </w:p>
    <w:p w14:paraId="7B326B7F" w14:textId="116AEA68" w:rsidR="00E047BB" w:rsidRPr="00126CFE" w:rsidRDefault="00E047BB"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Barney, J. (1991) ‘Firm Resources and Sustained Competitive Advantage’, </w:t>
      </w:r>
      <w:r w:rsidRPr="00126CFE">
        <w:rPr>
          <w:rFonts w:ascii="Arial" w:hAnsi="Arial" w:cs="Arial"/>
          <w:i/>
          <w:iCs/>
          <w:sz w:val="24"/>
          <w:szCs w:val="24"/>
        </w:rPr>
        <w:t>Journal of Management</w:t>
      </w:r>
      <w:r w:rsidRPr="00126CFE">
        <w:rPr>
          <w:rFonts w:ascii="Arial" w:hAnsi="Arial" w:cs="Arial"/>
          <w:sz w:val="24"/>
          <w:szCs w:val="24"/>
        </w:rPr>
        <w:t>, 17(1), pp. 99–120.</w:t>
      </w:r>
    </w:p>
    <w:p w14:paraId="07894584" w14:textId="0536EDD7" w:rsidR="00E047BB" w:rsidRPr="00126CFE" w:rsidRDefault="00E047BB"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Porter, M.E. (1985) </w:t>
      </w:r>
      <w:r w:rsidRPr="00126CFE">
        <w:rPr>
          <w:rFonts w:ascii="Arial" w:hAnsi="Arial" w:cs="Arial"/>
          <w:i/>
          <w:iCs/>
          <w:sz w:val="24"/>
          <w:szCs w:val="24"/>
        </w:rPr>
        <w:t>Competitive Advantage</w:t>
      </w:r>
      <w:r w:rsidRPr="00126CFE">
        <w:rPr>
          <w:rFonts w:ascii="Arial" w:hAnsi="Arial" w:cs="Arial"/>
          <w:sz w:val="24"/>
          <w:szCs w:val="24"/>
        </w:rPr>
        <w:t>. Free Press.</w:t>
      </w:r>
    </w:p>
    <w:p w14:paraId="1517E04F" w14:textId="085967CB" w:rsidR="00E047BB" w:rsidRPr="00126CFE" w:rsidRDefault="00E047BB"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Grant, R.M. (2021) </w:t>
      </w:r>
      <w:r w:rsidRPr="00126CFE">
        <w:rPr>
          <w:rFonts w:ascii="Arial" w:hAnsi="Arial" w:cs="Arial"/>
          <w:i/>
          <w:iCs/>
          <w:sz w:val="24"/>
          <w:szCs w:val="24"/>
        </w:rPr>
        <w:t>Contemporary Strategy Analysis</w:t>
      </w:r>
      <w:r w:rsidRPr="00126CFE">
        <w:rPr>
          <w:rFonts w:ascii="Arial" w:hAnsi="Arial" w:cs="Arial"/>
          <w:sz w:val="24"/>
          <w:szCs w:val="24"/>
        </w:rPr>
        <w:t>. 11th edn. Wiley.</w:t>
      </w:r>
    </w:p>
    <w:p w14:paraId="4C196498" w14:textId="20024CE9" w:rsidR="00E047BB" w:rsidRPr="00126CFE" w:rsidRDefault="00195843"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Ansoff, H.I. (1957) ‘Strategies for Diversification’, </w:t>
      </w:r>
      <w:r w:rsidRPr="00126CFE">
        <w:rPr>
          <w:rFonts w:ascii="Arial" w:hAnsi="Arial" w:cs="Arial"/>
          <w:i/>
          <w:iCs/>
          <w:sz w:val="24"/>
          <w:szCs w:val="24"/>
        </w:rPr>
        <w:t>Harvard Business Review</w:t>
      </w:r>
      <w:r w:rsidRPr="00126CFE">
        <w:rPr>
          <w:rFonts w:ascii="Arial" w:hAnsi="Arial" w:cs="Arial"/>
          <w:sz w:val="24"/>
          <w:szCs w:val="24"/>
        </w:rPr>
        <w:t>, 35(5), pp. 113–124.</w:t>
      </w:r>
    </w:p>
    <w:p w14:paraId="21FEF936" w14:textId="1F992F71" w:rsidR="00195843" w:rsidRPr="00126CFE" w:rsidRDefault="00195843"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Bowman, C. and Faulkner, D. (1997) </w:t>
      </w:r>
      <w:r w:rsidRPr="00126CFE">
        <w:rPr>
          <w:rFonts w:ascii="Arial" w:hAnsi="Arial" w:cs="Arial"/>
          <w:i/>
          <w:iCs/>
          <w:sz w:val="24"/>
          <w:szCs w:val="24"/>
        </w:rPr>
        <w:t>Competitive and Corporate Strategy</w:t>
      </w:r>
      <w:r w:rsidRPr="00126CFE">
        <w:rPr>
          <w:rFonts w:ascii="Arial" w:hAnsi="Arial" w:cs="Arial"/>
          <w:sz w:val="24"/>
          <w:szCs w:val="24"/>
        </w:rPr>
        <w:t>. London: Irwin.</w:t>
      </w:r>
    </w:p>
    <w:p w14:paraId="01800E05" w14:textId="48BEE297" w:rsidR="00195843" w:rsidRPr="00126CFE" w:rsidRDefault="00195843"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Teece, D.J. (2007) ‘Explicating Dynamic Capabilities’, </w:t>
      </w:r>
      <w:r w:rsidRPr="00126CFE">
        <w:rPr>
          <w:rFonts w:ascii="Arial" w:hAnsi="Arial" w:cs="Arial"/>
          <w:i/>
          <w:iCs/>
          <w:sz w:val="24"/>
          <w:szCs w:val="24"/>
        </w:rPr>
        <w:t>Strategic Management Journal</w:t>
      </w:r>
      <w:r w:rsidRPr="00126CFE">
        <w:rPr>
          <w:rFonts w:ascii="Arial" w:hAnsi="Arial" w:cs="Arial"/>
          <w:sz w:val="24"/>
          <w:szCs w:val="24"/>
        </w:rPr>
        <w:t>, 28(13), pp. 1319–1350.</w:t>
      </w:r>
    </w:p>
    <w:p w14:paraId="172BA217" w14:textId="77777777" w:rsidR="00195843" w:rsidRPr="00126CFE" w:rsidRDefault="00195843"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McKinsey &amp; Company (2024) </w:t>
      </w:r>
      <w:r w:rsidRPr="00126CFE">
        <w:rPr>
          <w:rFonts w:ascii="Arial" w:hAnsi="Arial" w:cs="Arial"/>
          <w:i/>
          <w:iCs/>
          <w:sz w:val="24"/>
          <w:szCs w:val="24"/>
        </w:rPr>
        <w:t>Five fundamental truths: How B2B winners keep growing</w:t>
      </w:r>
      <w:r w:rsidRPr="00126CFE">
        <w:rPr>
          <w:rFonts w:ascii="Arial" w:hAnsi="Arial" w:cs="Arial"/>
          <w:sz w:val="24"/>
          <w:szCs w:val="24"/>
        </w:rPr>
        <w:t xml:space="preserve">. Available at: </w:t>
      </w:r>
      <w:hyperlink r:id="rId9" w:tgtFrame="_new" w:history="1">
        <w:r w:rsidRPr="00126CFE">
          <w:rPr>
            <w:rStyle w:val="Hyperlink"/>
            <w:rFonts w:ascii="Arial" w:hAnsi="Arial" w:cs="Arial"/>
            <w:sz w:val="24"/>
            <w:szCs w:val="24"/>
          </w:rPr>
          <w:t>https://www.mckinsey.com/capabilities/growth-marketing-and-sales/our-insights/five-fundamental-truths-how-b2b-winners-keep-growing</w:t>
        </w:r>
      </w:hyperlink>
      <w:r w:rsidRPr="00126CFE">
        <w:rPr>
          <w:rFonts w:ascii="Arial" w:hAnsi="Arial" w:cs="Arial"/>
          <w:sz w:val="24"/>
          <w:szCs w:val="24"/>
        </w:rPr>
        <w:t xml:space="preserve"> (Accessed: 29 November 2025).</w:t>
      </w:r>
    </w:p>
    <w:p w14:paraId="791925C2" w14:textId="77777777" w:rsidR="00195843" w:rsidRPr="00126CFE" w:rsidRDefault="00195843" w:rsidP="00174FA7">
      <w:pPr>
        <w:pStyle w:val="ListParagraph"/>
        <w:numPr>
          <w:ilvl w:val="0"/>
          <w:numId w:val="3"/>
        </w:numPr>
        <w:rPr>
          <w:rFonts w:ascii="Arial" w:hAnsi="Arial" w:cs="Arial"/>
          <w:sz w:val="24"/>
          <w:szCs w:val="24"/>
        </w:rPr>
      </w:pPr>
      <w:r w:rsidRPr="00126CFE">
        <w:rPr>
          <w:rFonts w:ascii="Arial" w:hAnsi="Arial" w:cs="Arial"/>
          <w:sz w:val="24"/>
          <w:szCs w:val="24"/>
        </w:rPr>
        <w:t xml:space="preserve">Boston Consulting Group (BCG) (2022) </w:t>
      </w:r>
      <w:r w:rsidRPr="00126CFE">
        <w:rPr>
          <w:rFonts w:ascii="Arial" w:hAnsi="Arial" w:cs="Arial"/>
          <w:i/>
          <w:iCs/>
          <w:sz w:val="24"/>
          <w:szCs w:val="24"/>
        </w:rPr>
        <w:t>Consumers Are the Key to Taking Green Mainstream</w:t>
      </w:r>
      <w:r w:rsidRPr="00126CFE">
        <w:rPr>
          <w:rFonts w:ascii="Arial" w:hAnsi="Arial" w:cs="Arial"/>
          <w:sz w:val="24"/>
          <w:szCs w:val="24"/>
        </w:rPr>
        <w:t xml:space="preserve">. Available at: </w:t>
      </w:r>
      <w:hyperlink r:id="rId10" w:tgtFrame="_new" w:history="1">
        <w:r w:rsidRPr="00126CFE">
          <w:rPr>
            <w:rStyle w:val="Hyperlink"/>
            <w:rFonts w:ascii="Arial" w:hAnsi="Arial" w:cs="Arial"/>
            <w:sz w:val="24"/>
            <w:szCs w:val="24"/>
          </w:rPr>
          <w:t>https://www.bcg.com/publications/2022/consumers-are-the-key-to-taking-sustainable-products-mainstream</w:t>
        </w:r>
      </w:hyperlink>
      <w:r w:rsidRPr="00126CFE">
        <w:rPr>
          <w:rFonts w:ascii="Arial" w:hAnsi="Arial" w:cs="Arial"/>
          <w:sz w:val="24"/>
          <w:szCs w:val="24"/>
        </w:rPr>
        <w:t xml:space="preserve"> (Accessed: 29 November 2025).</w:t>
      </w:r>
    </w:p>
    <w:p w14:paraId="06FC97C6" w14:textId="154F9DE9" w:rsidR="00195843" w:rsidRPr="00126CFE" w:rsidRDefault="00195843" w:rsidP="00195843">
      <w:pPr>
        <w:pStyle w:val="ListParagraph"/>
        <w:numPr>
          <w:ilvl w:val="0"/>
          <w:numId w:val="3"/>
        </w:numPr>
        <w:rPr>
          <w:rFonts w:ascii="Arial" w:hAnsi="Arial" w:cs="Arial"/>
          <w:sz w:val="24"/>
          <w:szCs w:val="24"/>
        </w:rPr>
      </w:pPr>
      <w:r w:rsidRPr="00126CFE">
        <w:rPr>
          <w:rFonts w:ascii="Arial" w:hAnsi="Arial" w:cs="Arial"/>
          <w:sz w:val="24"/>
          <w:szCs w:val="24"/>
        </w:rPr>
        <w:t>Payne, A. and Frow, P., 2013. </w:t>
      </w:r>
      <w:r w:rsidRPr="00126CFE">
        <w:rPr>
          <w:rFonts w:ascii="Arial" w:hAnsi="Arial" w:cs="Arial"/>
          <w:i/>
          <w:iCs/>
          <w:sz w:val="24"/>
          <w:szCs w:val="24"/>
        </w:rPr>
        <w:t>Strategic customer management: Integrating relationship marketing and CRM</w:t>
      </w:r>
      <w:r w:rsidRPr="00126CFE">
        <w:rPr>
          <w:rFonts w:ascii="Arial" w:hAnsi="Arial" w:cs="Arial"/>
          <w:sz w:val="24"/>
          <w:szCs w:val="24"/>
        </w:rPr>
        <w:t>. Cambridge University Press.</w:t>
      </w:r>
    </w:p>
    <w:p w14:paraId="7FB13A6F" w14:textId="45632AD4" w:rsidR="00071299" w:rsidRPr="00126CFE" w:rsidRDefault="00071299"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Circle Economy Foundation and Deloitte (2024) Global Circularity Gap Report 2024. Available at: </w:t>
      </w:r>
      <w:hyperlink r:id="rId11" w:history="1">
        <w:r w:rsidRPr="00126CFE">
          <w:rPr>
            <w:rStyle w:val="Hyperlink"/>
            <w:rFonts w:ascii="Arial" w:hAnsi="Arial" w:cs="Arial"/>
            <w:sz w:val="24"/>
            <w:szCs w:val="24"/>
          </w:rPr>
          <w:t>https://www.circularity-gap.world/2024</w:t>
        </w:r>
      </w:hyperlink>
      <w:r w:rsidRPr="00126CFE">
        <w:rPr>
          <w:rFonts w:ascii="Arial" w:hAnsi="Arial" w:cs="Arial"/>
          <w:sz w:val="24"/>
          <w:szCs w:val="24"/>
        </w:rPr>
        <w:t xml:space="preserve"> (Accessed: 29 November 2025)</w:t>
      </w:r>
    </w:p>
    <w:p w14:paraId="606A8B5C" w14:textId="6588D6B3" w:rsidR="007C44F9" w:rsidRPr="00126CFE" w:rsidRDefault="007C44F9"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OECD (2022) </w:t>
      </w:r>
      <w:r w:rsidRPr="00126CFE">
        <w:rPr>
          <w:rFonts w:ascii="Arial" w:hAnsi="Arial" w:cs="Arial"/>
          <w:i/>
          <w:iCs/>
          <w:sz w:val="24"/>
          <w:szCs w:val="24"/>
        </w:rPr>
        <w:t>Global Plastics Outlook: Policy Scenarios to 2060</w:t>
      </w:r>
      <w:r w:rsidRPr="00126CFE">
        <w:rPr>
          <w:rFonts w:ascii="Arial" w:hAnsi="Arial" w:cs="Arial"/>
          <w:sz w:val="24"/>
          <w:szCs w:val="24"/>
        </w:rPr>
        <w:t xml:space="preserve">. OECD Publishing, Paris. doi:10.1787/aa1edf33-en. Available at: </w:t>
      </w:r>
      <w:hyperlink r:id="rId12" w:tgtFrame="_new" w:history="1">
        <w:r w:rsidRPr="00126CFE">
          <w:rPr>
            <w:rStyle w:val="Hyperlink"/>
            <w:rFonts w:ascii="Arial" w:hAnsi="Arial" w:cs="Arial"/>
            <w:sz w:val="24"/>
            <w:szCs w:val="24"/>
          </w:rPr>
          <w:t>https://www.oecd.org/en/publications/global-plastics-outlook_aa1edf33-en.html</w:t>
        </w:r>
      </w:hyperlink>
      <w:r w:rsidRPr="00126CFE">
        <w:rPr>
          <w:rFonts w:ascii="Arial" w:hAnsi="Arial" w:cs="Arial"/>
          <w:sz w:val="24"/>
          <w:szCs w:val="24"/>
        </w:rPr>
        <w:t xml:space="preserve"> (Accessed: 29 November 2025).</w:t>
      </w:r>
    </w:p>
    <w:p w14:paraId="524EB808" w14:textId="0152EC0A" w:rsidR="000C5887" w:rsidRPr="00126CFE" w:rsidRDefault="000C5887"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European Chemicals Agency (ECHA) (2025) </w:t>
      </w:r>
      <w:r w:rsidRPr="00126CFE">
        <w:rPr>
          <w:rFonts w:ascii="Arial" w:hAnsi="Arial" w:cs="Arial"/>
          <w:i/>
          <w:iCs/>
          <w:sz w:val="24"/>
          <w:szCs w:val="24"/>
        </w:rPr>
        <w:t>Per- and polyfluoroalkyl substances (PFAS): regulation and restrictions</w:t>
      </w:r>
      <w:r w:rsidRPr="00126CFE">
        <w:rPr>
          <w:rFonts w:ascii="Arial" w:hAnsi="Arial" w:cs="Arial"/>
          <w:sz w:val="24"/>
          <w:szCs w:val="24"/>
        </w:rPr>
        <w:t xml:space="preserve">. Available at: </w:t>
      </w:r>
      <w:hyperlink r:id="rId13" w:tgtFrame="_new" w:history="1">
        <w:r w:rsidRPr="00126CFE">
          <w:rPr>
            <w:rStyle w:val="Hyperlink"/>
            <w:rFonts w:ascii="Arial" w:hAnsi="Arial" w:cs="Arial"/>
            <w:sz w:val="24"/>
            <w:szCs w:val="24"/>
          </w:rPr>
          <w:t>https://www.echa.europa.eu/hot-topics/perfluoroalkyl-chemicals-pfas</w:t>
        </w:r>
      </w:hyperlink>
      <w:r w:rsidRPr="00126CFE">
        <w:rPr>
          <w:rFonts w:ascii="Arial" w:hAnsi="Arial" w:cs="Arial"/>
          <w:sz w:val="24"/>
          <w:szCs w:val="24"/>
        </w:rPr>
        <w:t xml:space="preserve"> (Accessed: 1 December 2025)</w:t>
      </w:r>
    </w:p>
    <w:p w14:paraId="5AADF6BD" w14:textId="0284E751" w:rsidR="00FA5192" w:rsidRPr="00126CFE" w:rsidRDefault="00FA5192"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European Commission (2025) </w:t>
      </w:r>
      <w:r w:rsidRPr="00126CFE">
        <w:rPr>
          <w:rFonts w:ascii="Arial" w:hAnsi="Arial" w:cs="Arial"/>
          <w:i/>
          <w:iCs/>
          <w:sz w:val="24"/>
          <w:szCs w:val="24"/>
        </w:rPr>
        <w:t>Packaging and Packaging Waste Regulation (PPWR)</w:t>
      </w:r>
      <w:r w:rsidRPr="00126CFE">
        <w:rPr>
          <w:rFonts w:ascii="Arial" w:hAnsi="Arial" w:cs="Arial"/>
          <w:sz w:val="24"/>
          <w:szCs w:val="24"/>
        </w:rPr>
        <w:t xml:space="preserve">. Available at: </w:t>
      </w:r>
      <w:hyperlink r:id="rId14" w:tgtFrame="_new" w:history="1">
        <w:r w:rsidRPr="00126CFE">
          <w:rPr>
            <w:rStyle w:val="Hyperlink"/>
            <w:rFonts w:ascii="Arial" w:hAnsi="Arial" w:cs="Arial"/>
            <w:sz w:val="24"/>
            <w:szCs w:val="24"/>
          </w:rPr>
          <w:t>https://environment.ec.europa.eu/topics/waste-and-recycling/packaging-waste/packaging-packaging-waste-regulation_en</w:t>
        </w:r>
      </w:hyperlink>
      <w:r w:rsidRPr="00126CFE">
        <w:rPr>
          <w:rFonts w:ascii="Arial" w:hAnsi="Arial" w:cs="Arial"/>
          <w:sz w:val="24"/>
          <w:szCs w:val="24"/>
        </w:rPr>
        <w:t xml:space="preserve"> (Accessed: 1 December 2025)</w:t>
      </w:r>
    </w:p>
    <w:p w14:paraId="44436657" w14:textId="38969A30" w:rsidR="00304769" w:rsidRPr="00126CFE" w:rsidRDefault="00304769"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S&amp;P Global (2025) </w:t>
      </w:r>
      <w:r w:rsidRPr="00126CFE">
        <w:rPr>
          <w:rFonts w:ascii="Arial" w:hAnsi="Arial" w:cs="Arial"/>
          <w:i/>
          <w:iCs/>
          <w:sz w:val="24"/>
          <w:szCs w:val="24"/>
        </w:rPr>
        <w:t>Supply Chain Resilience: Geopolitical Risk and Global Trade</w:t>
      </w:r>
      <w:r w:rsidRPr="00126CFE">
        <w:rPr>
          <w:rFonts w:ascii="Arial" w:hAnsi="Arial" w:cs="Arial"/>
          <w:sz w:val="24"/>
          <w:szCs w:val="24"/>
        </w:rPr>
        <w:t xml:space="preserve">. Available at: </w:t>
      </w:r>
      <w:hyperlink r:id="rId15" w:tgtFrame="_new" w:history="1">
        <w:r w:rsidRPr="00126CFE">
          <w:rPr>
            <w:rStyle w:val="Hyperlink"/>
            <w:rFonts w:ascii="Arial" w:hAnsi="Arial" w:cs="Arial"/>
            <w:sz w:val="24"/>
            <w:szCs w:val="24"/>
          </w:rPr>
          <w:t>https://www.spglobal.com/en/research-insights/market-insights/geopolitical-risk/supply-chain-resilience</w:t>
        </w:r>
      </w:hyperlink>
      <w:r w:rsidRPr="00126CFE">
        <w:rPr>
          <w:rFonts w:ascii="Arial" w:hAnsi="Arial" w:cs="Arial"/>
          <w:sz w:val="24"/>
          <w:szCs w:val="24"/>
        </w:rPr>
        <w:t xml:space="preserve"> (Accessed: 1 December 2025).</w:t>
      </w:r>
    </w:p>
    <w:p w14:paraId="1CFD76AA" w14:textId="146C7271" w:rsidR="00AE3F6A" w:rsidRPr="00126CFE" w:rsidRDefault="00AE3F6A"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PwC (2024) </w:t>
      </w:r>
      <w:r w:rsidRPr="00126CFE">
        <w:rPr>
          <w:rFonts w:ascii="Arial" w:hAnsi="Arial" w:cs="Arial"/>
          <w:i/>
          <w:iCs/>
          <w:sz w:val="24"/>
          <w:szCs w:val="24"/>
        </w:rPr>
        <w:t>Reinventing supply chains for 2030</w:t>
      </w:r>
      <w:r w:rsidRPr="00126CFE">
        <w:rPr>
          <w:rFonts w:ascii="Arial" w:hAnsi="Arial" w:cs="Arial"/>
          <w:sz w:val="24"/>
          <w:szCs w:val="24"/>
        </w:rPr>
        <w:t xml:space="preserve">. Available at: </w:t>
      </w:r>
      <w:hyperlink r:id="rId16" w:tgtFrame="_new" w:history="1">
        <w:r w:rsidRPr="00126CFE">
          <w:rPr>
            <w:rStyle w:val="Hyperlink"/>
            <w:rFonts w:ascii="Arial" w:hAnsi="Arial" w:cs="Arial"/>
            <w:sz w:val="24"/>
            <w:szCs w:val="24"/>
          </w:rPr>
          <w:t>https://www.pwc.com/gx/en/services/consulting/digital-operations/reinventing-supply-chains-2030.html</w:t>
        </w:r>
      </w:hyperlink>
      <w:r w:rsidRPr="00126CFE">
        <w:rPr>
          <w:rFonts w:ascii="Arial" w:hAnsi="Arial" w:cs="Arial"/>
          <w:sz w:val="24"/>
          <w:szCs w:val="24"/>
        </w:rPr>
        <w:t xml:space="preserve"> (Accessed: 1 December 2025).</w:t>
      </w:r>
    </w:p>
    <w:p w14:paraId="3BC0816F" w14:textId="602EF1F2" w:rsidR="00F76226" w:rsidRPr="00126CFE" w:rsidRDefault="00F76226" w:rsidP="00071299">
      <w:pPr>
        <w:pStyle w:val="ListParagraph"/>
        <w:numPr>
          <w:ilvl w:val="0"/>
          <w:numId w:val="3"/>
        </w:numPr>
        <w:rPr>
          <w:rFonts w:ascii="Arial" w:hAnsi="Arial" w:cs="Arial"/>
          <w:sz w:val="24"/>
          <w:szCs w:val="24"/>
        </w:rPr>
      </w:pPr>
      <w:r w:rsidRPr="002C1C8A">
        <w:rPr>
          <w:rFonts w:ascii="Arial" w:hAnsi="Arial" w:cs="Arial"/>
          <w:sz w:val="24"/>
          <w:szCs w:val="24"/>
          <w:lang w:val="fr-FR"/>
        </w:rPr>
        <w:t>Cordeiro, A., Hussain, M., Ramachandran, T. </w:t>
      </w:r>
      <w:r w:rsidRPr="002C1C8A">
        <w:rPr>
          <w:rFonts w:ascii="Arial" w:hAnsi="Arial" w:cs="Arial"/>
          <w:i/>
          <w:iCs/>
          <w:sz w:val="24"/>
          <w:szCs w:val="24"/>
          <w:lang w:val="fr-FR"/>
        </w:rPr>
        <w:t>et al.</w:t>
      </w:r>
      <w:r w:rsidRPr="002C1C8A">
        <w:rPr>
          <w:rFonts w:ascii="Arial" w:hAnsi="Arial" w:cs="Arial"/>
          <w:sz w:val="24"/>
          <w:szCs w:val="24"/>
          <w:lang w:val="fr-FR"/>
        </w:rPr>
        <w:t> </w:t>
      </w:r>
      <w:r w:rsidRPr="00126CFE">
        <w:rPr>
          <w:rFonts w:ascii="Arial" w:hAnsi="Arial" w:cs="Arial"/>
          <w:sz w:val="24"/>
          <w:szCs w:val="24"/>
        </w:rPr>
        <w:t>Advancements in Packaging Materials: Trends, Sustainability, and Future Prospects. </w:t>
      </w:r>
      <w:r w:rsidRPr="00126CFE">
        <w:rPr>
          <w:rFonts w:ascii="Arial" w:hAnsi="Arial" w:cs="Arial"/>
          <w:i/>
          <w:iCs/>
          <w:sz w:val="24"/>
          <w:szCs w:val="24"/>
        </w:rPr>
        <w:t>Circ.Econ.Sust.</w:t>
      </w:r>
      <w:r w:rsidRPr="00126CFE">
        <w:rPr>
          <w:rFonts w:ascii="Arial" w:hAnsi="Arial" w:cs="Arial"/>
          <w:sz w:val="24"/>
          <w:szCs w:val="24"/>
        </w:rPr>
        <w:t> </w:t>
      </w:r>
      <w:r w:rsidRPr="00126CFE">
        <w:rPr>
          <w:rFonts w:ascii="Arial" w:hAnsi="Arial" w:cs="Arial"/>
          <w:b/>
          <w:bCs/>
          <w:sz w:val="24"/>
          <w:szCs w:val="24"/>
        </w:rPr>
        <w:t>5</w:t>
      </w:r>
      <w:r w:rsidRPr="00126CFE">
        <w:rPr>
          <w:rFonts w:ascii="Arial" w:hAnsi="Arial" w:cs="Arial"/>
          <w:sz w:val="24"/>
          <w:szCs w:val="24"/>
        </w:rPr>
        <w:t xml:space="preserve">, 2959–2990 (2025). </w:t>
      </w:r>
      <w:hyperlink r:id="rId17" w:history="1">
        <w:r w:rsidRPr="00126CFE">
          <w:rPr>
            <w:rStyle w:val="Hyperlink"/>
            <w:rFonts w:ascii="Arial" w:hAnsi="Arial" w:cs="Arial"/>
            <w:sz w:val="24"/>
            <w:szCs w:val="24"/>
          </w:rPr>
          <w:t>https://doi.org/10.1007/s43615-025-00586-4</w:t>
        </w:r>
      </w:hyperlink>
      <w:r w:rsidRPr="00126CFE">
        <w:rPr>
          <w:rFonts w:ascii="Arial" w:hAnsi="Arial" w:cs="Arial"/>
          <w:sz w:val="24"/>
          <w:szCs w:val="24"/>
        </w:rPr>
        <w:t xml:space="preserve"> </w:t>
      </w:r>
    </w:p>
    <w:p w14:paraId="3DDD9F82" w14:textId="37810698" w:rsidR="00A30140" w:rsidRPr="00126CFE" w:rsidRDefault="00A30140"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NielsenIQ (2015) </w:t>
      </w:r>
      <w:r w:rsidRPr="00126CFE">
        <w:rPr>
          <w:rFonts w:ascii="Arial" w:hAnsi="Arial" w:cs="Arial"/>
          <w:i/>
          <w:iCs/>
          <w:sz w:val="24"/>
          <w:szCs w:val="24"/>
        </w:rPr>
        <w:t>The Sustainability Imperative: New insights on consumer expectations</w:t>
      </w:r>
      <w:r w:rsidRPr="00126CFE">
        <w:rPr>
          <w:rFonts w:ascii="Arial" w:hAnsi="Arial" w:cs="Arial"/>
          <w:sz w:val="24"/>
          <w:szCs w:val="24"/>
        </w:rPr>
        <w:t xml:space="preserve">. Available at: </w:t>
      </w:r>
      <w:hyperlink r:id="rId18" w:tgtFrame="_new" w:history="1">
        <w:r w:rsidRPr="00126CFE">
          <w:rPr>
            <w:rStyle w:val="Hyperlink"/>
            <w:rFonts w:ascii="Arial" w:hAnsi="Arial" w:cs="Arial"/>
            <w:sz w:val="24"/>
            <w:szCs w:val="24"/>
          </w:rPr>
          <w:t>https://nielseniq.com/global/en/insights/analysis/2015/the-sustainability-imperative-2/</w:t>
        </w:r>
      </w:hyperlink>
      <w:r w:rsidRPr="00126CFE">
        <w:rPr>
          <w:rFonts w:ascii="Arial" w:hAnsi="Arial" w:cs="Arial"/>
          <w:sz w:val="24"/>
          <w:szCs w:val="24"/>
        </w:rPr>
        <w:t xml:space="preserve"> (Accessed: 1 December 2025)</w:t>
      </w:r>
    </w:p>
    <w:p w14:paraId="42690662" w14:textId="10EDD456" w:rsidR="002E1C31" w:rsidRPr="00126CFE" w:rsidRDefault="002E1C31" w:rsidP="00071299">
      <w:pPr>
        <w:pStyle w:val="ListParagraph"/>
        <w:numPr>
          <w:ilvl w:val="0"/>
          <w:numId w:val="3"/>
        </w:numPr>
        <w:rPr>
          <w:rFonts w:ascii="Arial" w:hAnsi="Arial" w:cs="Arial"/>
          <w:sz w:val="24"/>
          <w:szCs w:val="24"/>
        </w:rPr>
      </w:pPr>
      <w:r w:rsidRPr="00126CFE">
        <w:rPr>
          <w:rFonts w:ascii="Arial" w:hAnsi="Arial" w:cs="Arial"/>
          <w:sz w:val="24"/>
          <w:szCs w:val="24"/>
        </w:rPr>
        <w:t>De Canio, F. (2023) ‘Consumer willingness to pay more for pro</w:t>
      </w:r>
      <w:r w:rsidRPr="00126CFE">
        <w:rPr>
          <w:rFonts w:ascii="Arial" w:hAnsi="Arial" w:cs="Arial"/>
          <w:sz w:val="24"/>
          <w:szCs w:val="24"/>
        </w:rPr>
        <w:noBreakHyphen/>
        <w:t xml:space="preserve">environmental packages: The moderating role of familiarity’, </w:t>
      </w:r>
      <w:r w:rsidRPr="00126CFE">
        <w:rPr>
          <w:rFonts w:ascii="Arial" w:hAnsi="Arial" w:cs="Arial"/>
          <w:i/>
          <w:iCs/>
          <w:sz w:val="24"/>
          <w:szCs w:val="24"/>
        </w:rPr>
        <w:t>Journal of Environmental Management</w:t>
      </w:r>
      <w:r w:rsidRPr="00126CFE">
        <w:rPr>
          <w:rFonts w:ascii="Arial" w:hAnsi="Arial" w:cs="Arial"/>
          <w:sz w:val="24"/>
          <w:szCs w:val="24"/>
        </w:rPr>
        <w:t xml:space="preserve">, 339, 117828. Available at: </w:t>
      </w:r>
      <w:hyperlink r:id="rId19" w:tgtFrame="_new" w:history="1">
        <w:r w:rsidRPr="00126CFE">
          <w:rPr>
            <w:rStyle w:val="Hyperlink"/>
            <w:rFonts w:ascii="Arial" w:hAnsi="Arial" w:cs="Arial"/>
            <w:sz w:val="24"/>
            <w:szCs w:val="24"/>
          </w:rPr>
          <w:t>https://www.sciencedirect.com/science/article/pii/S0301479723006163</w:t>
        </w:r>
      </w:hyperlink>
    </w:p>
    <w:p w14:paraId="26273018" w14:textId="26C7DEC6" w:rsidR="00C54260" w:rsidRPr="00126CFE" w:rsidRDefault="00C54260"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Pine II, B. &amp; Gilmore, James. (2013). The experience economy: past, present and future. 10.4337/9781781004227.00007. </w:t>
      </w:r>
    </w:p>
    <w:p w14:paraId="20C814EB" w14:textId="57B02BA7" w:rsidR="005E7D16" w:rsidRPr="00126CFE" w:rsidRDefault="005E7D16"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Ellen MacArthur Foundation (2019) </w:t>
      </w:r>
      <w:r w:rsidRPr="00126CFE">
        <w:rPr>
          <w:rFonts w:ascii="Arial" w:hAnsi="Arial" w:cs="Arial"/>
          <w:i/>
          <w:iCs/>
          <w:sz w:val="24"/>
          <w:szCs w:val="24"/>
        </w:rPr>
        <w:t>Completing the picture: How the circular economy tackles climate change</w:t>
      </w:r>
      <w:r w:rsidRPr="00126CFE">
        <w:rPr>
          <w:rFonts w:ascii="Arial" w:hAnsi="Arial" w:cs="Arial"/>
          <w:sz w:val="24"/>
          <w:szCs w:val="24"/>
        </w:rPr>
        <w:t xml:space="preserve">. Available at: </w:t>
      </w:r>
      <w:hyperlink r:id="rId20" w:tgtFrame="_new" w:history="1">
        <w:r w:rsidRPr="00126CFE">
          <w:rPr>
            <w:rStyle w:val="Hyperlink"/>
            <w:rFonts w:ascii="Arial" w:hAnsi="Arial" w:cs="Arial"/>
            <w:sz w:val="24"/>
            <w:szCs w:val="24"/>
          </w:rPr>
          <w:t>https://www.ellenmacarthurfoundation.org/completing-the-picture</w:t>
        </w:r>
      </w:hyperlink>
      <w:r w:rsidRPr="00126CFE">
        <w:rPr>
          <w:rFonts w:ascii="Arial" w:hAnsi="Arial" w:cs="Arial"/>
          <w:sz w:val="24"/>
          <w:szCs w:val="24"/>
        </w:rPr>
        <w:t xml:space="preserve"> (Accessed: 1 December 2025)</w:t>
      </w:r>
    </w:p>
    <w:p w14:paraId="20334836" w14:textId="582C744B" w:rsidR="00EC430F" w:rsidRPr="00126CFE" w:rsidRDefault="00EC430F" w:rsidP="00071299">
      <w:pPr>
        <w:pStyle w:val="ListParagraph"/>
        <w:numPr>
          <w:ilvl w:val="0"/>
          <w:numId w:val="3"/>
        </w:numPr>
        <w:rPr>
          <w:rFonts w:ascii="Arial" w:hAnsi="Arial" w:cs="Arial"/>
          <w:sz w:val="24"/>
          <w:szCs w:val="24"/>
        </w:rPr>
      </w:pPr>
      <w:r w:rsidRPr="00126CFE">
        <w:rPr>
          <w:rFonts w:ascii="Arial" w:hAnsi="Arial" w:cs="Arial"/>
          <w:sz w:val="24"/>
          <w:szCs w:val="24"/>
        </w:rPr>
        <w:t>Stauss, T. </w:t>
      </w:r>
      <w:r w:rsidRPr="00126CFE">
        <w:rPr>
          <w:rFonts w:ascii="Arial" w:hAnsi="Arial" w:cs="Arial"/>
          <w:i/>
          <w:iCs/>
          <w:sz w:val="24"/>
          <w:szCs w:val="24"/>
        </w:rPr>
        <w:t>et al.</w:t>
      </w:r>
      <w:r w:rsidRPr="00126CFE">
        <w:rPr>
          <w:rFonts w:ascii="Arial" w:hAnsi="Arial" w:cs="Arial"/>
          <w:sz w:val="24"/>
          <w:szCs w:val="24"/>
        </w:rPr>
        <w:t> (2025) ‘Enhancing product design with digital twins: framework and application in an industry case study’, </w:t>
      </w:r>
      <w:r w:rsidRPr="00126CFE">
        <w:rPr>
          <w:rFonts w:ascii="Arial" w:hAnsi="Arial" w:cs="Arial"/>
          <w:i/>
          <w:iCs/>
          <w:sz w:val="24"/>
          <w:szCs w:val="24"/>
        </w:rPr>
        <w:t>Proceedings of the Design Society</w:t>
      </w:r>
      <w:r w:rsidRPr="00126CFE">
        <w:rPr>
          <w:rFonts w:ascii="Arial" w:hAnsi="Arial" w:cs="Arial"/>
          <w:sz w:val="24"/>
          <w:szCs w:val="24"/>
        </w:rPr>
        <w:t>, 5, pp. 1555–1564. doi:10.1017/pds.2025.10169.</w:t>
      </w:r>
    </w:p>
    <w:p w14:paraId="3CF1BB4C" w14:textId="2D337FFA" w:rsidR="002116E3" w:rsidRPr="00126CFE" w:rsidRDefault="002116E3"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United Nations Environment Programme (UNEP) (2021) </w:t>
      </w:r>
      <w:r w:rsidRPr="00126CFE">
        <w:rPr>
          <w:rFonts w:ascii="Arial" w:hAnsi="Arial" w:cs="Arial"/>
          <w:i/>
          <w:iCs/>
          <w:sz w:val="24"/>
          <w:szCs w:val="24"/>
        </w:rPr>
        <w:t>From Pollution to Solution: A Global Assessment of Marine Litter and Plastic Pollution</w:t>
      </w:r>
      <w:r w:rsidRPr="00126CFE">
        <w:rPr>
          <w:rFonts w:ascii="Arial" w:hAnsi="Arial" w:cs="Arial"/>
          <w:sz w:val="24"/>
          <w:szCs w:val="24"/>
        </w:rPr>
        <w:t xml:space="preserve">. Available at: </w:t>
      </w:r>
      <w:hyperlink r:id="rId21" w:tgtFrame="_new" w:history="1">
        <w:r w:rsidRPr="00126CFE">
          <w:rPr>
            <w:rStyle w:val="Hyperlink"/>
            <w:rFonts w:ascii="Arial" w:hAnsi="Arial" w:cs="Arial"/>
            <w:sz w:val="24"/>
            <w:szCs w:val="24"/>
          </w:rPr>
          <w:t>https://wedocs.unep.org/20.500.11822/36963</w:t>
        </w:r>
      </w:hyperlink>
      <w:r w:rsidRPr="00126CFE">
        <w:rPr>
          <w:rFonts w:ascii="Arial" w:hAnsi="Arial" w:cs="Arial"/>
          <w:sz w:val="24"/>
          <w:szCs w:val="24"/>
        </w:rPr>
        <w:t xml:space="preserve"> (Accessed: 1 December 2025)</w:t>
      </w:r>
    </w:p>
    <w:p w14:paraId="26575E3F" w14:textId="136179FF" w:rsidR="008C6B5E" w:rsidRPr="00126CFE" w:rsidRDefault="008C6B5E" w:rsidP="00071299">
      <w:pPr>
        <w:pStyle w:val="ListParagraph"/>
        <w:numPr>
          <w:ilvl w:val="0"/>
          <w:numId w:val="3"/>
        </w:numPr>
        <w:rPr>
          <w:rFonts w:ascii="Arial" w:hAnsi="Arial" w:cs="Arial"/>
          <w:sz w:val="24"/>
          <w:szCs w:val="24"/>
        </w:rPr>
      </w:pPr>
      <w:r w:rsidRPr="00126CFE">
        <w:rPr>
          <w:rFonts w:ascii="Arial" w:hAnsi="Arial" w:cs="Arial"/>
          <w:sz w:val="24"/>
          <w:szCs w:val="24"/>
        </w:rPr>
        <w:t>Ahfeeth, A. M. J., &amp; Çelebi, A. (2025). Environmental Fines and Corporate Sustainability: The Moderating Role of Governance, Firm Size, and Institutional Ownership. </w:t>
      </w:r>
      <w:r w:rsidRPr="00126CFE">
        <w:rPr>
          <w:rFonts w:ascii="Arial" w:hAnsi="Arial" w:cs="Arial"/>
          <w:i/>
          <w:iCs/>
          <w:sz w:val="24"/>
          <w:szCs w:val="24"/>
        </w:rPr>
        <w:t>Sustainability</w:t>
      </w:r>
      <w:r w:rsidRPr="00126CFE">
        <w:rPr>
          <w:rFonts w:ascii="Arial" w:hAnsi="Arial" w:cs="Arial"/>
          <w:sz w:val="24"/>
          <w:szCs w:val="24"/>
        </w:rPr>
        <w:t>, </w:t>
      </w:r>
      <w:r w:rsidRPr="00126CFE">
        <w:rPr>
          <w:rFonts w:ascii="Arial" w:hAnsi="Arial" w:cs="Arial"/>
          <w:i/>
          <w:iCs/>
          <w:sz w:val="24"/>
          <w:szCs w:val="24"/>
        </w:rPr>
        <w:t>17</w:t>
      </w:r>
      <w:r w:rsidRPr="00126CFE">
        <w:rPr>
          <w:rFonts w:ascii="Arial" w:hAnsi="Arial" w:cs="Arial"/>
          <w:sz w:val="24"/>
          <w:szCs w:val="24"/>
        </w:rPr>
        <w:t xml:space="preserve">(20), 9252. </w:t>
      </w:r>
      <w:hyperlink r:id="rId22" w:history="1">
        <w:r w:rsidRPr="00126CFE">
          <w:rPr>
            <w:rStyle w:val="Hyperlink"/>
            <w:rFonts w:ascii="Arial" w:hAnsi="Arial" w:cs="Arial"/>
            <w:sz w:val="24"/>
            <w:szCs w:val="24"/>
          </w:rPr>
          <w:t>https://doi.org/10.3390/su17209252</w:t>
        </w:r>
      </w:hyperlink>
      <w:r w:rsidRPr="00126CFE">
        <w:rPr>
          <w:rFonts w:ascii="Arial" w:hAnsi="Arial" w:cs="Arial"/>
          <w:sz w:val="24"/>
          <w:szCs w:val="24"/>
        </w:rPr>
        <w:t xml:space="preserve"> </w:t>
      </w:r>
    </w:p>
    <w:p w14:paraId="5E2CF400" w14:textId="7C99CC60" w:rsidR="00D954DA" w:rsidRPr="00126CFE" w:rsidRDefault="00D954DA" w:rsidP="00071299">
      <w:pPr>
        <w:pStyle w:val="ListParagraph"/>
        <w:numPr>
          <w:ilvl w:val="0"/>
          <w:numId w:val="3"/>
        </w:numPr>
        <w:rPr>
          <w:rFonts w:ascii="Arial" w:hAnsi="Arial" w:cs="Arial"/>
          <w:sz w:val="24"/>
          <w:szCs w:val="24"/>
        </w:rPr>
      </w:pPr>
      <w:r w:rsidRPr="00126CFE">
        <w:rPr>
          <w:rFonts w:ascii="Arial" w:hAnsi="Arial" w:cs="Arial"/>
          <w:sz w:val="24"/>
          <w:szCs w:val="24"/>
        </w:rPr>
        <w:lastRenderedPageBreak/>
        <w:t xml:space="preserve">Karakaya, Fahri. (2002). Barriers to entry in industrial markets. Journal of Business &amp; Industrial Marketing. 17. 379-388. 10.1108/08858620210439059. </w:t>
      </w:r>
    </w:p>
    <w:p w14:paraId="16A82738" w14:textId="54DF0256" w:rsidR="000443D9" w:rsidRPr="00126CFE" w:rsidRDefault="000443D9"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Global Venturing (2024) ‘7 new startups reshaping the packaging sector’, </w:t>
      </w:r>
      <w:r w:rsidRPr="00126CFE">
        <w:rPr>
          <w:rFonts w:ascii="Arial" w:hAnsi="Arial" w:cs="Arial"/>
          <w:i/>
          <w:iCs/>
          <w:sz w:val="24"/>
          <w:szCs w:val="24"/>
        </w:rPr>
        <w:t>Global Venturing</w:t>
      </w:r>
      <w:r w:rsidRPr="00126CFE">
        <w:rPr>
          <w:rFonts w:ascii="Arial" w:hAnsi="Arial" w:cs="Arial"/>
          <w:sz w:val="24"/>
          <w:szCs w:val="24"/>
        </w:rPr>
        <w:t xml:space="preserve">. Available at: </w:t>
      </w:r>
      <w:hyperlink r:id="rId23" w:tgtFrame="_new" w:history="1">
        <w:r w:rsidRPr="00126CFE">
          <w:rPr>
            <w:rStyle w:val="Hyperlink"/>
            <w:rFonts w:ascii="Arial" w:hAnsi="Arial" w:cs="Arial"/>
            <w:sz w:val="24"/>
            <w:szCs w:val="24"/>
          </w:rPr>
          <w:t>https://www.globalventuring.com/corporate/9-startups-reshaping-the-packaging-sector/</w:t>
        </w:r>
      </w:hyperlink>
      <w:r w:rsidRPr="00126CFE">
        <w:rPr>
          <w:rFonts w:ascii="Arial" w:hAnsi="Arial" w:cs="Arial"/>
          <w:sz w:val="24"/>
          <w:szCs w:val="24"/>
        </w:rPr>
        <w:t xml:space="preserve"> (Accessed: 7 December 2025)</w:t>
      </w:r>
    </w:p>
    <w:p w14:paraId="44676AB8" w14:textId="4CCB3967" w:rsidR="008C3FDC" w:rsidRPr="00126CFE" w:rsidRDefault="008C3FDC" w:rsidP="00071299">
      <w:pPr>
        <w:pStyle w:val="ListParagraph"/>
        <w:numPr>
          <w:ilvl w:val="0"/>
          <w:numId w:val="3"/>
        </w:numPr>
        <w:rPr>
          <w:rFonts w:ascii="Arial" w:hAnsi="Arial" w:cs="Arial"/>
          <w:sz w:val="24"/>
          <w:szCs w:val="24"/>
        </w:rPr>
      </w:pPr>
      <w:r w:rsidRPr="00126CFE">
        <w:rPr>
          <w:rFonts w:ascii="Arial" w:hAnsi="Arial" w:cs="Arial"/>
          <w:sz w:val="24"/>
          <w:szCs w:val="24"/>
        </w:rPr>
        <w:t>Pathak, B., Ashok, M. and Leng Tan, Y. (2022) ‘Value co-creation in the B2B context: a conceptual framework and its implications’, </w:t>
      </w:r>
      <w:r w:rsidRPr="00126CFE">
        <w:rPr>
          <w:rFonts w:ascii="Arial" w:hAnsi="Arial" w:cs="Arial"/>
          <w:i/>
          <w:iCs/>
          <w:sz w:val="24"/>
          <w:szCs w:val="24"/>
        </w:rPr>
        <w:t>The Service Industries Journal</w:t>
      </w:r>
      <w:r w:rsidRPr="00126CFE">
        <w:rPr>
          <w:rFonts w:ascii="Arial" w:hAnsi="Arial" w:cs="Arial"/>
          <w:sz w:val="24"/>
          <w:szCs w:val="24"/>
        </w:rPr>
        <w:t>, 42(3–4), pp. 178–205. doi: 10.1080/02642069.2021.1989414.</w:t>
      </w:r>
    </w:p>
    <w:p w14:paraId="72155C07" w14:textId="2328B435" w:rsidR="00895562" w:rsidRPr="00126CFE" w:rsidRDefault="00895562"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Amcor plc (n.d.) </w:t>
      </w:r>
      <w:r w:rsidRPr="00126CFE">
        <w:rPr>
          <w:rFonts w:ascii="Arial" w:hAnsi="Arial" w:cs="Arial"/>
          <w:i/>
          <w:iCs/>
          <w:sz w:val="24"/>
          <w:szCs w:val="24"/>
        </w:rPr>
        <w:t>Innovation in packaging</w:t>
      </w:r>
      <w:r w:rsidRPr="00126CFE">
        <w:rPr>
          <w:rFonts w:ascii="Arial" w:hAnsi="Arial" w:cs="Arial"/>
          <w:sz w:val="24"/>
          <w:szCs w:val="24"/>
        </w:rPr>
        <w:t xml:space="preserve">. Available at: </w:t>
      </w:r>
      <w:hyperlink r:id="rId24" w:tgtFrame="_new" w:history="1">
        <w:r w:rsidRPr="00126CFE">
          <w:rPr>
            <w:rStyle w:val="Hyperlink"/>
            <w:rFonts w:ascii="Arial" w:hAnsi="Arial" w:cs="Arial"/>
            <w:sz w:val="24"/>
            <w:szCs w:val="24"/>
          </w:rPr>
          <w:t>https://www.amcor.com/about/overview/innovation</w:t>
        </w:r>
      </w:hyperlink>
      <w:r w:rsidRPr="00126CFE">
        <w:rPr>
          <w:rFonts w:ascii="Arial" w:hAnsi="Arial" w:cs="Arial"/>
          <w:sz w:val="24"/>
          <w:szCs w:val="24"/>
        </w:rPr>
        <w:t xml:space="preserve"> (Accessed: 1 December 2025).</w:t>
      </w:r>
    </w:p>
    <w:p w14:paraId="7515288C" w14:textId="4BD2DED0" w:rsidR="00B22869" w:rsidRPr="00126CFE" w:rsidRDefault="00B22869" w:rsidP="00071299">
      <w:pPr>
        <w:pStyle w:val="ListParagraph"/>
        <w:numPr>
          <w:ilvl w:val="0"/>
          <w:numId w:val="3"/>
        </w:numPr>
        <w:rPr>
          <w:rFonts w:ascii="Arial" w:hAnsi="Arial" w:cs="Arial"/>
          <w:sz w:val="24"/>
          <w:szCs w:val="24"/>
        </w:rPr>
      </w:pPr>
      <w:r w:rsidRPr="00126CFE">
        <w:rPr>
          <w:rFonts w:ascii="Arial" w:hAnsi="Arial" w:cs="Arial"/>
          <w:sz w:val="24"/>
          <w:szCs w:val="24"/>
        </w:rPr>
        <w:t>Pathan, R.K. and Aurisicchio, M. (2025) ‘Design framework for circular and sustainable packaging design’, </w:t>
      </w:r>
      <w:r w:rsidRPr="00126CFE">
        <w:rPr>
          <w:rFonts w:ascii="Arial" w:hAnsi="Arial" w:cs="Arial"/>
          <w:i/>
          <w:iCs/>
          <w:sz w:val="24"/>
          <w:szCs w:val="24"/>
        </w:rPr>
        <w:t>Proceedings of the Design Society</w:t>
      </w:r>
      <w:r w:rsidRPr="00126CFE">
        <w:rPr>
          <w:rFonts w:ascii="Arial" w:hAnsi="Arial" w:cs="Arial"/>
          <w:sz w:val="24"/>
          <w:szCs w:val="24"/>
        </w:rPr>
        <w:t xml:space="preserve">, 5, pp. 1175–1184. doi:10.1017/pds.2025.10131. </w:t>
      </w:r>
    </w:p>
    <w:p w14:paraId="3910A41B" w14:textId="7BEE5FA9" w:rsidR="00AC3893" w:rsidRPr="00126CFE" w:rsidRDefault="00AC3893"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Mondi (2025) </w:t>
      </w:r>
      <w:r w:rsidRPr="00126CFE">
        <w:rPr>
          <w:rFonts w:ascii="Arial" w:hAnsi="Arial" w:cs="Arial"/>
          <w:i/>
          <w:iCs/>
          <w:sz w:val="24"/>
          <w:szCs w:val="24"/>
        </w:rPr>
        <w:t>Inside Mondi FlexStudios – and its innovation for circular packaging</w:t>
      </w:r>
      <w:r w:rsidRPr="00126CFE">
        <w:rPr>
          <w:rFonts w:ascii="Arial" w:hAnsi="Arial" w:cs="Arial"/>
          <w:sz w:val="24"/>
          <w:szCs w:val="24"/>
        </w:rPr>
        <w:t xml:space="preserve">. Available at: </w:t>
      </w:r>
      <w:hyperlink r:id="rId25" w:tgtFrame="_new" w:history="1">
        <w:r w:rsidRPr="00126CFE">
          <w:rPr>
            <w:rStyle w:val="Hyperlink"/>
            <w:rFonts w:ascii="Arial" w:hAnsi="Arial" w:cs="Arial"/>
            <w:sz w:val="24"/>
            <w:szCs w:val="24"/>
          </w:rPr>
          <w:t>https://www.mondigroup.com/news-and-insight/2025/inside-mondi-flexstudios-and-its-innovation-for-circular-packaging/</w:t>
        </w:r>
      </w:hyperlink>
    </w:p>
    <w:p w14:paraId="403347C7" w14:textId="2FB62079" w:rsidR="007B07A5" w:rsidRPr="00126CFE" w:rsidRDefault="007B07A5" w:rsidP="00071299">
      <w:pPr>
        <w:pStyle w:val="ListParagraph"/>
        <w:numPr>
          <w:ilvl w:val="0"/>
          <w:numId w:val="3"/>
        </w:numPr>
        <w:rPr>
          <w:rFonts w:ascii="Arial" w:hAnsi="Arial" w:cs="Arial"/>
          <w:sz w:val="24"/>
          <w:szCs w:val="24"/>
        </w:rPr>
      </w:pPr>
      <w:r w:rsidRPr="00126CFE">
        <w:rPr>
          <w:rFonts w:ascii="Arial" w:hAnsi="Arial" w:cs="Arial"/>
          <w:sz w:val="24"/>
          <w:szCs w:val="24"/>
        </w:rPr>
        <w:t>Liu, Y., Zhao, X. &amp; Wang, T. (2023) ‘Value</w:t>
      </w:r>
      <w:r w:rsidRPr="00126CFE">
        <w:rPr>
          <w:rFonts w:ascii="Arial" w:hAnsi="Arial" w:cs="Arial"/>
          <w:sz w:val="24"/>
          <w:szCs w:val="24"/>
        </w:rPr>
        <w:noBreakHyphen/>
        <w:t xml:space="preserve">Based Selling Capability: Antecedents and Implications for B2B Sales Performance’, </w:t>
      </w:r>
      <w:r w:rsidRPr="00126CFE">
        <w:rPr>
          <w:rFonts w:ascii="Arial" w:hAnsi="Arial" w:cs="Arial"/>
          <w:i/>
          <w:iCs/>
          <w:sz w:val="24"/>
          <w:szCs w:val="24"/>
        </w:rPr>
        <w:t>Journal of Business-to-Business Marketing</w:t>
      </w:r>
      <w:r w:rsidRPr="00126CFE">
        <w:rPr>
          <w:rFonts w:ascii="Arial" w:hAnsi="Arial" w:cs="Arial"/>
          <w:sz w:val="24"/>
          <w:szCs w:val="24"/>
        </w:rPr>
        <w:t>, Online first. doi:10.1080/1051712X.2023.2272985</w:t>
      </w:r>
    </w:p>
    <w:p w14:paraId="71284710" w14:textId="1A2B0893" w:rsidR="00B36B40" w:rsidRPr="00126CFE" w:rsidRDefault="00B36B40" w:rsidP="00071299">
      <w:pPr>
        <w:pStyle w:val="ListParagraph"/>
        <w:numPr>
          <w:ilvl w:val="0"/>
          <w:numId w:val="3"/>
        </w:numPr>
        <w:rPr>
          <w:rFonts w:ascii="Arial" w:hAnsi="Arial" w:cs="Arial"/>
          <w:sz w:val="24"/>
          <w:szCs w:val="24"/>
        </w:rPr>
      </w:pPr>
      <w:r w:rsidRPr="00126CFE">
        <w:rPr>
          <w:rFonts w:ascii="Arial" w:hAnsi="Arial" w:cs="Arial"/>
          <w:sz w:val="24"/>
          <w:szCs w:val="24"/>
        </w:rPr>
        <w:t>Tushman, M. L., &amp; O’Reilly, C. A. (2013). Organizational Ambidexterity: Past, Present, and Future. </w:t>
      </w:r>
      <w:r w:rsidRPr="00126CFE">
        <w:rPr>
          <w:rFonts w:ascii="Arial" w:hAnsi="Arial" w:cs="Arial"/>
          <w:i/>
          <w:iCs/>
          <w:sz w:val="24"/>
          <w:szCs w:val="24"/>
        </w:rPr>
        <w:t>Academy of Management Perspectives, 27,</w:t>
      </w:r>
      <w:r w:rsidRPr="00126CFE">
        <w:rPr>
          <w:rFonts w:ascii="Arial" w:hAnsi="Arial" w:cs="Arial"/>
          <w:sz w:val="24"/>
          <w:szCs w:val="24"/>
        </w:rPr>
        <w:t> 324-338.</w:t>
      </w:r>
      <w:r w:rsidRPr="00126CFE">
        <w:rPr>
          <w:rFonts w:ascii="Arial" w:hAnsi="Arial" w:cs="Arial"/>
          <w:sz w:val="24"/>
          <w:szCs w:val="24"/>
        </w:rPr>
        <w:br/>
      </w:r>
      <w:hyperlink r:id="rId26" w:history="1">
        <w:r w:rsidRPr="00126CFE">
          <w:rPr>
            <w:rStyle w:val="Hyperlink"/>
            <w:rFonts w:ascii="Arial" w:hAnsi="Arial" w:cs="Arial"/>
            <w:sz w:val="24"/>
            <w:szCs w:val="24"/>
          </w:rPr>
          <w:t>https://doi.org/10.5465/amp.2013.0025</w:t>
        </w:r>
      </w:hyperlink>
      <w:r w:rsidRPr="00126CFE">
        <w:rPr>
          <w:rFonts w:ascii="Arial" w:hAnsi="Arial" w:cs="Arial"/>
          <w:sz w:val="24"/>
          <w:szCs w:val="24"/>
        </w:rPr>
        <w:t xml:space="preserve"> </w:t>
      </w:r>
    </w:p>
    <w:p w14:paraId="16854ABA" w14:textId="20798F50" w:rsidR="00715E02" w:rsidRPr="00126CFE" w:rsidRDefault="00715E02"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Colwill, J. &amp; Johnson, P. (2022) ‘Sustainable Packaging Adoption and Competitive Dynamics in the FMCG Sector’, </w:t>
      </w:r>
      <w:r w:rsidRPr="00126CFE">
        <w:rPr>
          <w:rFonts w:ascii="Arial" w:hAnsi="Arial" w:cs="Arial"/>
          <w:i/>
          <w:iCs/>
          <w:sz w:val="24"/>
          <w:szCs w:val="24"/>
        </w:rPr>
        <w:t>Journal of Cleaner Production</w:t>
      </w:r>
      <w:r w:rsidRPr="00126CFE">
        <w:rPr>
          <w:rFonts w:ascii="Arial" w:hAnsi="Arial" w:cs="Arial"/>
          <w:sz w:val="24"/>
          <w:szCs w:val="24"/>
        </w:rPr>
        <w:t xml:space="preserve">, 368, 133163. doi:10.1016/j.jclepro.2022.133163. </w:t>
      </w:r>
    </w:p>
    <w:p w14:paraId="05D32713" w14:textId="70150EB3" w:rsidR="00D2038D" w:rsidRPr="00126CFE" w:rsidRDefault="00D2038D" w:rsidP="00071299">
      <w:pPr>
        <w:pStyle w:val="ListParagraph"/>
        <w:numPr>
          <w:ilvl w:val="0"/>
          <w:numId w:val="3"/>
        </w:numPr>
        <w:rPr>
          <w:rFonts w:ascii="Arial" w:hAnsi="Arial" w:cs="Arial"/>
          <w:sz w:val="24"/>
          <w:szCs w:val="24"/>
        </w:rPr>
      </w:pPr>
      <w:r w:rsidRPr="00126CFE">
        <w:rPr>
          <w:rFonts w:ascii="Arial" w:hAnsi="Arial" w:cs="Arial"/>
          <w:sz w:val="24"/>
          <w:szCs w:val="24"/>
        </w:rPr>
        <w:t>Zaefarian, G., Katsikeas, C.S., Najafi-Tavani, Z. </w:t>
      </w:r>
      <w:r w:rsidRPr="00126CFE">
        <w:rPr>
          <w:rFonts w:ascii="Arial" w:hAnsi="Arial" w:cs="Arial"/>
          <w:i/>
          <w:iCs/>
          <w:sz w:val="24"/>
          <w:szCs w:val="24"/>
        </w:rPr>
        <w:t>et al.</w:t>
      </w:r>
      <w:r w:rsidRPr="00126CFE">
        <w:rPr>
          <w:rFonts w:ascii="Arial" w:hAnsi="Arial" w:cs="Arial"/>
          <w:sz w:val="24"/>
          <w:szCs w:val="24"/>
        </w:rPr>
        <w:t> Unpacking when and how customer involvement as co-developer affects supplier new product performance. </w:t>
      </w:r>
      <w:r w:rsidRPr="00126CFE">
        <w:rPr>
          <w:rFonts w:ascii="Arial" w:hAnsi="Arial" w:cs="Arial"/>
          <w:i/>
          <w:iCs/>
          <w:sz w:val="24"/>
          <w:szCs w:val="24"/>
        </w:rPr>
        <w:t>J. of the Acad. Mark. Sci.</w:t>
      </w:r>
      <w:r w:rsidRPr="00126CFE">
        <w:rPr>
          <w:rFonts w:ascii="Arial" w:hAnsi="Arial" w:cs="Arial"/>
          <w:sz w:val="24"/>
          <w:szCs w:val="24"/>
        </w:rPr>
        <w:t> </w:t>
      </w:r>
      <w:r w:rsidRPr="00126CFE">
        <w:rPr>
          <w:rFonts w:ascii="Arial" w:hAnsi="Arial" w:cs="Arial"/>
          <w:b/>
          <w:bCs/>
          <w:sz w:val="24"/>
          <w:szCs w:val="24"/>
        </w:rPr>
        <w:t>53</w:t>
      </w:r>
      <w:r w:rsidRPr="00126CFE">
        <w:rPr>
          <w:rFonts w:ascii="Arial" w:hAnsi="Arial" w:cs="Arial"/>
          <w:sz w:val="24"/>
          <w:szCs w:val="24"/>
        </w:rPr>
        <w:t xml:space="preserve">, 876–906 (2025). </w:t>
      </w:r>
      <w:hyperlink r:id="rId27" w:history="1">
        <w:r w:rsidRPr="00126CFE">
          <w:rPr>
            <w:rStyle w:val="Hyperlink"/>
            <w:rFonts w:ascii="Arial" w:hAnsi="Arial" w:cs="Arial"/>
            <w:sz w:val="24"/>
            <w:szCs w:val="24"/>
          </w:rPr>
          <w:t>https://doi.org/10.1007/s11747-024-01066-1</w:t>
        </w:r>
      </w:hyperlink>
      <w:r w:rsidRPr="00126CFE">
        <w:rPr>
          <w:rFonts w:ascii="Arial" w:hAnsi="Arial" w:cs="Arial"/>
          <w:sz w:val="24"/>
          <w:szCs w:val="24"/>
        </w:rPr>
        <w:t xml:space="preserve"> </w:t>
      </w:r>
    </w:p>
    <w:p w14:paraId="576D26EC" w14:textId="36682BD2" w:rsidR="00116EB3" w:rsidRPr="00126CFE" w:rsidRDefault="00116EB3" w:rsidP="00071299">
      <w:pPr>
        <w:pStyle w:val="ListParagraph"/>
        <w:numPr>
          <w:ilvl w:val="0"/>
          <w:numId w:val="3"/>
        </w:numPr>
        <w:rPr>
          <w:rFonts w:ascii="Arial" w:hAnsi="Arial" w:cs="Arial"/>
          <w:sz w:val="24"/>
          <w:szCs w:val="24"/>
        </w:rPr>
      </w:pPr>
      <w:r w:rsidRPr="00126CFE">
        <w:rPr>
          <w:rFonts w:ascii="Arial" w:hAnsi="Arial" w:cs="Arial"/>
          <w:sz w:val="24"/>
          <w:szCs w:val="24"/>
        </w:rPr>
        <w:t>Simmons, P., Kemp, J. and Mason, N. (2020) 'Corporate Strategy in Emerging Markets' </w:t>
      </w:r>
      <w:r w:rsidRPr="00126CFE">
        <w:rPr>
          <w:rFonts w:ascii="Arial" w:hAnsi="Arial" w:cs="Arial"/>
          <w:i/>
          <w:iCs/>
          <w:sz w:val="24"/>
          <w:szCs w:val="24"/>
        </w:rPr>
        <w:t>International Journal of Management 1</w:t>
      </w:r>
      <w:r w:rsidRPr="00126CFE">
        <w:rPr>
          <w:rFonts w:ascii="Arial" w:hAnsi="Arial" w:cs="Arial"/>
          <w:sz w:val="24"/>
          <w:szCs w:val="24"/>
        </w:rPr>
        <w:t>(1), pp. 1-3.</w:t>
      </w:r>
    </w:p>
    <w:p w14:paraId="71258525" w14:textId="2B37D88A" w:rsidR="007A57FA" w:rsidRPr="00126CFE" w:rsidRDefault="007A57FA"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Prahalad, C.K. &amp; Hamel, G. (1990) – </w:t>
      </w:r>
      <w:r w:rsidRPr="00126CFE">
        <w:rPr>
          <w:rFonts w:ascii="Arial" w:hAnsi="Arial" w:cs="Arial"/>
          <w:i/>
          <w:iCs/>
          <w:sz w:val="24"/>
          <w:szCs w:val="24"/>
        </w:rPr>
        <w:t>The Core Competence of the Corporation</w:t>
      </w:r>
      <w:r w:rsidRPr="00126CFE">
        <w:rPr>
          <w:rFonts w:ascii="Arial" w:hAnsi="Arial" w:cs="Arial"/>
          <w:sz w:val="24"/>
          <w:szCs w:val="24"/>
        </w:rPr>
        <w:t xml:space="preserve">, </w:t>
      </w:r>
      <w:r w:rsidRPr="00126CFE">
        <w:rPr>
          <w:rFonts w:ascii="Arial" w:hAnsi="Arial" w:cs="Arial"/>
          <w:i/>
          <w:iCs/>
          <w:sz w:val="24"/>
          <w:szCs w:val="24"/>
        </w:rPr>
        <w:t>Harvard Business Review</w:t>
      </w:r>
      <w:r w:rsidRPr="00126CFE">
        <w:rPr>
          <w:rFonts w:ascii="Arial" w:hAnsi="Arial" w:cs="Arial"/>
          <w:sz w:val="24"/>
          <w:szCs w:val="24"/>
        </w:rPr>
        <w:t>, 68(3), pp. 79–91.</w:t>
      </w:r>
    </w:p>
    <w:p w14:paraId="30A1C62F" w14:textId="5A9465E9" w:rsidR="001C143E" w:rsidRPr="00126CFE" w:rsidRDefault="001C143E"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Porter, M.E. &amp; Kramer, M.R. (2011) ‘Creating Shared Value’, </w:t>
      </w:r>
      <w:r w:rsidRPr="00126CFE">
        <w:rPr>
          <w:rFonts w:ascii="Arial" w:hAnsi="Arial" w:cs="Arial"/>
          <w:i/>
          <w:iCs/>
          <w:sz w:val="24"/>
          <w:szCs w:val="24"/>
        </w:rPr>
        <w:t>Harvard Business Review</w:t>
      </w:r>
      <w:r w:rsidRPr="00126CFE">
        <w:rPr>
          <w:rFonts w:ascii="Arial" w:hAnsi="Arial" w:cs="Arial"/>
          <w:sz w:val="24"/>
          <w:szCs w:val="24"/>
        </w:rPr>
        <w:t>, 89(1/2), pp. 62–77.</w:t>
      </w:r>
    </w:p>
    <w:p w14:paraId="71F59C30" w14:textId="07154ABC" w:rsidR="00563FA5" w:rsidRPr="00126CFE" w:rsidRDefault="00563FA5"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Baxter, R. &amp; Matear, S. (2004) ‘Measuring intangible value in business-to-business buyer–seller relationships’, </w:t>
      </w:r>
      <w:r w:rsidRPr="00126CFE">
        <w:rPr>
          <w:rFonts w:ascii="Arial" w:hAnsi="Arial" w:cs="Arial"/>
          <w:i/>
          <w:iCs/>
          <w:sz w:val="24"/>
          <w:szCs w:val="24"/>
        </w:rPr>
        <w:t>Industrial Marketing Management</w:t>
      </w:r>
      <w:r w:rsidRPr="00126CFE">
        <w:rPr>
          <w:rFonts w:ascii="Arial" w:hAnsi="Arial" w:cs="Arial"/>
          <w:sz w:val="24"/>
          <w:szCs w:val="24"/>
        </w:rPr>
        <w:t>, 33(6), pp. 493–500</w:t>
      </w:r>
    </w:p>
    <w:p w14:paraId="3C0F2D68" w14:textId="6119E9BD" w:rsidR="006F3F57" w:rsidRPr="00126CFE" w:rsidRDefault="006F3F57"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Teece, D.J. (2018) ‘Business models and dynamic capabilities’, </w:t>
      </w:r>
      <w:r w:rsidRPr="00126CFE">
        <w:rPr>
          <w:rFonts w:ascii="Arial" w:hAnsi="Arial" w:cs="Arial"/>
          <w:i/>
          <w:iCs/>
          <w:sz w:val="24"/>
          <w:szCs w:val="24"/>
        </w:rPr>
        <w:t>Long Range Planning</w:t>
      </w:r>
      <w:r w:rsidRPr="00126CFE">
        <w:rPr>
          <w:rFonts w:ascii="Arial" w:hAnsi="Arial" w:cs="Arial"/>
          <w:sz w:val="24"/>
          <w:szCs w:val="24"/>
        </w:rPr>
        <w:t>, 51(1), pp. 40–49</w:t>
      </w:r>
    </w:p>
    <w:p w14:paraId="6527E66E" w14:textId="618BBB1B" w:rsidR="00A6411B" w:rsidRDefault="00A6411B" w:rsidP="00071299">
      <w:pPr>
        <w:pStyle w:val="ListParagraph"/>
        <w:numPr>
          <w:ilvl w:val="0"/>
          <w:numId w:val="3"/>
        </w:numPr>
        <w:rPr>
          <w:rFonts w:ascii="Arial" w:hAnsi="Arial" w:cs="Arial"/>
          <w:sz w:val="24"/>
          <w:szCs w:val="24"/>
        </w:rPr>
      </w:pPr>
      <w:r w:rsidRPr="00126CFE">
        <w:rPr>
          <w:rFonts w:ascii="Arial" w:hAnsi="Arial" w:cs="Arial"/>
          <w:sz w:val="24"/>
          <w:szCs w:val="24"/>
        </w:rPr>
        <w:t xml:space="preserve">Hermann, M., Pentek, T. &amp; Otto, B. (2016) ‘Design principles for Industrie 4.0 scenarios’, </w:t>
      </w:r>
      <w:r w:rsidRPr="00126CFE">
        <w:rPr>
          <w:rFonts w:ascii="Arial" w:hAnsi="Arial" w:cs="Arial"/>
          <w:i/>
          <w:iCs/>
          <w:sz w:val="24"/>
          <w:szCs w:val="24"/>
        </w:rPr>
        <w:t>Proceedings of the 49th Hawaii International Conference on System Sciences (HICSS)</w:t>
      </w:r>
      <w:r w:rsidRPr="00126CFE">
        <w:rPr>
          <w:rFonts w:ascii="Arial" w:hAnsi="Arial" w:cs="Arial"/>
          <w:sz w:val="24"/>
          <w:szCs w:val="24"/>
        </w:rPr>
        <w:t>, pp. 3928–3937.</w:t>
      </w:r>
    </w:p>
    <w:p w14:paraId="6EE1F1BA" w14:textId="3A6267CC" w:rsidR="00933505" w:rsidRDefault="00933505" w:rsidP="00071299">
      <w:pPr>
        <w:pStyle w:val="ListParagraph"/>
        <w:numPr>
          <w:ilvl w:val="0"/>
          <w:numId w:val="3"/>
        </w:numPr>
        <w:rPr>
          <w:rFonts w:ascii="Arial" w:hAnsi="Arial" w:cs="Arial"/>
          <w:sz w:val="24"/>
          <w:szCs w:val="24"/>
        </w:rPr>
      </w:pPr>
      <w:r w:rsidRPr="00933505">
        <w:rPr>
          <w:rFonts w:ascii="Arial" w:hAnsi="Arial" w:cs="Arial"/>
          <w:sz w:val="24"/>
          <w:szCs w:val="24"/>
        </w:rPr>
        <w:lastRenderedPageBreak/>
        <w:t>J</w:t>
      </w:r>
      <w:r w:rsidR="00D46ECA">
        <w:rPr>
          <w:rFonts w:ascii="Arial" w:hAnsi="Arial" w:cs="Arial"/>
          <w:sz w:val="24"/>
          <w:szCs w:val="24"/>
        </w:rPr>
        <w:t>ohnson</w:t>
      </w:r>
      <w:r w:rsidRPr="00933505">
        <w:rPr>
          <w:rFonts w:ascii="Arial" w:hAnsi="Arial" w:cs="Arial"/>
          <w:sz w:val="24"/>
          <w:szCs w:val="24"/>
        </w:rPr>
        <w:t>, G., and S</w:t>
      </w:r>
      <w:r w:rsidR="00D46ECA">
        <w:rPr>
          <w:rFonts w:ascii="Arial" w:hAnsi="Arial" w:cs="Arial"/>
          <w:sz w:val="24"/>
          <w:szCs w:val="24"/>
        </w:rPr>
        <w:t>choles</w:t>
      </w:r>
      <w:r w:rsidRPr="00933505">
        <w:rPr>
          <w:rFonts w:ascii="Arial" w:hAnsi="Arial" w:cs="Arial"/>
          <w:sz w:val="24"/>
          <w:szCs w:val="24"/>
        </w:rPr>
        <w:t>, K. (1997). </w:t>
      </w:r>
      <w:r w:rsidRPr="00933505">
        <w:rPr>
          <w:rFonts w:ascii="Arial" w:hAnsi="Arial" w:cs="Arial"/>
          <w:i/>
          <w:iCs/>
          <w:sz w:val="24"/>
          <w:szCs w:val="24"/>
        </w:rPr>
        <w:t>Exploring Corporate Strategy</w:t>
      </w:r>
      <w:r w:rsidRPr="00933505">
        <w:rPr>
          <w:rFonts w:ascii="Arial" w:hAnsi="Arial" w:cs="Arial"/>
          <w:sz w:val="24"/>
          <w:szCs w:val="24"/>
        </w:rPr>
        <w:t>, Fourth Edition, Prentice Hall, New York. [Chapter 8]</w:t>
      </w:r>
    </w:p>
    <w:p w14:paraId="6FBE4D55" w14:textId="3CFE2862" w:rsidR="004B63F2" w:rsidRDefault="004B63F2" w:rsidP="00071299">
      <w:pPr>
        <w:pStyle w:val="ListParagraph"/>
        <w:numPr>
          <w:ilvl w:val="0"/>
          <w:numId w:val="3"/>
        </w:numPr>
        <w:rPr>
          <w:rFonts w:ascii="Arial" w:hAnsi="Arial" w:cs="Arial"/>
          <w:sz w:val="24"/>
          <w:szCs w:val="24"/>
        </w:rPr>
      </w:pPr>
      <w:r w:rsidRPr="004B63F2">
        <w:rPr>
          <w:rFonts w:ascii="Arial" w:hAnsi="Arial" w:cs="Arial"/>
          <w:sz w:val="24"/>
          <w:szCs w:val="24"/>
        </w:rPr>
        <w:t xml:space="preserve">Nidumolu, R., Prahalad, C.K. &amp; Rangaswami, M.R. (2009) ‘Why sustainability is now the key driver of innovation’, </w:t>
      </w:r>
      <w:r w:rsidRPr="004B63F2">
        <w:rPr>
          <w:rFonts w:ascii="Arial" w:hAnsi="Arial" w:cs="Arial"/>
          <w:i/>
          <w:iCs/>
          <w:sz w:val="24"/>
          <w:szCs w:val="24"/>
        </w:rPr>
        <w:t>Harvard Business Review</w:t>
      </w:r>
      <w:r w:rsidRPr="004B63F2">
        <w:rPr>
          <w:rFonts w:ascii="Arial" w:hAnsi="Arial" w:cs="Arial"/>
          <w:sz w:val="24"/>
          <w:szCs w:val="24"/>
        </w:rPr>
        <w:t>, 87(9), pp. 56–64.</w:t>
      </w:r>
    </w:p>
    <w:p w14:paraId="06E99474" w14:textId="5B5F7191" w:rsidR="00394661" w:rsidRDefault="00394661" w:rsidP="00071299">
      <w:pPr>
        <w:pStyle w:val="ListParagraph"/>
        <w:numPr>
          <w:ilvl w:val="0"/>
          <w:numId w:val="3"/>
        </w:numPr>
        <w:rPr>
          <w:rFonts w:ascii="Arial" w:hAnsi="Arial" w:cs="Arial"/>
          <w:sz w:val="24"/>
          <w:szCs w:val="24"/>
        </w:rPr>
      </w:pPr>
      <w:r w:rsidRPr="00394661">
        <w:rPr>
          <w:rFonts w:ascii="Arial" w:hAnsi="Arial" w:cs="Arial"/>
          <w:sz w:val="24"/>
          <w:szCs w:val="24"/>
        </w:rPr>
        <w:t xml:space="preserve">Frank, A.G., Dalenogare, L.S. &amp; Ayala, N.F. (2019) ‘Industry 4.0 technologies: Implementation patterns in manufacturing companies’, </w:t>
      </w:r>
      <w:r w:rsidRPr="00394661">
        <w:rPr>
          <w:rFonts w:ascii="Arial" w:hAnsi="Arial" w:cs="Arial"/>
          <w:i/>
          <w:iCs/>
          <w:sz w:val="24"/>
          <w:szCs w:val="24"/>
        </w:rPr>
        <w:t>International Journal of Production Economics</w:t>
      </w:r>
      <w:r w:rsidRPr="00394661">
        <w:rPr>
          <w:rFonts w:ascii="Arial" w:hAnsi="Arial" w:cs="Arial"/>
          <w:sz w:val="24"/>
          <w:szCs w:val="24"/>
        </w:rPr>
        <w:t>, 210, pp. 15–26.</w:t>
      </w:r>
    </w:p>
    <w:p w14:paraId="3F344F1C" w14:textId="4D886CE8" w:rsidR="00394661" w:rsidRPr="00126CFE" w:rsidRDefault="00394661" w:rsidP="00071299">
      <w:pPr>
        <w:pStyle w:val="ListParagraph"/>
        <w:numPr>
          <w:ilvl w:val="0"/>
          <w:numId w:val="3"/>
        </w:numPr>
        <w:rPr>
          <w:rFonts w:ascii="Arial" w:hAnsi="Arial" w:cs="Arial"/>
          <w:sz w:val="24"/>
          <w:szCs w:val="24"/>
        </w:rPr>
      </w:pPr>
      <w:r w:rsidRPr="00394661">
        <w:rPr>
          <w:rFonts w:ascii="Arial" w:hAnsi="Arial" w:cs="Arial"/>
          <w:sz w:val="24"/>
          <w:szCs w:val="24"/>
        </w:rPr>
        <w:t xml:space="preserve">Sony, M. &amp; Naik, S. (2020) ‘Critical factors for the successful implementation of Industry 4.0: A review and future research direction’, </w:t>
      </w:r>
      <w:r w:rsidRPr="00394661">
        <w:rPr>
          <w:rFonts w:ascii="Arial" w:hAnsi="Arial" w:cs="Arial"/>
          <w:i/>
          <w:iCs/>
          <w:sz w:val="24"/>
          <w:szCs w:val="24"/>
        </w:rPr>
        <w:t>Production Planning &amp; Control</w:t>
      </w:r>
      <w:r w:rsidRPr="00394661">
        <w:rPr>
          <w:rFonts w:ascii="Arial" w:hAnsi="Arial" w:cs="Arial"/>
          <w:sz w:val="24"/>
          <w:szCs w:val="24"/>
        </w:rPr>
        <w:t>, 31(10), pp. 799–815.</w:t>
      </w:r>
    </w:p>
    <w:sectPr w:rsidR="00394661" w:rsidRPr="00126CF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573B0" w14:textId="77777777" w:rsidR="008C6815" w:rsidRPr="00126CFE" w:rsidRDefault="008C6815" w:rsidP="00F4682E">
      <w:pPr>
        <w:spacing w:after="0" w:line="240" w:lineRule="auto"/>
      </w:pPr>
      <w:r w:rsidRPr="00126CFE">
        <w:separator/>
      </w:r>
    </w:p>
  </w:endnote>
  <w:endnote w:type="continuationSeparator" w:id="0">
    <w:p w14:paraId="7BCA7A77" w14:textId="77777777" w:rsidR="008C6815" w:rsidRPr="00126CFE" w:rsidRDefault="008C6815" w:rsidP="00F4682E">
      <w:pPr>
        <w:spacing w:after="0" w:line="240" w:lineRule="auto"/>
      </w:pPr>
      <w:r w:rsidRPr="00126C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0EB18" w14:textId="428E4AD8" w:rsidR="00F4682E" w:rsidRPr="00126CFE" w:rsidRDefault="00F4682E">
    <w:pPr>
      <w:pStyle w:val="Footer"/>
    </w:pPr>
    <w:r w:rsidRPr="00126CFE">
      <w:fldChar w:fldCharType="begin"/>
    </w:r>
    <w:r w:rsidRPr="00126CFE">
      <w:instrText xml:space="preserve"> PAGE   \* MERGEFORMAT </w:instrText>
    </w:r>
    <w:r w:rsidRPr="00126CFE">
      <w:fldChar w:fldCharType="separate"/>
    </w:r>
    <w:r w:rsidRPr="00126CFE">
      <w:t>1</w:t>
    </w:r>
    <w:r w:rsidRPr="00126CFE">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52635" w14:textId="77777777" w:rsidR="008C6815" w:rsidRPr="00126CFE" w:rsidRDefault="008C6815" w:rsidP="00F4682E">
      <w:pPr>
        <w:spacing w:after="0" w:line="240" w:lineRule="auto"/>
      </w:pPr>
      <w:r w:rsidRPr="00126CFE">
        <w:separator/>
      </w:r>
    </w:p>
  </w:footnote>
  <w:footnote w:type="continuationSeparator" w:id="0">
    <w:p w14:paraId="1451588A" w14:textId="77777777" w:rsidR="008C6815" w:rsidRPr="00126CFE" w:rsidRDefault="008C6815" w:rsidP="00F4682E">
      <w:pPr>
        <w:spacing w:after="0" w:line="240" w:lineRule="auto"/>
      </w:pPr>
      <w:r w:rsidRPr="00126CF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5FFB"/>
    <w:multiLevelType w:val="hybridMultilevel"/>
    <w:tmpl w:val="BF547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854BD4"/>
    <w:multiLevelType w:val="hybridMultilevel"/>
    <w:tmpl w:val="92E856D8"/>
    <w:lvl w:ilvl="0" w:tplc="FFFFFFFF">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6164AB"/>
    <w:multiLevelType w:val="hybridMultilevel"/>
    <w:tmpl w:val="87D2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1392E"/>
    <w:multiLevelType w:val="hybridMultilevel"/>
    <w:tmpl w:val="AA9E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638B3"/>
    <w:multiLevelType w:val="hybridMultilevel"/>
    <w:tmpl w:val="D15E8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7A347C"/>
    <w:multiLevelType w:val="hybridMultilevel"/>
    <w:tmpl w:val="4D8EA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F3278"/>
    <w:multiLevelType w:val="hybridMultilevel"/>
    <w:tmpl w:val="74125A70"/>
    <w:lvl w:ilvl="0" w:tplc="FFFFFFFF">
      <w:start w:val="1"/>
      <w:numFmt w:val="decimal"/>
      <w:lvlText w:val="%1."/>
      <w:lvlJc w:val="left"/>
      <w:pPr>
        <w:ind w:left="720" w:hanging="360"/>
      </w:pPr>
      <w:rPr>
        <w:rFonts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B27117F"/>
    <w:multiLevelType w:val="hybridMultilevel"/>
    <w:tmpl w:val="C9E2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F294B"/>
    <w:multiLevelType w:val="hybridMultilevel"/>
    <w:tmpl w:val="C212D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E750A4"/>
    <w:multiLevelType w:val="hybridMultilevel"/>
    <w:tmpl w:val="CC101948"/>
    <w:lvl w:ilvl="0" w:tplc="FFFFFFFF">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82761A"/>
    <w:multiLevelType w:val="hybridMultilevel"/>
    <w:tmpl w:val="2E7E0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F21153"/>
    <w:multiLevelType w:val="hybridMultilevel"/>
    <w:tmpl w:val="8DDE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AD1813"/>
    <w:multiLevelType w:val="hybridMultilevel"/>
    <w:tmpl w:val="9B9A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EB53EC"/>
    <w:multiLevelType w:val="hybridMultilevel"/>
    <w:tmpl w:val="A880D12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4" w15:restartNumberingAfterBreak="0">
    <w:nsid w:val="559B6E03"/>
    <w:multiLevelType w:val="hybridMultilevel"/>
    <w:tmpl w:val="82DA8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2B6F19"/>
    <w:multiLevelType w:val="hybridMultilevel"/>
    <w:tmpl w:val="E2207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301854"/>
    <w:multiLevelType w:val="hybridMultilevel"/>
    <w:tmpl w:val="0D247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4277E9"/>
    <w:multiLevelType w:val="hybridMultilevel"/>
    <w:tmpl w:val="74125A70"/>
    <w:lvl w:ilvl="0" w:tplc="0809000F">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60801"/>
    <w:multiLevelType w:val="hybridMultilevel"/>
    <w:tmpl w:val="8626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B50B3D"/>
    <w:multiLevelType w:val="hybridMultilevel"/>
    <w:tmpl w:val="8356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F63A73"/>
    <w:multiLevelType w:val="hybridMultilevel"/>
    <w:tmpl w:val="1B40B25A"/>
    <w:lvl w:ilvl="0" w:tplc="FFFFFFFF">
      <w:start w:val="1"/>
      <w:numFmt w:val="decimal"/>
      <w:lvlText w:val="%1."/>
      <w:lvlJc w:val="left"/>
      <w:pPr>
        <w:ind w:left="720" w:hanging="360"/>
      </w:pPr>
      <w:rPr>
        <w:rFonts w:hint="default"/>
        <w:b/>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7887DBB"/>
    <w:multiLevelType w:val="hybridMultilevel"/>
    <w:tmpl w:val="62140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E443EC"/>
    <w:multiLevelType w:val="hybridMultilevel"/>
    <w:tmpl w:val="D40A2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0D3269"/>
    <w:multiLevelType w:val="hybridMultilevel"/>
    <w:tmpl w:val="58FC1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1D48C3"/>
    <w:multiLevelType w:val="hybridMultilevel"/>
    <w:tmpl w:val="DEACF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8583846">
    <w:abstractNumId w:val="16"/>
  </w:num>
  <w:num w:numId="2" w16cid:durableId="1600140128">
    <w:abstractNumId w:val="17"/>
  </w:num>
  <w:num w:numId="3" w16cid:durableId="869489152">
    <w:abstractNumId w:val="24"/>
  </w:num>
  <w:num w:numId="4" w16cid:durableId="387194216">
    <w:abstractNumId w:val="20"/>
  </w:num>
  <w:num w:numId="5" w16cid:durableId="1342465706">
    <w:abstractNumId w:val="10"/>
  </w:num>
  <w:num w:numId="6" w16cid:durableId="1715884897">
    <w:abstractNumId w:val="0"/>
  </w:num>
  <w:num w:numId="7" w16cid:durableId="1785996550">
    <w:abstractNumId w:val="4"/>
  </w:num>
  <w:num w:numId="8" w16cid:durableId="595987532">
    <w:abstractNumId w:val="18"/>
  </w:num>
  <w:num w:numId="9" w16cid:durableId="448741646">
    <w:abstractNumId w:val="21"/>
  </w:num>
  <w:num w:numId="10" w16cid:durableId="2003508886">
    <w:abstractNumId w:val="2"/>
  </w:num>
  <w:num w:numId="11" w16cid:durableId="408425697">
    <w:abstractNumId w:val="5"/>
  </w:num>
  <w:num w:numId="12" w16cid:durableId="274601590">
    <w:abstractNumId w:val="19"/>
  </w:num>
  <w:num w:numId="13" w16cid:durableId="46732494">
    <w:abstractNumId w:val="12"/>
  </w:num>
  <w:num w:numId="14" w16cid:durableId="1636373899">
    <w:abstractNumId w:val="6"/>
  </w:num>
  <w:num w:numId="15" w16cid:durableId="1510027173">
    <w:abstractNumId w:val="3"/>
  </w:num>
  <w:num w:numId="16" w16cid:durableId="1718042213">
    <w:abstractNumId w:val="22"/>
  </w:num>
  <w:num w:numId="17" w16cid:durableId="599140912">
    <w:abstractNumId w:val="9"/>
  </w:num>
  <w:num w:numId="18" w16cid:durableId="1937521800">
    <w:abstractNumId w:val="23"/>
  </w:num>
  <w:num w:numId="19" w16cid:durableId="1112895147">
    <w:abstractNumId w:val="13"/>
  </w:num>
  <w:num w:numId="20" w16cid:durableId="1069617519">
    <w:abstractNumId w:val="1"/>
  </w:num>
  <w:num w:numId="21" w16cid:durableId="1302077656">
    <w:abstractNumId w:val="7"/>
  </w:num>
  <w:num w:numId="22" w16cid:durableId="1341393068">
    <w:abstractNumId w:val="15"/>
  </w:num>
  <w:num w:numId="23" w16cid:durableId="1214542810">
    <w:abstractNumId w:val="8"/>
  </w:num>
  <w:num w:numId="24" w16cid:durableId="1998919512">
    <w:abstractNumId w:val="11"/>
  </w:num>
  <w:num w:numId="25" w16cid:durableId="7161982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82E"/>
    <w:rsid w:val="00000430"/>
    <w:rsid w:val="000006A7"/>
    <w:rsid w:val="00000E44"/>
    <w:rsid w:val="000121F7"/>
    <w:rsid w:val="00016FE6"/>
    <w:rsid w:val="000256D6"/>
    <w:rsid w:val="00025FE1"/>
    <w:rsid w:val="00032BC6"/>
    <w:rsid w:val="00040B61"/>
    <w:rsid w:val="000443D9"/>
    <w:rsid w:val="00047F50"/>
    <w:rsid w:val="00063616"/>
    <w:rsid w:val="00071299"/>
    <w:rsid w:val="000816D6"/>
    <w:rsid w:val="00081E01"/>
    <w:rsid w:val="00094A77"/>
    <w:rsid w:val="000B1C32"/>
    <w:rsid w:val="000B505E"/>
    <w:rsid w:val="000C1796"/>
    <w:rsid w:val="000C5887"/>
    <w:rsid w:val="000C59F8"/>
    <w:rsid w:val="000D173F"/>
    <w:rsid w:val="000D31ED"/>
    <w:rsid w:val="000D4394"/>
    <w:rsid w:val="000D496D"/>
    <w:rsid w:val="000D5CEF"/>
    <w:rsid w:val="000D6C0A"/>
    <w:rsid w:val="000E10E2"/>
    <w:rsid w:val="000E5F24"/>
    <w:rsid w:val="000F117E"/>
    <w:rsid w:val="000F1C19"/>
    <w:rsid w:val="001000A8"/>
    <w:rsid w:val="00100C64"/>
    <w:rsid w:val="00101FC5"/>
    <w:rsid w:val="00113CA5"/>
    <w:rsid w:val="00116EB3"/>
    <w:rsid w:val="00126CFE"/>
    <w:rsid w:val="00132B9C"/>
    <w:rsid w:val="00141FF2"/>
    <w:rsid w:val="00147BF8"/>
    <w:rsid w:val="0016207D"/>
    <w:rsid w:val="00166815"/>
    <w:rsid w:val="00173540"/>
    <w:rsid w:val="00174FA7"/>
    <w:rsid w:val="00181270"/>
    <w:rsid w:val="00183CA4"/>
    <w:rsid w:val="00185E06"/>
    <w:rsid w:val="00195843"/>
    <w:rsid w:val="0019636D"/>
    <w:rsid w:val="00197AA5"/>
    <w:rsid w:val="001A4DA6"/>
    <w:rsid w:val="001B0F9B"/>
    <w:rsid w:val="001B2C73"/>
    <w:rsid w:val="001B44AE"/>
    <w:rsid w:val="001C143E"/>
    <w:rsid w:val="001C30D7"/>
    <w:rsid w:val="001C3B5B"/>
    <w:rsid w:val="001E7E9C"/>
    <w:rsid w:val="001F43CB"/>
    <w:rsid w:val="001F4BC5"/>
    <w:rsid w:val="002116E3"/>
    <w:rsid w:val="00214C69"/>
    <w:rsid w:val="002347A2"/>
    <w:rsid w:val="0025614A"/>
    <w:rsid w:val="002617D1"/>
    <w:rsid w:val="002645AD"/>
    <w:rsid w:val="00272753"/>
    <w:rsid w:val="00277941"/>
    <w:rsid w:val="0028597C"/>
    <w:rsid w:val="00294EAF"/>
    <w:rsid w:val="002C1C8A"/>
    <w:rsid w:val="002C71D4"/>
    <w:rsid w:val="002D4DC1"/>
    <w:rsid w:val="002E1C31"/>
    <w:rsid w:val="002F63C2"/>
    <w:rsid w:val="002F6D44"/>
    <w:rsid w:val="0030138F"/>
    <w:rsid w:val="00304769"/>
    <w:rsid w:val="003067D1"/>
    <w:rsid w:val="003119C1"/>
    <w:rsid w:val="00315AE8"/>
    <w:rsid w:val="003173E5"/>
    <w:rsid w:val="003255C6"/>
    <w:rsid w:val="00352443"/>
    <w:rsid w:val="00361390"/>
    <w:rsid w:val="00362317"/>
    <w:rsid w:val="00365304"/>
    <w:rsid w:val="00366BE8"/>
    <w:rsid w:val="003751E8"/>
    <w:rsid w:val="003811BB"/>
    <w:rsid w:val="003846C6"/>
    <w:rsid w:val="0038630C"/>
    <w:rsid w:val="0038636E"/>
    <w:rsid w:val="00390677"/>
    <w:rsid w:val="00394661"/>
    <w:rsid w:val="003A3C99"/>
    <w:rsid w:val="003B095C"/>
    <w:rsid w:val="003B2D94"/>
    <w:rsid w:val="003B6D47"/>
    <w:rsid w:val="003B7813"/>
    <w:rsid w:val="003C62ED"/>
    <w:rsid w:val="003D0A53"/>
    <w:rsid w:val="003D2FBC"/>
    <w:rsid w:val="003D66AB"/>
    <w:rsid w:val="00402574"/>
    <w:rsid w:val="0040396F"/>
    <w:rsid w:val="00403E92"/>
    <w:rsid w:val="0041182E"/>
    <w:rsid w:val="00417362"/>
    <w:rsid w:val="0041741D"/>
    <w:rsid w:val="0042335A"/>
    <w:rsid w:val="00425D9C"/>
    <w:rsid w:val="0045488A"/>
    <w:rsid w:val="004721B1"/>
    <w:rsid w:val="00475068"/>
    <w:rsid w:val="004950BB"/>
    <w:rsid w:val="00496AD7"/>
    <w:rsid w:val="004B63F2"/>
    <w:rsid w:val="004D788D"/>
    <w:rsid w:val="004E3307"/>
    <w:rsid w:val="00500DEB"/>
    <w:rsid w:val="0050327C"/>
    <w:rsid w:val="00513DA1"/>
    <w:rsid w:val="00513E42"/>
    <w:rsid w:val="00515CD1"/>
    <w:rsid w:val="00525580"/>
    <w:rsid w:val="005444ED"/>
    <w:rsid w:val="00544D6C"/>
    <w:rsid w:val="00546DBD"/>
    <w:rsid w:val="005544B4"/>
    <w:rsid w:val="00561450"/>
    <w:rsid w:val="00563FA5"/>
    <w:rsid w:val="00574C6E"/>
    <w:rsid w:val="00594306"/>
    <w:rsid w:val="005B1573"/>
    <w:rsid w:val="005C1ED6"/>
    <w:rsid w:val="005C7CA8"/>
    <w:rsid w:val="005D0FA0"/>
    <w:rsid w:val="005D10A7"/>
    <w:rsid w:val="005E4298"/>
    <w:rsid w:val="005E4B17"/>
    <w:rsid w:val="005E7D16"/>
    <w:rsid w:val="005F6517"/>
    <w:rsid w:val="00603EA0"/>
    <w:rsid w:val="00633F0B"/>
    <w:rsid w:val="00641ADF"/>
    <w:rsid w:val="0066765E"/>
    <w:rsid w:val="006970DD"/>
    <w:rsid w:val="006B17DE"/>
    <w:rsid w:val="006B359E"/>
    <w:rsid w:val="006C132E"/>
    <w:rsid w:val="006C632A"/>
    <w:rsid w:val="006D20DC"/>
    <w:rsid w:val="006D3D5A"/>
    <w:rsid w:val="006F3F57"/>
    <w:rsid w:val="0071474E"/>
    <w:rsid w:val="007156D8"/>
    <w:rsid w:val="00715E02"/>
    <w:rsid w:val="00720C80"/>
    <w:rsid w:val="00752D21"/>
    <w:rsid w:val="00752F27"/>
    <w:rsid w:val="007570D8"/>
    <w:rsid w:val="0077285A"/>
    <w:rsid w:val="0077286D"/>
    <w:rsid w:val="00775176"/>
    <w:rsid w:val="0078282A"/>
    <w:rsid w:val="007A0D3B"/>
    <w:rsid w:val="007A57FA"/>
    <w:rsid w:val="007B07A5"/>
    <w:rsid w:val="007B211E"/>
    <w:rsid w:val="007B281A"/>
    <w:rsid w:val="007B6C30"/>
    <w:rsid w:val="007C44F9"/>
    <w:rsid w:val="007C4D91"/>
    <w:rsid w:val="007D66BB"/>
    <w:rsid w:val="007E0682"/>
    <w:rsid w:val="007E7BA4"/>
    <w:rsid w:val="007F42AA"/>
    <w:rsid w:val="007F6C15"/>
    <w:rsid w:val="008026FB"/>
    <w:rsid w:val="00807141"/>
    <w:rsid w:val="008243BA"/>
    <w:rsid w:val="00835625"/>
    <w:rsid w:val="0086707E"/>
    <w:rsid w:val="00870896"/>
    <w:rsid w:val="00871D5C"/>
    <w:rsid w:val="00877D2D"/>
    <w:rsid w:val="00883019"/>
    <w:rsid w:val="008860C6"/>
    <w:rsid w:val="00895562"/>
    <w:rsid w:val="00897956"/>
    <w:rsid w:val="008A4E26"/>
    <w:rsid w:val="008B3927"/>
    <w:rsid w:val="008B5689"/>
    <w:rsid w:val="008C0EDD"/>
    <w:rsid w:val="008C1300"/>
    <w:rsid w:val="008C3FDC"/>
    <w:rsid w:val="008C6815"/>
    <w:rsid w:val="008C6B5E"/>
    <w:rsid w:val="008C7A98"/>
    <w:rsid w:val="008D2F06"/>
    <w:rsid w:val="008E7F95"/>
    <w:rsid w:val="008F712E"/>
    <w:rsid w:val="00933505"/>
    <w:rsid w:val="00940B78"/>
    <w:rsid w:val="0094164A"/>
    <w:rsid w:val="0095634D"/>
    <w:rsid w:val="00963F95"/>
    <w:rsid w:val="00967093"/>
    <w:rsid w:val="009A067A"/>
    <w:rsid w:val="009A7EDC"/>
    <w:rsid w:val="009C1C67"/>
    <w:rsid w:val="009D2FCB"/>
    <w:rsid w:val="009D6C26"/>
    <w:rsid w:val="009D76C9"/>
    <w:rsid w:val="009F5714"/>
    <w:rsid w:val="009F6421"/>
    <w:rsid w:val="009F6A58"/>
    <w:rsid w:val="00A0060F"/>
    <w:rsid w:val="00A00836"/>
    <w:rsid w:val="00A20036"/>
    <w:rsid w:val="00A30140"/>
    <w:rsid w:val="00A358ED"/>
    <w:rsid w:val="00A400A5"/>
    <w:rsid w:val="00A54A8F"/>
    <w:rsid w:val="00A618D0"/>
    <w:rsid w:val="00A639B4"/>
    <w:rsid w:val="00A6411B"/>
    <w:rsid w:val="00A7383B"/>
    <w:rsid w:val="00A92AFF"/>
    <w:rsid w:val="00A948D9"/>
    <w:rsid w:val="00AA4565"/>
    <w:rsid w:val="00AC3893"/>
    <w:rsid w:val="00AD4562"/>
    <w:rsid w:val="00AD6964"/>
    <w:rsid w:val="00AE03BD"/>
    <w:rsid w:val="00AE18AB"/>
    <w:rsid w:val="00AE23A6"/>
    <w:rsid w:val="00AE3F6A"/>
    <w:rsid w:val="00B00AC2"/>
    <w:rsid w:val="00B12134"/>
    <w:rsid w:val="00B14BE8"/>
    <w:rsid w:val="00B160D3"/>
    <w:rsid w:val="00B22869"/>
    <w:rsid w:val="00B31441"/>
    <w:rsid w:val="00B34342"/>
    <w:rsid w:val="00B36B40"/>
    <w:rsid w:val="00B43118"/>
    <w:rsid w:val="00B43374"/>
    <w:rsid w:val="00B46253"/>
    <w:rsid w:val="00B520FA"/>
    <w:rsid w:val="00B62EE1"/>
    <w:rsid w:val="00B6442B"/>
    <w:rsid w:val="00B65221"/>
    <w:rsid w:val="00B66F81"/>
    <w:rsid w:val="00B735F6"/>
    <w:rsid w:val="00B835A8"/>
    <w:rsid w:val="00B851B6"/>
    <w:rsid w:val="00B96A42"/>
    <w:rsid w:val="00BA4E3E"/>
    <w:rsid w:val="00BB2903"/>
    <w:rsid w:val="00BB71BC"/>
    <w:rsid w:val="00BC5567"/>
    <w:rsid w:val="00BD7CCB"/>
    <w:rsid w:val="00C23CDE"/>
    <w:rsid w:val="00C3168D"/>
    <w:rsid w:val="00C33642"/>
    <w:rsid w:val="00C44252"/>
    <w:rsid w:val="00C5155E"/>
    <w:rsid w:val="00C54260"/>
    <w:rsid w:val="00C617B3"/>
    <w:rsid w:val="00C6713A"/>
    <w:rsid w:val="00C80888"/>
    <w:rsid w:val="00CA3090"/>
    <w:rsid w:val="00CB1778"/>
    <w:rsid w:val="00CC1182"/>
    <w:rsid w:val="00CD0E30"/>
    <w:rsid w:val="00CE373D"/>
    <w:rsid w:val="00CF7FE4"/>
    <w:rsid w:val="00D06D94"/>
    <w:rsid w:val="00D078C2"/>
    <w:rsid w:val="00D17270"/>
    <w:rsid w:val="00D2038D"/>
    <w:rsid w:val="00D25F9A"/>
    <w:rsid w:val="00D46ECA"/>
    <w:rsid w:val="00D5470B"/>
    <w:rsid w:val="00D54A9F"/>
    <w:rsid w:val="00D6356D"/>
    <w:rsid w:val="00D65164"/>
    <w:rsid w:val="00D72410"/>
    <w:rsid w:val="00D7497D"/>
    <w:rsid w:val="00D83967"/>
    <w:rsid w:val="00D954DA"/>
    <w:rsid w:val="00D96BC1"/>
    <w:rsid w:val="00DA58AD"/>
    <w:rsid w:val="00DB7055"/>
    <w:rsid w:val="00DC201B"/>
    <w:rsid w:val="00DD58A0"/>
    <w:rsid w:val="00DD5E44"/>
    <w:rsid w:val="00DE39F1"/>
    <w:rsid w:val="00E047BB"/>
    <w:rsid w:val="00E26726"/>
    <w:rsid w:val="00E32A5B"/>
    <w:rsid w:val="00E51826"/>
    <w:rsid w:val="00E67CE5"/>
    <w:rsid w:val="00E723DB"/>
    <w:rsid w:val="00E813AD"/>
    <w:rsid w:val="00E83BCD"/>
    <w:rsid w:val="00E8471C"/>
    <w:rsid w:val="00E97709"/>
    <w:rsid w:val="00E97F41"/>
    <w:rsid w:val="00EB2A41"/>
    <w:rsid w:val="00EB2BC4"/>
    <w:rsid w:val="00EB5E76"/>
    <w:rsid w:val="00EC0180"/>
    <w:rsid w:val="00EC0B36"/>
    <w:rsid w:val="00EC430F"/>
    <w:rsid w:val="00EC5FF9"/>
    <w:rsid w:val="00EC673E"/>
    <w:rsid w:val="00ED50AF"/>
    <w:rsid w:val="00ED7DFB"/>
    <w:rsid w:val="00EE01C9"/>
    <w:rsid w:val="00EE489E"/>
    <w:rsid w:val="00EE62D7"/>
    <w:rsid w:val="00EF0E2A"/>
    <w:rsid w:val="00F10A5E"/>
    <w:rsid w:val="00F24CB2"/>
    <w:rsid w:val="00F25249"/>
    <w:rsid w:val="00F3692C"/>
    <w:rsid w:val="00F36FA4"/>
    <w:rsid w:val="00F3779B"/>
    <w:rsid w:val="00F404C0"/>
    <w:rsid w:val="00F41F6C"/>
    <w:rsid w:val="00F4682E"/>
    <w:rsid w:val="00F504F6"/>
    <w:rsid w:val="00F5288A"/>
    <w:rsid w:val="00F543ED"/>
    <w:rsid w:val="00F66E3C"/>
    <w:rsid w:val="00F76226"/>
    <w:rsid w:val="00FA1D30"/>
    <w:rsid w:val="00FA5192"/>
    <w:rsid w:val="00FC7F04"/>
    <w:rsid w:val="00FD0EC3"/>
    <w:rsid w:val="00FF2163"/>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688BE"/>
  <w15:chartTrackingRefBased/>
  <w15:docId w15:val="{346D9032-841F-4D56-8548-56E8981C8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82E"/>
    <w:pPr>
      <w:spacing w:line="259" w:lineRule="auto"/>
    </w:pPr>
    <w:rPr>
      <w:sz w:val="22"/>
      <w:szCs w:val="22"/>
    </w:rPr>
  </w:style>
  <w:style w:type="paragraph" w:styleId="Heading1">
    <w:name w:val="heading 1"/>
    <w:basedOn w:val="Normal"/>
    <w:next w:val="Normal"/>
    <w:link w:val="Heading1Char"/>
    <w:uiPriority w:val="9"/>
    <w:qFormat/>
    <w:rsid w:val="00F46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82E"/>
    <w:rPr>
      <w:rFonts w:eastAsiaTheme="majorEastAsia" w:cstheme="majorBidi"/>
      <w:color w:val="272727" w:themeColor="text1" w:themeTint="D8"/>
    </w:rPr>
  </w:style>
  <w:style w:type="paragraph" w:styleId="Title">
    <w:name w:val="Title"/>
    <w:basedOn w:val="Normal"/>
    <w:next w:val="Normal"/>
    <w:link w:val="TitleChar"/>
    <w:uiPriority w:val="10"/>
    <w:qFormat/>
    <w:rsid w:val="00F46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82E"/>
    <w:pPr>
      <w:spacing w:before="160"/>
      <w:jc w:val="center"/>
    </w:pPr>
    <w:rPr>
      <w:i/>
      <w:iCs/>
      <w:color w:val="404040" w:themeColor="text1" w:themeTint="BF"/>
    </w:rPr>
  </w:style>
  <w:style w:type="character" w:customStyle="1" w:styleId="QuoteChar">
    <w:name w:val="Quote Char"/>
    <w:basedOn w:val="DefaultParagraphFont"/>
    <w:link w:val="Quote"/>
    <w:uiPriority w:val="29"/>
    <w:rsid w:val="00F4682E"/>
    <w:rPr>
      <w:i/>
      <w:iCs/>
      <w:color w:val="404040" w:themeColor="text1" w:themeTint="BF"/>
    </w:rPr>
  </w:style>
  <w:style w:type="paragraph" w:styleId="ListParagraph">
    <w:name w:val="List Paragraph"/>
    <w:basedOn w:val="Normal"/>
    <w:uiPriority w:val="34"/>
    <w:qFormat/>
    <w:rsid w:val="00F4682E"/>
    <w:pPr>
      <w:ind w:left="720"/>
      <w:contextualSpacing/>
    </w:pPr>
  </w:style>
  <w:style w:type="character" w:styleId="IntenseEmphasis">
    <w:name w:val="Intense Emphasis"/>
    <w:basedOn w:val="DefaultParagraphFont"/>
    <w:uiPriority w:val="21"/>
    <w:qFormat/>
    <w:rsid w:val="00F4682E"/>
    <w:rPr>
      <w:i/>
      <w:iCs/>
      <w:color w:val="0F4761" w:themeColor="accent1" w:themeShade="BF"/>
    </w:rPr>
  </w:style>
  <w:style w:type="paragraph" w:styleId="IntenseQuote">
    <w:name w:val="Intense Quote"/>
    <w:basedOn w:val="Normal"/>
    <w:next w:val="Normal"/>
    <w:link w:val="IntenseQuoteChar"/>
    <w:uiPriority w:val="30"/>
    <w:qFormat/>
    <w:rsid w:val="00F46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82E"/>
    <w:rPr>
      <w:i/>
      <w:iCs/>
      <w:color w:val="0F4761" w:themeColor="accent1" w:themeShade="BF"/>
    </w:rPr>
  </w:style>
  <w:style w:type="character" w:styleId="IntenseReference">
    <w:name w:val="Intense Reference"/>
    <w:basedOn w:val="DefaultParagraphFont"/>
    <w:uiPriority w:val="32"/>
    <w:qFormat/>
    <w:rsid w:val="00F4682E"/>
    <w:rPr>
      <w:b/>
      <w:bCs/>
      <w:smallCaps/>
      <w:color w:val="0F4761" w:themeColor="accent1" w:themeShade="BF"/>
      <w:spacing w:val="5"/>
    </w:rPr>
  </w:style>
  <w:style w:type="paragraph" w:styleId="Header">
    <w:name w:val="header"/>
    <w:basedOn w:val="Normal"/>
    <w:link w:val="HeaderChar"/>
    <w:uiPriority w:val="99"/>
    <w:unhideWhenUsed/>
    <w:rsid w:val="00F46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82E"/>
    <w:rPr>
      <w:sz w:val="22"/>
      <w:szCs w:val="22"/>
    </w:rPr>
  </w:style>
  <w:style w:type="paragraph" w:styleId="Footer">
    <w:name w:val="footer"/>
    <w:basedOn w:val="Normal"/>
    <w:link w:val="FooterChar"/>
    <w:uiPriority w:val="99"/>
    <w:unhideWhenUsed/>
    <w:rsid w:val="00F46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82E"/>
    <w:rPr>
      <w:sz w:val="22"/>
      <w:szCs w:val="22"/>
    </w:rPr>
  </w:style>
  <w:style w:type="character" w:styleId="Hyperlink">
    <w:name w:val="Hyperlink"/>
    <w:basedOn w:val="DefaultParagraphFont"/>
    <w:uiPriority w:val="99"/>
    <w:unhideWhenUsed/>
    <w:rsid w:val="00174FA7"/>
    <w:rPr>
      <w:color w:val="467886" w:themeColor="hyperlink"/>
      <w:u w:val="single"/>
    </w:rPr>
  </w:style>
  <w:style w:type="character" w:styleId="UnresolvedMention">
    <w:name w:val="Unresolved Mention"/>
    <w:basedOn w:val="DefaultParagraphFont"/>
    <w:uiPriority w:val="99"/>
    <w:semiHidden/>
    <w:unhideWhenUsed/>
    <w:rsid w:val="00174FA7"/>
    <w:rPr>
      <w:color w:val="605E5C"/>
      <w:shd w:val="clear" w:color="auto" w:fill="E1DFDD"/>
    </w:rPr>
  </w:style>
  <w:style w:type="character" w:styleId="FollowedHyperlink">
    <w:name w:val="FollowedHyperlink"/>
    <w:basedOn w:val="DefaultParagraphFont"/>
    <w:uiPriority w:val="99"/>
    <w:semiHidden/>
    <w:unhideWhenUsed/>
    <w:rsid w:val="007C44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cor.com/about/overview/history" TargetMode="External"/><Relationship Id="rId13" Type="http://schemas.openxmlformats.org/officeDocument/2006/relationships/hyperlink" Target="https://www.echa.europa.eu/hot-topics/perfluoroalkyl-chemicals-pfas" TargetMode="External"/><Relationship Id="rId18" Type="http://schemas.openxmlformats.org/officeDocument/2006/relationships/hyperlink" Target="https://nielseniq.com/global/en/insights/analysis/2015/the-sustainability-imperative-2/" TargetMode="External"/><Relationship Id="rId26" Type="http://schemas.openxmlformats.org/officeDocument/2006/relationships/hyperlink" Target="https://doi.org/10.5465/amp.2013.0025" TargetMode="External"/><Relationship Id="rId3" Type="http://schemas.openxmlformats.org/officeDocument/2006/relationships/styles" Target="styles.xml"/><Relationship Id="rId21" Type="http://schemas.openxmlformats.org/officeDocument/2006/relationships/hyperlink" Target="https://wedocs.unep.org/20.500.11822/36963" TargetMode="External"/><Relationship Id="rId7" Type="http://schemas.openxmlformats.org/officeDocument/2006/relationships/endnotes" Target="endnotes.xml"/><Relationship Id="rId12" Type="http://schemas.openxmlformats.org/officeDocument/2006/relationships/hyperlink" Target="https://www.oecd.org/en/publications/global-plastics-outlook_aa1edf33-en.html" TargetMode="External"/><Relationship Id="rId17" Type="http://schemas.openxmlformats.org/officeDocument/2006/relationships/hyperlink" Target="https://doi.org/10.1007/s43615-025-00586-4" TargetMode="External"/><Relationship Id="rId25" Type="http://schemas.openxmlformats.org/officeDocument/2006/relationships/hyperlink" Target="https://www.mondigroup.com/news-and-insight/2025/inside-mondi-flexstudios-and-its-innovation-for-circular-packaging/" TargetMode="External"/><Relationship Id="rId2" Type="http://schemas.openxmlformats.org/officeDocument/2006/relationships/numbering" Target="numbering.xml"/><Relationship Id="rId16" Type="http://schemas.openxmlformats.org/officeDocument/2006/relationships/hyperlink" Target="https://www.pwc.com/gx/en/services/consulting/digital-operations/reinventing-supply-chains-2030.html" TargetMode="External"/><Relationship Id="rId20" Type="http://schemas.openxmlformats.org/officeDocument/2006/relationships/hyperlink" Target="https://www.ellenmacarthurfoundation.org/completing-the-pict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rcularity-gap.world/2024" TargetMode="External"/><Relationship Id="rId24" Type="http://schemas.openxmlformats.org/officeDocument/2006/relationships/hyperlink" Target="https://www.amcor.com/about/overview/innovation" TargetMode="External"/><Relationship Id="rId5" Type="http://schemas.openxmlformats.org/officeDocument/2006/relationships/webSettings" Target="webSettings.xml"/><Relationship Id="rId15" Type="http://schemas.openxmlformats.org/officeDocument/2006/relationships/hyperlink" Target="https://www.spglobal.com/en/research-insights/market-insights/geopolitical-risk/supply-chain-resilience" TargetMode="External"/><Relationship Id="rId23" Type="http://schemas.openxmlformats.org/officeDocument/2006/relationships/hyperlink" Target="https://www.globalventuring.com/corporate/9-startups-reshaping-the-packaging-sector/" TargetMode="External"/><Relationship Id="rId28" Type="http://schemas.openxmlformats.org/officeDocument/2006/relationships/footer" Target="footer1.xml"/><Relationship Id="rId10" Type="http://schemas.openxmlformats.org/officeDocument/2006/relationships/hyperlink" Target="https://www.bcg.com/publications/2022/consumers-are-the-key-to-taking-sustainable-products-mainstream" TargetMode="External"/><Relationship Id="rId19" Type="http://schemas.openxmlformats.org/officeDocument/2006/relationships/hyperlink" Target="https://www.sciencedirect.com/science/article/pii/S0301479723006163" TargetMode="External"/><Relationship Id="rId4" Type="http://schemas.openxmlformats.org/officeDocument/2006/relationships/settings" Target="settings.xml"/><Relationship Id="rId9" Type="http://schemas.openxmlformats.org/officeDocument/2006/relationships/hyperlink" Target="https://www.mckinsey.com/capabilities/growth-marketing-and-sales/our-insights/five-fundamental-truths-how-b2b-winners-keep-growing" TargetMode="External"/><Relationship Id="rId14" Type="http://schemas.openxmlformats.org/officeDocument/2006/relationships/hyperlink" Target="https://environment.ec.europa.eu/topics/waste-and-recycling/packaging-waste/packaging-packaging-waste-regulation_en" TargetMode="External"/><Relationship Id="rId22" Type="http://schemas.openxmlformats.org/officeDocument/2006/relationships/hyperlink" Target="https://doi.org/10.3390/su17209252" TargetMode="External"/><Relationship Id="rId27" Type="http://schemas.openxmlformats.org/officeDocument/2006/relationships/hyperlink" Target="https://doi.org/10.1007/s11747-024-01066-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F6ED7-B0FE-478F-94A8-885B08CC8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7377</Words>
  <Characters>42049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Amcor</Company>
  <LinksUpToDate>false</LinksUpToDate>
  <CharactersWithSpaces>49328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Phillips</dc:creator>
  <cp:keywords/>
  <dc:description/>
  <cp:lastModifiedBy>Julian Phillips</cp:lastModifiedBy>
  <cp:revision>334</cp:revision>
  <dcterms:created xsi:type="dcterms:W3CDTF">2025-11-29T14:35:00Z</dcterms:created>
  <dcterms:modified xsi:type="dcterms:W3CDTF">2025-12-07T18:24:00Z</dcterms:modified>
</cp:coreProperties>
</file>