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B3E0C" w14:textId="4B2C0FAF" w:rsidR="0000227A" w:rsidRP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This essay aims to examine the concept of dishonesty and the role it plays in relation to offences of theft in the United Kingdom. </w:t>
      </w:r>
    </w:p>
    <w:p w14:paraId="058302E3" w14:textId="77777777" w:rsidR="0000227A" w:rsidRPr="0000227A" w:rsidRDefault="0000227A" w:rsidP="0000227A">
      <w:pPr>
        <w:rPr>
          <w:rFonts w:ascii="Calibri" w:hAnsi="Calibri" w:cs="Calibri"/>
          <w:color w:val="000000" w:themeColor="text1"/>
          <w:sz w:val="24"/>
          <w:szCs w:val="24"/>
        </w:rPr>
      </w:pPr>
    </w:p>
    <w:p w14:paraId="6881044C" w14:textId="0A4B5AB3" w:rsidR="00CF35EF" w:rsidRPr="00AB24A1" w:rsidRDefault="0000227A" w:rsidP="00CF35EF">
      <w:pPr>
        <w:rPr>
          <w:rFonts w:ascii="Calibri" w:hAnsi="Calibri" w:cs="Calibri"/>
          <w:color w:val="000000" w:themeColor="text1"/>
          <w:sz w:val="24"/>
          <w:szCs w:val="24"/>
        </w:rPr>
      </w:pPr>
      <w:r>
        <w:rPr>
          <w:rFonts w:ascii="Calibri" w:hAnsi="Calibri" w:cs="Calibri"/>
          <w:color w:val="000000" w:themeColor="text1"/>
          <w:sz w:val="24"/>
          <w:szCs w:val="24"/>
        </w:rPr>
        <w:t>When looking at the element of d</w:t>
      </w:r>
      <w:r w:rsidRPr="0000227A">
        <w:rPr>
          <w:rFonts w:ascii="Calibri" w:hAnsi="Calibri" w:cs="Calibri"/>
          <w:color w:val="000000" w:themeColor="text1"/>
          <w:sz w:val="24"/>
          <w:szCs w:val="24"/>
        </w:rPr>
        <w:t>ishonesty</w:t>
      </w:r>
      <w:r>
        <w:rPr>
          <w:rFonts w:ascii="Calibri" w:hAnsi="Calibri" w:cs="Calibri"/>
          <w:color w:val="000000" w:themeColor="text1"/>
          <w:sz w:val="24"/>
          <w:szCs w:val="24"/>
        </w:rPr>
        <w:t>, dishonesty</w:t>
      </w:r>
      <w:r w:rsidRPr="0000227A">
        <w:rPr>
          <w:rFonts w:ascii="Calibri" w:hAnsi="Calibri" w:cs="Calibri"/>
          <w:color w:val="000000" w:themeColor="text1"/>
          <w:sz w:val="24"/>
          <w:szCs w:val="24"/>
        </w:rPr>
        <w:t xml:space="preserve"> is a complex concept that plays a significant role in criminal offences regarding theft. Dishonesty can be defined as the lack of honesty or integrity shown in someone’s character or behaviour. In legal terms, dishonesty is a key element in offences such as theft</w:t>
      </w:r>
      <w:r>
        <w:rPr>
          <w:rFonts w:ascii="Calibri" w:hAnsi="Calibri" w:cs="Calibri"/>
          <w:color w:val="000000" w:themeColor="text1"/>
          <w:sz w:val="24"/>
          <w:szCs w:val="24"/>
        </w:rPr>
        <w:t>. W</w:t>
      </w:r>
      <w:r w:rsidRPr="0000227A">
        <w:rPr>
          <w:rFonts w:ascii="Calibri" w:hAnsi="Calibri" w:cs="Calibri"/>
          <w:color w:val="000000" w:themeColor="text1"/>
          <w:sz w:val="24"/>
          <w:szCs w:val="24"/>
        </w:rPr>
        <w:t>hen it comes to theft</w:t>
      </w:r>
      <w:r>
        <w:rPr>
          <w:rFonts w:ascii="Calibri" w:hAnsi="Calibri" w:cs="Calibri"/>
          <w:color w:val="000000" w:themeColor="text1"/>
          <w:sz w:val="24"/>
          <w:szCs w:val="24"/>
        </w:rPr>
        <w:t xml:space="preserve"> offences</w:t>
      </w:r>
      <w:r w:rsidRPr="0000227A">
        <w:rPr>
          <w:rFonts w:ascii="Calibri" w:hAnsi="Calibri" w:cs="Calibri"/>
          <w:color w:val="000000" w:themeColor="text1"/>
          <w:sz w:val="24"/>
          <w:szCs w:val="24"/>
        </w:rPr>
        <w:t xml:space="preserve">, there are five elements. These elements consist of appropriation, property, belonging to another, dishonesty and the intention to permanently deprive. </w:t>
      </w:r>
      <w:r w:rsidR="00CF35EF">
        <w:rPr>
          <w:rFonts w:ascii="Calibri" w:hAnsi="Calibri" w:cs="Calibri"/>
          <w:color w:val="000000" w:themeColor="text1"/>
          <w:sz w:val="24"/>
          <w:szCs w:val="24"/>
        </w:rPr>
        <w:t>(</w:t>
      </w:r>
      <w:r w:rsidR="00CF35EF" w:rsidRPr="00AB24A1">
        <w:rPr>
          <w:rFonts w:ascii="Calibri" w:hAnsi="Calibri" w:cs="Calibri"/>
          <w:color w:val="000000" w:themeColor="text1"/>
          <w:sz w:val="24"/>
          <w:szCs w:val="24"/>
        </w:rPr>
        <w:t>Taylor, Elliott and Quinn, 2018)</w:t>
      </w:r>
    </w:p>
    <w:p w14:paraId="2FB0888F" w14:textId="388ED1BE" w:rsidR="0000227A" w:rsidRPr="0000227A" w:rsidRDefault="0000227A" w:rsidP="0000227A">
      <w:pPr>
        <w:rPr>
          <w:rFonts w:ascii="Calibri" w:hAnsi="Calibri" w:cs="Calibri"/>
          <w:color w:val="000000" w:themeColor="text1"/>
          <w:sz w:val="24"/>
          <w:szCs w:val="24"/>
        </w:rPr>
      </w:pPr>
    </w:p>
    <w:p w14:paraId="479F52EC" w14:textId="77777777" w:rsidR="0000227A" w:rsidRPr="0000227A" w:rsidRDefault="0000227A" w:rsidP="0000227A">
      <w:pPr>
        <w:rPr>
          <w:rFonts w:ascii="Calibri" w:hAnsi="Calibri" w:cs="Calibri"/>
          <w:color w:val="000000" w:themeColor="text1"/>
          <w:sz w:val="24"/>
          <w:szCs w:val="24"/>
        </w:rPr>
      </w:pPr>
    </w:p>
    <w:p w14:paraId="037A4568" w14:textId="65D77A31" w:rsid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In the Theft Act 1968 Section 1, theft is defined as</w:t>
      </w:r>
      <w:r>
        <w:rPr>
          <w:rFonts w:ascii="Calibri" w:hAnsi="Calibri" w:cs="Calibri"/>
          <w:color w:val="000000" w:themeColor="text1"/>
          <w:sz w:val="24"/>
          <w:szCs w:val="24"/>
        </w:rPr>
        <w:t>,</w:t>
      </w:r>
      <w:r w:rsidRPr="0000227A">
        <w:rPr>
          <w:rFonts w:ascii="Calibri" w:hAnsi="Calibri" w:cs="Calibri"/>
          <w:color w:val="000000" w:themeColor="text1"/>
          <w:sz w:val="24"/>
          <w:szCs w:val="24"/>
        </w:rPr>
        <w:t xml:space="preserve"> a person who is guilty of theft is </w:t>
      </w:r>
      <w:r>
        <w:rPr>
          <w:rFonts w:ascii="Calibri" w:hAnsi="Calibri" w:cs="Calibri"/>
          <w:color w:val="000000" w:themeColor="text1"/>
          <w:sz w:val="24"/>
          <w:szCs w:val="24"/>
        </w:rPr>
        <w:t xml:space="preserve">that </w:t>
      </w:r>
      <w:r w:rsidRPr="0000227A">
        <w:rPr>
          <w:rFonts w:ascii="Calibri" w:hAnsi="Calibri" w:cs="Calibri"/>
          <w:color w:val="000000" w:themeColor="text1"/>
          <w:sz w:val="24"/>
          <w:szCs w:val="24"/>
        </w:rPr>
        <w:t xml:space="preserve">he dishonestly appropriates property belonging to another with the intention of permanently depriving the other of it. The mens rea key elements required to prove of someone being dishonest in the </w:t>
      </w:r>
      <w:r>
        <w:rPr>
          <w:rFonts w:ascii="Calibri" w:hAnsi="Calibri" w:cs="Calibri"/>
          <w:color w:val="000000" w:themeColor="text1"/>
          <w:sz w:val="24"/>
          <w:szCs w:val="24"/>
        </w:rPr>
        <w:t>theft act</w:t>
      </w:r>
      <w:r w:rsidRPr="0000227A">
        <w:rPr>
          <w:rFonts w:ascii="Calibri" w:hAnsi="Calibri" w:cs="Calibri"/>
          <w:color w:val="000000" w:themeColor="text1"/>
          <w:sz w:val="24"/>
          <w:szCs w:val="24"/>
        </w:rPr>
        <w:t xml:space="preserve">, is dishonestly and the intention. </w:t>
      </w:r>
    </w:p>
    <w:p w14:paraId="3EBB81F8" w14:textId="77777777" w:rsidR="00CF35EF" w:rsidRPr="0000227A" w:rsidRDefault="00CF35EF" w:rsidP="0000227A">
      <w:pPr>
        <w:rPr>
          <w:rFonts w:ascii="Calibri" w:hAnsi="Calibri" w:cs="Calibri"/>
          <w:color w:val="000000" w:themeColor="text1"/>
          <w:sz w:val="24"/>
          <w:szCs w:val="24"/>
        </w:rPr>
      </w:pPr>
    </w:p>
    <w:p w14:paraId="584880B1" w14:textId="5BCF765E" w:rsidR="0000227A" w:rsidRP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The definition of appropriation is provided in </w:t>
      </w:r>
      <w:r>
        <w:rPr>
          <w:rFonts w:ascii="Calibri" w:hAnsi="Calibri" w:cs="Calibri"/>
          <w:color w:val="000000" w:themeColor="text1"/>
          <w:sz w:val="24"/>
          <w:szCs w:val="24"/>
        </w:rPr>
        <w:t xml:space="preserve">Theft Act 1968 </w:t>
      </w:r>
      <w:r w:rsidRPr="0000227A">
        <w:rPr>
          <w:rFonts w:ascii="Calibri" w:hAnsi="Calibri" w:cs="Calibri"/>
          <w:color w:val="000000" w:themeColor="text1"/>
          <w:sz w:val="24"/>
          <w:szCs w:val="24"/>
        </w:rPr>
        <w:t>S</w:t>
      </w:r>
      <w:r>
        <w:rPr>
          <w:rFonts w:ascii="Calibri" w:hAnsi="Calibri" w:cs="Calibri"/>
          <w:color w:val="000000" w:themeColor="text1"/>
          <w:sz w:val="24"/>
          <w:szCs w:val="24"/>
        </w:rPr>
        <w:t>ection 3</w:t>
      </w:r>
      <w:r w:rsidRPr="0000227A">
        <w:rPr>
          <w:rFonts w:ascii="Calibri" w:hAnsi="Calibri" w:cs="Calibri"/>
          <w:color w:val="000000" w:themeColor="text1"/>
          <w:sz w:val="24"/>
          <w:szCs w:val="24"/>
        </w:rPr>
        <w:t xml:space="preserve"> (1) which states any assumption by a person of the rights of an </w:t>
      </w:r>
      <w:r w:rsidRPr="0000227A">
        <w:rPr>
          <w:rFonts w:ascii="Calibri" w:hAnsi="Calibri" w:cs="Calibri"/>
          <w:color w:val="000000" w:themeColor="text1"/>
          <w:sz w:val="24"/>
          <w:szCs w:val="24"/>
        </w:rPr>
        <w:t>owner amount</w:t>
      </w:r>
      <w:r w:rsidRPr="0000227A">
        <w:rPr>
          <w:rFonts w:ascii="Calibri" w:hAnsi="Calibri" w:cs="Calibri"/>
          <w:color w:val="000000" w:themeColor="text1"/>
          <w:sz w:val="24"/>
          <w:szCs w:val="24"/>
        </w:rPr>
        <w:t xml:space="preserve"> to an appropriation and this includes where </w:t>
      </w:r>
      <w:r>
        <w:rPr>
          <w:rFonts w:ascii="Calibri" w:hAnsi="Calibri" w:cs="Calibri"/>
          <w:color w:val="000000" w:themeColor="text1"/>
          <w:sz w:val="24"/>
          <w:szCs w:val="24"/>
        </w:rPr>
        <w:t>they have</w:t>
      </w:r>
      <w:r w:rsidRPr="0000227A">
        <w:rPr>
          <w:rFonts w:ascii="Calibri" w:hAnsi="Calibri" w:cs="Calibri"/>
          <w:color w:val="000000" w:themeColor="text1"/>
          <w:sz w:val="24"/>
          <w:szCs w:val="24"/>
        </w:rPr>
        <w:t xml:space="preserve"> come by the property </w:t>
      </w:r>
      <w:r>
        <w:rPr>
          <w:rFonts w:ascii="Calibri" w:hAnsi="Calibri" w:cs="Calibri"/>
          <w:color w:val="000000" w:themeColor="text1"/>
          <w:sz w:val="24"/>
          <w:szCs w:val="24"/>
        </w:rPr>
        <w:t>(</w:t>
      </w:r>
      <w:r w:rsidRPr="0000227A">
        <w:rPr>
          <w:rFonts w:ascii="Calibri" w:hAnsi="Calibri" w:cs="Calibri"/>
          <w:color w:val="000000" w:themeColor="text1"/>
          <w:sz w:val="24"/>
          <w:szCs w:val="24"/>
        </w:rPr>
        <w:t>innocently or not</w:t>
      </w:r>
      <w:r>
        <w:rPr>
          <w:rFonts w:ascii="Calibri" w:hAnsi="Calibri" w:cs="Calibri"/>
          <w:color w:val="000000" w:themeColor="text1"/>
          <w:sz w:val="24"/>
          <w:szCs w:val="24"/>
        </w:rPr>
        <w:t xml:space="preserve">) </w:t>
      </w:r>
      <w:r w:rsidRPr="0000227A">
        <w:rPr>
          <w:rFonts w:ascii="Calibri" w:hAnsi="Calibri" w:cs="Calibri"/>
          <w:color w:val="000000" w:themeColor="text1"/>
          <w:sz w:val="24"/>
          <w:szCs w:val="24"/>
        </w:rPr>
        <w:t xml:space="preserve">without stealing it, any later assumption of a right to it by keeping or dealing with it as an owner. </w:t>
      </w:r>
      <w:r w:rsidRPr="00AB24A1">
        <w:rPr>
          <w:rFonts w:ascii="Calibri" w:hAnsi="Calibri" w:cs="Calibri"/>
          <w:color w:val="000000" w:themeColor="text1"/>
          <w:sz w:val="24"/>
          <w:szCs w:val="24"/>
          <w:shd w:val="clear" w:color="auto" w:fill="FFFFFF"/>
        </w:rPr>
        <w:t>(Macdonald, 2018.)</w:t>
      </w:r>
    </w:p>
    <w:p w14:paraId="4D5BDD60" w14:textId="77777777" w:rsidR="0000227A" w:rsidRPr="0000227A" w:rsidRDefault="0000227A" w:rsidP="0000227A">
      <w:pPr>
        <w:rPr>
          <w:rFonts w:ascii="Calibri" w:hAnsi="Calibri" w:cs="Calibri"/>
          <w:color w:val="000000" w:themeColor="text1"/>
          <w:sz w:val="24"/>
          <w:szCs w:val="24"/>
        </w:rPr>
      </w:pPr>
    </w:p>
    <w:p w14:paraId="4C4F76F1" w14:textId="4C0FA2F1" w:rsidR="0000227A" w:rsidRDefault="0000227A" w:rsidP="0000227A">
      <w:pPr>
        <w:rPr>
          <w:rStyle w:val="Strong"/>
          <w:rFonts w:ascii="Calibri" w:eastAsiaTheme="majorEastAsia" w:hAnsi="Calibri" w:cs="Calibri"/>
          <w:b w:val="0"/>
          <w:bCs w:val="0"/>
          <w:color w:val="000000" w:themeColor="text1"/>
          <w:sz w:val="24"/>
          <w:szCs w:val="24"/>
        </w:rPr>
      </w:pPr>
      <w:r w:rsidRPr="0000227A">
        <w:rPr>
          <w:rStyle w:val="Strong"/>
          <w:rFonts w:ascii="Calibri" w:eastAsiaTheme="majorEastAsia" w:hAnsi="Calibri" w:cs="Calibri"/>
          <w:b w:val="0"/>
          <w:bCs w:val="0"/>
          <w:color w:val="000000" w:themeColor="text1"/>
          <w:sz w:val="24"/>
          <w:szCs w:val="24"/>
        </w:rPr>
        <w:t>In the case of (‘</w:t>
      </w:r>
      <w:r w:rsidRPr="0000227A">
        <w:rPr>
          <w:rStyle w:val="Strong"/>
          <w:rFonts w:ascii="Calibri" w:eastAsiaTheme="majorEastAsia" w:hAnsi="Calibri" w:cs="Calibri"/>
          <w:b w:val="0"/>
          <w:bCs w:val="0"/>
          <w:color w:val="000000" w:themeColor="text1"/>
          <w:sz w:val="24"/>
          <w:szCs w:val="24"/>
        </w:rPr>
        <w:t>R v Morris</w:t>
      </w:r>
      <w:r w:rsidRPr="0000227A">
        <w:rPr>
          <w:rStyle w:val="Strong"/>
          <w:rFonts w:ascii="Calibri" w:eastAsiaTheme="majorEastAsia" w:hAnsi="Calibri" w:cs="Calibri"/>
          <w:b w:val="0"/>
          <w:bCs w:val="0"/>
          <w:color w:val="000000" w:themeColor="text1"/>
          <w:sz w:val="24"/>
          <w:szCs w:val="24"/>
        </w:rPr>
        <w:t>’,</w:t>
      </w:r>
      <w:r w:rsidRPr="0000227A">
        <w:rPr>
          <w:rStyle w:val="Strong"/>
          <w:rFonts w:ascii="Calibri" w:eastAsiaTheme="majorEastAsia" w:hAnsi="Calibri" w:cs="Calibri"/>
          <w:b w:val="0"/>
          <w:bCs w:val="0"/>
          <w:color w:val="000000" w:themeColor="text1"/>
          <w:sz w:val="24"/>
          <w:szCs w:val="24"/>
        </w:rPr>
        <w:t>1983</w:t>
      </w:r>
      <w:r w:rsidRPr="0000227A">
        <w:rPr>
          <w:rStyle w:val="Strong"/>
          <w:rFonts w:ascii="Calibri" w:eastAsiaTheme="majorEastAsia" w:hAnsi="Calibri" w:cs="Calibri"/>
          <w:b w:val="0"/>
          <w:bCs w:val="0"/>
          <w:color w:val="000000" w:themeColor="text1"/>
          <w:sz w:val="24"/>
          <w:szCs w:val="24"/>
        </w:rPr>
        <w:t>)</w:t>
      </w:r>
      <w:r w:rsidRPr="0000227A">
        <w:rPr>
          <w:rStyle w:val="Strong"/>
          <w:rFonts w:ascii="Calibri" w:eastAsiaTheme="majorEastAsia" w:hAnsi="Calibri" w:cs="Calibri"/>
          <w:b w:val="0"/>
          <w:bCs w:val="0"/>
          <w:color w:val="000000" w:themeColor="text1"/>
          <w:sz w:val="24"/>
          <w:szCs w:val="24"/>
        </w:rPr>
        <w:t xml:space="preserve"> </w:t>
      </w:r>
      <w:r w:rsidRPr="0000227A">
        <w:rPr>
          <w:rStyle w:val="Strong"/>
          <w:rFonts w:ascii="Calibri" w:eastAsiaTheme="majorEastAsia" w:hAnsi="Calibri" w:cs="Calibri"/>
          <w:b w:val="0"/>
          <w:bCs w:val="0"/>
          <w:color w:val="000000" w:themeColor="text1"/>
          <w:sz w:val="24"/>
          <w:szCs w:val="24"/>
        </w:rPr>
        <w:t>the defendants were convicted of theft after switching the price labels on items in a supermarket to obtain it for a lower price than it was marked originally. The defendants argued that</w:t>
      </w:r>
      <w:r>
        <w:rPr>
          <w:rStyle w:val="Strong"/>
          <w:rFonts w:ascii="Calibri" w:eastAsiaTheme="majorEastAsia" w:hAnsi="Calibri" w:cs="Calibri"/>
          <w:b w:val="0"/>
          <w:bCs w:val="0"/>
          <w:color w:val="000000" w:themeColor="text1"/>
          <w:sz w:val="24"/>
          <w:szCs w:val="24"/>
        </w:rPr>
        <w:t xml:space="preserve"> by them</w:t>
      </w:r>
      <w:r w:rsidRPr="0000227A">
        <w:rPr>
          <w:rStyle w:val="Strong"/>
          <w:rFonts w:ascii="Calibri" w:eastAsiaTheme="majorEastAsia" w:hAnsi="Calibri" w:cs="Calibri"/>
          <w:b w:val="0"/>
          <w:bCs w:val="0"/>
          <w:color w:val="000000" w:themeColor="text1"/>
          <w:sz w:val="24"/>
          <w:szCs w:val="24"/>
        </w:rPr>
        <w:t xml:space="preserve"> switching the labels on the items </w:t>
      </w:r>
      <w:r>
        <w:rPr>
          <w:rStyle w:val="Strong"/>
          <w:rFonts w:ascii="Calibri" w:eastAsiaTheme="majorEastAsia" w:hAnsi="Calibri" w:cs="Calibri"/>
          <w:b w:val="0"/>
          <w:bCs w:val="0"/>
          <w:color w:val="000000" w:themeColor="text1"/>
          <w:sz w:val="24"/>
          <w:szCs w:val="24"/>
        </w:rPr>
        <w:t>this did</w:t>
      </w:r>
      <w:r w:rsidRPr="0000227A">
        <w:rPr>
          <w:rStyle w:val="Strong"/>
          <w:rFonts w:ascii="Calibri" w:eastAsiaTheme="majorEastAsia" w:hAnsi="Calibri" w:cs="Calibri"/>
          <w:b w:val="0"/>
          <w:bCs w:val="0"/>
          <w:color w:val="000000" w:themeColor="text1"/>
          <w:sz w:val="24"/>
          <w:szCs w:val="24"/>
        </w:rPr>
        <w:t xml:space="preserve"> not amount to appropriation.</w:t>
      </w:r>
      <w:r w:rsidR="00CF35EF">
        <w:rPr>
          <w:rStyle w:val="Strong"/>
          <w:rFonts w:ascii="Calibri" w:eastAsiaTheme="majorEastAsia" w:hAnsi="Calibri" w:cs="Calibri"/>
          <w:b w:val="0"/>
          <w:bCs w:val="0"/>
          <w:color w:val="000000" w:themeColor="text1"/>
          <w:sz w:val="24"/>
          <w:szCs w:val="24"/>
        </w:rPr>
        <w:t xml:space="preserve"> One of the defendants was caught before he paid whereas the other defendant had been caught afterwards.</w:t>
      </w:r>
      <w:r w:rsidRPr="0000227A">
        <w:rPr>
          <w:rStyle w:val="Strong"/>
          <w:rFonts w:ascii="Calibri" w:eastAsiaTheme="majorEastAsia" w:hAnsi="Calibri" w:cs="Calibri"/>
          <w:b w:val="0"/>
          <w:bCs w:val="0"/>
          <w:color w:val="000000" w:themeColor="text1"/>
          <w:sz w:val="24"/>
          <w:szCs w:val="24"/>
        </w:rPr>
        <w:t xml:space="preserve"> In court it was said that the owners of the goods had a right to ensure that the items were sold at the price that the owner had chosen and because the defendants had taken possession of these items when they switched the labels to pay less, this amounted to an assumption of the owner’s rights and therefore an appropriation along with the actus reus element of removing the items and switching labels,</w:t>
      </w:r>
      <w:r>
        <w:rPr>
          <w:rStyle w:val="Strong"/>
          <w:rFonts w:ascii="Calibri" w:eastAsiaTheme="majorEastAsia" w:hAnsi="Calibri" w:cs="Calibri"/>
          <w:b w:val="0"/>
          <w:bCs w:val="0"/>
          <w:color w:val="000000" w:themeColor="text1"/>
          <w:sz w:val="24"/>
          <w:szCs w:val="24"/>
        </w:rPr>
        <w:t xml:space="preserve"> this making</w:t>
      </w:r>
      <w:r w:rsidRPr="0000227A">
        <w:rPr>
          <w:rStyle w:val="Strong"/>
          <w:rFonts w:ascii="Calibri" w:eastAsiaTheme="majorEastAsia" w:hAnsi="Calibri" w:cs="Calibri"/>
          <w:b w:val="0"/>
          <w:bCs w:val="0"/>
          <w:color w:val="000000" w:themeColor="text1"/>
          <w:sz w:val="24"/>
          <w:szCs w:val="24"/>
        </w:rPr>
        <w:t xml:space="preserve"> the offence complete. In this case it shows that even though it was sufficient that the defendants had assumed the right of an owner they did not have necessary all the rights. </w:t>
      </w:r>
    </w:p>
    <w:p w14:paraId="61CCC996" w14:textId="77777777" w:rsidR="0000227A" w:rsidRDefault="0000227A" w:rsidP="0000227A">
      <w:pPr>
        <w:rPr>
          <w:rStyle w:val="Strong"/>
          <w:rFonts w:ascii="Calibri" w:eastAsiaTheme="majorEastAsia" w:hAnsi="Calibri" w:cs="Calibri"/>
          <w:b w:val="0"/>
          <w:bCs w:val="0"/>
          <w:color w:val="000000" w:themeColor="text1"/>
          <w:sz w:val="24"/>
          <w:szCs w:val="24"/>
        </w:rPr>
      </w:pPr>
    </w:p>
    <w:p w14:paraId="26F79F28" w14:textId="7BF5BED8" w:rsidR="0000227A" w:rsidRPr="0000227A" w:rsidRDefault="0000227A" w:rsidP="0000227A">
      <w:pPr>
        <w:rPr>
          <w:rFonts w:ascii="Calibri" w:eastAsiaTheme="majorEastAsia" w:hAnsi="Calibri" w:cs="Calibri"/>
          <w:color w:val="000000" w:themeColor="text1"/>
          <w:sz w:val="24"/>
          <w:szCs w:val="24"/>
        </w:rPr>
      </w:pPr>
      <w:r>
        <w:rPr>
          <w:rStyle w:val="Strong"/>
          <w:rFonts w:ascii="Calibri" w:eastAsiaTheme="majorEastAsia" w:hAnsi="Calibri" w:cs="Calibri"/>
          <w:b w:val="0"/>
          <w:bCs w:val="0"/>
          <w:color w:val="000000" w:themeColor="text1"/>
          <w:sz w:val="24"/>
          <w:szCs w:val="24"/>
        </w:rPr>
        <w:t xml:space="preserve">With this case even though </w:t>
      </w:r>
      <w:r w:rsidR="00CF35EF">
        <w:rPr>
          <w:rStyle w:val="Strong"/>
          <w:rFonts w:ascii="Calibri" w:eastAsiaTheme="majorEastAsia" w:hAnsi="Calibri" w:cs="Calibri"/>
          <w:b w:val="0"/>
          <w:bCs w:val="0"/>
          <w:color w:val="000000" w:themeColor="text1"/>
          <w:sz w:val="24"/>
          <w:szCs w:val="24"/>
        </w:rPr>
        <w:t xml:space="preserve">one of the </w:t>
      </w:r>
      <w:r>
        <w:rPr>
          <w:rStyle w:val="Strong"/>
          <w:rFonts w:ascii="Calibri" w:eastAsiaTheme="majorEastAsia" w:hAnsi="Calibri" w:cs="Calibri"/>
          <w:b w:val="0"/>
          <w:bCs w:val="0"/>
          <w:color w:val="000000" w:themeColor="text1"/>
          <w:sz w:val="24"/>
          <w:szCs w:val="24"/>
        </w:rPr>
        <w:t xml:space="preserve">defendant had </w:t>
      </w:r>
      <w:r w:rsidR="00CF35EF">
        <w:rPr>
          <w:rStyle w:val="Strong"/>
          <w:rFonts w:ascii="Calibri" w:eastAsiaTheme="majorEastAsia" w:hAnsi="Calibri" w:cs="Calibri"/>
          <w:b w:val="0"/>
          <w:bCs w:val="0"/>
          <w:color w:val="000000" w:themeColor="text1"/>
          <w:sz w:val="24"/>
          <w:szCs w:val="24"/>
        </w:rPr>
        <w:t xml:space="preserve">paid and </w:t>
      </w:r>
      <w:r>
        <w:rPr>
          <w:rStyle w:val="Strong"/>
          <w:rFonts w:ascii="Calibri" w:eastAsiaTheme="majorEastAsia" w:hAnsi="Calibri" w:cs="Calibri"/>
          <w:b w:val="0"/>
          <w:bCs w:val="0"/>
          <w:color w:val="000000" w:themeColor="text1"/>
          <w:sz w:val="24"/>
          <w:szCs w:val="24"/>
        </w:rPr>
        <w:t xml:space="preserve">the </w:t>
      </w:r>
      <w:r w:rsidR="00CF35EF">
        <w:rPr>
          <w:rStyle w:val="Strong"/>
          <w:rFonts w:ascii="Calibri" w:eastAsiaTheme="majorEastAsia" w:hAnsi="Calibri" w:cs="Calibri"/>
          <w:b w:val="0"/>
          <w:bCs w:val="0"/>
          <w:color w:val="000000" w:themeColor="text1"/>
          <w:sz w:val="24"/>
          <w:szCs w:val="24"/>
        </w:rPr>
        <w:t xml:space="preserve">other with the </w:t>
      </w:r>
      <w:r>
        <w:rPr>
          <w:rStyle w:val="Strong"/>
          <w:rFonts w:ascii="Calibri" w:eastAsiaTheme="majorEastAsia" w:hAnsi="Calibri" w:cs="Calibri"/>
          <w:b w:val="0"/>
          <w:bCs w:val="0"/>
          <w:color w:val="000000" w:themeColor="text1"/>
          <w:sz w:val="24"/>
          <w:szCs w:val="24"/>
        </w:rPr>
        <w:t>intention to pay for these goods, the defendants dishonestly changed the prices to result in them having personal gain with getting the items for a cheaper price and by doing this they then took on the assumed rights of the owner through the eyes of the criminal law, showing dishonest behaviour and having all the elements needed to prove of theft.</w:t>
      </w:r>
    </w:p>
    <w:p w14:paraId="3E02623D" w14:textId="77777777" w:rsidR="0000227A" w:rsidRPr="0000227A" w:rsidRDefault="0000227A" w:rsidP="0000227A">
      <w:pPr>
        <w:rPr>
          <w:rFonts w:ascii="Calibri" w:hAnsi="Calibri" w:cs="Calibri"/>
          <w:color w:val="000000" w:themeColor="text1"/>
          <w:sz w:val="24"/>
          <w:szCs w:val="24"/>
        </w:rPr>
      </w:pPr>
    </w:p>
    <w:p w14:paraId="356582BB" w14:textId="77777777" w:rsidR="00CF35EF" w:rsidRPr="00AB24A1" w:rsidRDefault="0000227A" w:rsidP="00CF35EF">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In the United Kingdom the concept of dishonesty is defined through case law, notably in the case of (‘R V Ghosh’,1982). This case established a two-part test for </w:t>
      </w:r>
      <w:r>
        <w:rPr>
          <w:rFonts w:ascii="Calibri" w:hAnsi="Calibri" w:cs="Calibri"/>
          <w:color w:val="000000" w:themeColor="text1"/>
          <w:sz w:val="24"/>
          <w:szCs w:val="24"/>
        </w:rPr>
        <w:t xml:space="preserve">being able to </w:t>
      </w:r>
      <w:r w:rsidRPr="0000227A">
        <w:rPr>
          <w:rFonts w:ascii="Calibri" w:hAnsi="Calibri" w:cs="Calibri"/>
          <w:color w:val="000000" w:themeColor="text1"/>
          <w:sz w:val="24"/>
          <w:szCs w:val="24"/>
        </w:rPr>
        <w:t>pro</w:t>
      </w:r>
      <w:r>
        <w:rPr>
          <w:rFonts w:ascii="Calibri" w:hAnsi="Calibri" w:cs="Calibri"/>
          <w:color w:val="000000" w:themeColor="text1"/>
          <w:sz w:val="24"/>
          <w:szCs w:val="24"/>
        </w:rPr>
        <w:t>ve</w:t>
      </w:r>
      <w:r w:rsidRPr="0000227A">
        <w:rPr>
          <w:rFonts w:ascii="Calibri" w:hAnsi="Calibri" w:cs="Calibri"/>
          <w:color w:val="000000" w:themeColor="text1"/>
          <w:sz w:val="24"/>
          <w:szCs w:val="24"/>
        </w:rPr>
        <w:t xml:space="preserve"> dishonesty. In </w:t>
      </w:r>
      <w:r>
        <w:rPr>
          <w:rFonts w:ascii="Calibri" w:hAnsi="Calibri" w:cs="Calibri"/>
          <w:color w:val="000000" w:themeColor="text1"/>
          <w:sz w:val="24"/>
          <w:szCs w:val="24"/>
        </w:rPr>
        <w:t>the test for Ghosh</w:t>
      </w:r>
      <w:r w:rsidRPr="0000227A">
        <w:rPr>
          <w:rFonts w:ascii="Calibri" w:hAnsi="Calibri" w:cs="Calibri"/>
          <w:color w:val="000000" w:themeColor="text1"/>
          <w:sz w:val="24"/>
          <w:szCs w:val="24"/>
        </w:rPr>
        <w:t xml:space="preserve"> the requirement is both an objective and a subjective element. </w:t>
      </w:r>
      <w:r w:rsidR="00CF35EF" w:rsidRPr="00AB24A1">
        <w:rPr>
          <w:rFonts w:ascii="Calibri" w:hAnsi="Calibri" w:cs="Calibri"/>
          <w:color w:val="000000" w:themeColor="text1"/>
          <w:sz w:val="24"/>
          <w:szCs w:val="24"/>
          <w:shd w:val="clear" w:color="auto" w:fill="FFFFFF"/>
        </w:rPr>
        <w:t>(Leggett, 2019.)</w:t>
      </w:r>
    </w:p>
    <w:p w14:paraId="27D3A8C9" w14:textId="125515A8" w:rsidR="0000227A" w:rsidRPr="0000227A" w:rsidRDefault="0000227A" w:rsidP="0000227A">
      <w:pPr>
        <w:rPr>
          <w:rFonts w:ascii="Calibri" w:hAnsi="Calibri" w:cs="Calibri"/>
          <w:color w:val="000000" w:themeColor="text1"/>
          <w:sz w:val="24"/>
          <w:szCs w:val="24"/>
        </w:rPr>
      </w:pPr>
    </w:p>
    <w:p w14:paraId="3ADF28F3" w14:textId="77777777" w:rsidR="0000227A" w:rsidRPr="0000227A" w:rsidRDefault="0000227A" w:rsidP="0000227A">
      <w:pPr>
        <w:rPr>
          <w:rFonts w:ascii="Calibri" w:hAnsi="Calibri" w:cs="Calibri"/>
          <w:color w:val="000000" w:themeColor="text1"/>
          <w:sz w:val="24"/>
          <w:szCs w:val="24"/>
        </w:rPr>
      </w:pPr>
    </w:p>
    <w:p w14:paraId="5DD246FE" w14:textId="39E4EB32" w:rsidR="0000227A" w:rsidRP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lastRenderedPageBreak/>
        <w:t xml:space="preserve">The two-part test in this case was that the jury were to decide whether the defendant’s conduct was dishonest according to the standards of a reasonable and honest person which amounted to the objective part of the test. If by those standards it was considered dishonest the jury would then have to decide whether the defendant himself realised that what he was doing was dishonest, the subjective part of the test. </w:t>
      </w:r>
      <w:r w:rsidRPr="0000227A">
        <w:rPr>
          <w:rFonts w:ascii="Calibri" w:hAnsi="Calibri" w:cs="Calibri"/>
          <w:color w:val="000000" w:themeColor="text1"/>
          <w:sz w:val="24"/>
          <w:szCs w:val="24"/>
        </w:rPr>
        <w:t xml:space="preserve">(Thomas and </w:t>
      </w:r>
      <w:proofErr w:type="spellStart"/>
      <w:r w:rsidRPr="0000227A">
        <w:rPr>
          <w:rFonts w:ascii="Calibri" w:hAnsi="Calibri" w:cs="Calibri"/>
          <w:color w:val="000000" w:themeColor="text1"/>
          <w:sz w:val="24"/>
          <w:szCs w:val="24"/>
        </w:rPr>
        <w:t>Pegg</w:t>
      </w:r>
      <w:proofErr w:type="spellEnd"/>
      <w:r w:rsidRPr="0000227A">
        <w:rPr>
          <w:rFonts w:ascii="Calibri" w:hAnsi="Calibri" w:cs="Calibri"/>
          <w:color w:val="000000" w:themeColor="text1"/>
          <w:sz w:val="24"/>
          <w:szCs w:val="24"/>
        </w:rPr>
        <w:t>,</w:t>
      </w:r>
      <w:r w:rsidR="00CF35EF">
        <w:rPr>
          <w:rFonts w:ascii="Calibri" w:hAnsi="Calibri" w:cs="Calibri"/>
          <w:color w:val="000000" w:themeColor="text1"/>
          <w:sz w:val="24"/>
          <w:szCs w:val="24"/>
        </w:rPr>
        <w:t xml:space="preserve"> </w:t>
      </w:r>
      <w:r w:rsidRPr="0000227A">
        <w:rPr>
          <w:rFonts w:ascii="Calibri" w:hAnsi="Calibri" w:cs="Calibri"/>
          <w:color w:val="000000" w:themeColor="text1"/>
          <w:sz w:val="24"/>
          <w:szCs w:val="24"/>
        </w:rPr>
        <w:t>2020.)</w:t>
      </w:r>
    </w:p>
    <w:p w14:paraId="58C6A25D" w14:textId="66FA734F" w:rsidR="0000227A" w:rsidRPr="0000227A" w:rsidRDefault="0000227A" w:rsidP="0000227A">
      <w:pPr>
        <w:rPr>
          <w:rFonts w:ascii="Calibri" w:hAnsi="Calibri" w:cs="Calibri"/>
          <w:color w:val="000000" w:themeColor="text1"/>
          <w:sz w:val="24"/>
          <w:szCs w:val="24"/>
        </w:rPr>
      </w:pPr>
    </w:p>
    <w:p w14:paraId="22DC9546" w14:textId="4532D317" w:rsid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The test e</w:t>
      </w:r>
      <w:r w:rsidRPr="0000227A">
        <w:rPr>
          <w:rFonts w:ascii="Calibri" w:hAnsi="Calibri" w:cs="Calibri"/>
          <w:color w:val="000000" w:themeColor="text1"/>
          <w:sz w:val="24"/>
          <w:szCs w:val="24"/>
        </w:rPr>
        <w:t xml:space="preserve">stablished by the court of appeal to evaluate whether an action was dishonest, </w:t>
      </w:r>
      <w:r w:rsidRPr="0000227A">
        <w:rPr>
          <w:rFonts w:ascii="Calibri" w:hAnsi="Calibri" w:cs="Calibri"/>
          <w:color w:val="000000" w:themeColor="text1"/>
          <w:sz w:val="24"/>
          <w:szCs w:val="24"/>
        </w:rPr>
        <w:t xml:space="preserve">was used </w:t>
      </w:r>
      <w:r w:rsidRPr="0000227A">
        <w:rPr>
          <w:rFonts w:ascii="Calibri" w:hAnsi="Calibri" w:cs="Calibri"/>
          <w:color w:val="000000" w:themeColor="text1"/>
          <w:sz w:val="24"/>
          <w:szCs w:val="24"/>
        </w:rPr>
        <w:t>in the case of Ghosh</w:t>
      </w:r>
      <w:r>
        <w:rPr>
          <w:rFonts w:ascii="Calibri" w:hAnsi="Calibri" w:cs="Calibri"/>
          <w:color w:val="000000" w:themeColor="text1"/>
          <w:sz w:val="24"/>
          <w:szCs w:val="24"/>
        </w:rPr>
        <w:t>. H</w:t>
      </w:r>
      <w:r w:rsidRPr="0000227A">
        <w:rPr>
          <w:rFonts w:ascii="Calibri" w:hAnsi="Calibri" w:cs="Calibri"/>
          <w:color w:val="000000" w:themeColor="text1"/>
          <w:sz w:val="24"/>
          <w:szCs w:val="24"/>
        </w:rPr>
        <w:t xml:space="preserve">ospital consultant </w:t>
      </w:r>
      <w:r>
        <w:rPr>
          <w:rFonts w:ascii="Calibri" w:hAnsi="Calibri" w:cs="Calibri"/>
          <w:color w:val="000000" w:themeColor="text1"/>
          <w:sz w:val="24"/>
          <w:szCs w:val="24"/>
        </w:rPr>
        <w:t xml:space="preserve">Ghosh </w:t>
      </w:r>
      <w:r w:rsidRPr="0000227A">
        <w:rPr>
          <w:rFonts w:ascii="Calibri" w:hAnsi="Calibri" w:cs="Calibri"/>
          <w:color w:val="000000" w:themeColor="text1"/>
          <w:sz w:val="24"/>
          <w:szCs w:val="24"/>
        </w:rPr>
        <w:t>who falsely had claimed payment for a surgery he himself had not performed</w:t>
      </w:r>
      <w:r>
        <w:rPr>
          <w:rFonts w:ascii="Calibri" w:hAnsi="Calibri" w:cs="Calibri"/>
          <w:color w:val="000000" w:themeColor="text1"/>
          <w:sz w:val="24"/>
          <w:szCs w:val="24"/>
        </w:rPr>
        <w:t xml:space="preserve">, was charged with attempting to procure the payment by deception contrary to the Theft Act 1968 Section 20 (2) and obtaining this payment would result in deception under the Theft Act 1968 Section 15 (1). In his defence in court, he stated there had been no deception and that he himself was entitled to the money. </w:t>
      </w:r>
      <w:r w:rsidRPr="0000227A">
        <w:rPr>
          <w:rFonts w:ascii="Calibri" w:hAnsi="Calibri" w:cs="Calibri"/>
          <w:color w:val="000000" w:themeColor="text1"/>
          <w:sz w:val="24"/>
          <w:szCs w:val="24"/>
        </w:rPr>
        <w:t xml:space="preserve">The court decided it best that the objective and subjective criteria should be used to evaluate a person’s dishonesty. </w:t>
      </w:r>
    </w:p>
    <w:p w14:paraId="703D767E" w14:textId="77777777" w:rsidR="0000227A" w:rsidRPr="0000227A" w:rsidRDefault="0000227A" w:rsidP="0000227A">
      <w:pPr>
        <w:rPr>
          <w:rFonts w:ascii="Calibri" w:hAnsi="Calibri" w:cs="Calibri"/>
          <w:color w:val="000000" w:themeColor="text1"/>
          <w:sz w:val="24"/>
          <w:szCs w:val="24"/>
        </w:rPr>
      </w:pPr>
    </w:p>
    <w:p w14:paraId="034F1A6D" w14:textId="77777777" w:rsidR="0000227A" w:rsidRPr="0000227A" w:rsidRDefault="0000227A" w:rsidP="0000227A">
      <w:pPr>
        <w:rPr>
          <w:rStyle w:val="Strong"/>
          <w:rFonts w:ascii="Calibri" w:hAnsi="Calibri" w:cs="Calibri"/>
          <w:b w:val="0"/>
          <w:bCs w:val="0"/>
          <w:color w:val="000000" w:themeColor="text1"/>
          <w:sz w:val="24"/>
          <w:szCs w:val="24"/>
        </w:rPr>
      </w:pPr>
      <w:r w:rsidRPr="0000227A">
        <w:rPr>
          <w:rStyle w:val="Strong"/>
          <w:rFonts w:ascii="Calibri" w:hAnsi="Calibri" w:cs="Calibri"/>
          <w:b w:val="0"/>
          <w:bCs w:val="0"/>
          <w:color w:val="000000" w:themeColor="text1"/>
          <w:sz w:val="24"/>
          <w:szCs w:val="24"/>
        </w:rPr>
        <w:t xml:space="preserve">Even though it was the test used for over thirty-five years, the test itself faced criticism for its subjective nature, potentially leading to being inconsistent and undermining public confidence in the criminal justice system. </w:t>
      </w:r>
      <w:r w:rsidRPr="0000227A">
        <w:rPr>
          <w:rFonts w:ascii="Calibri" w:hAnsi="Calibri" w:cs="Calibri"/>
          <w:color w:val="000000" w:themeColor="text1"/>
          <w:sz w:val="24"/>
          <w:szCs w:val="24"/>
        </w:rPr>
        <w:t>(Jackson, 2017)</w:t>
      </w:r>
    </w:p>
    <w:p w14:paraId="0CB56F03" w14:textId="77777777" w:rsidR="0000227A" w:rsidRPr="0000227A" w:rsidRDefault="0000227A" w:rsidP="0000227A">
      <w:pPr>
        <w:rPr>
          <w:rStyle w:val="Strong"/>
          <w:rFonts w:ascii="Calibri" w:hAnsi="Calibri" w:cs="Calibri"/>
          <w:b w:val="0"/>
          <w:bCs w:val="0"/>
          <w:color w:val="000000" w:themeColor="text1"/>
          <w:sz w:val="24"/>
          <w:szCs w:val="24"/>
        </w:rPr>
      </w:pPr>
    </w:p>
    <w:p w14:paraId="27708E66" w14:textId="53B07BD9" w:rsidR="0000227A" w:rsidRPr="0000227A" w:rsidRDefault="0000227A" w:rsidP="0000227A">
      <w:pPr>
        <w:rPr>
          <w:rStyle w:val="Strong"/>
          <w:rFonts w:ascii="Calibri" w:hAnsi="Calibri" w:cs="Calibri"/>
          <w:b w:val="0"/>
          <w:bCs w:val="0"/>
          <w:color w:val="000000" w:themeColor="text1"/>
          <w:sz w:val="24"/>
          <w:szCs w:val="24"/>
        </w:rPr>
      </w:pPr>
      <w:r w:rsidRPr="0000227A">
        <w:rPr>
          <w:rStyle w:val="Strong"/>
          <w:rFonts w:ascii="Calibri" w:hAnsi="Calibri" w:cs="Calibri"/>
          <w:b w:val="0"/>
          <w:bCs w:val="0"/>
          <w:color w:val="000000" w:themeColor="text1"/>
          <w:sz w:val="24"/>
          <w:szCs w:val="24"/>
        </w:rPr>
        <w:t xml:space="preserve">The criticism prompted a shift towards </w:t>
      </w:r>
      <w:r w:rsidRPr="0000227A">
        <w:rPr>
          <w:rStyle w:val="Strong"/>
          <w:rFonts w:ascii="Calibri" w:hAnsi="Calibri" w:cs="Calibri"/>
          <w:b w:val="0"/>
          <w:bCs w:val="0"/>
          <w:color w:val="000000" w:themeColor="text1"/>
          <w:sz w:val="24"/>
          <w:szCs w:val="24"/>
        </w:rPr>
        <w:t xml:space="preserve">a </w:t>
      </w:r>
      <w:r w:rsidRPr="0000227A">
        <w:rPr>
          <w:rStyle w:val="Strong"/>
          <w:rFonts w:ascii="Calibri" w:hAnsi="Calibri" w:cs="Calibri"/>
          <w:b w:val="0"/>
          <w:bCs w:val="0"/>
          <w:color w:val="000000" w:themeColor="text1"/>
          <w:sz w:val="24"/>
          <w:szCs w:val="24"/>
        </w:rPr>
        <w:t>more objective approach, this being the case of (‘</w:t>
      </w:r>
      <w:r w:rsidRPr="0000227A">
        <w:rPr>
          <w:rStyle w:val="Strong"/>
          <w:rFonts w:ascii="Calibri" w:eastAsiaTheme="majorEastAsia" w:hAnsi="Calibri" w:cs="Calibri"/>
          <w:b w:val="0"/>
          <w:bCs w:val="0"/>
          <w:color w:val="000000" w:themeColor="text1"/>
          <w:sz w:val="24"/>
          <w:szCs w:val="24"/>
        </w:rPr>
        <w:t>Ivey v Genting Casinos’, 2017)</w:t>
      </w:r>
      <w:r w:rsidRPr="0000227A">
        <w:rPr>
          <w:rStyle w:val="Strong"/>
          <w:rFonts w:ascii="Calibri" w:eastAsiaTheme="majorEastAsia" w:hAnsi="Calibri" w:cs="Calibri"/>
          <w:b w:val="0"/>
          <w:bCs w:val="0"/>
          <w:color w:val="000000" w:themeColor="text1"/>
          <w:sz w:val="24"/>
          <w:szCs w:val="24"/>
        </w:rPr>
        <w:t xml:space="preserve">. </w:t>
      </w:r>
      <w:r w:rsidRPr="0000227A">
        <w:rPr>
          <w:rStyle w:val="Strong"/>
          <w:rFonts w:ascii="Calibri" w:hAnsi="Calibri" w:cs="Calibri"/>
          <w:b w:val="0"/>
          <w:bCs w:val="0"/>
          <w:color w:val="000000" w:themeColor="text1"/>
          <w:sz w:val="24"/>
          <w:szCs w:val="24"/>
        </w:rPr>
        <w:t xml:space="preserve">Phil Ivey visited the Crockfords Club in Mayfair, London and won a substantial sum of money using a tactic known as edge sorting, </w:t>
      </w:r>
      <w:r w:rsidRPr="0000227A">
        <w:rPr>
          <w:rStyle w:val="Strong"/>
          <w:rFonts w:ascii="Calibri" w:hAnsi="Calibri" w:cs="Calibri"/>
          <w:b w:val="0"/>
          <w:bCs w:val="0"/>
          <w:color w:val="000000" w:themeColor="text1"/>
          <w:sz w:val="24"/>
          <w:szCs w:val="24"/>
        </w:rPr>
        <w:t xml:space="preserve">this was </w:t>
      </w:r>
      <w:r w:rsidRPr="0000227A">
        <w:rPr>
          <w:rStyle w:val="Strong"/>
          <w:rFonts w:ascii="Calibri" w:hAnsi="Calibri" w:cs="Calibri"/>
          <w:b w:val="0"/>
          <w:bCs w:val="0"/>
          <w:color w:val="000000" w:themeColor="text1"/>
          <w:sz w:val="24"/>
          <w:szCs w:val="24"/>
        </w:rPr>
        <w:t xml:space="preserve">a skill used to </w:t>
      </w:r>
      <w:r w:rsidRPr="0000227A">
        <w:rPr>
          <w:rStyle w:val="Strong"/>
          <w:rFonts w:ascii="Calibri" w:hAnsi="Calibri" w:cs="Calibri"/>
          <w:b w:val="0"/>
          <w:bCs w:val="0"/>
          <w:color w:val="000000" w:themeColor="text1"/>
          <w:sz w:val="24"/>
          <w:szCs w:val="24"/>
        </w:rPr>
        <w:t xml:space="preserve">be able to </w:t>
      </w:r>
      <w:r w:rsidRPr="0000227A">
        <w:rPr>
          <w:rStyle w:val="Strong"/>
          <w:rFonts w:ascii="Calibri" w:hAnsi="Calibri" w:cs="Calibri"/>
          <w:b w:val="0"/>
          <w:bCs w:val="0"/>
          <w:color w:val="000000" w:themeColor="text1"/>
          <w:sz w:val="24"/>
          <w:szCs w:val="24"/>
        </w:rPr>
        <w:t xml:space="preserve">identify cards through memorising tiny differences on the patterns and edging of playing cards. Suspicions were raised </w:t>
      </w:r>
      <w:r w:rsidRPr="0000227A">
        <w:rPr>
          <w:rStyle w:val="Strong"/>
          <w:rFonts w:ascii="Calibri" w:hAnsi="Calibri" w:cs="Calibri"/>
          <w:b w:val="0"/>
          <w:bCs w:val="0"/>
          <w:color w:val="000000" w:themeColor="text1"/>
          <w:sz w:val="24"/>
          <w:szCs w:val="24"/>
        </w:rPr>
        <w:t xml:space="preserve">within the casino </w:t>
      </w:r>
      <w:r w:rsidRPr="0000227A">
        <w:rPr>
          <w:rStyle w:val="Strong"/>
          <w:rFonts w:ascii="Calibri" w:hAnsi="Calibri" w:cs="Calibri"/>
          <w:b w:val="0"/>
          <w:bCs w:val="0"/>
          <w:color w:val="000000" w:themeColor="text1"/>
          <w:sz w:val="24"/>
          <w:szCs w:val="24"/>
        </w:rPr>
        <w:t xml:space="preserve">of </w:t>
      </w:r>
      <w:r w:rsidRPr="0000227A">
        <w:rPr>
          <w:rStyle w:val="Strong"/>
          <w:rFonts w:ascii="Calibri" w:hAnsi="Calibri" w:cs="Calibri"/>
          <w:b w:val="0"/>
          <w:bCs w:val="0"/>
          <w:color w:val="000000" w:themeColor="text1"/>
          <w:sz w:val="24"/>
          <w:szCs w:val="24"/>
        </w:rPr>
        <w:t xml:space="preserve">suspected </w:t>
      </w:r>
      <w:r w:rsidRPr="0000227A">
        <w:rPr>
          <w:rStyle w:val="Strong"/>
          <w:rFonts w:ascii="Calibri" w:hAnsi="Calibri" w:cs="Calibri"/>
          <w:b w:val="0"/>
          <w:bCs w:val="0"/>
          <w:color w:val="000000" w:themeColor="text1"/>
          <w:sz w:val="24"/>
          <w:szCs w:val="24"/>
        </w:rPr>
        <w:t xml:space="preserve">untoward behaviour after a review of CCTV and audio recordings. </w:t>
      </w:r>
      <w:r w:rsidRPr="0000227A">
        <w:rPr>
          <w:rFonts w:ascii="Calibri" w:hAnsi="Calibri" w:cs="Calibri"/>
          <w:color w:val="000000" w:themeColor="text1"/>
          <w:sz w:val="24"/>
          <w:szCs w:val="24"/>
        </w:rPr>
        <w:t>(Supreme Court, 2017)</w:t>
      </w:r>
    </w:p>
    <w:p w14:paraId="2413B464" w14:textId="77777777" w:rsidR="0000227A" w:rsidRPr="0000227A" w:rsidRDefault="0000227A" w:rsidP="0000227A">
      <w:pPr>
        <w:rPr>
          <w:rStyle w:val="Strong"/>
          <w:rFonts w:ascii="Calibri" w:hAnsi="Calibri" w:cs="Calibri"/>
          <w:b w:val="0"/>
          <w:bCs w:val="0"/>
          <w:color w:val="000000" w:themeColor="text1"/>
          <w:sz w:val="24"/>
          <w:szCs w:val="24"/>
        </w:rPr>
      </w:pPr>
    </w:p>
    <w:p w14:paraId="22FC26A7" w14:textId="7CE4A574" w:rsidR="0000227A" w:rsidRPr="0000227A" w:rsidRDefault="0000227A" w:rsidP="0000227A">
      <w:pPr>
        <w:rPr>
          <w:rStyle w:val="Strong"/>
          <w:rFonts w:ascii="Calibri" w:hAnsi="Calibri" w:cs="Calibri"/>
          <w:b w:val="0"/>
          <w:bCs w:val="0"/>
          <w:color w:val="000000" w:themeColor="text1"/>
          <w:sz w:val="24"/>
          <w:szCs w:val="24"/>
        </w:rPr>
      </w:pPr>
      <w:r w:rsidRPr="0000227A">
        <w:rPr>
          <w:rStyle w:val="Strong"/>
          <w:rFonts w:ascii="Calibri" w:hAnsi="Calibri" w:cs="Calibri"/>
          <w:b w:val="0"/>
          <w:bCs w:val="0"/>
          <w:color w:val="000000" w:themeColor="text1"/>
          <w:sz w:val="24"/>
          <w:szCs w:val="24"/>
        </w:rPr>
        <w:t xml:space="preserve">Crockfords Club refused to transfer the winnings on the basis that Ivey had cheated and breached an implied term of the gaming contract entered by both of the parties, </w:t>
      </w:r>
      <w:r w:rsidRPr="0000227A">
        <w:rPr>
          <w:rStyle w:val="Strong"/>
          <w:rFonts w:ascii="Calibri" w:hAnsi="Calibri" w:cs="Calibri"/>
          <w:b w:val="0"/>
          <w:bCs w:val="0"/>
          <w:color w:val="000000" w:themeColor="text1"/>
          <w:sz w:val="24"/>
          <w:szCs w:val="24"/>
        </w:rPr>
        <w:t xml:space="preserve">the contract being </w:t>
      </w:r>
      <w:r w:rsidRPr="0000227A">
        <w:rPr>
          <w:rStyle w:val="Strong"/>
          <w:rFonts w:ascii="Calibri" w:hAnsi="Calibri" w:cs="Calibri"/>
          <w:b w:val="0"/>
          <w:bCs w:val="0"/>
          <w:color w:val="000000" w:themeColor="text1"/>
          <w:sz w:val="24"/>
          <w:szCs w:val="24"/>
        </w:rPr>
        <w:t xml:space="preserve">that neither </w:t>
      </w:r>
      <w:r w:rsidRPr="0000227A">
        <w:rPr>
          <w:rStyle w:val="Strong"/>
          <w:rFonts w:ascii="Calibri" w:hAnsi="Calibri" w:cs="Calibri"/>
          <w:b w:val="0"/>
          <w:bCs w:val="0"/>
          <w:color w:val="000000" w:themeColor="text1"/>
          <w:sz w:val="24"/>
          <w:szCs w:val="24"/>
        </w:rPr>
        <w:t xml:space="preserve">party </w:t>
      </w:r>
      <w:r w:rsidRPr="0000227A">
        <w:rPr>
          <w:rStyle w:val="Strong"/>
          <w:rFonts w:ascii="Calibri" w:hAnsi="Calibri" w:cs="Calibri"/>
          <w:b w:val="0"/>
          <w:bCs w:val="0"/>
          <w:color w:val="000000" w:themeColor="text1"/>
          <w:sz w:val="24"/>
          <w:szCs w:val="24"/>
        </w:rPr>
        <w:t>would cheat. The supreme court agreed that Ivey had engaged in dishonest behaviour and determined that edge sorting involved game manipulating in a manner which was not intended by the casino and was inherently dishonest.</w:t>
      </w:r>
    </w:p>
    <w:p w14:paraId="3E6386FC" w14:textId="77777777" w:rsidR="0000227A" w:rsidRPr="0000227A" w:rsidRDefault="0000227A" w:rsidP="0000227A">
      <w:pPr>
        <w:rPr>
          <w:rStyle w:val="Strong"/>
          <w:rFonts w:ascii="Calibri" w:hAnsi="Calibri" w:cs="Calibri"/>
          <w:b w:val="0"/>
          <w:bCs w:val="0"/>
          <w:color w:val="000000" w:themeColor="text1"/>
          <w:sz w:val="24"/>
          <w:szCs w:val="24"/>
        </w:rPr>
      </w:pPr>
    </w:p>
    <w:p w14:paraId="5C688E92" w14:textId="5382E94D" w:rsidR="0000227A" w:rsidRPr="0000227A" w:rsidRDefault="0000227A" w:rsidP="0000227A">
      <w:pPr>
        <w:rPr>
          <w:rFonts w:ascii="Calibri" w:hAnsi="Calibri" w:cs="Calibri"/>
          <w:b/>
          <w:bCs/>
          <w:color w:val="000000" w:themeColor="text1"/>
          <w:sz w:val="24"/>
          <w:szCs w:val="24"/>
        </w:rPr>
      </w:pPr>
      <w:r w:rsidRPr="0000227A">
        <w:rPr>
          <w:rFonts w:ascii="Calibri" w:hAnsi="Calibri" w:cs="Calibri"/>
          <w:color w:val="000000" w:themeColor="text1"/>
          <w:sz w:val="24"/>
          <w:szCs w:val="24"/>
        </w:rPr>
        <w:t>Due to the decision in court, it was significant for clarifying on what constitutes as cheating in gambling under The Gambling Act of 2005.</w:t>
      </w:r>
      <w:r w:rsidRPr="0000227A">
        <w:rPr>
          <w:rFonts w:ascii="Calibri" w:hAnsi="Calibri" w:cs="Calibri"/>
          <w:color w:val="000000" w:themeColor="text1"/>
          <w:sz w:val="24"/>
          <w:szCs w:val="24"/>
        </w:rPr>
        <w:t xml:space="preserve"> </w:t>
      </w:r>
      <w:r w:rsidRPr="0000227A">
        <w:rPr>
          <w:rStyle w:val="Strong"/>
          <w:rFonts w:ascii="Calibri" w:hAnsi="Calibri" w:cs="Calibri"/>
          <w:b w:val="0"/>
          <w:bCs w:val="0"/>
          <w:color w:val="000000" w:themeColor="text1"/>
          <w:sz w:val="24"/>
          <w:szCs w:val="24"/>
        </w:rPr>
        <w:t>The court also used the case of Ivey to reverse the Ghosh test for dishonesty and substitute it with a simpler, two-step objective test</w:t>
      </w:r>
      <w:r w:rsidRPr="0000227A">
        <w:rPr>
          <w:rStyle w:val="Strong"/>
          <w:rFonts w:ascii="Calibri" w:hAnsi="Calibri" w:cs="Calibri"/>
          <w:b w:val="0"/>
          <w:bCs w:val="0"/>
          <w:color w:val="000000" w:themeColor="text1"/>
          <w:sz w:val="24"/>
          <w:szCs w:val="24"/>
        </w:rPr>
        <w:t xml:space="preserve"> instead of the two-step objective and subjective test. This new test </w:t>
      </w:r>
      <w:r w:rsidRPr="0000227A">
        <w:rPr>
          <w:rStyle w:val="Strong"/>
          <w:rFonts w:ascii="Calibri" w:hAnsi="Calibri" w:cs="Calibri"/>
          <w:b w:val="0"/>
          <w:bCs w:val="0"/>
          <w:color w:val="000000" w:themeColor="text1"/>
          <w:sz w:val="24"/>
          <w:szCs w:val="24"/>
        </w:rPr>
        <w:t>looks at two things; whether the conduct was dishonest by the standards of regular decent people and how much the person knows or believes about the facts.</w:t>
      </w:r>
      <w:r w:rsidRPr="0000227A">
        <w:rPr>
          <w:rFonts w:ascii="Calibri" w:hAnsi="Calibri" w:cs="Calibri"/>
          <w:color w:val="000000" w:themeColor="text1"/>
          <w:sz w:val="24"/>
          <w:szCs w:val="24"/>
          <w:shd w:val="clear" w:color="auto" w:fill="FFFFFF"/>
        </w:rPr>
        <w:t xml:space="preserve"> </w:t>
      </w:r>
      <w:r w:rsidRPr="0000227A">
        <w:rPr>
          <w:rFonts w:ascii="Calibri" w:hAnsi="Calibri" w:cs="Calibri"/>
          <w:color w:val="000000" w:themeColor="text1"/>
          <w:sz w:val="24"/>
          <w:szCs w:val="24"/>
          <w:shd w:val="clear" w:color="auto" w:fill="FFFFFF"/>
        </w:rPr>
        <w:t xml:space="preserve">(Finch and </w:t>
      </w:r>
      <w:proofErr w:type="spellStart"/>
      <w:r w:rsidRPr="0000227A">
        <w:rPr>
          <w:rFonts w:ascii="Calibri" w:hAnsi="Calibri" w:cs="Calibri"/>
          <w:color w:val="000000" w:themeColor="text1"/>
          <w:sz w:val="24"/>
          <w:szCs w:val="24"/>
          <w:shd w:val="clear" w:color="auto" w:fill="FFFFFF"/>
        </w:rPr>
        <w:t>Fafinski</w:t>
      </w:r>
      <w:proofErr w:type="spellEnd"/>
      <w:r w:rsidRPr="0000227A">
        <w:rPr>
          <w:rFonts w:ascii="Calibri" w:hAnsi="Calibri" w:cs="Calibri"/>
          <w:color w:val="000000" w:themeColor="text1"/>
          <w:sz w:val="24"/>
          <w:szCs w:val="24"/>
          <w:shd w:val="clear" w:color="auto" w:fill="FFFFFF"/>
        </w:rPr>
        <w:t>, 2018.)</w:t>
      </w:r>
    </w:p>
    <w:p w14:paraId="7AE382B4" w14:textId="77777777" w:rsidR="0000227A" w:rsidRPr="0000227A" w:rsidRDefault="0000227A" w:rsidP="0000227A">
      <w:pPr>
        <w:rPr>
          <w:rFonts w:ascii="Calibri" w:hAnsi="Calibri" w:cs="Calibri"/>
          <w:color w:val="000000" w:themeColor="text1"/>
          <w:sz w:val="24"/>
          <w:szCs w:val="24"/>
        </w:rPr>
      </w:pPr>
    </w:p>
    <w:p w14:paraId="051A262F" w14:textId="77777777" w:rsidR="0000227A" w:rsidRP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In the case of (‘R v Barton and Booth’, (2020) the first defendant, ran a luxury nursing home while the second defendant was the general manager. The defendants had obtained approximately a sum of four million from wealthy residents either in the form of gifts or vastly inflated fees. (Thomas and </w:t>
      </w:r>
      <w:proofErr w:type="spellStart"/>
      <w:r w:rsidRPr="0000227A">
        <w:rPr>
          <w:rFonts w:ascii="Calibri" w:hAnsi="Calibri" w:cs="Calibri"/>
          <w:color w:val="000000" w:themeColor="text1"/>
          <w:sz w:val="24"/>
          <w:szCs w:val="24"/>
        </w:rPr>
        <w:t>Pegg</w:t>
      </w:r>
      <w:proofErr w:type="spellEnd"/>
      <w:r w:rsidRPr="0000227A">
        <w:rPr>
          <w:rFonts w:ascii="Calibri" w:hAnsi="Calibri" w:cs="Calibri"/>
          <w:color w:val="000000" w:themeColor="text1"/>
          <w:sz w:val="24"/>
          <w:szCs w:val="24"/>
        </w:rPr>
        <w:t>, 2020.)</w:t>
      </w:r>
    </w:p>
    <w:p w14:paraId="5737970A" w14:textId="77777777" w:rsidR="0000227A" w:rsidRPr="0000227A" w:rsidRDefault="0000227A" w:rsidP="0000227A">
      <w:pPr>
        <w:rPr>
          <w:rFonts w:ascii="Calibri" w:hAnsi="Calibri" w:cs="Calibri"/>
          <w:color w:val="000000" w:themeColor="text1"/>
          <w:sz w:val="24"/>
          <w:szCs w:val="24"/>
        </w:rPr>
      </w:pPr>
    </w:p>
    <w:p w14:paraId="0AAA3CCB" w14:textId="1F7FF7AE" w:rsidR="0000227A" w:rsidRPr="0000227A" w:rsidRDefault="0000227A" w:rsidP="0000227A">
      <w:pPr>
        <w:rPr>
          <w:rFonts w:ascii="Calibri" w:hAnsi="Calibri" w:cs="Calibri"/>
          <w:color w:val="000000" w:themeColor="text1"/>
          <w:sz w:val="24"/>
          <w:szCs w:val="24"/>
          <w:shd w:val="clear" w:color="auto" w:fill="FFFFFF"/>
        </w:rPr>
      </w:pPr>
      <w:r w:rsidRPr="0000227A">
        <w:rPr>
          <w:rFonts w:ascii="Calibri" w:hAnsi="Calibri" w:cs="Calibri"/>
          <w:color w:val="000000" w:themeColor="text1"/>
          <w:sz w:val="24"/>
          <w:szCs w:val="24"/>
        </w:rPr>
        <w:t xml:space="preserve">The defendant’s actions were discovered when one of the defendant’s tried to obtain ten million from the estate of a resident following her death, as a result they were both charged </w:t>
      </w:r>
      <w:r w:rsidRPr="0000227A">
        <w:rPr>
          <w:rFonts w:ascii="Calibri" w:hAnsi="Calibri" w:cs="Calibri"/>
          <w:color w:val="000000" w:themeColor="text1"/>
          <w:sz w:val="24"/>
          <w:szCs w:val="24"/>
        </w:rPr>
        <w:lastRenderedPageBreak/>
        <w:t>with offences including theft and fraud resulting in the appropriate test of dishonesty to be applied fell to be determine</w:t>
      </w:r>
      <w:r w:rsidRPr="0000227A">
        <w:rPr>
          <w:rFonts w:ascii="Calibri" w:hAnsi="Calibri" w:cs="Calibri"/>
          <w:color w:val="000000" w:themeColor="text1"/>
          <w:sz w:val="24"/>
          <w:szCs w:val="24"/>
        </w:rPr>
        <w:t>d.</w:t>
      </w:r>
    </w:p>
    <w:p w14:paraId="4AF38427" w14:textId="77777777" w:rsidR="0000227A" w:rsidRDefault="0000227A" w:rsidP="0000227A">
      <w:pPr>
        <w:rPr>
          <w:rFonts w:ascii="Calibri" w:hAnsi="Calibri" w:cs="Calibri"/>
          <w:color w:val="000000" w:themeColor="text1"/>
          <w:sz w:val="24"/>
          <w:szCs w:val="24"/>
          <w:shd w:val="clear" w:color="auto" w:fill="FFFFFF"/>
        </w:rPr>
      </w:pPr>
    </w:p>
    <w:p w14:paraId="3203FEBE" w14:textId="787566BE" w:rsidR="0000227A" w:rsidRPr="0000227A" w:rsidRDefault="0000227A" w:rsidP="0000227A">
      <w:pPr>
        <w:rPr>
          <w:rFonts w:ascii="Calibri" w:hAnsi="Calibri" w:cs="Calibri"/>
          <w:color w:val="000000" w:themeColor="text1"/>
          <w:sz w:val="24"/>
          <w:szCs w:val="24"/>
          <w:shd w:val="clear" w:color="auto" w:fill="FFFFFF"/>
        </w:rPr>
      </w:pPr>
      <w:r w:rsidRPr="0000227A">
        <w:rPr>
          <w:rFonts w:ascii="Calibri" w:hAnsi="Calibri" w:cs="Calibri"/>
          <w:color w:val="000000" w:themeColor="text1"/>
          <w:sz w:val="24"/>
          <w:szCs w:val="24"/>
          <w:shd w:val="clear" w:color="auto" w:fill="FFFFFF"/>
        </w:rPr>
        <w:t xml:space="preserve">The court of appeal considered conflict between the Ghosh and Ivey test, concluding the decision of the supreme court should be followed and therefore the test for dishonesty in all criminal cases will be established in Ivey. (Finch and </w:t>
      </w:r>
      <w:proofErr w:type="spellStart"/>
      <w:r w:rsidRPr="0000227A">
        <w:rPr>
          <w:rFonts w:ascii="Calibri" w:hAnsi="Calibri" w:cs="Calibri"/>
          <w:color w:val="000000" w:themeColor="text1"/>
          <w:sz w:val="24"/>
          <w:szCs w:val="24"/>
          <w:shd w:val="clear" w:color="auto" w:fill="FFFFFF"/>
        </w:rPr>
        <w:t>Fafinski</w:t>
      </w:r>
      <w:proofErr w:type="spellEnd"/>
      <w:r w:rsidRPr="0000227A">
        <w:rPr>
          <w:rFonts w:ascii="Calibri" w:hAnsi="Calibri" w:cs="Calibri"/>
          <w:color w:val="000000" w:themeColor="text1"/>
          <w:sz w:val="24"/>
          <w:szCs w:val="24"/>
          <w:shd w:val="clear" w:color="auto" w:fill="FFFFFF"/>
        </w:rPr>
        <w:t>, 2018.)</w:t>
      </w:r>
    </w:p>
    <w:p w14:paraId="382466B9" w14:textId="77777777" w:rsidR="0000227A" w:rsidRPr="0000227A" w:rsidRDefault="0000227A" w:rsidP="0000227A">
      <w:pPr>
        <w:rPr>
          <w:rFonts w:ascii="Calibri" w:hAnsi="Calibri" w:cs="Calibri"/>
          <w:color w:val="000000" w:themeColor="text1"/>
          <w:sz w:val="24"/>
          <w:szCs w:val="24"/>
        </w:rPr>
      </w:pPr>
    </w:p>
    <w:p w14:paraId="5257D000" w14:textId="77777777" w:rsidR="0000227A" w:rsidRDefault="0000227A" w:rsidP="0000227A">
      <w:pPr>
        <w:rPr>
          <w:rFonts w:ascii="Calibri" w:hAnsi="Calibri" w:cs="Calibri"/>
          <w:color w:val="000000" w:themeColor="text1"/>
          <w:sz w:val="24"/>
          <w:szCs w:val="24"/>
        </w:rPr>
      </w:pPr>
    </w:p>
    <w:p w14:paraId="017C3B32" w14:textId="77777777" w:rsidR="0000227A" w:rsidRDefault="0000227A" w:rsidP="0000227A">
      <w:pPr>
        <w:rPr>
          <w:rFonts w:ascii="Calibri" w:hAnsi="Calibri" w:cs="Calibri"/>
          <w:color w:val="000000" w:themeColor="text1"/>
          <w:sz w:val="24"/>
          <w:szCs w:val="24"/>
        </w:rPr>
      </w:pPr>
    </w:p>
    <w:p w14:paraId="5E509078" w14:textId="2CFC3AB0" w:rsidR="0000227A" w:rsidRP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It has been argued that the subjective element of dishonesty is </w:t>
      </w:r>
      <w:r w:rsidRPr="0000227A">
        <w:rPr>
          <w:rFonts w:ascii="Calibri" w:hAnsi="Calibri" w:cs="Calibri"/>
          <w:color w:val="000000" w:themeColor="text1"/>
          <w:sz w:val="24"/>
          <w:szCs w:val="24"/>
        </w:rPr>
        <w:t>essential</w:t>
      </w:r>
      <w:r>
        <w:rPr>
          <w:rFonts w:ascii="Calibri" w:hAnsi="Calibri" w:cs="Calibri"/>
          <w:color w:val="000000" w:themeColor="text1"/>
          <w:sz w:val="24"/>
          <w:szCs w:val="24"/>
        </w:rPr>
        <w:t xml:space="preserve"> in being able</w:t>
      </w:r>
      <w:r w:rsidRPr="0000227A">
        <w:rPr>
          <w:rFonts w:ascii="Calibri" w:hAnsi="Calibri" w:cs="Calibri"/>
          <w:color w:val="000000" w:themeColor="text1"/>
          <w:sz w:val="24"/>
          <w:szCs w:val="24"/>
        </w:rPr>
        <w:t xml:space="preserve"> to capture nuances in individual perceptions and contexts. The objective standard may fail to account for the cultural or contextual variations in understanding honesty and dishonesty.</w:t>
      </w:r>
    </w:p>
    <w:p w14:paraId="7F9D3E00" w14:textId="77777777" w:rsidR="0000227A" w:rsidRDefault="0000227A" w:rsidP="0000227A">
      <w:pPr>
        <w:rPr>
          <w:rFonts w:ascii="Calibri" w:hAnsi="Calibri" w:cs="Calibri"/>
          <w:color w:val="000000" w:themeColor="text1"/>
          <w:sz w:val="24"/>
          <w:szCs w:val="24"/>
        </w:rPr>
      </w:pPr>
      <w:r w:rsidRPr="0000227A">
        <w:rPr>
          <w:rFonts w:ascii="Calibri" w:hAnsi="Calibri" w:cs="Calibri"/>
          <w:color w:val="000000" w:themeColor="text1"/>
          <w:sz w:val="24"/>
          <w:szCs w:val="24"/>
        </w:rPr>
        <w:t>Despite the criticisms the Ivey test has gained acceptance and prominence in recent years which has influenced judicial decisions and legal discourse surrounding dishonesty in theft offences. Its emphasis on objectivity aligns with broader trends in criminal law towards clarity, consistency and accessibility.</w:t>
      </w:r>
      <w:r>
        <w:rPr>
          <w:rFonts w:ascii="Calibri" w:hAnsi="Calibri" w:cs="Calibri"/>
          <w:color w:val="000000" w:themeColor="text1"/>
          <w:sz w:val="24"/>
          <w:szCs w:val="24"/>
        </w:rPr>
        <w:t xml:space="preserve"> </w:t>
      </w:r>
      <w:r w:rsidRPr="00AB24A1">
        <w:rPr>
          <w:rFonts w:ascii="Calibri" w:hAnsi="Calibri" w:cs="Calibri"/>
          <w:color w:val="000000" w:themeColor="text1"/>
          <w:sz w:val="24"/>
          <w:szCs w:val="24"/>
          <w:shd w:val="clear" w:color="auto" w:fill="FFFFFF"/>
        </w:rPr>
        <w:t>(Macdonald, 2018.)</w:t>
      </w:r>
      <w:r>
        <w:rPr>
          <w:rFonts w:ascii="Calibri" w:hAnsi="Calibri" w:cs="Calibri"/>
          <w:color w:val="000000" w:themeColor="text1"/>
          <w:sz w:val="24"/>
          <w:szCs w:val="24"/>
        </w:rPr>
        <w:t xml:space="preserve"> </w:t>
      </w:r>
    </w:p>
    <w:p w14:paraId="53C33671" w14:textId="4E608E72" w:rsidR="0000227A" w:rsidRPr="0000227A" w:rsidRDefault="0000227A" w:rsidP="0000227A">
      <w:pPr>
        <w:rPr>
          <w:rFonts w:ascii="Calibri" w:hAnsi="Calibri" w:cs="Calibri"/>
          <w:color w:val="000000" w:themeColor="text1"/>
          <w:sz w:val="24"/>
          <w:szCs w:val="24"/>
        </w:rPr>
      </w:pPr>
    </w:p>
    <w:p w14:paraId="22679B65" w14:textId="6DE3ACAD" w:rsidR="0000227A" w:rsidRDefault="0000227A">
      <w:pPr>
        <w:rPr>
          <w:rFonts w:ascii="Calibri" w:hAnsi="Calibri" w:cs="Calibri"/>
          <w:color w:val="000000" w:themeColor="text1"/>
          <w:sz w:val="24"/>
          <w:szCs w:val="24"/>
        </w:rPr>
      </w:pPr>
      <w:r w:rsidRPr="0000227A">
        <w:rPr>
          <w:rFonts w:ascii="Calibri" w:hAnsi="Calibri" w:cs="Calibri"/>
          <w:color w:val="000000" w:themeColor="text1"/>
          <w:sz w:val="24"/>
          <w:szCs w:val="24"/>
        </w:rPr>
        <w:t xml:space="preserve">In </w:t>
      </w:r>
      <w:r>
        <w:rPr>
          <w:rFonts w:ascii="Calibri" w:hAnsi="Calibri" w:cs="Calibri"/>
          <w:color w:val="000000" w:themeColor="text1"/>
          <w:sz w:val="24"/>
          <w:szCs w:val="24"/>
        </w:rPr>
        <w:t>conclusion,</w:t>
      </w:r>
      <w:r w:rsidRPr="0000227A">
        <w:rPr>
          <w:rFonts w:ascii="Calibri" w:hAnsi="Calibri" w:cs="Calibri"/>
          <w:color w:val="000000" w:themeColor="text1"/>
          <w:sz w:val="24"/>
          <w:szCs w:val="24"/>
        </w:rPr>
        <w:t xml:space="preserve"> the concept of dishonesty plays a </w:t>
      </w:r>
      <w:r>
        <w:rPr>
          <w:rFonts w:ascii="Calibri" w:hAnsi="Calibri" w:cs="Calibri"/>
          <w:color w:val="000000" w:themeColor="text1"/>
          <w:sz w:val="24"/>
          <w:szCs w:val="24"/>
        </w:rPr>
        <w:t>vital</w:t>
      </w:r>
      <w:r w:rsidRPr="0000227A">
        <w:rPr>
          <w:rFonts w:ascii="Calibri" w:hAnsi="Calibri" w:cs="Calibri"/>
          <w:color w:val="000000" w:themeColor="text1"/>
          <w:sz w:val="24"/>
          <w:szCs w:val="24"/>
        </w:rPr>
        <w:t xml:space="preserve"> role in the prosecution of theft offences in the United Kingdom</w:t>
      </w:r>
      <w:r>
        <w:rPr>
          <w:rFonts w:ascii="Calibri" w:hAnsi="Calibri" w:cs="Calibri"/>
          <w:color w:val="000000" w:themeColor="text1"/>
          <w:sz w:val="24"/>
          <w:szCs w:val="24"/>
        </w:rPr>
        <w:t>, as the justice system must be satisfied that there is sufficient evidence in being able to prove of a person acting dishonesty.</w:t>
      </w:r>
    </w:p>
    <w:p w14:paraId="3DDDDBB9" w14:textId="77777777" w:rsidR="0000227A" w:rsidRDefault="0000227A">
      <w:pPr>
        <w:rPr>
          <w:rFonts w:ascii="Calibri" w:hAnsi="Calibri" w:cs="Calibri"/>
          <w:color w:val="000000" w:themeColor="text1"/>
          <w:sz w:val="24"/>
          <w:szCs w:val="24"/>
        </w:rPr>
      </w:pPr>
    </w:p>
    <w:p w14:paraId="73590DA9" w14:textId="480CEBAD" w:rsidR="0000227A" w:rsidRDefault="0000227A">
      <w:pPr>
        <w:rPr>
          <w:rFonts w:ascii="Calibri" w:hAnsi="Calibri" w:cs="Calibri"/>
          <w:sz w:val="24"/>
          <w:szCs w:val="24"/>
        </w:rPr>
      </w:pPr>
      <w:r w:rsidRPr="0000227A">
        <w:rPr>
          <w:rFonts w:ascii="Calibri" w:hAnsi="Calibri" w:cs="Calibri"/>
          <w:color w:val="000000" w:themeColor="text1"/>
          <w:sz w:val="24"/>
          <w:szCs w:val="24"/>
        </w:rPr>
        <w:t xml:space="preserve">While both tests aim to outline the boundaries of dishonest conduct </w:t>
      </w:r>
      <w:r>
        <w:rPr>
          <w:rFonts w:ascii="Calibri" w:hAnsi="Calibri" w:cs="Calibri"/>
          <w:color w:val="000000" w:themeColor="text1"/>
          <w:sz w:val="24"/>
          <w:szCs w:val="24"/>
        </w:rPr>
        <w:t xml:space="preserve">the </w:t>
      </w:r>
      <w:r w:rsidRPr="0000227A">
        <w:rPr>
          <w:rFonts w:ascii="Calibri" w:hAnsi="Calibri" w:cs="Calibri"/>
          <w:sz w:val="24"/>
          <w:szCs w:val="24"/>
        </w:rPr>
        <w:t>definitions of fraud and theft do not overly emphasize the necessity of providing evidence of dishonesty and instead of using a subjective standard</w:t>
      </w:r>
      <w:r>
        <w:rPr>
          <w:rFonts w:ascii="Calibri" w:hAnsi="Calibri" w:cs="Calibri"/>
          <w:sz w:val="24"/>
          <w:szCs w:val="24"/>
        </w:rPr>
        <w:t>,</w:t>
      </w:r>
      <w:r w:rsidRPr="0000227A">
        <w:rPr>
          <w:rFonts w:ascii="Calibri" w:hAnsi="Calibri" w:cs="Calibri"/>
          <w:sz w:val="24"/>
          <w:szCs w:val="24"/>
        </w:rPr>
        <w:t xml:space="preserve"> the objective standard </w:t>
      </w:r>
      <w:r>
        <w:rPr>
          <w:rFonts w:ascii="Calibri" w:hAnsi="Calibri" w:cs="Calibri"/>
          <w:sz w:val="24"/>
          <w:szCs w:val="24"/>
        </w:rPr>
        <w:t xml:space="preserve">used instead </w:t>
      </w:r>
      <w:r w:rsidRPr="0000227A">
        <w:rPr>
          <w:rFonts w:ascii="Calibri" w:hAnsi="Calibri" w:cs="Calibri"/>
          <w:sz w:val="24"/>
          <w:szCs w:val="24"/>
        </w:rPr>
        <w:t xml:space="preserve">for determining dishonesty guarantees that a defendant is only found guilty of an offence if their behaviour is judged dishonest by their peers in society. The emphasis on demonstrating objective dishonesty is meant to be able to weed out instances where a conviction is unjustified. </w:t>
      </w:r>
    </w:p>
    <w:p w14:paraId="0E2B79BB" w14:textId="77777777" w:rsidR="0000227A" w:rsidRDefault="0000227A">
      <w:pPr>
        <w:rPr>
          <w:rFonts w:ascii="Calibri" w:hAnsi="Calibri" w:cs="Calibri"/>
          <w:sz w:val="24"/>
          <w:szCs w:val="24"/>
        </w:rPr>
      </w:pPr>
    </w:p>
    <w:p w14:paraId="06B79996" w14:textId="77777777" w:rsidR="0000227A" w:rsidRPr="0000227A" w:rsidRDefault="0000227A">
      <w:pPr>
        <w:rPr>
          <w:rFonts w:ascii="Calibri" w:hAnsi="Calibri" w:cs="Calibri"/>
          <w:color w:val="000000" w:themeColor="text1"/>
          <w:sz w:val="24"/>
          <w:szCs w:val="24"/>
        </w:rPr>
      </w:pPr>
    </w:p>
    <w:p w14:paraId="2AA9BDF9" w14:textId="77777777" w:rsidR="0000227A" w:rsidRDefault="0000227A"/>
    <w:p w14:paraId="3D036E55" w14:textId="77777777" w:rsidR="0000227A" w:rsidRDefault="0000227A"/>
    <w:p w14:paraId="374FD80F" w14:textId="47B69F6A" w:rsidR="0000227A" w:rsidRDefault="0000227A"/>
    <w:p w14:paraId="43857E79" w14:textId="77777777" w:rsidR="00CF35EF" w:rsidRDefault="00CF35EF"/>
    <w:p w14:paraId="21FD66DD" w14:textId="77777777" w:rsidR="00CF35EF" w:rsidRDefault="00CF35EF"/>
    <w:p w14:paraId="26518AED" w14:textId="77777777" w:rsidR="00CF35EF" w:rsidRDefault="00CF35EF"/>
    <w:p w14:paraId="678C3676" w14:textId="77777777" w:rsidR="00CF35EF" w:rsidRDefault="00CF35EF"/>
    <w:p w14:paraId="1CF88AAA" w14:textId="77777777" w:rsidR="00CF35EF" w:rsidRDefault="00CF35EF"/>
    <w:p w14:paraId="569437DD" w14:textId="77777777" w:rsidR="00CF35EF" w:rsidRDefault="00CF35EF"/>
    <w:p w14:paraId="3E975866" w14:textId="77777777" w:rsidR="00CF35EF" w:rsidRDefault="00CF35EF"/>
    <w:p w14:paraId="2ADACDE2" w14:textId="77777777" w:rsidR="00CF35EF" w:rsidRDefault="00CF35EF"/>
    <w:p w14:paraId="07CB9507" w14:textId="77777777" w:rsidR="00CF35EF" w:rsidRDefault="00CF35EF"/>
    <w:p w14:paraId="0E8823F6" w14:textId="77777777" w:rsidR="00CF35EF" w:rsidRDefault="00CF35EF"/>
    <w:p w14:paraId="5E408709" w14:textId="77777777" w:rsidR="00CF35EF" w:rsidRDefault="00CF35EF"/>
    <w:p w14:paraId="6D229029" w14:textId="77777777" w:rsidR="00CF35EF" w:rsidRDefault="00CF35EF"/>
    <w:p w14:paraId="6D690CA7" w14:textId="77777777" w:rsidR="00CF35EF" w:rsidRDefault="00CF35EF"/>
    <w:p w14:paraId="057DFF18" w14:textId="77777777" w:rsidR="00CF35EF" w:rsidRDefault="00CF35EF"/>
    <w:p w14:paraId="714FE4A5" w14:textId="77777777" w:rsidR="00CF35EF" w:rsidRDefault="00CF35EF"/>
    <w:p w14:paraId="1D8594D1" w14:textId="77777777" w:rsidR="00CF35EF" w:rsidRDefault="00CF35EF"/>
    <w:p w14:paraId="3B8FDF7F" w14:textId="77777777" w:rsidR="00CF35EF" w:rsidRDefault="00CF35EF"/>
    <w:p w14:paraId="0AF49CF5" w14:textId="77777777" w:rsidR="00CF35EF" w:rsidRDefault="00CF35EF"/>
    <w:p w14:paraId="66C16196" w14:textId="77777777" w:rsidR="00CF35EF" w:rsidRDefault="00CF35EF"/>
    <w:p w14:paraId="0AB8EEF0" w14:textId="77777777" w:rsidR="00CF35EF" w:rsidRDefault="00CF35EF"/>
    <w:p w14:paraId="744AF749" w14:textId="6FA92569" w:rsidR="00CF35EF" w:rsidRDefault="00CF35EF">
      <w:pPr>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References </w:t>
      </w:r>
    </w:p>
    <w:p w14:paraId="5AD75773" w14:textId="77777777" w:rsidR="00CF35EF" w:rsidRPr="00CF35EF" w:rsidRDefault="00CF35EF">
      <w:pPr>
        <w:rPr>
          <w:rFonts w:ascii="Calibri" w:hAnsi="Calibri" w:cs="Calibri"/>
          <w:color w:val="000000" w:themeColor="text1"/>
          <w:sz w:val="24"/>
          <w:szCs w:val="24"/>
        </w:rPr>
      </w:pPr>
    </w:p>
    <w:p w14:paraId="565650F0" w14:textId="77777777" w:rsidR="00CF35EF" w:rsidRDefault="00CF35EF"/>
    <w:p w14:paraId="486BECA4" w14:textId="77777777" w:rsidR="00CF35EF" w:rsidRPr="00CF35EF" w:rsidRDefault="00CF35EF" w:rsidP="00CF35EF">
      <w:pPr>
        <w:pStyle w:val="NormalWeb"/>
        <w:spacing w:before="0" w:beforeAutospacing="0" w:after="0" w:afterAutospacing="0" w:line="480" w:lineRule="atLeast"/>
        <w:rPr>
          <w:rFonts w:ascii="Calibri" w:hAnsi="Calibri" w:cs="Calibri"/>
          <w:color w:val="000000" w:themeColor="text1"/>
        </w:rPr>
      </w:pPr>
      <w:r w:rsidRPr="00CF35EF">
        <w:rPr>
          <w:rFonts w:ascii="Calibri" w:hAnsi="Calibri" w:cs="Calibri"/>
          <w:color w:val="000000" w:themeColor="text1"/>
        </w:rPr>
        <w:t xml:space="preserve">Finch, Emily, and Stefan </w:t>
      </w:r>
      <w:proofErr w:type="spellStart"/>
      <w:r w:rsidRPr="00CF35EF">
        <w:rPr>
          <w:rFonts w:ascii="Calibri" w:hAnsi="Calibri" w:cs="Calibri"/>
          <w:color w:val="000000" w:themeColor="text1"/>
        </w:rPr>
        <w:t>Fafinski</w:t>
      </w:r>
      <w:proofErr w:type="spellEnd"/>
      <w:r w:rsidRPr="00CF35EF">
        <w:rPr>
          <w:rFonts w:ascii="Calibri" w:hAnsi="Calibri" w:cs="Calibri"/>
          <w:color w:val="000000" w:themeColor="text1"/>
        </w:rPr>
        <w:t>.</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Law Express: Criminal Law</w:t>
      </w:r>
      <w:r w:rsidRPr="00CF35EF">
        <w:rPr>
          <w:rFonts w:ascii="Calibri" w:hAnsi="Calibri" w:cs="Calibri"/>
          <w:color w:val="000000" w:themeColor="text1"/>
        </w:rPr>
        <w:t>. Pearson UK, 4 July 2018, pp. 155–167.</w:t>
      </w:r>
    </w:p>
    <w:p w14:paraId="6F62272B" w14:textId="7973A4B9"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Jackson, Adam. “Supreme Court.”</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The Journal of Criminal Law</w:t>
      </w:r>
      <w:r w:rsidRPr="00CF35EF">
        <w:rPr>
          <w:rFonts w:ascii="Calibri" w:hAnsi="Calibri" w:cs="Calibri"/>
          <w:color w:val="000000" w:themeColor="text1"/>
        </w:rPr>
        <w:t xml:space="preserve">, vol. 81, no. 6, Dec. 2017, pp. 448–450, </w:t>
      </w:r>
      <w:hyperlink r:id="rId5" w:history="1">
        <w:r w:rsidRPr="00D94943">
          <w:rPr>
            <w:rStyle w:val="Hyperlink"/>
            <w:rFonts w:ascii="Calibri" w:hAnsi="Calibri" w:cs="Calibri"/>
          </w:rPr>
          <w:t>https://doi.org/10.1177/0022018317746833</w:t>
        </w:r>
      </w:hyperlink>
      <w:r w:rsidRPr="00CF35EF">
        <w:rPr>
          <w:rFonts w:ascii="Calibri" w:hAnsi="Calibri" w:cs="Calibri"/>
          <w:color w:val="000000" w:themeColor="text1"/>
        </w:rPr>
        <w:t>.</w:t>
      </w:r>
    </w:p>
    <w:p w14:paraId="7E20AD71" w14:textId="77777777"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2385836D" w14:textId="1AE78C14"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Leggett, Zach. “The New Test for Dishonesty in Criminal Law—Lessons from the Courts of Equity?”</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The Journal of Criminal Law</w:t>
      </w:r>
      <w:r w:rsidRPr="00CF35EF">
        <w:rPr>
          <w:rFonts w:ascii="Calibri" w:hAnsi="Calibri" w:cs="Calibri"/>
          <w:color w:val="000000" w:themeColor="text1"/>
        </w:rPr>
        <w:t xml:space="preserve">, vol. 84, no. 1, 20 Oct. 2019, pp. 37–48, </w:t>
      </w:r>
      <w:hyperlink r:id="rId6" w:history="1">
        <w:r w:rsidRPr="00D94943">
          <w:rPr>
            <w:rStyle w:val="Hyperlink"/>
            <w:rFonts w:ascii="Calibri" w:hAnsi="Calibri" w:cs="Calibri"/>
          </w:rPr>
          <w:t>https://doi.org/10.1177/0022018319879847</w:t>
        </w:r>
      </w:hyperlink>
      <w:r w:rsidRPr="00CF35EF">
        <w:rPr>
          <w:rFonts w:ascii="Calibri" w:hAnsi="Calibri" w:cs="Calibri"/>
          <w:color w:val="000000" w:themeColor="text1"/>
        </w:rPr>
        <w:t>.</w:t>
      </w:r>
    </w:p>
    <w:p w14:paraId="49EE2935" w14:textId="77777777"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540FA82A" w14:textId="38121D51"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Legislation.gov.uk. “Theft Act 1968.”</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Legislation.gov.uk</w:t>
      </w:r>
      <w:r w:rsidRPr="00CF35EF">
        <w:rPr>
          <w:rFonts w:ascii="Calibri" w:hAnsi="Calibri" w:cs="Calibri"/>
          <w:color w:val="000000" w:themeColor="text1"/>
        </w:rPr>
        <w:t xml:space="preserve">, 2011, </w:t>
      </w:r>
      <w:hyperlink r:id="rId7" w:history="1">
        <w:r w:rsidRPr="00D94943">
          <w:rPr>
            <w:rStyle w:val="Hyperlink"/>
            <w:rFonts w:ascii="Calibri" w:hAnsi="Calibri" w:cs="Calibri"/>
          </w:rPr>
          <w:t>www.legislation.gov.uk/ukpga/1968/60/section/1#:~:text=(1)A%20person%20is%20guilty</w:t>
        </w:r>
      </w:hyperlink>
      <w:r w:rsidRPr="00CF35EF">
        <w:rPr>
          <w:rFonts w:ascii="Calibri" w:hAnsi="Calibri" w:cs="Calibri"/>
          <w:color w:val="000000" w:themeColor="text1"/>
        </w:rPr>
        <w:t>.</w:t>
      </w:r>
      <w:r>
        <w:rPr>
          <w:rFonts w:ascii="Calibri" w:hAnsi="Calibri" w:cs="Calibri"/>
          <w:color w:val="000000" w:themeColor="text1"/>
        </w:rPr>
        <w:t xml:space="preserve"> </w:t>
      </w:r>
      <w:r w:rsidRPr="00CF35EF">
        <w:rPr>
          <w:rFonts w:ascii="Calibri" w:hAnsi="Calibri" w:cs="Calibri"/>
          <w:color w:val="000000" w:themeColor="text1"/>
        </w:rPr>
        <w:t>Accessed 10 Apr. 2024.</w:t>
      </w:r>
    </w:p>
    <w:p w14:paraId="74ABB876" w14:textId="77777777"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77B33C9B" w14:textId="77777777"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Macdonald, Stuart.</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Text, Cases and Materials on Criminal Law</w:t>
      </w:r>
      <w:r w:rsidRPr="00CF35EF">
        <w:rPr>
          <w:rFonts w:ascii="Calibri" w:hAnsi="Calibri" w:cs="Calibri"/>
          <w:color w:val="000000" w:themeColor="text1"/>
        </w:rPr>
        <w:t>. Harlow, United Kingdom, Pearson Education Limited, 26 Apr. 2018, pp. 289–331.</w:t>
      </w:r>
    </w:p>
    <w:p w14:paraId="32F98156" w14:textId="77777777"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4F5EF71D" w14:textId="093AE1EA"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 xml:space="preserve">Supreme Court. “Ivey (Appellant) v Genting Casinos (UK) Ltd T/a </w:t>
      </w:r>
      <w:proofErr w:type="spellStart"/>
      <w:r w:rsidRPr="00CF35EF">
        <w:rPr>
          <w:rFonts w:ascii="Calibri" w:hAnsi="Calibri" w:cs="Calibri"/>
          <w:color w:val="000000" w:themeColor="text1"/>
        </w:rPr>
        <w:t>Crockf</w:t>
      </w:r>
      <w:proofErr w:type="spellEnd"/>
    </w:p>
    <w:p w14:paraId="3228EEFC" w14:textId="158A52C7"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roofErr w:type="spellStart"/>
      <w:r w:rsidRPr="00CF35EF">
        <w:rPr>
          <w:rFonts w:ascii="Calibri" w:hAnsi="Calibri" w:cs="Calibri"/>
          <w:color w:val="000000" w:themeColor="text1"/>
        </w:rPr>
        <w:t>ords</w:t>
      </w:r>
      <w:proofErr w:type="spellEnd"/>
      <w:r w:rsidRPr="00CF35EF">
        <w:rPr>
          <w:rFonts w:ascii="Calibri" w:hAnsi="Calibri" w:cs="Calibri"/>
          <w:color w:val="000000" w:themeColor="text1"/>
        </w:rPr>
        <w:t xml:space="preserve"> (Respondent) - the Supreme Court.”</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Www.supremecourt.uk</w:t>
      </w:r>
      <w:r w:rsidRPr="00CF35EF">
        <w:rPr>
          <w:rFonts w:ascii="Calibri" w:hAnsi="Calibri" w:cs="Calibri"/>
          <w:color w:val="000000" w:themeColor="text1"/>
        </w:rPr>
        <w:t xml:space="preserve">, 25 Oct. 2017, </w:t>
      </w:r>
      <w:hyperlink r:id="rId8" w:history="1">
        <w:r w:rsidRPr="00D94943">
          <w:rPr>
            <w:rStyle w:val="Hyperlink"/>
            <w:rFonts w:ascii="Calibri" w:hAnsi="Calibri" w:cs="Calibri"/>
          </w:rPr>
          <w:t>www.supremecourt.uk/cases/uksc-2016-0213.html</w:t>
        </w:r>
      </w:hyperlink>
      <w:r w:rsidRPr="00CF35EF">
        <w:rPr>
          <w:rFonts w:ascii="Calibri" w:hAnsi="Calibri" w:cs="Calibri"/>
          <w:color w:val="000000" w:themeColor="text1"/>
        </w:rPr>
        <w:t>.</w:t>
      </w:r>
      <w:r>
        <w:rPr>
          <w:rFonts w:ascii="Calibri" w:hAnsi="Calibri" w:cs="Calibri"/>
          <w:color w:val="000000" w:themeColor="text1"/>
        </w:rPr>
        <w:t xml:space="preserve"> </w:t>
      </w:r>
      <w:r w:rsidRPr="00CF35EF">
        <w:rPr>
          <w:rFonts w:ascii="Calibri" w:hAnsi="Calibri" w:cs="Calibri"/>
          <w:color w:val="000000" w:themeColor="text1"/>
        </w:rPr>
        <w:t>Accessed 17 Apr. 2024.</w:t>
      </w:r>
    </w:p>
    <w:p w14:paraId="52DEC075" w14:textId="77777777"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676509F1" w14:textId="474F939D" w:rsidR="00CF35EF" w:rsidRP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Taylor, Louise, et al.</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 xml:space="preserve">Elliott and </w:t>
      </w:r>
      <w:proofErr w:type="spellStart"/>
      <w:r w:rsidRPr="00CF35EF">
        <w:rPr>
          <w:rFonts w:ascii="Calibri" w:hAnsi="Calibri" w:cs="Calibri"/>
          <w:i/>
          <w:iCs/>
          <w:color w:val="000000" w:themeColor="text1"/>
        </w:rPr>
        <w:t>Quinnʹs</w:t>
      </w:r>
      <w:proofErr w:type="spellEnd"/>
      <w:r w:rsidRPr="00CF35EF">
        <w:rPr>
          <w:rFonts w:ascii="Calibri" w:hAnsi="Calibri" w:cs="Calibri"/>
          <w:i/>
          <w:iCs/>
          <w:color w:val="000000" w:themeColor="text1"/>
        </w:rPr>
        <w:t xml:space="preserve"> Criminal Law</w:t>
      </w:r>
      <w:r w:rsidRPr="00CF35EF">
        <w:rPr>
          <w:rFonts w:ascii="Calibri" w:hAnsi="Calibri" w:cs="Calibri"/>
          <w:color w:val="000000" w:themeColor="text1"/>
        </w:rPr>
        <w:t xml:space="preserve">. Harlow, </w:t>
      </w:r>
      <w:proofErr w:type="gramStart"/>
      <w:r w:rsidRPr="00CF35EF">
        <w:rPr>
          <w:rFonts w:ascii="Calibri" w:hAnsi="Calibri" w:cs="Calibri"/>
          <w:color w:val="000000" w:themeColor="text1"/>
        </w:rPr>
        <w:t>England ;</w:t>
      </w:r>
      <w:proofErr w:type="gramEnd"/>
      <w:r w:rsidRPr="00CF35EF">
        <w:rPr>
          <w:rFonts w:ascii="Calibri" w:hAnsi="Calibri" w:cs="Calibri"/>
          <w:color w:val="000000" w:themeColor="text1"/>
        </w:rPr>
        <w:t xml:space="preserve"> New York, Pearson, 27 Apr. 2018, pp. 232–235.</w:t>
      </w:r>
    </w:p>
    <w:p w14:paraId="111DE8E9" w14:textId="77777777"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p>
    <w:p w14:paraId="2A3B5EEF" w14:textId="53377204" w:rsidR="00CF35EF" w:rsidRDefault="00CF35EF" w:rsidP="00CF35EF">
      <w:pPr>
        <w:pStyle w:val="NormalWeb"/>
        <w:spacing w:before="0" w:beforeAutospacing="0" w:after="0" w:afterAutospacing="0" w:line="480" w:lineRule="atLeast"/>
        <w:ind w:left="720" w:hanging="720"/>
        <w:rPr>
          <w:rFonts w:ascii="Calibri" w:hAnsi="Calibri" w:cs="Calibri"/>
          <w:color w:val="000000" w:themeColor="text1"/>
        </w:rPr>
      </w:pPr>
      <w:r w:rsidRPr="00CF35EF">
        <w:rPr>
          <w:rFonts w:ascii="Calibri" w:hAnsi="Calibri" w:cs="Calibri"/>
          <w:color w:val="000000" w:themeColor="text1"/>
        </w:rPr>
        <w:t xml:space="preserve">Thomas, Mark, and Samantha </w:t>
      </w:r>
      <w:proofErr w:type="spellStart"/>
      <w:r w:rsidRPr="00CF35EF">
        <w:rPr>
          <w:rFonts w:ascii="Calibri" w:hAnsi="Calibri" w:cs="Calibri"/>
          <w:color w:val="000000" w:themeColor="text1"/>
        </w:rPr>
        <w:t>Pegg</w:t>
      </w:r>
      <w:proofErr w:type="spellEnd"/>
      <w:r w:rsidRPr="00CF35EF">
        <w:rPr>
          <w:rFonts w:ascii="Calibri" w:hAnsi="Calibri" w:cs="Calibri"/>
          <w:color w:val="000000" w:themeColor="text1"/>
        </w:rPr>
        <w:t>. “Clarifying the Applicable Test for Dishonesty and Modifying Stare Decisis, but Otherwise a Missed Opportunity: R v Barton; R v Booth [2020] EWCA Crim 575.”</w:t>
      </w:r>
      <w:r w:rsidRPr="00CF35EF">
        <w:rPr>
          <w:rStyle w:val="apple-converted-space"/>
          <w:rFonts w:ascii="Calibri" w:eastAsiaTheme="majorEastAsia" w:hAnsi="Calibri" w:cs="Calibri"/>
          <w:color w:val="000000" w:themeColor="text1"/>
        </w:rPr>
        <w:t> </w:t>
      </w:r>
      <w:r w:rsidRPr="00CF35EF">
        <w:rPr>
          <w:rFonts w:ascii="Calibri" w:hAnsi="Calibri" w:cs="Calibri"/>
          <w:i/>
          <w:iCs/>
          <w:color w:val="000000" w:themeColor="text1"/>
        </w:rPr>
        <w:t>The Journal of Criminal Law</w:t>
      </w:r>
      <w:r w:rsidRPr="00CF35EF">
        <w:rPr>
          <w:rFonts w:ascii="Calibri" w:hAnsi="Calibri" w:cs="Calibri"/>
          <w:color w:val="000000" w:themeColor="text1"/>
        </w:rPr>
        <w:t xml:space="preserve">, vol. 84, no. 4, Aug. 2020, pp. 385–391, </w:t>
      </w:r>
      <w:hyperlink r:id="rId9" w:history="1">
        <w:r w:rsidRPr="00D94943">
          <w:rPr>
            <w:rStyle w:val="Hyperlink"/>
            <w:rFonts w:ascii="Calibri" w:hAnsi="Calibri" w:cs="Calibri"/>
          </w:rPr>
          <w:t>https://doi.org/10.1177/0022018320949302</w:t>
        </w:r>
      </w:hyperlink>
      <w:r>
        <w:rPr>
          <w:rFonts w:ascii="Calibri" w:hAnsi="Calibri" w:cs="Calibri"/>
          <w:color w:val="000000" w:themeColor="text1"/>
        </w:rPr>
        <w:t xml:space="preserve"> </w:t>
      </w:r>
    </w:p>
    <w:p w14:paraId="78018C1F" w14:textId="33333FD4" w:rsidR="00CF35EF" w:rsidRDefault="00CF35EF" w:rsidP="00CF35EF">
      <w:pPr>
        <w:pStyle w:val="NormalWeb"/>
        <w:spacing w:before="0" w:beforeAutospacing="0" w:after="0" w:afterAutospacing="0" w:line="480" w:lineRule="atLeast"/>
        <w:rPr>
          <w:rFonts w:ascii="Calibri" w:hAnsi="Calibri" w:cs="Calibri"/>
          <w:color w:val="000000" w:themeColor="text1"/>
        </w:rPr>
      </w:pPr>
      <w:r>
        <w:rPr>
          <w:rFonts w:ascii="Calibri" w:hAnsi="Calibri" w:cs="Calibri"/>
          <w:color w:val="000000" w:themeColor="text1"/>
        </w:rPr>
        <w:lastRenderedPageBreak/>
        <w:t>Cases</w:t>
      </w:r>
    </w:p>
    <w:p w14:paraId="70CAB14A" w14:textId="77777777" w:rsidR="00CF35EF" w:rsidRPr="00CF35EF" w:rsidRDefault="00CF35EF" w:rsidP="00CF35EF">
      <w:pPr>
        <w:rPr>
          <w:rStyle w:val="Strong"/>
          <w:rFonts w:ascii="Calibri" w:eastAsiaTheme="majorEastAsia" w:hAnsi="Calibri" w:cs="Calibri"/>
          <w:b w:val="0"/>
          <w:bCs w:val="0"/>
          <w:color w:val="212529"/>
          <w:sz w:val="24"/>
          <w:szCs w:val="24"/>
        </w:rPr>
      </w:pPr>
    </w:p>
    <w:p w14:paraId="4E2D5AC0" w14:textId="7A9BCD8F" w:rsidR="00CF35EF" w:rsidRDefault="00CF35EF" w:rsidP="00CF35EF">
      <w:pPr>
        <w:pStyle w:val="Heading1"/>
        <w:spacing w:before="0" w:after="450"/>
        <w:jc w:val="both"/>
        <w:rPr>
          <w:rStyle w:val="Strong"/>
          <w:rFonts w:ascii="Calibri" w:hAnsi="Calibri" w:cs="Calibri"/>
          <w:b w:val="0"/>
          <w:bCs w:val="0"/>
          <w:color w:val="000000" w:themeColor="text1"/>
          <w:sz w:val="24"/>
          <w:szCs w:val="24"/>
        </w:rPr>
      </w:pPr>
      <w:r w:rsidRPr="00CF35EF">
        <w:rPr>
          <w:rStyle w:val="Strong"/>
          <w:rFonts w:ascii="Calibri" w:hAnsi="Calibri" w:cs="Calibri"/>
          <w:b w:val="0"/>
          <w:bCs w:val="0"/>
          <w:color w:val="000000" w:themeColor="text1"/>
          <w:sz w:val="24"/>
          <w:szCs w:val="24"/>
        </w:rPr>
        <w:t xml:space="preserve">Ivey v Genting Casinos (UK) [2017] </w:t>
      </w:r>
    </w:p>
    <w:p w14:paraId="2E32DDD0" w14:textId="6B1421F6" w:rsidR="00CF35EF" w:rsidRDefault="00CF35EF" w:rsidP="00CF35EF">
      <w:pPr>
        <w:pStyle w:val="Heading1"/>
        <w:spacing w:before="0" w:after="450"/>
        <w:jc w:val="both"/>
        <w:rPr>
          <w:rFonts w:ascii="Calibri" w:hAnsi="Calibri" w:cs="Calibri"/>
          <w:color w:val="000000" w:themeColor="text1"/>
          <w:sz w:val="24"/>
          <w:szCs w:val="24"/>
        </w:rPr>
      </w:pPr>
      <w:r w:rsidRPr="00CF35EF">
        <w:rPr>
          <w:rFonts w:ascii="Calibri" w:hAnsi="Calibri" w:cs="Calibri"/>
          <w:color w:val="000000" w:themeColor="text1"/>
          <w:sz w:val="24"/>
          <w:szCs w:val="24"/>
        </w:rPr>
        <w:t>R v Barton &amp; Booth</w:t>
      </w:r>
      <w:r>
        <w:rPr>
          <w:rFonts w:ascii="Calibri" w:hAnsi="Calibri" w:cs="Calibri"/>
          <w:color w:val="000000" w:themeColor="text1"/>
          <w:sz w:val="24"/>
          <w:szCs w:val="24"/>
        </w:rPr>
        <w:t xml:space="preserve"> [2020]       </w:t>
      </w:r>
    </w:p>
    <w:p w14:paraId="194BDBFC" w14:textId="4F1A25FC" w:rsidR="00CF35EF" w:rsidRPr="00CF35EF" w:rsidRDefault="00CF35EF" w:rsidP="00CF35EF">
      <w:pPr>
        <w:pStyle w:val="Heading1"/>
        <w:spacing w:before="0" w:after="450"/>
        <w:jc w:val="both"/>
        <w:rPr>
          <w:rFonts w:ascii="Calibri" w:hAnsi="Calibri" w:cs="Calibri"/>
          <w:color w:val="000000" w:themeColor="text1"/>
          <w:sz w:val="24"/>
          <w:szCs w:val="24"/>
        </w:rPr>
      </w:pPr>
      <w:r w:rsidRPr="00CF35EF">
        <w:rPr>
          <w:rStyle w:val="Strong"/>
          <w:rFonts w:ascii="Calibri" w:hAnsi="Calibri" w:cs="Calibri"/>
          <w:b w:val="0"/>
          <w:bCs w:val="0"/>
          <w:color w:val="000000" w:themeColor="text1"/>
          <w:sz w:val="24"/>
          <w:szCs w:val="24"/>
        </w:rPr>
        <w:t>R v Ghosh</w:t>
      </w:r>
      <w:r w:rsidRPr="00CF35EF">
        <w:rPr>
          <w:rStyle w:val="Strong"/>
          <w:rFonts w:ascii="Calibri" w:hAnsi="Calibri" w:cs="Calibri"/>
          <w:b w:val="0"/>
          <w:bCs w:val="0"/>
          <w:color w:val="000000" w:themeColor="text1"/>
          <w:sz w:val="24"/>
          <w:szCs w:val="24"/>
        </w:rPr>
        <w:t xml:space="preserve"> </w:t>
      </w:r>
      <w:r w:rsidRPr="00CF35EF">
        <w:rPr>
          <w:rStyle w:val="Strong"/>
          <w:rFonts w:ascii="Calibri" w:hAnsi="Calibri" w:cs="Calibri"/>
          <w:b w:val="0"/>
          <w:bCs w:val="0"/>
          <w:color w:val="000000" w:themeColor="text1"/>
          <w:sz w:val="24"/>
          <w:szCs w:val="24"/>
        </w:rPr>
        <w:t xml:space="preserve">[1982] </w:t>
      </w:r>
    </w:p>
    <w:p w14:paraId="0E430C52" w14:textId="4629DD43" w:rsidR="00CF35EF" w:rsidRDefault="00CF35EF" w:rsidP="00CF35EF">
      <w:pPr>
        <w:jc w:val="both"/>
        <w:rPr>
          <w:rStyle w:val="Strong"/>
          <w:rFonts w:ascii="Calibri" w:eastAsiaTheme="majorEastAsia" w:hAnsi="Calibri" w:cs="Calibri"/>
          <w:b w:val="0"/>
          <w:bCs w:val="0"/>
          <w:color w:val="212529"/>
          <w:sz w:val="24"/>
          <w:szCs w:val="24"/>
        </w:rPr>
      </w:pPr>
      <w:r w:rsidRPr="00CF35EF">
        <w:rPr>
          <w:rStyle w:val="Strong"/>
          <w:rFonts w:ascii="Calibri" w:eastAsiaTheme="majorEastAsia" w:hAnsi="Calibri" w:cs="Calibri"/>
          <w:b w:val="0"/>
          <w:bCs w:val="0"/>
          <w:color w:val="212529"/>
          <w:sz w:val="24"/>
          <w:szCs w:val="24"/>
        </w:rPr>
        <w:t xml:space="preserve">R v Morris [1983] </w:t>
      </w:r>
    </w:p>
    <w:p w14:paraId="2123DC6D" w14:textId="77777777" w:rsidR="00CF35EF" w:rsidRPr="00CF35EF" w:rsidRDefault="00CF35EF" w:rsidP="00CF35EF">
      <w:pPr>
        <w:pStyle w:val="NormalWeb"/>
        <w:spacing w:before="0" w:beforeAutospacing="0" w:after="0" w:afterAutospacing="0" w:line="480" w:lineRule="atLeast"/>
        <w:rPr>
          <w:rFonts w:ascii="Calibri" w:hAnsi="Calibri" w:cs="Calibri"/>
          <w:color w:val="000000" w:themeColor="text1"/>
        </w:rPr>
      </w:pPr>
    </w:p>
    <w:sectPr w:rsidR="00CF35EF" w:rsidRPr="00CF3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77852"/>
    <w:multiLevelType w:val="hybridMultilevel"/>
    <w:tmpl w:val="6B5899B0"/>
    <w:lvl w:ilvl="0" w:tplc="6106B0F8">
      <w:start w:val="1"/>
      <w:numFmt w:val="bullet"/>
      <w:lvlText w:val="´"/>
      <w:lvlJc w:val="left"/>
      <w:pPr>
        <w:tabs>
          <w:tab w:val="num" w:pos="720"/>
        </w:tabs>
        <w:ind w:left="720" w:hanging="360"/>
      </w:pPr>
      <w:rPr>
        <w:rFonts w:ascii="Wingdings 3" w:hAnsi="Wingdings 3" w:hint="default"/>
      </w:rPr>
    </w:lvl>
    <w:lvl w:ilvl="1" w:tplc="CDD27172" w:tentative="1">
      <w:start w:val="1"/>
      <w:numFmt w:val="bullet"/>
      <w:lvlText w:val="´"/>
      <w:lvlJc w:val="left"/>
      <w:pPr>
        <w:tabs>
          <w:tab w:val="num" w:pos="1440"/>
        </w:tabs>
        <w:ind w:left="1440" w:hanging="360"/>
      </w:pPr>
      <w:rPr>
        <w:rFonts w:ascii="Wingdings 3" w:hAnsi="Wingdings 3" w:hint="default"/>
      </w:rPr>
    </w:lvl>
    <w:lvl w:ilvl="2" w:tplc="BD90CA1A" w:tentative="1">
      <w:start w:val="1"/>
      <w:numFmt w:val="bullet"/>
      <w:lvlText w:val="´"/>
      <w:lvlJc w:val="left"/>
      <w:pPr>
        <w:tabs>
          <w:tab w:val="num" w:pos="2160"/>
        </w:tabs>
        <w:ind w:left="2160" w:hanging="360"/>
      </w:pPr>
      <w:rPr>
        <w:rFonts w:ascii="Wingdings 3" w:hAnsi="Wingdings 3" w:hint="default"/>
      </w:rPr>
    </w:lvl>
    <w:lvl w:ilvl="3" w:tplc="04E62F02" w:tentative="1">
      <w:start w:val="1"/>
      <w:numFmt w:val="bullet"/>
      <w:lvlText w:val="´"/>
      <w:lvlJc w:val="left"/>
      <w:pPr>
        <w:tabs>
          <w:tab w:val="num" w:pos="2880"/>
        </w:tabs>
        <w:ind w:left="2880" w:hanging="360"/>
      </w:pPr>
      <w:rPr>
        <w:rFonts w:ascii="Wingdings 3" w:hAnsi="Wingdings 3" w:hint="default"/>
      </w:rPr>
    </w:lvl>
    <w:lvl w:ilvl="4" w:tplc="AE440362" w:tentative="1">
      <w:start w:val="1"/>
      <w:numFmt w:val="bullet"/>
      <w:lvlText w:val="´"/>
      <w:lvlJc w:val="left"/>
      <w:pPr>
        <w:tabs>
          <w:tab w:val="num" w:pos="3600"/>
        </w:tabs>
        <w:ind w:left="3600" w:hanging="360"/>
      </w:pPr>
      <w:rPr>
        <w:rFonts w:ascii="Wingdings 3" w:hAnsi="Wingdings 3" w:hint="default"/>
      </w:rPr>
    </w:lvl>
    <w:lvl w:ilvl="5" w:tplc="04E646DC" w:tentative="1">
      <w:start w:val="1"/>
      <w:numFmt w:val="bullet"/>
      <w:lvlText w:val="´"/>
      <w:lvlJc w:val="left"/>
      <w:pPr>
        <w:tabs>
          <w:tab w:val="num" w:pos="4320"/>
        </w:tabs>
        <w:ind w:left="4320" w:hanging="360"/>
      </w:pPr>
      <w:rPr>
        <w:rFonts w:ascii="Wingdings 3" w:hAnsi="Wingdings 3" w:hint="default"/>
      </w:rPr>
    </w:lvl>
    <w:lvl w:ilvl="6" w:tplc="D23E376E" w:tentative="1">
      <w:start w:val="1"/>
      <w:numFmt w:val="bullet"/>
      <w:lvlText w:val="´"/>
      <w:lvlJc w:val="left"/>
      <w:pPr>
        <w:tabs>
          <w:tab w:val="num" w:pos="5040"/>
        </w:tabs>
        <w:ind w:left="5040" w:hanging="360"/>
      </w:pPr>
      <w:rPr>
        <w:rFonts w:ascii="Wingdings 3" w:hAnsi="Wingdings 3" w:hint="default"/>
      </w:rPr>
    </w:lvl>
    <w:lvl w:ilvl="7" w:tplc="CFCEC616" w:tentative="1">
      <w:start w:val="1"/>
      <w:numFmt w:val="bullet"/>
      <w:lvlText w:val="´"/>
      <w:lvlJc w:val="left"/>
      <w:pPr>
        <w:tabs>
          <w:tab w:val="num" w:pos="5760"/>
        </w:tabs>
        <w:ind w:left="5760" w:hanging="360"/>
      </w:pPr>
      <w:rPr>
        <w:rFonts w:ascii="Wingdings 3" w:hAnsi="Wingdings 3" w:hint="default"/>
      </w:rPr>
    </w:lvl>
    <w:lvl w:ilvl="8" w:tplc="EE94563A" w:tentative="1">
      <w:start w:val="1"/>
      <w:numFmt w:val="bullet"/>
      <w:lvlText w:val="´"/>
      <w:lvlJc w:val="left"/>
      <w:pPr>
        <w:tabs>
          <w:tab w:val="num" w:pos="6480"/>
        </w:tabs>
        <w:ind w:left="6480" w:hanging="360"/>
      </w:pPr>
      <w:rPr>
        <w:rFonts w:ascii="Wingdings 3" w:hAnsi="Wingdings 3" w:hint="default"/>
      </w:rPr>
    </w:lvl>
  </w:abstractNum>
  <w:num w:numId="1" w16cid:durableId="1004355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27A"/>
    <w:rsid w:val="0000227A"/>
    <w:rsid w:val="008F695C"/>
    <w:rsid w:val="00C340D2"/>
    <w:rsid w:val="00CF35EF"/>
    <w:rsid w:val="00F12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014C2"/>
  <w15:chartTrackingRefBased/>
  <w15:docId w15:val="{67E1091A-68DC-FE48-87F7-C698AF648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27A"/>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022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2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2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2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2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2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2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2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2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2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2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2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2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2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2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2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2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27A"/>
    <w:rPr>
      <w:rFonts w:eastAsiaTheme="majorEastAsia" w:cstheme="majorBidi"/>
      <w:color w:val="272727" w:themeColor="text1" w:themeTint="D8"/>
    </w:rPr>
  </w:style>
  <w:style w:type="paragraph" w:styleId="Title">
    <w:name w:val="Title"/>
    <w:basedOn w:val="Normal"/>
    <w:next w:val="Normal"/>
    <w:link w:val="TitleChar"/>
    <w:uiPriority w:val="10"/>
    <w:qFormat/>
    <w:rsid w:val="000022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2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27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2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2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0227A"/>
    <w:rPr>
      <w:i/>
      <w:iCs/>
      <w:color w:val="404040" w:themeColor="text1" w:themeTint="BF"/>
    </w:rPr>
  </w:style>
  <w:style w:type="paragraph" w:styleId="ListParagraph">
    <w:name w:val="List Paragraph"/>
    <w:basedOn w:val="Normal"/>
    <w:uiPriority w:val="34"/>
    <w:qFormat/>
    <w:rsid w:val="0000227A"/>
    <w:pPr>
      <w:ind w:left="720"/>
      <w:contextualSpacing/>
    </w:pPr>
  </w:style>
  <w:style w:type="character" w:styleId="IntenseEmphasis">
    <w:name w:val="Intense Emphasis"/>
    <w:basedOn w:val="DefaultParagraphFont"/>
    <w:uiPriority w:val="21"/>
    <w:qFormat/>
    <w:rsid w:val="0000227A"/>
    <w:rPr>
      <w:i/>
      <w:iCs/>
      <w:color w:val="0F4761" w:themeColor="accent1" w:themeShade="BF"/>
    </w:rPr>
  </w:style>
  <w:style w:type="paragraph" w:styleId="IntenseQuote">
    <w:name w:val="Intense Quote"/>
    <w:basedOn w:val="Normal"/>
    <w:next w:val="Normal"/>
    <w:link w:val="IntenseQuoteChar"/>
    <w:uiPriority w:val="30"/>
    <w:qFormat/>
    <w:rsid w:val="000022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27A"/>
    <w:rPr>
      <w:i/>
      <w:iCs/>
      <w:color w:val="0F4761" w:themeColor="accent1" w:themeShade="BF"/>
    </w:rPr>
  </w:style>
  <w:style w:type="character" w:styleId="IntenseReference">
    <w:name w:val="Intense Reference"/>
    <w:basedOn w:val="DefaultParagraphFont"/>
    <w:uiPriority w:val="32"/>
    <w:qFormat/>
    <w:rsid w:val="0000227A"/>
    <w:rPr>
      <w:b/>
      <w:bCs/>
      <w:smallCaps/>
      <w:color w:val="0F4761" w:themeColor="accent1" w:themeShade="BF"/>
      <w:spacing w:val="5"/>
    </w:rPr>
  </w:style>
  <w:style w:type="character" w:customStyle="1" w:styleId="apple-converted-space">
    <w:name w:val="apple-converted-space"/>
    <w:basedOn w:val="DefaultParagraphFont"/>
    <w:rsid w:val="0000227A"/>
  </w:style>
  <w:style w:type="character" w:styleId="Strong">
    <w:name w:val="Strong"/>
    <w:basedOn w:val="DefaultParagraphFont"/>
    <w:uiPriority w:val="22"/>
    <w:qFormat/>
    <w:rsid w:val="0000227A"/>
    <w:rPr>
      <w:b/>
      <w:bCs/>
    </w:rPr>
  </w:style>
  <w:style w:type="character" w:styleId="Hyperlink">
    <w:name w:val="Hyperlink"/>
    <w:basedOn w:val="DefaultParagraphFont"/>
    <w:uiPriority w:val="99"/>
    <w:unhideWhenUsed/>
    <w:rsid w:val="0000227A"/>
    <w:rPr>
      <w:color w:val="0000FF"/>
      <w:u w:val="single"/>
    </w:rPr>
  </w:style>
  <w:style w:type="character" w:styleId="Emphasis">
    <w:name w:val="Emphasis"/>
    <w:basedOn w:val="DefaultParagraphFont"/>
    <w:uiPriority w:val="20"/>
    <w:qFormat/>
    <w:rsid w:val="0000227A"/>
    <w:rPr>
      <w:i/>
      <w:iCs/>
    </w:rPr>
  </w:style>
  <w:style w:type="paragraph" w:styleId="NormalWeb">
    <w:name w:val="Normal (Web)"/>
    <w:basedOn w:val="Normal"/>
    <w:uiPriority w:val="99"/>
    <w:semiHidden/>
    <w:unhideWhenUsed/>
    <w:rsid w:val="0000227A"/>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CF35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5174">
      <w:bodyDiv w:val="1"/>
      <w:marLeft w:val="0"/>
      <w:marRight w:val="0"/>
      <w:marTop w:val="0"/>
      <w:marBottom w:val="0"/>
      <w:divBdr>
        <w:top w:val="none" w:sz="0" w:space="0" w:color="auto"/>
        <w:left w:val="none" w:sz="0" w:space="0" w:color="auto"/>
        <w:bottom w:val="none" w:sz="0" w:space="0" w:color="auto"/>
        <w:right w:val="none" w:sz="0" w:space="0" w:color="auto"/>
      </w:divBdr>
      <w:divsChild>
        <w:div w:id="764960071">
          <w:marLeft w:val="-720"/>
          <w:marRight w:val="0"/>
          <w:marTop w:val="0"/>
          <w:marBottom w:val="0"/>
          <w:divBdr>
            <w:top w:val="none" w:sz="0" w:space="0" w:color="auto"/>
            <w:left w:val="none" w:sz="0" w:space="0" w:color="auto"/>
            <w:bottom w:val="none" w:sz="0" w:space="0" w:color="auto"/>
            <w:right w:val="none" w:sz="0" w:space="0" w:color="auto"/>
          </w:divBdr>
        </w:div>
      </w:divsChild>
    </w:div>
    <w:div w:id="305016640">
      <w:bodyDiv w:val="1"/>
      <w:marLeft w:val="0"/>
      <w:marRight w:val="0"/>
      <w:marTop w:val="0"/>
      <w:marBottom w:val="0"/>
      <w:divBdr>
        <w:top w:val="none" w:sz="0" w:space="0" w:color="auto"/>
        <w:left w:val="none" w:sz="0" w:space="0" w:color="auto"/>
        <w:bottom w:val="none" w:sz="0" w:space="0" w:color="auto"/>
        <w:right w:val="none" w:sz="0" w:space="0" w:color="auto"/>
      </w:divBdr>
    </w:div>
    <w:div w:id="1592003518">
      <w:bodyDiv w:val="1"/>
      <w:marLeft w:val="0"/>
      <w:marRight w:val="0"/>
      <w:marTop w:val="0"/>
      <w:marBottom w:val="0"/>
      <w:divBdr>
        <w:top w:val="none" w:sz="0" w:space="0" w:color="auto"/>
        <w:left w:val="none" w:sz="0" w:space="0" w:color="auto"/>
        <w:bottom w:val="none" w:sz="0" w:space="0" w:color="auto"/>
        <w:right w:val="none" w:sz="0" w:space="0" w:color="auto"/>
      </w:divBdr>
    </w:div>
    <w:div w:id="1978603511">
      <w:bodyDiv w:val="1"/>
      <w:marLeft w:val="0"/>
      <w:marRight w:val="0"/>
      <w:marTop w:val="0"/>
      <w:marBottom w:val="0"/>
      <w:divBdr>
        <w:top w:val="none" w:sz="0" w:space="0" w:color="auto"/>
        <w:left w:val="none" w:sz="0" w:space="0" w:color="auto"/>
        <w:bottom w:val="none" w:sz="0" w:space="0" w:color="auto"/>
        <w:right w:val="none" w:sz="0" w:space="0" w:color="auto"/>
      </w:divBdr>
      <w:divsChild>
        <w:div w:id="58788734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premecourt.uk/cases/uksc-2016-0213.html" TargetMode="External"/><Relationship Id="rId3" Type="http://schemas.openxmlformats.org/officeDocument/2006/relationships/settings" Target="settings.xml"/><Relationship Id="rId7" Type="http://schemas.openxmlformats.org/officeDocument/2006/relationships/hyperlink" Target="http://www.legislation.gov.uk/ukpga/1968/60/section/1#:~:text=(1)A%20person%20is%20guil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0022018319879847" TargetMode="External"/><Relationship Id="rId11" Type="http://schemas.openxmlformats.org/officeDocument/2006/relationships/theme" Target="theme/theme1.xml"/><Relationship Id="rId5" Type="http://schemas.openxmlformats.org/officeDocument/2006/relationships/hyperlink" Target="https://doi.org/10.1177/002201831774683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22018320949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1507</Words>
  <Characters>8596</Characters>
  <Application>Microsoft Office Word</Application>
  <DocSecurity>0</DocSecurity>
  <Lines>71</Lines>
  <Paragraphs>20</Paragraphs>
  <ScaleCrop>false</ScaleCrop>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2</cp:revision>
  <dcterms:created xsi:type="dcterms:W3CDTF">2024-05-03T17:51:00Z</dcterms:created>
  <dcterms:modified xsi:type="dcterms:W3CDTF">2024-05-03T17:51:00Z</dcterms:modified>
</cp:coreProperties>
</file>