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10E9E" w14:textId="51A59D2F" w:rsidR="009043A1" w:rsidRPr="00111E86" w:rsidRDefault="00181CE8" w:rsidP="00181CE8">
      <w:pPr>
        <w:jc w:val="center"/>
        <w:rPr>
          <w:rFonts w:ascii="Arial" w:hAnsi="Arial" w:cs="Arial"/>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Ensuring smooth Transitions in the Early years – A Guide to good practice for all staff</w:t>
      </w:r>
    </w:p>
    <w:p w14:paraId="315D0B97" w14:textId="77777777" w:rsidR="00181CE8" w:rsidRPr="00111E86" w:rsidRDefault="00181CE8" w:rsidP="00181CE8">
      <w:pPr>
        <w:jc w:val="center"/>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C15C76" w14:textId="5D9400C2" w:rsidR="00181CE8" w:rsidRPr="00111E86" w:rsidRDefault="005F79FA"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noProo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FC7BC06" wp14:editId="7058C4DA">
            <wp:extent cx="5731510" cy="3821430"/>
            <wp:effectExtent l="0" t="0" r="2540" b="7620"/>
            <wp:docPr id="1531091117" name="Picture 2" descr="The happy little boy and girl are playing in a puddle walking down the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appy little boy and girl are playing in a puddle walking down the stree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1430"/>
                    </a:xfrm>
                    <a:prstGeom prst="rect">
                      <a:avLst/>
                    </a:prstGeom>
                    <a:noFill/>
                    <a:ln>
                      <a:noFill/>
                    </a:ln>
                  </pic:spPr>
                </pic:pic>
              </a:graphicData>
            </a:graphic>
          </wp:inline>
        </w:drawing>
      </w:r>
    </w:p>
    <w:p w14:paraId="316946EA" w14:textId="37F9F88C" w:rsidR="005F79FA" w:rsidRPr="00111E86" w:rsidRDefault="005F79FA"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0163D"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Premium Photo, ND The happy little boy and girl are playing in a puddle walking down the street)</w:t>
      </w:r>
    </w:p>
    <w:p w14:paraId="594A66C8" w14:textId="77777777" w:rsidR="005F79FA" w:rsidRPr="00111E86" w:rsidRDefault="005F79FA"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AD1C88" w14:textId="05DCA326"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Transitioning from Nursery or Preschool</w:t>
      </w:r>
    </w:p>
    <w:p w14:paraId="45773D6D" w14:textId="038A5E26"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Into School</w:t>
      </w:r>
    </w:p>
    <w:p w14:paraId="3BABC7E4" w14:textId="77777777"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B16F66" w14:textId="203FC525"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2315485</w:t>
      </w:r>
    </w:p>
    <w:p w14:paraId="0C38C5FD" w14:textId="29057AF2" w:rsidR="0056150F" w:rsidRPr="00111E86" w:rsidRDefault="0056150F"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EC</w:t>
      </w:r>
      <w:r w:rsidR="00B74F97"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EY4001/C</w:t>
      </w:r>
    </w:p>
    <w:p w14:paraId="08E27C80" w14:textId="2F76C1AB" w:rsidR="00B74F97" w:rsidRPr="00111E86" w:rsidRDefault="00B74F97" w:rsidP="0056150F">
      <w:pPr>
        <w:jc w:val="cente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 Count: </w:t>
      </w:r>
      <w:r w:rsidR="00111E86"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EF1B61">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931</w:t>
      </w:r>
    </w:p>
    <w:p w14:paraId="13F4A863"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8DFFF1"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164296"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641B7F"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671988"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D17AE9"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424591"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33F884" w14:textId="77777777" w:rsidR="0056150F" w:rsidRPr="00111E86" w:rsidRDefault="0056150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FABE62" w14:textId="1B165A99" w:rsidR="00181CE8" w:rsidRPr="00111E86" w:rsidRDefault="00181CE8" w:rsidP="00181CE8">
      <w:pPr>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194552FD" w14:textId="77777777" w:rsidR="00181CE8" w:rsidRPr="00111E86" w:rsidRDefault="00181CE8" w:rsidP="00181CE8">
      <w:pPr>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E919F0" w14:textId="45EA6070"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51A59E6" w14:textId="77777777" w:rsidR="001831CF"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482C77" w14:textId="2A77E45E" w:rsidR="001831CF"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w:t>
      </w:r>
    </w:p>
    <w:p w14:paraId="6AC34092" w14:textId="77777777"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F73FD7" w14:textId="1B58E596" w:rsidR="00CF3B04"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 of the child</w:t>
      </w:r>
    </w:p>
    <w:p w14:paraId="39D03029" w14:textId="77777777" w:rsidR="001831CF"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6A761B" w14:textId="7EA83AA9" w:rsidR="00181CE8"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p w14:paraId="118BE44D" w14:textId="77777777" w:rsidR="001831CF" w:rsidRPr="00111E86" w:rsidRDefault="001831CF"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D9CD01" w14:textId="57130A06" w:rsidR="00181CE8" w:rsidRDefault="001831CF" w:rsidP="00111E86">
      <w:pPr>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Holistic Development</w:t>
      </w:r>
    </w:p>
    <w:p w14:paraId="0DD1B18A" w14:textId="77777777" w:rsidR="00CF3B04" w:rsidRDefault="00CF3B04" w:rsidP="00111E86">
      <w:pPr>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0D3F07" w14:textId="7D8D5FD9" w:rsidR="00CF3B04" w:rsidRPr="00111E86" w:rsidRDefault="00CF3B04" w:rsidP="00111E86">
      <w:pPr>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Adult</w:t>
      </w:r>
    </w:p>
    <w:p w14:paraId="37230C63" w14:textId="77777777"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DF97A8" w14:textId="549AC79F"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p w14:paraId="145F6014" w14:textId="77777777"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190BB2" w14:textId="73AF008F"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D9B01D" w14:textId="77777777" w:rsidR="00181CE8" w:rsidRPr="00111E86" w:rsidRDefault="00181CE8" w:rsidP="00181CE8">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28D3FB" w14:textId="7F07AE43" w:rsidR="00181CE8" w:rsidRPr="00111E86" w:rsidRDefault="00181CE8" w:rsidP="00111E86">
      <w:pPr>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2BA122" w14:textId="77777777" w:rsidR="007E021A" w:rsidRDefault="007E021A" w:rsidP="007B0648">
      <w:pPr>
        <w:spacing w:line="360" w:lineRule="auto"/>
        <w:jc w:val="both"/>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D5A1D7" w14:textId="77777777" w:rsidR="007E021A" w:rsidRDefault="007E021A" w:rsidP="007B0648">
      <w:pPr>
        <w:spacing w:line="360" w:lineRule="auto"/>
        <w:jc w:val="both"/>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B3735C" w14:textId="77777777" w:rsidR="007E021A" w:rsidRDefault="007E021A" w:rsidP="007B0648">
      <w:pPr>
        <w:spacing w:line="360" w:lineRule="auto"/>
        <w:jc w:val="both"/>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0C4CB4" w14:textId="45AE9C6A" w:rsidR="00CA1F1E" w:rsidRPr="00111E86" w:rsidRDefault="00D062D6" w:rsidP="007B0648">
      <w:pPr>
        <w:spacing w:line="360" w:lineRule="auto"/>
        <w:jc w:val="both"/>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 and Rationale</w:t>
      </w:r>
    </w:p>
    <w:p w14:paraId="2E3D4452" w14:textId="1CF81965" w:rsidR="00D062D6" w:rsidRPr="00111E86" w:rsidRDefault="00D062D6" w:rsidP="007B0648">
      <w:pPr>
        <w:spacing w:line="360" w:lineRule="auto"/>
        <w:jc w:val="both"/>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 of this handbook is to recognise and assist in understanding the link between</w:t>
      </w:r>
      <w:r w:rsidR="00CD6439"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useful</w:t>
      </w: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 and</w:t>
      </w:r>
      <w:r w:rsidR="00CD6439"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current</w:t>
      </w:r>
      <w:r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practice</w:t>
      </w:r>
      <w:r w:rsidR="00CD6439"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help practitioners to develop excellent supportive practices based on the theory in supporting young children through early years transitions. It aims to support practice </w:t>
      </w:r>
      <w:r w:rsidR="00BC2EAC"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CD6439"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improve both outcomes and quality</w:t>
      </w:r>
      <w:r w:rsidR="00BF700D" w:rsidRPr="00111E8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provision and practice for both practitioners and children</w:t>
      </w:r>
      <w:r w:rsidR="00155921">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making the transition from a pre-school setting into the foundation stage of a school.</w:t>
      </w:r>
    </w:p>
    <w:p w14:paraId="691FFCCE" w14:textId="78FEDAD2" w:rsidR="00C65610" w:rsidRPr="00111E86" w:rsidRDefault="00D062D6" w:rsidP="007B0648">
      <w:pPr>
        <w:spacing w:line="360" w:lineRule="auto"/>
        <w:jc w:val="both"/>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Transitions</w:t>
      </w:r>
      <w:r w:rsidR="00C65610" w:rsidRPr="00111E86">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3A087F8" w14:textId="7A80FD4D" w:rsidR="00581881" w:rsidRPr="00111E86" w:rsidRDefault="00D062D6" w:rsidP="007B0648">
      <w:pPr>
        <w:spacing w:line="360" w:lineRule="auto"/>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important to define exactly what t</w:t>
      </w:r>
      <w:r w:rsidR="00174BD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ransitions</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w:t>
      </w:r>
      <w:r w:rsidR="00174BD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why they are important in the early years.</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74BD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ransition</w:t>
      </w:r>
      <w:r w:rsidR="00174BD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can be referred to as the process of change a young child may experience </w:t>
      </w:r>
      <w:r w:rsidR="00157DE5"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(Vogler, Crivello and Woodhead</w:t>
      </w:r>
      <w:r w:rsidR="0032111A"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57DE5"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2008)</w:t>
      </w:r>
      <w:r w:rsidR="0032111A"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57DE5"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E767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hese may be comparatively small</w:t>
      </w:r>
      <w:r w:rsidR="006F663C">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horizontal</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changes that happen daily, such as the child moving between</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activities or moving between</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home and the childcare setting, or they may be more major</w:t>
      </w:r>
      <w:r w:rsidR="006F663C">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vertical</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changes. Such as moving up to the next logical setting, du</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58188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age and development.</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From a familiar setting to hopefully the next exciting stage in their developing educational adventure. Such a major change can however be quite daunting to the very young child and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requires</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substantial care and support from all</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involved adults, including the parents and key staff in the all the</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child’s</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settings as well as any specialist staff and the wider community.</w:t>
      </w:r>
    </w:p>
    <w:p w14:paraId="6FB4A304" w14:textId="2E6202D8" w:rsidR="005E45D1" w:rsidRPr="00111E86" w:rsidRDefault="00EF3968" w:rsidP="007B0648">
      <w:pPr>
        <w:spacing w:line="360" w:lineRule="auto"/>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MacDougall and Brown (2016) suggest i</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is so important to get these transitions right as due to the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unprecedented</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rate of development in the young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child’s</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brain, these hopefully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smooth</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transitions</w:t>
      </w:r>
      <w:r w:rsidR="005E45D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can set a positive precedent</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child’s personality</w:t>
      </w:r>
      <w:r w:rsidR="00CD5455">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D5455">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Providing the blueprint for them to be</w:t>
      </w:r>
      <w:r w:rsidR="00EB1CCC"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happy and able to cope with challenge and change very well</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equips them with the confidence to embrace the multiplicity of change in modern life.</w:t>
      </w:r>
    </w:p>
    <w:p w14:paraId="3054A50A" w14:textId="34E673A9" w:rsidR="00181CE8" w:rsidRPr="00111E86" w:rsidRDefault="00EB1CCC" w:rsidP="007B0648">
      <w:pPr>
        <w:spacing w:line="360" w:lineRule="auto"/>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BE7676"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practitioner’s</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aim is to provide a continuity of seamless </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high-quality</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care that enhances the children’s play and learning, leading to happy, </w:t>
      </w:r>
      <w:r w:rsidR="006922D0"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well-developed</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children</w:t>
      </w:r>
      <w:r w:rsidR="00411249"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A2642BB" w14:textId="77777777" w:rsidR="00411249" w:rsidRPr="00111E86" w:rsidRDefault="00411249" w:rsidP="007B0648">
      <w:pPr>
        <w:spacing w:line="360" w:lineRule="auto"/>
        <w:jc w:val="both"/>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90FDAE" w14:textId="77777777" w:rsidR="007E021A" w:rsidRDefault="007E021A" w:rsidP="007B0648">
      <w:pPr>
        <w:spacing w:line="360" w:lineRule="auto"/>
        <w:jc w:val="both"/>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C85043" w14:textId="3D5D7CFE" w:rsidR="0014612D" w:rsidRPr="00111E86" w:rsidRDefault="0014612D" w:rsidP="007B0648">
      <w:pPr>
        <w:spacing w:line="360" w:lineRule="auto"/>
        <w:jc w:val="both"/>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Needs of the child</w:t>
      </w:r>
    </w:p>
    <w:p w14:paraId="4E357A33" w14:textId="77777777" w:rsidR="0014612D" w:rsidRPr="00111E86" w:rsidRDefault="0014612D" w:rsidP="007B0648">
      <w:pPr>
        <w:spacing w:line="360" w:lineRule="auto"/>
        <w:jc w:val="both"/>
        <w:rPr>
          <w:rFonts w:ascii="Arial" w:hAnsi="Arial" w:cs="Arial"/>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608B88" w14:textId="6A89BDA7" w:rsidR="0014612D" w:rsidRPr="00111E86" w:rsidRDefault="004507F1" w:rsidP="007B0648">
      <w:pPr>
        <w:spacing w:line="360" w:lineRule="auto"/>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Saul McLeod (2023) identifies </w:t>
      </w:r>
      <w:r w:rsidR="0014612D"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Maslow’s theory of hierarchical development </w:t>
      </w:r>
      <w:r w:rsidR="00207351"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w:t>
      </w:r>
      <w:r w:rsidR="0014612D"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useful to consider </w:t>
      </w:r>
      <w:r w:rsidR="00F83928"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regarding</w:t>
      </w:r>
      <w:r w:rsidR="0014612D"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needs of the child.</w:t>
      </w:r>
      <w:r w:rsidRPr="00111E86">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9758898" w14:textId="3CD2B61E" w:rsidR="0014612D" w:rsidRPr="00111E86" w:rsidRDefault="0014612D" w:rsidP="007B0648">
      <w:pPr>
        <w:spacing w:before="180"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early years settings, understanding and applying </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Maslow’s Hierarchy of Needs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can significantly enhance the well-being and development of young childre</w:t>
      </w:r>
      <w:r w:rsidR="00BC0CE4"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 particularly as they transition to a new setting.</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C0CE4"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Drawing from this research is an explanation of its relevance.</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D06035D" w14:textId="77777777" w:rsidR="0014612D" w:rsidRPr="00111E86" w:rsidRDefault="0014612D"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Physiological Needs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ABBDFF4" w14:textId="2AEB845A" w:rsidR="0014612D" w:rsidRPr="00111E86" w:rsidRDefault="00BC0CE4"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is of paramount importance that a child’s basic physiological needs are met. They are provided with accessible nutritious food, time to rest and an environment that meets </w:t>
      </w:r>
      <w:r w:rsidR="000A133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their basic safety needs. This is essential in the daily transitions between settings, moving from home to school or nursery. A tired and hungry child will most likely struggle to transition happily and smoothly.</w:t>
      </w:r>
    </w:p>
    <w:p w14:paraId="3B02F68E" w14:textId="77777777" w:rsidR="0035032F" w:rsidRPr="007E021A" w:rsidRDefault="0014612D"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E021A">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Safety Needs</w:t>
      </w:r>
      <w:r w:rsidRPr="007E021A">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5032F" w:rsidRPr="007E021A">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B0CA37D" w14:textId="77777777" w:rsidR="007E021A" w:rsidRDefault="00786890"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Children are much more likely to thrive in an environment they feel is predictable and secure, when they feel safe and know what to expect. </w:t>
      </w:r>
      <w:r w:rsidR="0035032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 importance of this is never more important than during all </w:t>
      </w:r>
      <w:r w:rsidR="0035032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transitions. The</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adult needs to provide verbal reassurance that they are safe </w:t>
      </w:r>
      <w:r w:rsidR="0035032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addition to</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explanation, so the child knows what</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happening when and with whom, so they know what to expect.</w:t>
      </w:r>
    </w:p>
    <w:p w14:paraId="276AEEEB" w14:textId="67CDBE5B" w:rsidR="0014612D" w:rsidRPr="00111E86" w:rsidRDefault="00C6742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4612D"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Love and Belongingness Needs</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DDF7A1C" w14:textId="77777777" w:rsidR="00187FE8" w:rsidRPr="00111E86" w:rsidRDefault="007729D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During </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 the child needs their feeling</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recognised and acknowledged and validated by the care staff and their parents. It is important to develop a positive relationship to enable the child to share their emotions and allow </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early years practitioners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provide the appropriate level of comfort.</w:t>
      </w:r>
    </w:p>
    <w:p w14:paraId="7A031C70" w14:textId="6CB604B5" w:rsidR="0014612D" w:rsidRPr="00111E86" w:rsidRDefault="0014612D"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Esteem Needs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D010554" w14:textId="6EF14FE0" w:rsidR="007729D2" w:rsidRPr="00111E86" w:rsidRDefault="007729D2"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All children need help to develop their self-worth, self-esteem and find a level of competence and confidence, again important in the transition process.</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Strategies would include encouragement and celebration of their achievements and accomplishments, with lots of positive praise, particularly of their adaptability and resilience during the transition.</w:t>
      </w:r>
    </w:p>
    <w:p w14:paraId="51E15B91" w14:textId="47B111DB" w:rsidR="0014612D" w:rsidRPr="00111E86" w:rsidRDefault="0014612D"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Self-Actuali</w:t>
      </w:r>
      <w:r w:rsidR="00187FE8"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ation</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A4B56A5" w14:textId="77777777" w:rsidR="007E021A" w:rsidRDefault="00D91E29"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is useful in helping children to explore interests they may develop and encouraging any talents or aptitudes they may show. Providing opportunities for creativity, problem solving, and self-expression are </w:t>
      </w:r>
      <w:r w:rsidR="00523239"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helpful</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here, as is offering choice and participation in making decisions in what to play with or which activity to participate in.</w:t>
      </w:r>
    </w:p>
    <w:p w14:paraId="3EF8B98E" w14:textId="75C3F999" w:rsidR="0014612D" w:rsidRDefault="00F83928"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ransitions can be</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challenging</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time</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young children. By addressing their needs at each level of Maslow’s hierarchy, you </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 hopefully create</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supportive environment that promotes their </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holistic</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well-being and helps them </w:t>
      </w:r>
      <w:r w:rsidR="00537EB4"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develop and </w:t>
      </w:r>
      <w:r w:rsidR="0014612D"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thrive</w:t>
      </w:r>
      <w:r w:rsidR="00C6742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new setting.</w:t>
      </w:r>
    </w:p>
    <w:p w14:paraId="7081DEBD" w14:textId="414ADE57" w:rsidR="00446458" w:rsidRPr="00111E86" w:rsidRDefault="00446458"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704075D0" wp14:editId="3D723031">
            <wp:extent cx="3330055" cy="3330055"/>
            <wp:effectExtent l="0" t="0" r="3810" b="3810"/>
            <wp:docPr id="1840342225" name="Picture 4"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slow needs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44847" cy="3344847"/>
                    </a:xfrm>
                    <a:prstGeom prst="rect">
                      <a:avLst/>
                    </a:prstGeom>
                    <a:noFill/>
                    <a:ln>
                      <a:noFill/>
                    </a:ln>
                  </pic:spPr>
                </pic:pic>
              </a:graphicData>
            </a:graphic>
          </wp:inline>
        </w:drawing>
      </w:r>
    </w:p>
    <w:p w14:paraId="049DAAA3" w14:textId="77777777" w:rsidR="00446458" w:rsidRPr="00446458" w:rsidRDefault="00446458" w:rsidP="00446458">
      <w:pPr>
        <w:rPr>
          <w:sz w:val="24"/>
          <w:szCs w:val="24"/>
        </w:rPr>
      </w:pPr>
      <w:hyperlink r:id="rId7" w:history="1">
        <w:r w:rsidRPr="00446458">
          <w:rPr>
            <w:rStyle w:val="Hyperlink"/>
            <w:color w:val="auto"/>
            <w:sz w:val="24"/>
            <w:szCs w:val="24"/>
          </w:rPr>
          <w:t>Maslow's Hierarchy of Needs (simplypsychology.org)</w:t>
        </w:r>
      </w:hyperlink>
    </w:p>
    <w:p w14:paraId="6FEB1B83" w14:textId="77777777" w:rsidR="002B55B2" w:rsidRPr="00111E86" w:rsidRDefault="002B55B2"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9F1C6D" w14:textId="5CC9D795" w:rsidR="002B55B2" w:rsidRPr="00111E86" w:rsidRDefault="005A6960"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Hlk151021634"/>
      <w:r>
        <w:rPr>
          <w:rFonts w:ascii="Arial" w:eastAsia="Times New Roman" w:hAnsi="Arial" w:cs="Arial"/>
          <w:sz w:val="24"/>
          <w:szCs w:val="24"/>
          <w:lang w:eastAsia="en-GB"/>
        </w:rPr>
        <w:lastRenderedPageBreak/>
        <w:t>Wood (2018)</w:t>
      </w:r>
      <w:r w:rsidR="0021097A"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presents, </w:t>
      </w:r>
      <w:r w:rsidR="002B55B2"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Margaret and Rachel McMillan</w:t>
      </w:r>
      <w:r w:rsidR="002B55B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pioneers in early childcare,</w:t>
      </w:r>
      <w:r w:rsidR="0021097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w:t>
      </w:r>
      <w:r w:rsidR="002B55B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made significant contributions that continue to resonate today. Their ideas can be applied to early years transitions:</w:t>
      </w:r>
    </w:p>
    <w:p w14:paraId="5A36160A" w14:textId="77777777" w:rsidR="00E96620" w:rsidRPr="00111E86" w:rsidRDefault="00E96620"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125AC4" w14:textId="77777777"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Open-Air Nurseries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79783CF" w14:textId="2213F7A1" w:rsidR="00724A30" w:rsidRPr="00111E86" w:rsidRDefault="006B0C40"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McMillan sisters worked to establish the concept of open-air nurseries, emphasizing fresh air, sunlight and the joy of being outdoors. Access to the outdoors may be familiar and helpful to many children during transition. It is also an amazing learning </w:t>
      </w:r>
      <w:r w:rsidR="00B06C8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environment. Very</w:t>
      </w:r>
      <w:r w:rsidR="00724A3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young children</w:t>
      </w:r>
      <w:r w:rsidR="00B06C8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often</w:t>
      </w:r>
      <w:r w:rsidR="00724A3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thrive in outdoor and forest school environments where there is close contact with nature. They love to investigate every leaf and insect they encounter in minute detail and indeed the earth itself, making mud pies provides a satisfying and fulfilling close contact with nature</w:t>
      </w:r>
      <w:r w:rsidR="00D91E29"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positively impacts children’s </w:t>
      </w:r>
      <w:r w:rsidR="00B06C8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wellbeing as well as gross and fine motor development and creativity and understanding of the </w:t>
      </w:r>
      <w:r w:rsidR="0000767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immediate environment</w:t>
      </w:r>
      <w:r w:rsidR="00B06C8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around them.</w:t>
      </w:r>
    </w:p>
    <w:p w14:paraId="5B5E5F59" w14:textId="77777777" w:rsidR="007E021A" w:rsidRDefault="007E021A" w:rsidP="007B0648">
      <w:pPr>
        <w:spacing w:after="0" w:line="360" w:lineRule="auto"/>
        <w:jc w:val="both"/>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09441D" w14:textId="77777777" w:rsidR="007E021A" w:rsidRDefault="007E021A" w:rsidP="007B0648">
      <w:pPr>
        <w:spacing w:after="0" w:line="360" w:lineRule="auto"/>
        <w:jc w:val="both"/>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99B2F6" w14:textId="4E7CBA70"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Holistic Approach</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DDA383B" w14:textId="04DBAF23" w:rsidR="00B06C82" w:rsidRPr="00111E86" w:rsidRDefault="00B06C82"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 very much believed in a holistic approach</w:t>
      </w:r>
      <w:r w:rsidR="00007672"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with emphasis on the overall wellbeing of the child during transition. Ensuring their social, emotional and physical needs are addressed to provide comfort and reassurance for the child.</w:t>
      </w:r>
    </w:p>
    <w:p w14:paraId="4A63F489" w14:textId="77777777"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Positive Relationships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CE677FC" w14:textId="46DC9D49" w:rsidR="00DE2FB8" w:rsidRPr="00111E86" w:rsidRDefault="00DE2FB8"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McMillan’s very much emphasised the building of strong positive connections between staff and children, during transition.</w:t>
      </w:r>
    </w:p>
    <w:p w14:paraId="290711D4" w14:textId="6AFC9E81" w:rsidR="002B55B2" w:rsidRPr="00111E86" w:rsidRDefault="00DE2FB8"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addition to modelling understanding and empathy in all key relationships within the settin</w:t>
      </w:r>
      <w:r w:rsidR="008939AB"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w:t>
      </w:r>
    </w:p>
    <w:p w14:paraId="0F43CCC2" w14:textId="76100922"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Child-Centred Learning</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4451A1E" w14:textId="58BF493D" w:rsidR="008939AB" w:rsidRPr="00111E86" w:rsidRDefault="008939AB"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 strongly advocated for child led learning, offering children the choice to learn and explore at their own pace and really take ownership of their experiences to use in further learning and development.</w:t>
      </w:r>
    </w:p>
    <w:p w14:paraId="0AD81150" w14:textId="77777777" w:rsidR="002B55B2" w:rsidRPr="00111E86" w:rsidRDefault="002B55B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Collaboration with Families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F39B95B" w14:textId="6A87A4B3" w:rsidR="008939AB" w:rsidRPr="00111E86" w:rsidRDefault="008939AB"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The McMillan’s</w:t>
      </w:r>
      <w:r w:rsidR="00E966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emphasised the importance of parental involvement and valued their insights and views, they saw them as active partners in the learning process and in planning the</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w:t>
      </w:r>
      <w:r w:rsidR="00E966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child’s transition to the nursery.</w:t>
      </w:r>
    </w:p>
    <w:p w14:paraId="70D3E27C" w14:textId="147C7C23" w:rsidR="002B55B2" w:rsidRPr="00111E86" w:rsidRDefault="002B55B2" w:rsidP="007B0648">
      <w:pPr>
        <w:spacing w:before="100" w:beforeAutospacing="1" w:after="100" w:afterAutospacing="1" w:line="360" w:lineRule="auto"/>
        <w:jc w:val="both"/>
        <w:rPr>
          <w:rFonts w:ascii="Arial" w:eastAsia="Times New Roman" w:hAnsi="Arial" w:cs="Arial"/>
          <w:sz w:val="24"/>
          <w:szCs w:val="24"/>
          <w:lang w:eastAsia="en-GB"/>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McMillan sisters’ legacy lies in their commitment to children’s well-being and holistic development. </w:t>
      </w:r>
      <w:hyperlink r:id="rId8" w:tgtFrame="_blank" w:history="1">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Applying their principles can create smoother and more supportive transitions in early years settings</w:t>
        </w:r>
      </w:hyperlink>
      <w:r w:rsidRPr="00111E86">
        <w:rPr>
          <w:rFonts w:ascii="Arial" w:eastAsia="Times New Roman" w:hAnsi="Arial" w:cs="Arial"/>
          <w:sz w:val="24"/>
          <w:szCs w:val="24"/>
          <w:lang w:eastAsia="en-GB"/>
        </w:rPr>
        <w:t>.</w:t>
      </w:r>
    </w:p>
    <w:p w14:paraId="29A289F9" w14:textId="68AFC311" w:rsidR="000C60F3" w:rsidRPr="00111E86" w:rsidRDefault="003E15E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Dunlop (2018) and Bradbury (</w:t>
      </w:r>
      <w:r w:rsidR="00155921">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Cited in Kinderly, </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2018) </w:t>
      </w:r>
      <w:r w:rsidR="00354A5B"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present</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C60F3"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Uri Bronfenbrenner</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 prominent child development theorist,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emphasi</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 the </w:t>
      </w:r>
      <w:r w:rsidR="000C60F3"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ecological systems theory</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considers the impact of various contexts on a child’s development. Applying his research to early years transitions involves understanding these contexts and their influence:</w:t>
      </w:r>
    </w:p>
    <w:p w14:paraId="3BC5628A" w14:textId="77777777" w:rsidR="00354A5B" w:rsidRPr="00111E86"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Microsystem</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5A7823C" w14:textId="592787B3" w:rsidR="000C60F3" w:rsidRPr="00111E86" w:rsidRDefault="00354A5B"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is t</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 </w:t>
      </w:r>
      <w:r w:rsidR="000C60F3"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immediate environment</w:t>
      </w: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 people</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 chil</w:t>
      </w:r>
      <w:r w:rsidR="00187FE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EB33E9"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encounters daily</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so the home, the parents and carers, in addition to any siblings or peers in their </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surroundings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It is of paramount importance in transitions to focus on developing and maintaining consistent nurturing and stable relationships with the caregivers to ensure continuity of security</w:t>
      </w:r>
      <w:r w:rsidR="00EB33E9"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the child.</w:t>
      </w:r>
    </w:p>
    <w:p w14:paraId="263C0A85" w14:textId="77777777" w:rsidR="000C60F3" w:rsidRPr="00111E86"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Mesosystem</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F7F713E" w14:textId="2A3DF052" w:rsidR="000C60F3" w:rsidRPr="00111E86" w:rsidRDefault="00F54682" w:rsidP="007E021A">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These are the connections between the microsystems, between home and school or between the setting and the grandparents and so forth. Quality communication, involving effective listening between key staff and parents is essential during the transition experience, as parents as the prime carers and educators </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have so much information about the child’s needs and experiences that can really inform the staff in providing a smooth transition.</w:t>
      </w:r>
    </w:p>
    <w:p w14:paraId="77282885" w14:textId="5480BE84" w:rsidR="000C60F3" w:rsidRPr="00111E86" w:rsidRDefault="00F5468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Ecosystem</w:t>
      </w:r>
      <w:r w:rsidR="000C60F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86A9F10" w14:textId="04BDE720" w:rsidR="00F54682" w:rsidRPr="00111E86" w:rsidRDefault="00F54682"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Here we consider the external factors that may affect the child, such as the surrounding community services, </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healthcare provision and social support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addition to local resources. The support of good resources and community can substantially add to a child’s positive transition in the early years and throughout life. In </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addition,</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if </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these services are lacking, strong advocacy for improvement can significantly impact the</w:t>
      </w:r>
      <w:r w:rsidR="00CF2236"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C11F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experience of the young child, including their transitions between settings</w:t>
      </w:r>
      <w:r w:rsidR="00CF2236"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0B7DDCB" w14:textId="77777777" w:rsidR="007B0648"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Macrosystem</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CBDA8BD" w14:textId="676CB710" w:rsidR="00CF2236" w:rsidRPr="00111E86" w:rsidRDefault="00CF2236"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Here we acknowledge the culture and society around the child and the values and ideologies embedded in it and how they inform the expectations and behaviour of both staff and parents and their impact around the child during transition. It is important to recognise cultural differences and respect diverse family backgrounds and traditions.</w:t>
      </w:r>
    </w:p>
    <w:p w14:paraId="7C9BD819" w14:textId="55114AB4" w:rsidR="000C60F3" w:rsidRPr="00111E86"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Chronosystem</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97E3BB6" w14:textId="73351C8F" w:rsidR="000C60F3" w:rsidRPr="00111E86" w:rsidRDefault="00C017D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is a consideration of societal changes over time, how family structures are evolving, in addition to the impact of technology and changes in parental working patterns, which may all impact a child’s early years. Finding ways to adapt to these shifting needs can certainly positively impact these crucial early years transitions for the preschool child.</w:t>
      </w:r>
    </w:p>
    <w:p w14:paraId="50C9912B" w14:textId="1656DEEA" w:rsidR="000C60F3" w:rsidRDefault="000C60F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Bronfenbrenner’s theory encourages us to view transitions holistically, considering the child’s entire ecosystem. </w:t>
      </w:r>
      <w:hyperlink r:id="rId9" w:tgtFrame="_blank" w:history="1">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 doing so, we can create smoother transitions that support children’s well-being and development</w:t>
        </w:r>
      </w:hyperlink>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1EE3841" w14:textId="7F5E5DF3" w:rsidR="00446458" w:rsidRDefault="00446458" w:rsidP="00446458">
      <w:r>
        <w:rPr>
          <w:noProof/>
        </w:rPr>
        <w:drawing>
          <wp:inline distT="0" distB="0" distL="0" distR="0" wp14:anchorId="62471F66" wp14:editId="530B8C37">
            <wp:extent cx="3052965" cy="3097275"/>
            <wp:effectExtent l="0" t="0" r="0" b="8255"/>
            <wp:docPr id="2021186057" name="Picture 1" descr="A diagram of the development of the development of the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86057" name="Picture 1" descr="A diagram of the development of the development of the chil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8596" cy="3113133"/>
                    </a:xfrm>
                    <a:prstGeom prst="rect">
                      <a:avLst/>
                    </a:prstGeom>
                    <a:noFill/>
                    <a:ln>
                      <a:noFill/>
                    </a:ln>
                  </pic:spPr>
                </pic:pic>
              </a:graphicData>
            </a:graphic>
          </wp:inline>
        </w:drawing>
      </w:r>
    </w:p>
    <w:p w14:paraId="4D88B3F8" w14:textId="77777777" w:rsidR="00446458" w:rsidRPr="00446458" w:rsidRDefault="00446458" w:rsidP="00446458">
      <w:pPr>
        <w:rPr>
          <w:rFonts w:ascii="Arial" w:hAnsi="Arial" w:cs="Arial"/>
          <w:sz w:val="24"/>
          <w:szCs w:val="24"/>
        </w:rPr>
      </w:pPr>
      <w:hyperlink r:id="rId11" w:history="1">
        <w:r w:rsidRPr="00446458">
          <w:rPr>
            <w:rStyle w:val="Hyperlink"/>
            <w:rFonts w:ascii="Arial" w:hAnsi="Arial" w:cs="Arial"/>
            <w:color w:val="auto"/>
            <w:sz w:val="24"/>
            <w:szCs w:val="24"/>
          </w:rPr>
          <w:t>Bronfenbrenner's Ecological Theory Is Described as - Felicity-has-Montgomery</w:t>
        </w:r>
      </w:hyperlink>
      <w:r w:rsidRPr="00446458">
        <w:rPr>
          <w:rFonts w:ascii="Arial" w:hAnsi="Arial" w:cs="Arial"/>
          <w:sz w:val="24"/>
          <w:szCs w:val="24"/>
        </w:rPr>
        <w:t xml:space="preserve"> 17</w:t>
      </w:r>
      <w:r w:rsidRPr="00446458">
        <w:rPr>
          <w:rFonts w:ascii="Arial" w:hAnsi="Arial" w:cs="Arial"/>
          <w:sz w:val="24"/>
          <w:szCs w:val="24"/>
          <w:vertAlign w:val="superscript"/>
        </w:rPr>
        <w:t>th</w:t>
      </w:r>
      <w:r w:rsidRPr="00446458">
        <w:rPr>
          <w:rFonts w:ascii="Arial" w:hAnsi="Arial" w:cs="Arial"/>
          <w:sz w:val="24"/>
          <w:szCs w:val="24"/>
        </w:rPr>
        <w:t xml:space="preserve"> April 2022</w:t>
      </w:r>
    </w:p>
    <w:p w14:paraId="4025A28D" w14:textId="77777777" w:rsidR="00446458" w:rsidRPr="00446458" w:rsidRDefault="00446458" w:rsidP="00446458">
      <w:pPr>
        <w:rPr>
          <w:rFonts w:ascii="Arial" w:hAnsi="Arial" w:cs="Arial"/>
        </w:rPr>
      </w:pPr>
    </w:p>
    <w:p w14:paraId="798C8DC8" w14:textId="77777777" w:rsidR="00D44BF8" w:rsidRPr="00111E86" w:rsidRDefault="00D44BF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9DA739" w14:textId="77777777" w:rsidR="00D44BF8" w:rsidRPr="00111E86" w:rsidRDefault="00D44BF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726D82" w14:textId="0039C6A8" w:rsidR="00961B57" w:rsidRPr="00111E86" w:rsidRDefault="002348CF"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hAnsi="Arial" w:cs="Arial"/>
          <w:sz w:val="24"/>
          <w:szCs w:val="24"/>
          <w:shd w:val="clear" w:color="auto" w:fill="FFFFFF"/>
        </w:rPr>
        <w:t xml:space="preserve"> </w:t>
      </w:r>
      <w:r w:rsidR="00C13351" w:rsidRPr="00111E86">
        <w:rPr>
          <w:rFonts w:ascii="Arial" w:hAnsi="Arial" w:cs="Arial"/>
          <w:sz w:val="24"/>
          <w:szCs w:val="24"/>
          <w:shd w:val="clear" w:color="auto" w:fill="FFFFFF"/>
        </w:rPr>
        <w:t>MacBain</w:t>
      </w:r>
      <w:r w:rsidRPr="00111E86">
        <w:rPr>
          <w:rFonts w:ascii="Arial" w:hAnsi="Arial" w:cs="Arial"/>
          <w:sz w:val="24"/>
          <w:szCs w:val="24"/>
          <w:shd w:val="clear" w:color="auto" w:fill="FFFFFF"/>
        </w:rPr>
        <w:t xml:space="preserve"> and Gray (201</w:t>
      </w:r>
      <w:r w:rsidR="00993EBB">
        <w:rPr>
          <w:rFonts w:ascii="Arial" w:hAnsi="Arial" w:cs="Arial"/>
          <w:sz w:val="24"/>
          <w:szCs w:val="24"/>
          <w:shd w:val="clear" w:color="auto" w:fill="FFFFFF"/>
        </w:rPr>
        <w:t>5</w:t>
      </w:r>
      <w:r w:rsidRPr="00111E86">
        <w:rPr>
          <w:rFonts w:ascii="Arial" w:hAnsi="Arial" w:cs="Arial"/>
          <w:sz w:val="24"/>
          <w:szCs w:val="24"/>
          <w:shd w:val="clear" w:color="auto" w:fill="FFFFFF"/>
        </w:rPr>
        <w:t>) present the research of</w:t>
      </w:r>
      <w:r w:rsidRPr="00111E86">
        <w:rPr>
          <w:rFonts w:ascii="Arial" w:hAnsi="Arial" w:cs="Arial"/>
          <w:sz w:val="24"/>
          <w:szCs w:val="24"/>
        </w:rPr>
        <w:t xml:space="preserve"> </w:t>
      </w:r>
      <w:r w:rsidR="00961B57"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Albert Bandura</w:t>
      </w:r>
      <w:r w:rsidR="00961B5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 renowned psychologist,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w:t>
      </w:r>
      <w:r w:rsidR="00961B5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developed the </w:t>
      </w:r>
      <w:r w:rsidR="00961B57"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 learning theory</w:t>
      </w:r>
      <w:r w:rsidR="00961B5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sheds light on how children learn through observation, modelling, and imitation. Applying Bandura’s research to early years transitions involves understanding social learning and its impact:</w:t>
      </w:r>
    </w:p>
    <w:p w14:paraId="7742B080" w14:textId="77777777" w:rsidR="00025B80"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Observational Learning</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FE1FAAF" w14:textId="34B52009" w:rsidR="00961B57" w:rsidRPr="00111E86" w:rsidRDefault="007B682A"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Bandura asserted that children learn behaviours, attitudes and emotional reactions from keen observation and imitation of the people around them. From this is a realisation that it is essential that key staff model positive, supportive and open behaviours that demonstrate good emotional regulation and innovative coping strategies, drawing from solid research that underpins current trends, such as mindfulness and breathwork.</w:t>
      </w:r>
    </w:p>
    <w:p w14:paraId="4B5AEEDB" w14:textId="77777777"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Role Models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5A11059" w14:textId="5AF0D015" w:rsidR="008A6E6D" w:rsidRPr="00111E86" w:rsidRDefault="008A6E6D"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Again, Bandura emphasized the importance of the positive role model to develop the resilience and adaptability needed to promote a successful transition.</w:t>
      </w:r>
    </w:p>
    <w:p w14:paraId="6E626A1B" w14:textId="21FF512B"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Self-Efficacy</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45484F4" w14:textId="6C97F3D0" w:rsidR="00961B57" w:rsidRPr="007B0648" w:rsidRDefault="008A6E6D"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B0648">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Bandura also promoted the concept of self-efficacy</w:t>
      </w:r>
      <w:r w:rsidR="00E0466F" w:rsidRPr="007B0648">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is the child’s confidence and belief in their ability to succeed in the task at hand, whether that is making friends, solving a problem or climbing a tree. Key staff can empower this process with encouragement and creating opportunity to engage in appropriate activities</w:t>
      </w:r>
      <w:r w:rsidR="00C72FC8" w:rsidRPr="007B0648">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promote problem solving and the creative expression of confidence. With this belief in themselves children will find the transition process considerably easier.</w:t>
      </w:r>
    </w:p>
    <w:p w14:paraId="66CE25B4" w14:textId="77777777"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Vicarious Reinforcement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0F5B494" w14:textId="59A41ACE" w:rsidR="00961B57" w:rsidRDefault="00C72FC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Here </w:t>
      </w:r>
      <w:r w:rsidR="00F05F3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andura</w:t>
      </w:r>
      <w:r w:rsidR="00F05F3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highlights that children learn from the consequences they see others experiencing. Therefore</w:t>
      </w:r>
      <w:r w:rsidR="00250FB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5F3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celebrating achievement and progress as the positive outcome of transition, is helpful in the encouragement of other children within the transition process.</w:t>
      </w:r>
    </w:p>
    <w:p w14:paraId="070FBE10" w14:textId="77777777" w:rsidR="007B0648" w:rsidRPr="00111E86" w:rsidRDefault="007B0648"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3FECBD" w14:textId="77777777" w:rsidR="008E0A4B" w:rsidRDefault="008E0A4B" w:rsidP="007B0648">
      <w:pPr>
        <w:spacing w:after="0" w:line="360" w:lineRule="auto"/>
        <w:jc w:val="both"/>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88C78B" w14:textId="77777777" w:rsidR="008E0A4B" w:rsidRDefault="008E0A4B" w:rsidP="007B0648">
      <w:pPr>
        <w:spacing w:after="0" w:line="360" w:lineRule="auto"/>
        <w:jc w:val="both"/>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9281DF" w14:textId="2369C3C9"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 Context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66F78D6" w14:textId="3F8AC864" w:rsidR="00961B57" w:rsidRPr="00111E86" w:rsidRDefault="00F05F33"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Here the emphasis is the interaction between cognitive factors and the environment and how creating supportive environments during transition can foster</w:t>
      </w:r>
      <w:r w:rsidR="00512AE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opportunity for</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positive </w:t>
      </w:r>
      <w:r w:rsidR="00512AE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interactions and collaborative learning for all in the setting.</w:t>
      </w:r>
    </w:p>
    <w:p w14:paraId="7D7B6229" w14:textId="7397E938" w:rsidR="00961B57" w:rsidRPr="00111E86" w:rsidRDefault="00961B57" w:rsidP="007B0648">
      <w:pPr>
        <w:spacing w:after="0"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important to emphasise that children learn not only from direct experiences but also from observing others. </w:t>
      </w:r>
      <w:hyperlink r:id="rId12" w:tgtFrame="_blank" w:history="1">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By promoting positive role models, self-efficacy, and a supportive context, we can enhance children’s ability to navigate transitions successfully</w:t>
        </w:r>
      </w:hyperlink>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CF2E8D9" w14:textId="77777777" w:rsidR="00411249" w:rsidRPr="00111E86" w:rsidRDefault="00411249"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52CB73" w14:textId="78CB011C" w:rsidR="001B78FB" w:rsidRPr="00111E86" w:rsidRDefault="001B78FB" w:rsidP="007B0648">
      <w:pPr>
        <w:spacing w:before="100" w:beforeAutospacing="1" w:after="100" w:afterAutospacing="1" w:line="360" w:lineRule="auto"/>
        <w:jc w:val="both"/>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Interventions</w:t>
      </w:r>
    </w:p>
    <w:p w14:paraId="0FE00F5E" w14:textId="77777777" w:rsidR="0088072C" w:rsidRPr="00111E86" w:rsidRDefault="00693827"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w:t>
      </w:r>
      <w:r w:rsidR="00F86F7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facilitate seamless transitions in the early years, interventions that support the unique needs of children during times of transition would be wise to put into place. Children adjust more readily when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evidence-based</w:t>
      </w:r>
      <w:r w:rsidR="00F86F7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 practices, such as familiarisation visits, visual schedules and transition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objects are used in the early years educational setting. (Fabian and Dunlop,2006). It is also imperative that parents and educators have open lines of communication. A supportive transition process is facilitated by a free flow of information between the parents and teachers and key workers. Parents have a wealth of crucial information to impart about their child and would appreciate regular updates and parent–teacher contact in both a formal and informal manner.</w:t>
      </w:r>
      <w:r w:rsidR="000432D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(Pianta, Cox, and Snow, 2007)</w:t>
      </w:r>
    </w:p>
    <w:p w14:paraId="58D424FC" w14:textId="26CC8A3D" w:rsidR="000432DF" w:rsidRPr="00111E86" w:rsidRDefault="000432DF"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addition, the use of social tales and visual supports can really aid children in understanding and preparing for impending change. This fostering of predictability can really help to lower anxiety for the child and create a sense of order and calm, leading to a smoother transition. (Grey, 2010)</w:t>
      </w:r>
    </w:p>
    <w:p w14:paraId="66F364BC" w14:textId="7052A067" w:rsidR="0014612D" w:rsidRPr="00111E86" w:rsidRDefault="0088072C"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Also establishing a buddy system or informal mentorship program where slightly older children who are already in the setting befriend and help the new children can really help to create a sense of community </w:t>
      </w:r>
      <w:r w:rsidR="00EC659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belonging from the outset.</w:t>
      </w:r>
      <w:r w:rsidR="00EC6597"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(McIntyre, Eckert, Fiese, DiGennaro Reed and Wildenger, 2017)</w:t>
      </w:r>
    </w:p>
    <w:p w14:paraId="3D1B0222" w14:textId="68CDEDFB" w:rsidR="00EC6597" w:rsidRPr="00111E86" w:rsidRDefault="00EC6597"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Rimm-Kaufman and Pianta (2000) positive adjustment is also greatly influenced by early years staff who are sensitive and responsive to the emotional needs of the children throughout the transition. Creating a warm and welcoming</w:t>
      </w:r>
      <w:r w:rsidR="00C32C5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physical environment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also very constructive in helping the children feel safe and more at ease during the transition</w:t>
      </w:r>
      <w:r w:rsidR="00C32C58"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(Fabian and Dunlop, 2006)</w:t>
      </w:r>
    </w:p>
    <w:p w14:paraId="207293CF" w14:textId="1EA4B213" w:rsidR="00C32C58" w:rsidRPr="00111E86" w:rsidRDefault="00C32C58"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Pieta and Kraft-Sayre (2003) emphasise considering social-emotional development and other school readiness abilities to facilitate a more seamless transition to the school early years setting.</w:t>
      </w:r>
    </w:p>
    <w:p w14:paraId="7989BA7F" w14:textId="25271B34" w:rsidR="00072D62" w:rsidRDefault="00072D62"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These interventions focus on creating appropriate supportive environments, fostering excellent communication and addressing all the social and emotional aspects of early years transitions. They draw from </w:t>
      </w:r>
      <w:r w:rsidR="00AF72F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evidence-based</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practices and educational theories to promote and hopefully provide children with positive experiences during this important time of transition.</w:t>
      </w:r>
    </w:p>
    <w:p w14:paraId="07076A07" w14:textId="7F5007BC" w:rsidR="00295339" w:rsidRPr="00111E86" w:rsidRDefault="00295339"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3C45BF11" wp14:editId="0DE41936">
            <wp:extent cx="5731510" cy="1344930"/>
            <wp:effectExtent l="0" t="0" r="2540" b="7620"/>
            <wp:docPr id="1037206833" name="Picture 3" descr="Preschool children playing clip art i4 jen irish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chool children playing clip art i4 jen irishu"/>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344930"/>
                    </a:xfrm>
                    <a:prstGeom prst="rect">
                      <a:avLst/>
                    </a:prstGeom>
                    <a:noFill/>
                    <a:ln>
                      <a:noFill/>
                    </a:ln>
                  </pic:spPr>
                </pic:pic>
              </a:graphicData>
            </a:graphic>
          </wp:inline>
        </w:drawing>
      </w:r>
    </w:p>
    <w:p w14:paraId="24D2447A" w14:textId="4F9AE2E9" w:rsidR="00420128" w:rsidRPr="00111E86" w:rsidRDefault="00420128" w:rsidP="007B0648">
      <w:pPr>
        <w:spacing w:before="100" w:beforeAutospacing="1" w:after="100" w:afterAutospacing="1" w:line="360" w:lineRule="auto"/>
        <w:jc w:val="both"/>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Holistic Development</w:t>
      </w:r>
    </w:p>
    <w:p w14:paraId="3116C4F2" w14:textId="79F59C20" w:rsidR="00AF72FA" w:rsidRPr="00111E86" w:rsidRDefault="00554802"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Holistic development encompasses the overall growth and development of the child, their cognitive, social, emotional, physical and moral progress and it is closely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intertwined with early years transitions. Successful navigation through transitions can significantly impact a </w:t>
      </w:r>
      <w:r w:rsidR="00F348E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child’s</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holistic </w:t>
      </w:r>
      <w:r w:rsidR="00F348E3"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w:t>
      </w:r>
    </w:p>
    <w:p w14:paraId="0C75CC76" w14:textId="3CFDA27D" w:rsidR="00F348E3" w:rsidRPr="00111E86" w:rsidRDefault="00F348E3"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Again Pianta, Cox and Snow (2007) stress the importance of positive experiences leading to emotional resilience and the development of good social skills</w:t>
      </w:r>
      <w:r w:rsidR="00A32615"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essential during these early transitions. Fabian and Dunlop also (2006) discuss the opportunities for cognitive development as children encounter new learning environments, challenges and educational stimuli</w:t>
      </w:r>
      <w:r w:rsidR="00A32615"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a smooth transition provides. In addition, Dowdell, Gray and Malone (2011) consider the impact of the changes in daily routine and activities during transition and how that can</w:t>
      </w:r>
      <w:r w:rsidR="00DA07C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40D1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influence</w:t>
      </w:r>
      <w:r w:rsidR="00A32615"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child’s physical </w:t>
      </w:r>
      <w:r w:rsidR="00D40D1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w:t>
      </w:r>
      <w:r w:rsidR="00A32615"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they stress the need for age-appropriate physical activities and play</w:t>
      </w:r>
      <w:r w:rsidR="00DA07CA"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1DEFE60" w14:textId="65D24FE9" w:rsidR="0046641E" w:rsidRPr="00111E86" w:rsidRDefault="00D40D1A"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principals </w:t>
      </w:r>
      <w:r w:rsidR="00C250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the </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Reggio Emilia approach (Rinaldi, 2006) can also be </w:t>
      </w:r>
      <w:r w:rsidR="00C250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useful</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w:t>
      </w:r>
      <w:r w:rsidR="0046641E"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consideration of holistic development</w:t>
      </w:r>
      <w:r w:rsidR="0046641E"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helpful in the transition process, as the principles align with creating continuous and positive learning experiences for children. The approach is very child centred and relationship focused, emphasising the building of strong relationships between key workers, children and families. This development of trust between the important adults in the child’s life fosters a sense of security for the child</w:t>
      </w:r>
      <w:r w:rsidR="00C25020"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can also contribute to a smoother transition. The approach also sees the environment as the third teacher, valuing the environment as a crucial element in a child’s learning process. A well designed and responsive environment can provide continuity and support during transition (Gandini, 1993)</w:t>
      </w:r>
    </w:p>
    <w:p w14:paraId="6529B013" w14:textId="7A6A410F" w:rsidR="00295339" w:rsidRDefault="00927C79"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Reggio Emilia also encourages the documentation of and reflection on the children’s experiences and creativity, which can be very helpful in understanding individual needs and providing the appropriate support during transition. (Gandini and Goldhaber, 2001). The project-based learning from Reggio Emilia is also helpful during times of change as engaging in projects of meaningful interest to the child can again provide a sense of continuity and purpose for the child helping them to settle into the new setting. (Edwards, G</w:t>
      </w:r>
      <w:r w:rsidR="007A3ACF" w:rsidRPr="00111E86">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andini and Forman, 1998</w:t>
      </w:r>
      <w:r w:rsidR="00295339">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F52D0D4" w14:textId="372227D0" w:rsidR="00B0094B" w:rsidRDefault="00B0094B" w:rsidP="007B0648">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lastRenderedPageBreak/>
        <w:drawing>
          <wp:inline distT="0" distB="0" distL="0" distR="0" wp14:anchorId="345E2563" wp14:editId="11E1E671">
            <wp:extent cx="3915295" cy="1839507"/>
            <wp:effectExtent l="0" t="0" r="0" b="8890"/>
            <wp:docPr id="538263562" name="Picture 538263562" descr="Welcome to preschool clipart free clipart image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elcome to preschool clipart free clipart images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85223" cy="1872361"/>
                    </a:xfrm>
                    <a:prstGeom prst="rect">
                      <a:avLst/>
                    </a:prstGeom>
                    <a:noFill/>
                    <a:ln>
                      <a:noFill/>
                    </a:ln>
                  </pic:spPr>
                </pic:pic>
              </a:graphicData>
            </a:graphic>
          </wp:inline>
        </w:drawing>
      </w:r>
    </w:p>
    <w:p w14:paraId="3F96AC8D" w14:textId="0419B4FF" w:rsidR="008B4F2B" w:rsidRPr="0061186E" w:rsidRDefault="008B4F2B" w:rsidP="007B0648">
      <w:pPr>
        <w:spacing w:before="100" w:beforeAutospacing="1" w:after="100" w:afterAutospacing="1" w:line="360" w:lineRule="auto"/>
        <w:jc w:val="both"/>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1186E">
        <w:rPr>
          <w:rFonts w:ascii="Arial" w:eastAsia="Times New Roman" w:hAnsi="Arial" w:cs="Arial"/>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Role of the Adult</w:t>
      </w:r>
    </w:p>
    <w:p w14:paraId="2F8CD220" w14:textId="120C5DD1" w:rsidR="0061186E" w:rsidRPr="0061186E" w:rsidRDefault="0061186E" w:rsidP="00107851">
      <w:pPr>
        <w:spacing w:line="360" w:lineRule="auto"/>
        <w:jc w:val="both"/>
        <w:rPr>
          <w:rFonts w:ascii="Arial" w:hAnsi="Arial" w:cs="Arial"/>
          <w:sz w:val="24"/>
          <w:szCs w:val="24"/>
        </w:rPr>
      </w:pPr>
      <w:r w:rsidRPr="0061186E">
        <w:rPr>
          <w:rFonts w:ascii="Arial" w:hAnsi="Arial" w:cs="Arial"/>
          <w:sz w:val="24"/>
          <w:szCs w:val="24"/>
        </w:rPr>
        <w:t xml:space="preserve">In transitions the role of the adult, ‘the capable other’ is seminal to the continuity of care, experience and development for the young child making their way from a pre-school or nursery setting into the early years </w:t>
      </w:r>
      <w:r w:rsidRPr="0061186E">
        <w:rPr>
          <w:rFonts w:ascii="Arial" w:hAnsi="Arial" w:cs="Arial"/>
          <w:sz w:val="24"/>
          <w:szCs w:val="24"/>
        </w:rPr>
        <w:t>of school</w:t>
      </w:r>
      <w:r w:rsidRPr="0061186E">
        <w:rPr>
          <w:rFonts w:ascii="Arial" w:hAnsi="Arial" w:cs="Arial"/>
          <w:sz w:val="24"/>
          <w:szCs w:val="24"/>
        </w:rPr>
        <w:t xml:space="preserve">. The adult needs to provide continued security and attachment </w:t>
      </w:r>
      <w:r w:rsidR="005F2A8F">
        <w:rPr>
          <w:rFonts w:ascii="Arial" w:hAnsi="Arial" w:cs="Arial"/>
          <w:sz w:val="24"/>
          <w:szCs w:val="24"/>
        </w:rPr>
        <w:t xml:space="preserve">in line with the work of </w:t>
      </w:r>
      <w:r w:rsidRPr="0061186E">
        <w:rPr>
          <w:rFonts w:ascii="Arial" w:hAnsi="Arial" w:cs="Arial"/>
          <w:sz w:val="24"/>
          <w:szCs w:val="24"/>
        </w:rPr>
        <w:t>Bowlby</w:t>
      </w:r>
      <w:r w:rsidR="005F2A8F">
        <w:rPr>
          <w:rFonts w:ascii="Arial" w:hAnsi="Arial" w:cs="Arial"/>
          <w:sz w:val="24"/>
          <w:szCs w:val="24"/>
        </w:rPr>
        <w:t xml:space="preserve"> (</w:t>
      </w:r>
      <w:r w:rsidR="00C64009">
        <w:rPr>
          <w:rFonts w:ascii="Arial" w:hAnsi="Arial" w:cs="Arial"/>
          <w:sz w:val="24"/>
          <w:szCs w:val="24"/>
        </w:rPr>
        <w:t xml:space="preserve">2018), </w:t>
      </w:r>
      <w:r w:rsidRPr="0061186E">
        <w:rPr>
          <w:rFonts w:ascii="Arial" w:hAnsi="Arial" w:cs="Arial"/>
          <w:sz w:val="24"/>
          <w:szCs w:val="24"/>
        </w:rPr>
        <w:t>warmth, kindness, compassion, empathy, fun, curiosity and encouragement to the child. To join in with their play on their level and interact with them in a way that is shared and sustained, so interest and learning develop naturally out of the play.</w:t>
      </w:r>
    </w:p>
    <w:p w14:paraId="4865EE7D" w14:textId="7BC0E19D" w:rsidR="0061186E" w:rsidRDefault="0061186E" w:rsidP="00107851">
      <w:pPr>
        <w:spacing w:line="360" w:lineRule="auto"/>
        <w:jc w:val="both"/>
        <w:rPr>
          <w:rFonts w:ascii="Arial" w:hAnsi="Arial" w:cs="Arial"/>
          <w:sz w:val="24"/>
          <w:szCs w:val="24"/>
        </w:rPr>
      </w:pPr>
      <w:r w:rsidRPr="0061186E">
        <w:rPr>
          <w:rFonts w:ascii="Arial" w:hAnsi="Arial" w:cs="Arial"/>
          <w:sz w:val="24"/>
          <w:szCs w:val="24"/>
        </w:rPr>
        <w:t>The adult is to put the needs and interests of the child first and adapt the activities offered to suit the unique child, in accordance with the work of Maslow</w:t>
      </w:r>
      <w:r w:rsidR="005F2A8F">
        <w:rPr>
          <w:rFonts w:ascii="Arial" w:hAnsi="Arial" w:cs="Arial"/>
          <w:sz w:val="24"/>
          <w:szCs w:val="24"/>
        </w:rPr>
        <w:t xml:space="preserve"> </w:t>
      </w:r>
      <w:r w:rsidRPr="0061186E">
        <w:rPr>
          <w:rFonts w:ascii="Arial" w:hAnsi="Arial" w:cs="Arial"/>
          <w:sz w:val="24"/>
          <w:szCs w:val="24"/>
        </w:rPr>
        <w:t>(1954</w:t>
      </w:r>
      <w:r w:rsidR="005F2A8F">
        <w:rPr>
          <w:rFonts w:ascii="Arial" w:hAnsi="Arial" w:cs="Arial"/>
          <w:sz w:val="24"/>
          <w:szCs w:val="24"/>
        </w:rPr>
        <w:t xml:space="preserve">, </w:t>
      </w:r>
      <w:r w:rsidRPr="0061186E">
        <w:rPr>
          <w:rFonts w:ascii="Arial" w:hAnsi="Arial" w:cs="Arial"/>
          <w:sz w:val="24"/>
          <w:szCs w:val="24"/>
        </w:rPr>
        <w:t xml:space="preserve">cited </w:t>
      </w:r>
      <w:r w:rsidR="005F2A8F">
        <w:rPr>
          <w:rFonts w:ascii="Arial" w:hAnsi="Arial" w:cs="Arial"/>
          <w:sz w:val="24"/>
          <w:szCs w:val="24"/>
        </w:rPr>
        <w:t xml:space="preserve">in Pichere and Cadiat, 2015) </w:t>
      </w:r>
      <w:r w:rsidRPr="0061186E">
        <w:rPr>
          <w:rFonts w:ascii="Arial" w:hAnsi="Arial" w:cs="Arial"/>
          <w:sz w:val="24"/>
          <w:szCs w:val="24"/>
        </w:rPr>
        <w:t>This responsive approach stimulates the child to have confidence in their exploration of the world found in their new setting and allows them to progress from what they already know to develop new schema as described by Piaget (1936, cited in Aubrey and Riley, 2022, P</w:t>
      </w:r>
      <w:r w:rsidR="005F2A8F">
        <w:rPr>
          <w:rFonts w:ascii="Arial" w:hAnsi="Arial" w:cs="Arial"/>
          <w:sz w:val="24"/>
          <w:szCs w:val="24"/>
        </w:rPr>
        <w:t>50-54</w:t>
      </w:r>
      <w:r w:rsidRPr="0061186E">
        <w:rPr>
          <w:rFonts w:ascii="Arial" w:hAnsi="Arial" w:cs="Arial"/>
          <w:sz w:val="24"/>
          <w:szCs w:val="24"/>
        </w:rPr>
        <w:t>) to problem solve and find solutions in understanding this new and exciting setting</w:t>
      </w:r>
      <w:r w:rsidR="00D41BDD">
        <w:rPr>
          <w:rFonts w:ascii="Arial" w:hAnsi="Arial" w:cs="Arial"/>
          <w:sz w:val="24"/>
          <w:szCs w:val="24"/>
        </w:rPr>
        <w:t>.</w:t>
      </w:r>
    </w:p>
    <w:p w14:paraId="1BC98DFC" w14:textId="62A313E3" w:rsidR="00D41BDD" w:rsidRDefault="00D41BDD" w:rsidP="00107851">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7446FDB" wp14:editId="57D006D6">
            <wp:extent cx="3298190" cy="2475230"/>
            <wp:effectExtent l="0" t="0" r="0" b="1270"/>
            <wp:docPr id="8978384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98190" cy="2475230"/>
                    </a:xfrm>
                    <a:prstGeom prst="rect">
                      <a:avLst/>
                    </a:prstGeom>
                    <a:noFill/>
                  </pic:spPr>
                </pic:pic>
              </a:graphicData>
            </a:graphic>
          </wp:inline>
        </w:drawing>
      </w:r>
    </w:p>
    <w:p w14:paraId="757ECCB4" w14:textId="4680541A" w:rsidR="00D41BDD" w:rsidRDefault="00D41BDD" w:rsidP="00107851">
      <w:pPr>
        <w:spacing w:line="360" w:lineRule="auto"/>
        <w:jc w:val="both"/>
        <w:rPr>
          <w:rFonts w:ascii="Arial" w:hAnsi="Arial" w:cs="Arial"/>
          <w:sz w:val="24"/>
          <w:szCs w:val="24"/>
        </w:rPr>
      </w:pPr>
    </w:p>
    <w:p w14:paraId="3F7EF0D1" w14:textId="740A342B" w:rsidR="00D41BDD" w:rsidRDefault="00D41BDD" w:rsidP="00107851">
      <w:pPr>
        <w:spacing w:line="360" w:lineRule="auto"/>
        <w:jc w:val="both"/>
        <w:rPr>
          <w:rFonts w:ascii="Arial" w:hAnsi="Arial" w:cs="Arial"/>
          <w:sz w:val="24"/>
          <w:szCs w:val="24"/>
        </w:rPr>
      </w:pPr>
    </w:p>
    <w:p w14:paraId="629227FC" w14:textId="77777777" w:rsidR="00107851" w:rsidRPr="00107851" w:rsidRDefault="00107851" w:rsidP="00107851">
      <w:pPr>
        <w:spacing w:line="360" w:lineRule="auto"/>
        <w:jc w:val="both"/>
        <w:rPr>
          <w:rFonts w:ascii="Arial" w:hAnsi="Arial" w:cs="Arial"/>
          <w:sz w:val="24"/>
          <w:szCs w:val="24"/>
          <w:u w:val="single"/>
        </w:rPr>
      </w:pPr>
      <w:r w:rsidRPr="00107851">
        <w:rPr>
          <w:rFonts w:ascii="Arial" w:hAnsi="Arial" w:cs="Arial"/>
          <w:sz w:val="24"/>
          <w:szCs w:val="24"/>
          <w:u w:val="single"/>
        </w:rPr>
        <w:t>Proposed Outcomes</w:t>
      </w:r>
    </w:p>
    <w:p w14:paraId="1C14D0A1" w14:textId="225D4E58" w:rsidR="00107851" w:rsidRPr="00107851" w:rsidRDefault="00107851" w:rsidP="00107851">
      <w:pPr>
        <w:spacing w:line="360" w:lineRule="auto"/>
        <w:jc w:val="both"/>
        <w:rPr>
          <w:rFonts w:ascii="Arial" w:hAnsi="Arial" w:cs="Arial"/>
          <w:sz w:val="24"/>
          <w:szCs w:val="24"/>
        </w:rPr>
      </w:pPr>
      <w:r w:rsidRPr="00107851">
        <w:rPr>
          <w:rFonts w:ascii="Arial" w:hAnsi="Arial" w:cs="Arial"/>
          <w:sz w:val="24"/>
          <w:szCs w:val="24"/>
        </w:rPr>
        <w:t>The outcomes we would hope to see from a smooth transition to indicate that it has been successful would be looking for happy, secure, confident children who are curious and engaged learners and educational explorers, meeting their unique and individual developmental and educational goals. With the aim that the older child has a value and a voice in the wider community (</w:t>
      </w:r>
      <w:r w:rsidR="00964AD0">
        <w:rPr>
          <w:rFonts w:ascii="Arial" w:hAnsi="Arial" w:cs="Arial"/>
          <w:sz w:val="24"/>
          <w:szCs w:val="24"/>
        </w:rPr>
        <w:t>United Nations Convention on the Rights of the Child 1989</w:t>
      </w:r>
      <w:r w:rsidRPr="00107851">
        <w:rPr>
          <w:rFonts w:ascii="Arial" w:hAnsi="Arial" w:cs="Arial"/>
          <w:sz w:val="24"/>
          <w:szCs w:val="24"/>
        </w:rPr>
        <w:t>) who are resilient, able to cope with transition and change and embrace challenge using a ‘can do’ and problem-solving approach. Who would take this on from their early years to develop a growth mindset that they can take with them into school and beyond into successful adulthood, making a positive contribution to community and society. If we get it right in early years, we can provide the key</w:t>
      </w:r>
      <w:r w:rsidR="00964AD0">
        <w:rPr>
          <w:rFonts w:ascii="Arial" w:hAnsi="Arial" w:cs="Arial"/>
          <w:sz w:val="24"/>
          <w:szCs w:val="24"/>
        </w:rPr>
        <w:t xml:space="preserve"> to</w:t>
      </w:r>
      <w:r w:rsidRPr="00107851">
        <w:rPr>
          <w:rFonts w:ascii="Arial" w:hAnsi="Arial" w:cs="Arial"/>
          <w:sz w:val="24"/>
          <w:szCs w:val="24"/>
        </w:rPr>
        <w:t xml:space="preserve"> start the process of unlocking every child’s potential. </w:t>
      </w:r>
      <w:r w:rsidR="00964AD0">
        <w:rPr>
          <w:rFonts w:ascii="Arial" w:hAnsi="Arial" w:cs="Arial"/>
          <w:sz w:val="24"/>
          <w:szCs w:val="24"/>
        </w:rPr>
        <w:t>(Well-being of f</w:t>
      </w:r>
      <w:r w:rsidRPr="00107851">
        <w:rPr>
          <w:rFonts w:ascii="Arial" w:hAnsi="Arial" w:cs="Arial"/>
          <w:sz w:val="24"/>
          <w:szCs w:val="24"/>
        </w:rPr>
        <w:t>uture generations of Wales act 201</w:t>
      </w:r>
      <w:r w:rsidR="00964AD0">
        <w:rPr>
          <w:rFonts w:ascii="Arial" w:hAnsi="Arial" w:cs="Arial"/>
          <w:sz w:val="24"/>
          <w:szCs w:val="24"/>
        </w:rPr>
        <w:t>5)</w:t>
      </w:r>
    </w:p>
    <w:p w14:paraId="2AB2FC7B" w14:textId="0F0CD2D8" w:rsidR="0061186E" w:rsidRPr="00111E86" w:rsidRDefault="00295339" w:rsidP="00107851">
      <w:pPr>
        <w:spacing w:before="100" w:beforeAutospacing="1" w:after="100" w:afterAutospacing="1" w:line="360" w:lineRule="auto"/>
        <w:jc w:val="both"/>
        <w:rPr>
          <w:rFonts w:ascii="Arial" w:eastAsia="Times New Roman" w:hAnsi="Arial" w:cs="Arial"/>
          <w:color w:val="4472C4" w:themeColor="accent1"/>
          <w:sz w:val="24"/>
          <w:szCs w:val="24"/>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lastRenderedPageBreak/>
        <w:drawing>
          <wp:inline distT="0" distB="0" distL="0" distR="0" wp14:anchorId="7A016ADA" wp14:editId="26B75F51">
            <wp:extent cx="3736455" cy="2773571"/>
            <wp:effectExtent l="0" t="0" r="0" b="8255"/>
            <wp:docPr id="676948987" name="Picture 2" descr="Preschool border clipart free clipart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chool border clipart free clipart imag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56793" cy="2788668"/>
                    </a:xfrm>
                    <a:prstGeom prst="rect">
                      <a:avLst/>
                    </a:prstGeom>
                    <a:noFill/>
                    <a:ln>
                      <a:noFill/>
                    </a:ln>
                  </pic:spPr>
                </pic:pic>
              </a:graphicData>
            </a:graphic>
          </wp:inline>
        </w:drawing>
      </w:r>
    </w:p>
    <w:p w14:paraId="7269145A" w14:textId="77777777" w:rsidR="008B4F2B" w:rsidRPr="008B4F2B" w:rsidRDefault="008B4F2B" w:rsidP="00107851">
      <w:pPr>
        <w:spacing w:before="100" w:beforeAutospacing="1" w:after="100" w:afterAutospacing="1" w:line="360" w:lineRule="auto"/>
        <w:jc w:val="both"/>
        <w:rPr>
          <w:rFonts w:ascii="Arial" w:eastAsia="Times New Roman" w:hAnsi="Arial" w:cs="Arial"/>
          <w:color w:val="4472C4" w:themeColor="accent1"/>
          <w:sz w:val="28"/>
          <w:szCs w:val="28"/>
          <w:u w:val="single"/>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bookmarkEnd w:id="0"/>
    <w:p w14:paraId="446D0D23" w14:textId="719F2DD1" w:rsidR="0010163D" w:rsidRPr="00FB03AB" w:rsidRDefault="0010163D" w:rsidP="00FB03AB">
      <w:pPr>
        <w:spacing w:before="100" w:beforeAutospacing="1" w:after="100" w:afterAutospacing="1" w:line="360" w:lineRule="auto"/>
        <w:jc w:val="both"/>
        <w:rPr>
          <w:rFonts w:ascii="Arial" w:hAnsi="Arial" w:cs="Arial"/>
          <w:sz w:val="24"/>
          <w:szCs w:val="24"/>
        </w:rPr>
      </w:pPr>
      <w:r w:rsidRPr="00FB03AB">
        <w:rPr>
          <w:rFonts w:ascii="Arial" w:hAnsi="Arial" w:cs="Arial"/>
          <w:sz w:val="24"/>
          <w:szCs w:val="24"/>
        </w:rPr>
        <w:t>References:</w:t>
      </w:r>
    </w:p>
    <w:p w14:paraId="72CCBA55" w14:textId="33154BB6" w:rsidR="00141F4A" w:rsidRPr="00FB03AB" w:rsidRDefault="00141F4A" w:rsidP="00FB03AB">
      <w:pPr>
        <w:spacing w:before="100" w:beforeAutospacing="1" w:after="100" w:afterAutospacing="1" w:line="360" w:lineRule="auto"/>
        <w:jc w:val="both"/>
        <w:rPr>
          <w:rFonts w:ascii="Arial" w:hAnsi="Arial" w:cs="Arial"/>
          <w:sz w:val="24"/>
          <w:szCs w:val="24"/>
        </w:rPr>
      </w:pPr>
      <w:r w:rsidRPr="00FB03AB">
        <w:rPr>
          <w:rFonts w:ascii="Arial" w:hAnsi="Arial" w:cs="Arial"/>
          <w:sz w:val="24"/>
          <w:szCs w:val="24"/>
        </w:rPr>
        <w:t xml:space="preserve">Aubrey, K, and Riley, A. (2022) </w:t>
      </w:r>
      <w:r w:rsidRPr="00FB03AB">
        <w:rPr>
          <w:rFonts w:ascii="Arial" w:hAnsi="Arial" w:cs="Arial"/>
          <w:i/>
          <w:iCs/>
          <w:sz w:val="24"/>
          <w:szCs w:val="24"/>
        </w:rPr>
        <w:t xml:space="preserve">Understanding and using Educational Theories. </w:t>
      </w:r>
      <w:r w:rsidRPr="00FB03AB">
        <w:rPr>
          <w:rFonts w:ascii="Arial" w:hAnsi="Arial" w:cs="Arial"/>
          <w:sz w:val="24"/>
          <w:szCs w:val="24"/>
        </w:rPr>
        <w:t>3</w:t>
      </w:r>
      <w:r w:rsidRPr="00FB03AB">
        <w:rPr>
          <w:rFonts w:ascii="Arial" w:hAnsi="Arial" w:cs="Arial"/>
          <w:sz w:val="24"/>
          <w:szCs w:val="24"/>
          <w:vertAlign w:val="superscript"/>
        </w:rPr>
        <w:t>rd</w:t>
      </w:r>
      <w:r w:rsidRPr="00FB03AB">
        <w:rPr>
          <w:rFonts w:ascii="Arial" w:hAnsi="Arial" w:cs="Arial"/>
          <w:sz w:val="24"/>
          <w:szCs w:val="24"/>
        </w:rPr>
        <w:t xml:space="preserve"> edn. London: Sage Publications Ltd</w:t>
      </w:r>
    </w:p>
    <w:p w14:paraId="0D8DF3B5" w14:textId="77777777" w:rsidR="00141F4A" w:rsidRPr="00FB03AB" w:rsidRDefault="00141F4A" w:rsidP="00FB03AB">
      <w:pPr>
        <w:spacing w:line="360" w:lineRule="auto"/>
        <w:rPr>
          <w:rFonts w:ascii="Arial" w:eastAsia="Times New Roman" w:hAnsi="Arial" w:cs="Arial"/>
          <w:sz w:val="24"/>
          <w:szCs w:val="24"/>
          <w:lang w:eastAsia="en-GB"/>
        </w:rPr>
      </w:pPr>
      <w:r w:rsidRPr="008E0A4B">
        <w:rPr>
          <w:rFonts w:ascii="Arial" w:eastAsia="Times New Roman" w:hAnsi="Arial" w:cs="Arial"/>
          <w:sz w:val="24"/>
          <w:szCs w:val="24"/>
          <w:lang w:eastAsia="en-GB"/>
        </w:rPr>
        <w:t xml:space="preserve">Avis, J, Fisher, R &amp; Thompson, </w:t>
      </w:r>
      <w:r w:rsidRPr="00FB03AB">
        <w:rPr>
          <w:rFonts w:ascii="Arial" w:eastAsia="Times New Roman" w:hAnsi="Arial" w:cs="Arial"/>
          <w:sz w:val="24"/>
          <w:szCs w:val="24"/>
          <w:lang w:eastAsia="en-GB"/>
        </w:rPr>
        <w:t>R (</w:t>
      </w:r>
      <w:r w:rsidRPr="008E0A4B">
        <w:rPr>
          <w:rFonts w:ascii="Arial" w:eastAsia="Times New Roman" w:hAnsi="Arial" w:cs="Arial"/>
          <w:sz w:val="24"/>
          <w:szCs w:val="24"/>
          <w:lang w:eastAsia="en-GB"/>
        </w:rPr>
        <w:t>2015</w:t>
      </w:r>
      <w:r w:rsidRPr="00FB03AB">
        <w:rPr>
          <w:rFonts w:ascii="Arial" w:eastAsia="Times New Roman" w:hAnsi="Arial" w:cs="Arial"/>
          <w:sz w:val="24"/>
          <w:szCs w:val="24"/>
          <w:lang w:eastAsia="en-GB"/>
        </w:rPr>
        <w:t>).</w:t>
      </w:r>
      <w:r w:rsidRPr="008E0A4B">
        <w:rPr>
          <w:rFonts w:ascii="Arial" w:eastAsia="Times New Roman" w:hAnsi="Arial" w:cs="Arial"/>
          <w:sz w:val="24"/>
          <w:szCs w:val="24"/>
          <w:lang w:eastAsia="en-GB"/>
        </w:rPr>
        <w:t> </w:t>
      </w:r>
      <w:r w:rsidRPr="008E0A4B">
        <w:rPr>
          <w:rFonts w:ascii="Arial" w:eastAsia="Times New Roman" w:hAnsi="Arial" w:cs="Arial"/>
          <w:i/>
          <w:iCs/>
          <w:sz w:val="24"/>
          <w:szCs w:val="24"/>
          <w:lang w:eastAsia="en-GB"/>
        </w:rPr>
        <w:t>Teaching in Lifelong Learning: A guide to theory and practice</w:t>
      </w:r>
      <w:r w:rsidRPr="008E0A4B">
        <w:rPr>
          <w:rFonts w:ascii="Arial" w:eastAsia="Times New Roman" w:hAnsi="Arial" w:cs="Arial"/>
          <w:sz w:val="24"/>
          <w:szCs w:val="24"/>
          <w:lang w:eastAsia="en-GB"/>
        </w:rPr>
        <w:t>. 1-4 edn</w:t>
      </w:r>
      <w:r w:rsidRPr="00FB03AB">
        <w:rPr>
          <w:rFonts w:ascii="Arial" w:eastAsia="Times New Roman" w:hAnsi="Arial" w:cs="Arial"/>
          <w:sz w:val="24"/>
          <w:szCs w:val="24"/>
          <w:lang w:eastAsia="en-GB"/>
        </w:rPr>
        <w:t xml:space="preserve">. Milton Keynes: </w:t>
      </w:r>
      <w:r w:rsidRPr="008E0A4B">
        <w:rPr>
          <w:rFonts w:ascii="Arial" w:eastAsia="Times New Roman" w:hAnsi="Arial" w:cs="Arial"/>
          <w:sz w:val="24"/>
          <w:szCs w:val="24"/>
          <w:lang w:eastAsia="en-GB"/>
        </w:rPr>
        <w:t xml:space="preserve">Open University Press. </w:t>
      </w:r>
      <w:hyperlink r:id="rId17" w:history="1">
        <w:r w:rsidRPr="008E0A4B">
          <w:rPr>
            <w:rStyle w:val="Hyperlink"/>
            <w:rFonts w:ascii="Arial" w:eastAsia="Times New Roman" w:hAnsi="Arial" w:cs="Arial"/>
            <w:sz w:val="24"/>
            <w:szCs w:val="24"/>
            <w:lang w:eastAsia="en-GB"/>
          </w:rPr>
          <w:t>https://www.mheducation.co.uk/9780335263332-emea-teaching-in-lifelong-learning</w:t>
        </w:r>
      </w:hyperlink>
    </w:p>
    <w:p w14:paraId="4D180C95" w14:textId="77777777" w:rsidR="00141F4A" w:rsidRPr="00FB03AB" w:rsidRDefault="00141F4A" w:rsidP="00FB03AB">
      <w:pPr>
        <w:shd w:val="clear" w:color="auto" w:fill="FFFFFF"/>
        <w:spacing w:line="360" w:lineRule="auto"/>
        <w:rPr>
          <w:rFonts w:ascii="Arial" w:eastAsia="Times New Roman" w:hAnsi="Arial" w:cs="Arial"/>
          <w:color w:val="3A3A3A"/>
          <w:sz w:val="24"/>
          <w:szCs w:val="24"/>
          <w:lang w:eastAsia="en-GB"/>
        </w:rPr>
      </w:pPr>
      <w:r w:rsidRPr="00C64009">
        <w:rPr>
          <w:rFonts w:ascii="Arial" w:eastAsia="Times New Roman" w:hAnsi="Arial" w:cs="Arial"/>
          <w:color w:val="3A3A3A"/>
          <w:sz w:val="24"/>
          <w:szCs w:val="24"/>
          <w:lang w:eastAsia="en-GB"/>
        </w:rPr>
        <w:t>Richard Bowlby, S. (2018) </w:t>
      </w:r>
      <w:r w:rsidRPr="00C64009">
        <w:rPr>
          <w:rFonts w:ascii="Arial" w:eastAsia="Times New Roman" w:hAnsi="Arial" w:cs="Arial"/>
          <w:i/>
          <w:iCs/>
          <w:color w:val="3A3A3A"/>
          <w:sz w:val="24"/>
          <w:szCs w:val="24"/>
          <w:lang w:eastAsia="en-GB"/>
        </w:rPr>
        <w:t xml:space="preserve">Fifty years of attachment </w:t>
      </w:r>
      <w:r w:rsidRPr="00FB03AB">
        <w:rPr>
          <w:rFonts w:ascii="Arial" w:eastAsia="Times New Roman" w:hAnsi="Arial" w:cs="Arial"/>
          <w:i/>
          <w:iCs/>
          <w:color w:val="3A3A3A"/>
          <w:sz w:val="24"/>
          <w:szCs w:val="24"/>
          <w:lang w:eastAsia="en-GB"/>
        </w:rPr>
        <w:t>theory:</w:t>
      </w:r>
      <w:r w:rsidRPr="00C64009">
        <w:rPr>
          <w:rFonts w:ascii="Arial" w:eastAsia="Times New Roman" w:hAnsi="Arial" w:cs="Arial"/>
          <w:i/>
          <w:iCs/>
          <w:color w:val="3A3A3A"/>
          <w:sz w:val="24"/>
          <w:szCs w:val="24"/>
          <w:lang w:eastAsia="en-GB"/>
        </w:rPr>
        <w:t xml:space="preserve"> the Donald Winnicott memorial lecture</w:t>
      </w:r>
      <w:r w:rsidRPr="00C64009">
        <w:rPr>
          <w:rFonts w:ascii="Arial" w:eastAsia="Times New Roman" w:hAnsi="Arial" w:cs="Arial"/>
          <w:color w:val="3A3A3A"/>
          <w:sz w:val="24"/>
          <w:szCs w:val="24"/>
          <w:lang w:eastAsia="en-GB"/>
        </w:rPr>
        <w:t xml:space="preserve">. First edition. Boca Raton, FL: Routledge, an imprint of Taylor and Francis. Available at: </w:t>
      </w:r>
      <w:hyperlink r:id="rId18" w:history="1">
        <w:r w:rsidRPr="00C64009">
          <w:rPr>
            <w:rStyle w:val="Hyperlink"/>
            <w:rFonts w:ascii="Arial" w:eastAsia="Times New Roman" w:hAnsi="Arial" w:cs="Arial"/>
            <w:sz w:val="24"/>
            <w:szCs w:val="24"/>
            <w:lang w:eastAsia="en-GB"/>
          </w:rPr>
          <w:t>https://doi.org/10.4324/9780429474736</w:t>
        </w:r>
      </w:hyperlink>
      <w:r w:rsidRPr="00C64009">
        <w:rPr>
          <w:rFonts w:ascii="Arial" w:eastAsia="Times New Roman" w:hAnsi="Arial" w:cs="Arial"/>
          <w:color w:val="3A3A3A"/>
          <w:sz w:val="24"/>
          <w:szCs w:val="24"/>
          <w:lang w:eastAsia="en-GB"/>
        </w:rPr>
        <w:t>.</w:t>
      </w:r>
    </w:p>
    <w:p w14:paraId="04EDC159" w14:textId="3620A4DF" w:rsidR="00141F4A" w:rsidRPr="00FB03AB" w:rsidRDefault="00141F4A" w:rsidP="00FB03AB">
      <w:pPr>
        <w:spacing w:before="100" w:beforeAutospacing="1" w:after="100" w:afterAutospacing="1" w:line="360" w:lineRule="auto"/>
        <w:rPr>
          <w:rFonts w:ascii="Arial" w:eastAsia="Times New Roman" w:hAnsi="Arial" w:cs="Arial"/>
          <w:i/>
          <w:iCs/>
          <w:sz w:val="24"/>
          <w:szCs w:val="24"/>
          <w:lang w:eastAsia="en-GB"/>
        </w:rPr>
      </w:pPr>
      <w:r w:rsidRPr="00FB03AB">
        <w:rPr>
          <w:rFonts w:ascii="Arial" w:eastAsia="Times New Roman" w:hAnsi="Arial" w:cs="Arial"/>
          <w:sz w:val="24"/>
          <w:szCs w:val="24"/>
          <w:lang w:eastAsia="en-GB"/>
        </w:rPr>
        <w:t>Boddey, J. (2023). </w:t>
      </w:r>
      <w:hyperlink r:id="rId19" w:tgtFrame="_blank" w:history="1">
        <w:r w:rsidRPr="00FB03AB">
          <w:rPr>
            <w:rFonts w:ascii="Arial" w:eastAsia="Times New Roman" w:hAnsi="Arial" w:cs="Arial"/>
            <w:sz w:val="24"/>
            <w:szCs w:val="24"/>
            <w:u w:val="single"/>
            <w:lang w:eastAsia="en-GB"/>
          </w:rPr>
          <w:t>Hierarchy of needs: The marvellous Maslow</w:t>
        </w:r>
      </w:hyperlink>
      <w:r w:rsidRPr="00FB03AB">
        <w:rPr>
          <w:rFonts w:ascii="Arial" w:eastAsia="Times New Roman" w:hAnsi="Arial" w:cs="Arial"/>
          <w:sz w:val="24"/>
          <w:szCs w:val="24"/>
          <w:lang w:eastAsia="en-GB"/>
        </w:rPr>
        <w:t>. </w:t>
      </w:r>
      <w:r w:rsidRPr="00FB03AB">
        <w:rPr>
          <w:rFonts w:ascii="Arial" w:eastAsia="Times New Roman" w:hAnsi="Arial" w:cs="Arial"/>
          <w:i/>
          <w:iCs/>
          <w:sz w:val="24"/>
          <w:szCs w:val="24"/>
          <w:lang w:eastAsia="en-GB"/>
        </w:rPr>
        <w:t>Early Years Educator</w:t>
      </w:r>
    </w:p>
    <w:p w14:paraId="58651DAD" w14:textId="77777777" w:rsidR="00141F4A" w:rsidRPr="00FB03AB" w:rsidRDefault="00141F4A" w:rsidP="00FB03AB">
      <w:pPr>
        <w:spacing w:line="360" w:lineRule="auto"/>
        <w:rPr>
          <w:rFonts w:ascii="Arial" w:hAnsi="Arial" w:cs="Arial"/>
          <w:sz w:val="24"/>
          <w:szCs w:val="24"/>
        </w:rPr>
      </w:pPr>
      <w:hyperlink r:id="rId20" w:history="1">
        <w:r w:rsidRPr="00FB03AB">
          <w:rPr>
            <w:rStyle w:val="Hyperlink"/>
            <w:rFonts w:ascii="Arial" w:hAnsi="Arial" w:cs="Arial"/>
            <w:color w:val="auto"/>
            <w:sz w:val="24"/>
            <w:szCs w:val="24"/>
          </w:rPr>
          <w:t>Bronfenbrenner's Ecological Theory Is Described as - Felicity-has-Montgomery</w:t>
        </w:r>
      </w:hyperlink>
      <w:r w:rsidRPr="00FB03AB">
        <w:rPr>
          <w:rFonts w:ascii="Arial" w:hAnsi="Arial" w:cs="Arial"/>
          <w:sz w:val="24"/>
          <w:szCs w:val="24"/>
        </w:rPr>
        <w:t xml:space="preserve"> 17</w:t>
      </w:r>
      <w:r w:rsidRPr="00FB03AB">
        <w:rPr>
          <w:rFonts w:ascii="Arial" w:hAnsi="Arial" w:cs="Arial"/>
          <w:sz w:val="24"/>
          <w:szCs w:val="24"/>
          <w:vertAlign w:val="superscript"/>
        </w:rPr>
        <w:t>th</w:t>
      </w:r>
      <w:r w:rsidRPr="00FB03AB">
        <w:rPr>
          <w:rFonts w:ascii="Arial" w:hAnsi="Arial" w:cs="Arial"/>
          <w:sz w:val="24"/>
          <w:szCs w:val="24"/>
        </w:rPr>
        <w:t xml:space="preserve"> April 2022</w:t>
      </w:r>
    </w:p>
    <w:p w14:paraId="170C4591" w14:textId="77777777" w:rsidR="000111FA" w:rsidRPr="00FB03AB" w:rsidRDefault="000111FA" w:rsidP="00FB03AB">
      <w:pPr>
        <w:spacing w:before="100" w:beforeAutospacing="1" w:after="100" w:afterAutospacing="1" w:line="360" w:lineRule="auto"/>
        <w:rPr>
          <w:rFonts w:ascii="Arial" w:hAnsi="Arial" w:cs="Arial"/>
          <w:sz w:val="24"/>
          <w:szCs w:val="24"/>
        </w:rPr>
      </w:pPr>
      <w:hyperlink r:id="rId21" w:history="1">
        <w:r w:rsidRPr="00FB03AB">
          <w:rPr>
            <w:rFonts w:ascii="Arial" w:hAnsi="Arial" w:cs="Arial"/>
            <w:color w:val="0000FF"/>
            <w:sz w:val="24"/>
            <w:szCs w:val="24"/>
            <w:u w:val="single"/>
          </w:rPr>
          <w:t>Keeping Bronfenbrenner at the heart of early years – Kinderly</w:t>
        </w:r>
      </w:hyperlink>
    </w:p>
    <w:p w14:paraId="1E6EADBF" w14:textId="77777777" w:rsidR="000111FA" w:rsidRPr="00FB03AB" w:rsidRDefault="000111FA" w:rsidP="00FB03AB">
      <w:pPr>
        <w:spacing w:line="360" w:lineRule="auto"/>
        <w:rPr>
          <w:rFonts w:ascii="Arial" w:hAnsi="Arial" w:cs="Arial"/>
          <w:sz w:val="24"/>
          <w:szCs w:val="24"/>
        </w:rPr>
      </w:pPr>
    </w:p>
    <w:p w14:paraId="67663DFE" w14:textId="77777777" w:rsidR="00141F4A" w:rsidRPr="00FB03AB" w:rsidRDefault="00141F4A" w:rsidP="00FB03AB">
      <w:pPr>
        <w:spacing w:before="100" w:beforeAutospacing="1" w:after="100" w:afterAutospacing="1" w:line="360" w:lineRule="auto"/>
        <w:rPr>
          <w:rFonts w:ascii="Arial" w:eastAsia="Times New Roman" w:hAnsi="Arial" w:cs="Arial"/>
          <w:i/>
          <w:iCs/>
          <w:sz w:val="24"/>
          <w:szCs w:val="24"/>
          <w:lang w:eastAsia="en-GB"/>
        </w:rPr>
      </w:pPr>
    </w:p>
    <w:p w14:paraId="3C079F48" w14:textId="77777777" w:rsidR="00141F4A" w:rsidRPr="00FB03AB" w:rsidRDefault="00141F4A" w:rsidP="00FB03AB">
      <w:pPr>
        <w:shd w:val="clear" w:color="auto" w:fill="FFFFFF"/>
        <w:spacing w:line="360" w:lineRule="auto"/>
        <w:rPr>
          <w:rFonts w:ascii="Arial" w:eastAsia="Times New Roman" w:hAnsi="Arial" w:cs="Arial"/>
          <w:color w:val="3A3A3A"/>
          <w:sz w:val="24"/>
          <w:szCs w:val="24"/>
          <w:lang w:eastAsia="en-GB"/>
        </w:rPr>
      </w:pPr>
      <w:r w:rsidRPr="00FB03AB">
        <w:rPr>
          <w:rFonts w:ascii="Arial" w:eastAsia="Times New Roman" w:hAnsi="Arial" w:cs="Arial"/>
          <w:i/>
          <w:iCs/>
          <w:color w:val="3A3A3A"/>
          <w:sz w:val="24"/>
          <w:szCs w:val="24"/>
          <w:lang w:eastAsia="en-GB"/>
        </w:rPr>
        <w:t>Convention on the rights of the child</w:t>
      </w:r>
      <w:r w:rsidRPr="00FB03AB">
        <w:rPr>
          <w:rFonts w:ascii="Arial" w:eastAsia="Times New Roman" w:hAnsi="Arial" w:cs="Arial"/>
          <w:color w:val="3A3A3A"/>
          <w:sz w:val="24"/>
          <w:szCs w:val="24"/>
          <w:lang w:eastAsia="en-GB"/>
        </w:rPr>
        <w:t xml:space="preserve"> (1989) Treaty no. 27531. </w:t>
      </w:r>
      <w:r w:rsidRPr="00FB03AB">
        <w:rPr>
          <w:rFonts w:ascii="Arial" w:eastAsia="Times New Roman" w:hAnsi="Arial" w:cs="Arial"/>
          <w:i/>
          <w:iCs/>
          <w:color w:val="3A3A3A"/>
          <w:sz w:val="24"/>
          <w:szCs w:val="24"/>
          <w:lang w:eastAsia="en-GB"/>
        </w:rPr>
        <w:t>United Nations Treaty Series,</w:t>
      </w:r>
      <w:r w:rsidRPr="00FB03AB">
        <w:rPr>
          <w:rFonts w:ascii="Arial" w:eastAsia="Times New Roman" w:hAnsi="Arial" w:cs="Arial"/>
          <w:color w:val="3A3A3A"/>
          <w:sz w:val="24"/>
          <w:szCs w:val="24"/>
          <w:lang w:eastAsia="en-GB"/>
        </w:rPr>
        <w:t xml:space="preserve"> 1577, pp. 3-178. Available at: </w:t>
      </w:r>
      <w:hyperlink r:id="rId22" w:history="1">
        <w:r w:rsidRPr="00FB03AB">
          <w:rPr>
            <w:rStyle w:val="Hyperlink"/>
            <w:rFonts w:ascii="Arial" w:eastAsia="Times New Roman" w:hAnsi="Arial" w:cs="Arial"/>
            <w:sz w:val="24"/>
            <w:szCs w:val="24"/>
            <w:lang w:eastAsia="en-GB"/>
          </w:rPr>
          <w:t>https://treaties.un.org/doc/Treaties/1990/09/19900902%2003-14%20AM/Ch IV 11p.pdf</w:t>
        </w:r>
      </w:hyperlink>
      <w:r w:rsidRPr="00FB03AB">
        <w:rPr>
          <w:rFonts w:ascii="Arial" w:eastAsia="Times New Roman" w:hAnsi="Arial" w:cs="Arial"/>
          <w:color w:val="3A3A3A"/>
          <w:sz w:val="24"/>
          <w:szCs w:val="24"/>
          <w:lang w:eastAsia="en-GB"/>
        </w:rPr>
        <w:t xml:space="preserve"> (Accessed: 27 October 2023).</w:t>
      </w:r>
    </w:p>
    <w:p w14:paraId="4640337A" w14:textId="77777777" w:rsidR="00141F4A" w:rsidRPr="00FB03AB" w:rsidRDefault="00141F4A" w:rsidP="00FB03AB">
      <w:pPr>
        <w:spacing w:line="360" w:lineRule="auto"/>
        <w:rPr>
          <w:rFonts w:ascii="Arial" w:hAnsi="Arial" w:cs="Arial"/>
          <w:sz w:val="24"/>
          <w:szCs w:val="24"/>
        </w:rPr>
      </w:pPr>
      <w:r w:rsidRPr="00FB03AB">
        <w:rPr>
          <w:rFonts w:ascii="Arial" w:hAnsi="Arial" w:cs="Arial"/>
          <w:sz w:val="24"/>
          <w:szCs w:val="24"/>
        </w:rPr>
        <w:t xml:space="preserve">Dowdell, B., Gray, T., and Malone, K. (2011). Association of Physical activity with cognitive and emotional outcomes in young children: Modification by maltreatment. </w:t>
      </w:r>
      <w:r w:rsidRPr="00FB03AB">
        <w:rPr>
          <w:rFonts w:ascii="Arial" w:hAnsi="Arial" w:cs="Arial"/>
          <w:i/>
          <w:iCs/>
          <w:sz w:val="24"/>
          <w:szCs w:val="24"/>
        </w:rPr>
        <w:t>Child Abuse and Neglect,</w:t>
      </w:r>
      <w:r w:rsidRPr="00FB03AB">
        <w:rPr>
          <w:rFonts w:ascii="Arial" w:hAnsi="Arial" w:cs="Arial"/>
          <w:sz w:val="24"/>
          <w:szCs w:val="24"/>
        </w:rPr>
        <w:t xml:space="preserve"> 35(8), pp.  621-629.</w:t>
      </w:r>
    </w:p>
    <w:p w14:paraId="6AE8FABA" w14:textId="77777777" w:rsidR="00141F4A" w:rsidRPr="00FB03AB" w:rsidRDefault="00141F4A" w:rsidP="00FB03AB">
      <w:pPr>
        <w:spacing w:before="100" w:beforeAutospacing="1" w:after="100" w:afterAutospacing="1" w:line="360" w:lineRule="auto"/>
        <w:rPr>
          <w:rFonts w:ascii="Arial" w:hAnsi="Arial" w:cs="Arial"/>
          <w:color w:val="666666"/>
          <w:sz w:val="24"/>
          <w:szCs w:val="24"/>
          <w:shd w:val="clear" w:color="auto" w:fill="FFFFFF"/>
        </w:rPr>
      </w:pPr>
      <w:r w:rsidRPr="00FB03AB">
        <w:rPr>
          <w:rFonts w:ascii="Arial" w:hAnsi="Arial" w:cs="Arial"/>
          <w:color w:val="666666"/>
          <w:sz w:val="24"/>
          <w:szCs w:val="24"/>
          <w:shd w:val="clear" w:color="auto" w:fill="FFFFFF"/>
        </w:rPr>
        <w:t>Dunlop, A-W 2018, Transitions in early childhood education. in </w:t>
      </w:r>
      <w:r w:rsidRPr="00FB03AB">
        <w:rPr>
          <w:rStyle w:val="Emphasis"/>
          <w:rFonts w:ascii="Arial" w:hAnsi="Arial" w:cs="Arial"/>
          <w:color w:val="666666"/>
          <w:sz w:val="24"/>
          <w:szCs w:val="24"/>
          <w:shd w:val="clear" w:color="auto" w:fill="FFFFFF"/>
        </w:rPr>
        <w:t>Oxford Bibliographies.</w:t>
      </w:r>
      <w:r w:rsidRPr="00FB03AB">
        <w:rPr>
          <w:rStyle w:val="Emphasis"/>
          <w:rFonts w:ascii="Arial" w:hAnsi="Arial" w:cs="Arial"/>
          <w:i w:val="0"/>
          <w:iCs w:val="0"/>
          <w:color w:val="666666"/>
          <w:sz w:val="24"/>
          <w:szCs w:val="24"/>
          <w:shd w:val="clear" w:color="auto" w:fill="FFFFFF"/>
        </w:rPr>
        <w:t xml:space="preserve"> Oxford:</w:t>
      </w:r>
      <w:r w:rsidRPr="00FB03AB">
        <w:rPr>
          <w:rFonts w:ascii="Arial" w:hAnsi="Arial" w:cs="Arial"/>
          <w:color w:val="666666"/>
          <w:sz w:val="24"/>
          <w:szCs w:val="24"/>
          <w:shd w:val="clear" w:color="auto" w:fill="FFFFFF"/>
        </w:rPr>
        <w:t> Oxford University Press.  </w:t>
      </w:r>
      <w:hyperlink r:id="rId23" w:history="1">
        <w:r w:rsidRPr="00FB03AB">
          <w:rPr>
            <w:rStyle w:val="Hyperlink"/>
            <w:rFonts w:ascii="Arial" w:hAnsi="Arial" w:cs="Arial"/>
            <w:sz w:val="24"/>
            <w:szCs w:val="24"/>
            <w:shd w:val="clear" w:color="auto" w:fill="FFFFFF"/>
          </w:rPr>
          <w:t>https://doi.org/10.1093/OBO/9780199756810-0204</w:t>
        </w:r>
      </w:hyperlink>
      <w:r w:rsidRPr="00FB03AB">
        <w:rPr>
          <w:rFonts w:ascii="Arial" w:hAnsi="Arial" w:cs="Arial"/>
          <w:color w:val="666666"/>
          <w:sz w:val="24"/>
          <w:szCs w:val="24"/>
          <w:shd w:val="clear" w:color="auto" w:fill="FFFFFF"/>
        </w:rPr>
        <w:t xml:space="preserve"> (Accessed </w:t>
      </w:r>
      <w:proofErr w:type="gramStart"/>
      <w:r w:rsidRPr="00FB03AB">
        <w:rPr>
          <w:rFonts w:ascii="Arial" w:hAnsi="Arial" w:cs="Arial"/>
          <w:color w:val="666666"/>
          <w:sz w:val="24"/>
          <w:szCs w:val="24"/>
          <w:shd w:val="clear" w:color="auto" w:fill="FFFFFF"/>
        </w:rPr>
        <w:t>at</w:t>
      </w:r>
      <w:proofErr w:type="gramEnd"/>
      <w:r w:rsidRPr="00FB03AB">
        <w:rPr>
          <w:rFonts w:ascii="Arial" w:hAnsi="Arial" w:cs="Arial"/>
          <w:color w:val="666666"/>
          <w:sz w:val="24"/>
          <w:szCs w:val="24"/>
          <w:shd w:val="clear" w:color="auto" w:fill="FFFFFF"/>
        </w:rPr>
        <w:t xml:space="preserve"> 23rd November 2023)</w:t>
      </w:r>
    </w:p>
    <w:p w14:paraId="3DC1C595" w14:textId="35D4866C" w:rsidR="000111FA" w:rsidRPr="00FB03AB" w:rsidRDefault="00141F4A" w:rsidP="00FB03AB">
      <w:pPr>
        <w:spacing w:line="360" w:lineRule="auto"/>
        <w:rPr>
          <w:rFonts w:ascii="Arial" w:hAnsi="Arial" w:cs="Arial"/>
          <w:sz w:val="24"/>
          <w:szCs w:val="24"/>
        </w:rPr>
      </w:pPr>
      <w:r w:rsidRPr="00FB03AB">
        <w:rPr>
          <w:rFonts w:ascii="Arial" w:hAnsi="Arial" w:cs="Arial"/>
          <w:sz w:val="24"/>
          <w:szCs w:val="24"/>
        </w:rPr>
        <w:t>Edwards, C., Gandini, L., and Forman, G. (Eds.). (1998). The Hundred Languages of Children: The Reggio Emilia Experience in Transformation. Ablex Publishing</w:t>
      </w:r>
    </w:p>
    <w:p w14:paraId="3CDC8B16" w14:textId="77777777" w:rsidR="00D113F8" w:rsidRPr="00FB03AB" w:rsidRDefault="00D113F8" w:rsidP="00FB03AB">
      <w:pPr>
        <w:spacing w:line="360" w:lineRule="auto"/>
        <w:rPr>
          <w:rFonts w:ascii="Arial" w:eastAsia="Times New Roman" w:hAnsi="Arial" w:cs="Arial"/>
          <w:sz w:val="24"/>
          <w:szCs w:val="24"/>
          <w:lang w:eastAsia="en-GB"/>
        </w:rPr>
      </w:pPr>
      <w:r w:rsidRPr="00FB03AB">
        <w:rPr>
          <w:rFonts w:ascii="Arial" w:eastAsia="Times New Roman" w:hAnsi="Arial" w:cs="Arial"/>
          <w:sz w:val="24"/>
          <w:szCs w:val="24"/>
          <w:lang w:eastAsia="en-GB"/>
        </w:rPr>
        <w:t>Education: Teaching Children in a Diverse Society (7</w:t>
      </w:r>
      <w:r w:rsidRPr="00FB03AB">
        <w:rPr>
          <w:rFonts w:ascii="Arial" w:eastAsia="Times New Roman" w:hAnsi="Arial" w:cs="Arial"/>
          <w:sz w:val="24"/>
          <w:szCs w:val="24"/>
          <w:vertAlign w:val="superscript"/>
          <w:lang w:eastAsia="en-GB"/>
        </w:rPr>
        <w:t>th</w:t>
      </w:r>
      <w:r w:rsidRPr="00FB03AB">
        <w:rPr>
          <w:rFonts w:ascii="Arial" w:eastAsia="Times New Roman" w:hAnsi="Arial" w:cs="Arial"/>
          <w:sz w:val="24"/>
          <w:szCs w:val="24"/>
          <w:lang w:eastAsia="en-GB"/>
        </w:rPr>
        <w:t xml:space="preserve"> edn., pp. 30-33). McGraw-Hill Education.</w:t>
      </w:r>
    </w:p>
    <w:p w14:paraId="08C76193" w14:textId="24D4E220" w:rsidR="00141F4A" w:rsidRPr="00FB03AB" w:rsidRDefault="00D113F8" w:rsidP="00FB03AB">
      <w:pPr>
        <w:spacing w:before="100" w:beforeAutospacing="1" w:after="100" w:afterAutospacing="1" w:line="360" w:lineRule="auto"/>
        <w:rPr>
          <w:rFonts w:ascii="Arial" w:hAnsi="Arial" w:cs="Arial"/>
          <w:color w:val="666666"/>
          <w:sz w:val="24"/>
          <w:szCs w:val="24"/>
          <w:shd w:val="clear" w:color="auto" w:fill="FFFFFF"/>
        </w:rPr>
      </w:pPr>
      <w:r w:rsidRPr="00FB03AB">
        <w:rPr>
          <w:rFonts w:ascii="Arial" w:hAnsi="Arial" w:cs="Arial"/>
          <w:color w:val="666666"/>
          <w:sz w:val="24"/>
          <w:szCs w:val="24"/>
          <w:shd w:val="clear" w:color="auto" w:fill="FFFFFF"/>
        </w:rPr>
        <w:t xml:space="preserve"> </w:t>
      </w:r>
      <w:r w:rsidR="00141F4A" w:rsidRPr="00FB03AB">
        <w:rPr>
          <w:rFonts w:ascii="Arial" w:hAnsi="Arial" w:cs="Arial"/>
          <w:sz w:val="24"/>
          <w:szCs w:val="24"/>
        </w:rPr>
        <w:t xml:space="preserve">Fabian, H, and Dunlop, A, - W. (2006). Outcomes of good practice in transition processes for Children entering primary school. </w:t>
      </w:r>
      <w:r w:rsidR="00141F4A" w:rsidRPr="00FB03AB">
        <w:rPr>
          <w:rFonts w:ascii="Arial" w:hAnsi="Arial" w:cs="Arial"/>
          <w:i/>
          <w:iCs/>
          <w:sz w:val="24"/>
          <w:szCs w:val="24"/>
        </w:rPr>
        <w:t xml:space="preserve">European Early childhood Education Research Journal, </w:t>
      </w:r>
      <w:r w:rsidR="00141F4A" w:rsidRPr="00FB03AB">
        <w:rPr>
          <w:rFonts w:ascii="Arial" w:hAnsi="Arial" w:cs="Arial"/>
          <w:sz w:val="24"/>
          <w:szCs w:val="24"/>
        </w:rPr>
        <w:t>14(1), pp. 41-55</w:t>
      </w:r>
    </w:p>
    <w:p w14:paraId="1C0E4BF5" w14:textId="77777777" w:rsidR="00141F4A" w:rsidRPr="00FB03AB" w:rsidRDefault="00141F4A" w:rsidP="00FB03AB">
      <w:pPr>
        <w:spacing w:line="360" w:lineRule="auto"/>
        <w:rPr>
          <w:rFonts w:ascii="Arial" w:hAnsi="Arial" w:cs="Arial"/>
          <w:sz w:val="24"/>
          <w:szCs w:val="24"/>
        </w:rPr>
      </w:pPr>
      <w:r w:rsidRPr="00FB03AB">
        <w:rPr>
          <w:rFonts w:ascii="Arial" w:hAnsi="Arial" w:cs="Arial"/>
          <w:sz w:val="24"/>
          <w:szCs w:val="24"/>
        </w:rPr>
        <w:t xml:space="preserve">Freepik, (ND) the Happy little boy and Girl. Available at: </w:t>
      </w:r>
      <w:hyperlink r:id="rId24" w:anchor="from_view=detail_alsolike" w:history="1">
        <w:r w:rsidRPr="00FB03AB">
          <w:rPr>
            <w:rStyle w:val="Hyperlink"/>
            <w:rFonts w:ascii="Arial" w:hAnsi="Arial" w:cs="Arial"/>
            <w:color w:val="auto"/>
            <w:sz w:val="24"/>
            <w:szCs w:val="24"/>
          </w:rPr>
          <w:t>Premium Photo | The happy little boy and girl are playing in a puddle walking down the street (freepik.com)</w:t>
        </w:r>
      </w:hyperlink>
      <w:r w:rsidRPr="00FB03AB">
        <w:rPr>
          <w:rFonts w:ascii="Arial" w:hAnsi="Arial" w:cs="Arial"/>
          <w:sz w:val="24"/>
          <w:szCs w:val="24"/>
        </w:rPr>
        <w:t xml:space="preserve"> (accessed: 13 November2023)</w:t>
      </w:r>
    </w:p>
    <w:p w14:paraId="164613A9" w14:textId="77777777" w:rsidR="00141F4A" w:rsidRPr="00FB03AB" w:rsidRDefault="00141F4A" w:rsidP="00FB03AB">
      <w:pPr>
        <w:spacing w:line="360" w:lineRule="auto"/>
        <w:rPr>
          <w:rFonts w:ascii="Arial" w:hAnsi="Arial" w:cs="Arial"/>
          <w:sz w:val="24"/>
          <w:szCs w:val="24"/>
        </w:rPr>
      </w:pPr>
      <w:r w:rsidRPr="00FB03AB">
        <w:rPr>
          <w:rFonts w:ascii="Arial" w:hAnsi="Arial" w:cs="Arial"/>
          <w:sz w:val="24"/>
          <w:szCs w:val="24"/>
        </w:rPr>
        <w:t>Gray, C. (2010). The New Social Story Book: Illustrated Edition. Future Horizons.</w:t>
      </w:r>
    </w:p>
    <w:p w14:paraId="4A60A3AF" w14:textId="77777777" w:rsidR="000111FA" w:rsidRPr="00FB03AB" w:rsidRDefault="000111FA" w:rsidP="00FB03AB">
      <w:pPr>
        <w:spacing w:line="360" w:lineRule="auto"/>
        <w:rPr>
          <w:rFonts w:ascii="Arial" w:eastAsia="Times New Roman" w:hAnsi="Arial" w:cs="Arial"/>
          <w:sz w:val="24"/>
          <w:szCs w:val="24"/>
          <w:lang w:eastAsia="en-GB"/>
        </w:rPr>
      </w:pPr>
      <w:r w:rsidRPr="00FB03AB">
        <w:rPr>
          <w:rFonts w:ascii="Arial" w:eastAsia="Times New Roman" w:hAnsi="Arial" w:cs="Arial"/>
          <w:sz w:val="24"/>
          <w:szCs w:val="24"/>
          <w:lang w:eastAsia="en-GB"/>
        </w:rPr>
        <w:t>Gray, C., MacBlain, S. (2015) Learning Theories in Childhood. London: Sage Publications Ltd.</w:t>
      </w:r>
    </w:p>
    <w:p w14:paraId="4A3ECD20" w14:textId="77777777" w:rsidR="000111FA" w:rsidRPr="00FB03AB" w:rsidRDefault="000111FA" w:rsidP="00FB03AB">
      <w:pPr>
        <w:spacing w:line="360" w:lineRule="auto"/>
        <w:rPr>
          <w:rFonts w:ascii="Arial" w:hAnsi="Arial" w:cs="Arial"/>
          <w:sz w:val="24"/>
          <w:szCs w:val="24"/>
        </w:rPr>
      </w:pPr>
      <w:r w:rsidRPr="00FB03AB">
        <w:rPr>
          <w:rFonts w:ascii="Arial" w:hAnsi="Arial" w:cs="Arial"/>
          <w:sz w:val="24"/>
          <w:szCs w:val="24"/>
        </w:rPr>
        <w:t>Gandini. L, (1993). Fundamentals of the Reggio Emilia Approach to Early Childhood Education. Young Children, 49(1), pp. 4-8.</w:t>
      </w:r>
    </w:p>
    <w:p w14:paraId="665021E9" w14:textId="77777777" w:rsidR="000111FA" w:rsidRPr="00FB03AB" w:rsidRDefault="000111FA" w:rsidP="00FB03AB">
      <w:pPr>
        <w:spacing w:line="360" w:lineRule="auto"/>
        <w:rPr>
          <w:rFonts w:ascii="Arial" w:hAnsi="Arial" w:cs="Arial"/>
          <w:sz w:val="24"/>
          <w:szCs w:val="24"/>
        </w:rPr>
      </w:pPr>
      <w:r w:rsidRPr="00FB03AB">
        <w:rPr>
          <w:rFonts w:ascii="Arial" w:hAnsi="Arial" w:cs="Arial"/>
          <w:sz w:val="24"/>
          <w:szCs w:val="24"/>
        </w:rPr>
        <w:lastRenderedPageBreak/>
        <w:t>Gandini, L., and Goldhaber, J. (2001). Foundations of the Reggio Emilia Approach. Prentice-Hall.</w:t>
      </w:r>
    </w:p>
    <w:p w14:paraId="4173A052" w14:textId="77777777" w:rsidR="00FB03AB" w:rsidRPr="00FB03AB" w:rsidRDefault="00FB03AB" w:rsidP="00FB03AB">
      <w:pPr>
        <w:spacing w:line="360" w:lineRule="auto"/>
        <w:rPr>
          <w:rFonts w:ascii="Arial" w:hAnsi="Arial" w:cs="Arial"/>
          <w:sz w:val="24"/>
          <w:szCs w:val="24"/>
        </w:rPr>
      </w:pPr>
      <w:hyperlink r:id="rId25" w:history="1">
        <w:r w:rsidRPr="00FB03AB">
          <w:rPr>
            <w:rFonts w:ascii="Arial" w:hAnsi="Arial" w:cs="Arial"/>
            <w:color w:val="0000FF"/>
            <w:sz w:val="24"/>
            <w:szCs w:val="24"/>
            <w:u w:val="single"/>
          </w:rPr>
          <w:t>Maslow's Hierarchy of Needs (simplypsychology.org)</w:t>
        </w:r>
      </w:hyperlink>
    </w:p>
    <w:p w14:paraId="7A431860" w14:textId="77777777" w:rsidR="00112D22" w:rsidRPr="00FB03AB" w:rsidRDefault="00112D22" w:rsidP="00FB03AB">
      <w:pPr>
        <w:spacing w:line="360" w:lineRule="auto"/>
        <w:rPr>
          <w:rFonts w:ascii="Arial" w:hAnsi="Arial" w:cs="Arial"/>
          <w:sz w:val="24"/>
          <w:szCs w:val="24"/>
        </w:rPr>
      </w:pPr>
      <w:r w:rsidRPr="00FB03AB">
        <w:rPr>
          <w:rFonts w:ascii="Arial" w:hAnsi="Arial" w:cs="Arial"/>
          <w:sz w:val="24"/>
          <w:szCs w:val="24"/>
        </w:rPr>
        <w:t xml:space="preserve">MacDougall, I., and Brown. J. (2026) </w:t>
      </w:r>
      <w:r w:rsidRPr="00FB03AB">
        <w:rPr>
          <w:rFonts w:ascii="Arial" w:hAnsi="Arial" w:cs="Arial"/>
          <w:i/>
          <w:iCs/>
          <w:sz w:val="24"/>
          <w:szCs w:val="24"/>
        </w:rPr>
        <w:t>‘The foundation years: babies’, in Trodd, L. (ed) The early years handbook for students and practitioners</w:t>
      </w:r>
      <w:r w:rsidRPr="00FB03AB">
        <w:rPr>
          <w:rFonts w:ascii="Arial" w:hAnsi="Arial" w:cs="Arial"/>
          <w:sz w:val="24"/>
          <w:szCs w:val="24"/>
        </w:rPr>
        <w:t>. Oxon: David Fulton Publication.</w:t>
      </w:r>
    </w:p>
    <w:p w14:paraId="74000264" w14:textId="5ED3D91A" w:rsidR="00A355C1" w:rsidRPr="00FB03AB" w:rsidRDefault="00A355C1" w:rsidP="00FB03AB">
      <w:pPr>
        <w:spacing w:line="360" w:lineRule="auto"/>
        <w:rPr>
          <w:rFonts w:ascii="Arial" w:hAnsi="Arial" w:cs="Arial"/>
          <w:sz w:val="24"/>
          <w:szCs w:val="24"/>
        </w:rPr>
      </w:pPr>
      <w:r w:rsidRPr="00FB03AB">
        <w:rPr>
          <w:rFonts w:ascii="Arial" w:hAnsi="Arial" w:cs="Arial"/>
          <w:sz w:val="24"/>
          <w:szCs w:val="24"/>
        </w:rPr>
        <w:t>McIntyre, L.L., Eckert, T. L., Fiese. B. H., DiGennaro Reed, F. D. and Wildenger, L. K. (2017), Family Concerns and Involvement During the Transition to Kindergarten.</w:t>
      </w:r>
      <w:r w:rsidRPr="00FB03AB">
        <w:rPr>
          <w:rFonts w:ascii="Arial" w:hAnsi="Arial" w:cs="Arial"/>
          <w:i/>
          <w:iCs/>
          <w:sz w:val="24"/>
          <w:szCs w:val="24"/>
        </w:rPr>
        <w:t xml:space="preserve"> Journal of the School of Psychology, </w:t>
      </w:r>
      <w:r w:rsidRPr="00FB03AB">
        <w:rPr>
          <w:rFonts w:ascii="Arial" w:hAnsi="Arial" w:cs="Arial"/>
          <w:sz w:val="24"/>
          <w:szCs w:val="24"/>
        </w:rPr>
        <w:t>62, pp. 35-50.</w:t>
      </w:r>
    </w:p>
    <w:p w14:paraId="5A8597D6" w14:textId="556F7D21" w:rsidR="00A355C1" w:rsidRPr="00FB03AB" w:rsidRDefault="00A355C1" w:rsidP="00FB03AB">
      <w:pPr>
        <w:spacing w:line="360" w:lineRule="auto"/>
        <w:rPr>
          <w:rFonts w:ascii="Arial" w:hAnsi="Arial" w:cs="Arial"/>
          <w:sz w:val="24"/>
          <w:szCs w:val="24"/>
        </w:rPr>
      </w:pPr>
      <w:r w:rsidRPr="00FB03AB">
        <w:rPr>
          <w:rFonts w:ascii="Arial" w:hAnsi="Arial" w:cs="Arial"/>
          <w:sz w:val="24"/>
          <w:szCs w:val="24"/>
        </w:rPr>
        <w:t>Pianta, R. C., Cox</w:t>
      </w:r>
      <w:r w:rsidR="00385998" w:rsidRPr="00FB03AB">
        <w:rPr>
          <w:rFonts w:ascii="Arial" w:hAnsi="Arial" w:cs="Arial"/>
          <w:sz w:val="24"/>
          <w:szCs w:val="24"/>
        </w:rPr>
        <w:t xml:space="preserve">, M. J., and Snow, K. L. (2007) </w:t>
      </w:r>
      <w:r w:rsidR="00385998" w:rsidRPr="00FB03AB">
        <w:rPr>
          <w:rFonts w:ascii="Arial" w:hAnsi="Arial" w:cs="Arial"/>
          <w:i/>
          <w:iCs/>
          <w:sz w:val="24"/>
          <w:szCs w:val="24"/>
        </w:rPr>
        <w:t>School readiness and the transition</w:t>
      </w:r>
      <w:r w:rsidR="00385998" w:rsidRPr="00FB03AB">
        <w:rPr>
          <w:rFonts w:ascii="Arial" w:hAnsi="Arial" w:cs="Arial"/>
          <w:sz w:val="24"/>
          <w:szCs w:val="24"/>
        </w:rPr>
        <w:t xml:space="preserve"> </w:t>
      </w:r>
      <w:r w:rsidR="00385998" w:rsidRPr="00FB03AB">
        <w:rPr>
          <w:rFonts w:ascii="Arial" w:hAnsi="Arial" w:cs="Arial"/>
          <w:i/>
          <w:iCs/>
          <w:sz w:val="24"/>
          <w:szCs w:val="24"/>
        </w:rPr>
        <w:t>to kindergarten in the era of accountability</w:t>
      </w:r>
      <w:r w:rsidR="00385998" w:rsidRPr="00FB03AB">
        <w:rPr>
          <w:rFonts w:ascii="Arial" w:hAnsi="Arial" w:cs="Arial"/>
          <w:sz w:val="24"/>
          <w:szCs w:val="24"/>
        </w:rPr>
        <w:t>. Baltimore: Brookes Publishing.</w:t>
      </w:r>
    </w:p>
    <w:p w14:paraId="3BE23753" w14:textId="485608D5" w:rsidR="00385998" w:rsidRPr="00FB03AB" w:rsidRDefault="00385998" w:rsidP="00FB03AB">
      <w:pPr>
        <w:spacing w:line="360" w:lineRule="auto"/>
        <w:rPr>
          <w:rFonts w:ascii="Arial" w:hAnsi="Arial" w:cs="Arial"/>
          <w:sz w:val="24"/>
          <w:szCs w:val="24"/>
        </w:rPr>
      </w:pPr>
      <w:r w:rsidRPr="00FB03AB">
        <w:rPr>
          <w:rFonts w:ascii="Arial" w:hAnsi="Arial" w:cs="Arial"/>
          <w:sz w:val="24"/>
          <w:szCs w:val="24"/>
        </w:rPr>
        <w:t xml:space="preserve">Pianta, R. C., and Kraft-Sayre, M. (2003). </w:t>
      </w:r>
      <w:r w:rsidRPr="00FB03AB">
        <w:rPr>
          <w:rFonts w:ascii="Arial" w:hAnsi="Arial" w:cs="Arial"/>
          <w:i/>
          <w:iCs/>
          <w:sz w:val="24"/>
          <w:szCs w:val="24"/>
        </w:rPr>
        <w:t>Successful kindergarten transition: Your</w:t>
      </w:r>
      <w:r w:rsidRPr="00FB03AB">
        <w:rPr>
          <w:rFonts w:ascii="Arial" w:hAnsi="Arial" w:cs="Arial"/>
          <w:sz w:val="24"/>
          <w:szCs w:val="24"/>
        </w:rPr>
        <w:t xml:space="preserve"> </w:t>
      </w:r>
      <w:r w:rsidRPr="00FB03AB">
        <w:rPr>
          <w:rFonts w:ascii="Arial" w:hAnsi="Arial" w:cs="Arial"/>
          <w:i/>
          <w:iCs/>
          <w:sz w:val="24"/>
          <w:szCs w:val="24"/>
        </w:rPr>
        <w:t>guide to connecting children, families and schools.</w:t>
      </w:r>
      <w:r w:rsidRPr="00FB03AB">
        <w:rPr>
          <w:rFonts w:ascii="Arial" w:hAnsi="Arial" w:cs="Arial"/>
          <w:sz w:val="24"/>
          <w:szCs w:val="24"/>
        </w:rPr>
        <w:t xml:space="preserve"> Baltimore: Brookes Publishing.</w:t>
      </w:r>
    </w:p>
    <w:p w14:paraId="1E351AF4" w14:textId="77777777" w:rsidR="00D113F8" w:rsidRPr="00FB03AB" w:rsidRDefault="00D113F8" w:rsidP="00FB03AB">
      <w:pPr>
        <w:spacing w:before="100" w:beforeAutospacing="1" w:after="100" w:afterAutospacing="1" w:line="360" w:lineRule="auto"/>
        <w:jc w:val="both"/>
        <w:rPr>
          <w:rFonts w:ascii="Arial" w:hAnsi="Arial" w:cs="Arial"/>
          <w:color w:val="3A3A3A"/>
          <w:sz w:val="24"/>
          <w:szCs w:val="24"/>
          <w:shd w:val="clear" w:color="auto" w:fill="FFFFFF"/>
        </w:rPr>
      </w:pPr>
      <w:r w:rsidRPr="00FB03AB">
        <w:rPr>
          <w:rFonts w:ascii="Arial" w:hAnsi="Arial" w:cs="Arial"/>
          <w:color w:val="3A3A3A"/>
          <w:sz w:val="24"/>
          <w:szCs w:val="24"/>
          <w:shd w:val="clear" w:color="auto" w:fill="FFFFFF"/>
        </w:rPr>
        <w:t>Pichère, P. and Cadiat, A.-C. (2015) </w:t>
      </w:r>
      <w:r w:rsidRPr="00FB03AB">
        <w:rPr>
          <w:rFonts w:ascii="Arial" w:hAnsi="Arial" w:cs="Arial"/>
          <w:i/>
          <w:iCs/>
          <w:color w:val="3A3A3A"/>
          <w:sz w:val="24"/>
          <w:szCs w:val="24"/>
          <w:shd w:val="clear" w:color="auto" w:fill="FFFFFF"/>
        </w:rPr>
        <w:t>Maslow’s hierarchy of needs</w:t>
      </w:r>
      <w:r w:rsidRPr="00FB03AB">
        <w:rPr>
          <w:rFonts w:ascii="Arial" w:hAnsi="Arial" w:cs="Arial"/>
          <w:color w:val="3A3A3A"/>
          <w:sz w:val="24"/>
          <w:szCs w:val="24"/>
          <w:shd w:val="clear" w:color="auto" w:fill="FFFFFF"/>
        </w:rPr>
        <w:t>. Translated by C. Probert. Namur: Lemaitre Publishing.</w:t>
      </w:r>
    </w:p>
    <w:p w14:paraId="64C94902" w14:textId="21BD98E3" w:rsidR="00385998" w:rsidRPr="00FB03AB" w:rsidRDefault="00385998" w:rsidP="00FB03AB">
      <w:pPr>
        <w:spacing w:line="360" w:lineRule="auto"/>
        <w:rPr>
          <w:rFonts w:ascii="Arial" w:hAnsi="Arial" w:cs="Arial"/>
          <w:sz w:val="24"/>
          <w:szCs w:val="24"/>
        </w:rPr>
      </w:pPr>
      <w:r w:rsidRPr="00FB03AB">
        <w:rPr>
          <w:rFonts w:ascii="Arial" w:hAnsi="Arial" w:cs="Arial"/>
          <w:sz w:val="24"/>
          <w:szCs w:val="24"/>
        </w:rPr>
        <w:t xml:space="preserve">Rimm-Kaufman, S. E., and Pianta, R. C. (2000). </w:t>
      </w:r>
      <w:r w:rsidRPr="00FB03AB">
        <w:rPr>
          <w:rFonts w:ascii="Arial" w:hAnsi="Arial" w:cs="Arial"/>
          <w:i/>
          <w:iCs/>
          <w:sz w:val="24"/>
          <w:szCs w:val="24"/>
        </w:rPr>
        <w:t>An ecological perspective on the</w:t>
      </w:r>
      <w:r w:rsidRPr="00FB03AB">
        <w:rPr>
          <w:rFonts w:ascii="Arial" w:hAnsi="Arial" w:cs="Arial"/>
          <w:sz w:val="24"/>
          <w:szCs w:val="24"/>
        </w:rPr>
        <w:t xml:space="preserve"> </w:t>
      </w:r>
      <w:r w:rsidRPr="00FB03AB">
        <w:rPr>
          <w:rFonts w:ascii="Arial" w:hAnsi="Arial" w:cs="Arial"/>
          <w:i/>
          <w:iCs/>
          <w:sz w:val="24"/>
          <w:szCs w:val="24"/>
        </w:rPr>
        <w:t>transition to kindergarten: A theoretical framework to guide empirical research.</w:t>
      </w:r>
      <w:r w:rsidRPr="00FB03AB">
        <w:rPr>
          <w:rFonts w:ascii="Arial" w:hAnsi="Arial" w:cs="Arial"/>
          <w:sz w:val="24"/>
          <w:szCs w:val="24"/>
        </w:rPr>
        <w:t xml:space="preserve"> Journal of Applied Developmental Psychology</w:t>
      </w:r>
      <w:r w:rsidR="00D43DAE" w:rsidRPr="00FB03AB">
        <w:rPr>
          <w:rFonts w:ascii="Arial" w:hAnsi="Arial" w:cs="Arial"/>
          <w:sz w:val="24"/>
          <w:szCs w:val="24"/>
        </w:rPr>
        <w:t>, 21(5), pp. 491-511.</w:t>
      </w:r>
    </w:p>
    <w:p w14:paraId="61FF792D" w14:textId="42A75E99" w:rsidR="00EA2A8D" w:rsidRPr="00FB03AB" w:rsidRDefault="00EA2A8D" w:rsidP="00FB03AB">
      <w:pPr>
        <w:spacing w:line="360" w:lineRule="auto"/>
        <w:rPr>
          <w:rFonts w:ascii="Arial" w:hAnsi="Arial" w:cs="Arial"/>
          <w:sz w:val="24"/>
          <w:szCs w:val="24"/>
        </w:rPr>
      </w:pPr>
      <w:r w:rsidRPr="00FB03AB">
        <w:rPr>
          <w:rFonts w:ascii="Arial" w:hAnsi="Arial" w:cs="Arial"/>
          <w:sz w:val="24"/>
          <w:szCs w:val="24"/>
        </w:rPr>
        <w:t>Rinaldi, C. (2006)</w:t>
      </w:r>
      <w:r w:rsidR="00CC4514" w:rsidRPr="00FB03AB">
        <w:rPr>
          <w:rFonts w:ascii="Arial" w:hAnsi="Arial" w:cs="Arial"/>
          <w:sz w:val="24"/>
          <w:szCs w:val="24"/>
        </w:rPr>
        <w:t xml:space="preserve">. In Dialogue with Reggio Emilia: </w:t>
      </w:r>
      <w:r w:rsidR="00CC4514" w:rsidRPr="00FB03AB">
        <w:rPr>
          <w:rFonts w:ascii="Arial" w:hAnsi="Arial" w:cs="Arial"/>
          <w:i/>
          <w:iCs/>
          <w:sz w:val="24"/>
          <w:szCs w:val="24"/>
        </w:rPr>
        <w:t>Listening, Research and</w:t>
      </w:r>
      <w:r w:rsidR="00CC4514" w:rsidRPr="00FB03AB">
        <w:rPr>
          <w:rFonts w:ascii="Arial" w:hAnsi="Arial" w:cs="Arial"/>
          <w:sz w:val="24"/>
          <w:szCs w:val="24"/>
        </w:rPr>
        <w:t xml:space="preserve"> </w:t>
      </w:r>
      <w:r w:rsidR="00CC4514" w:rsidRPr="00FB03AB">
        <w:rPr>
          <w:rFonts w:ascii="Arial" w:hAnsi="Arial" w:cs="Arial"/>
          <w:i/>
          <w:iCs/>
          <w:sz w:val="24"/>
          <w:szCs w:val="24"/>
        </w:rPr>
        <w:t>Learning.</w:t>
      </w:r>
      <w:r w:rsidR="00CC4514" w:rsidRPr="00FB03AB">
        <w:rPr>
          <w:rFonts w:ascii="Arial" w:hAnsi="Arial" w:cs="Arial"/>
          <w:sz w:val="24"/>
          <w:szCs w:val="24"/>
        </w:rPr>
        <w:t xml:space="preserve"> Routledge.</w:t>
      </w:r>
    </w:p>
    <w:p w14:paraId="4745C1D3" w14:textId="77777777" w:rsidR="000111FA" w:rsidRPr="00FB03AB" w:rsidRDefault="000111FA" w:rsidP="00FB03AB">
      <w:pPr>
        <w:spacing w:line="360" w:lineRule="auto"/>
        <w:rPr>
          <w:rFonts w:ascii="Arial" w:hAnsi="Arial" w:cs="Arial"/>
          <w:sz w:val="24"/>
          <w:szCs w:val="24"/>
        </w:rPr>
      </w:pPr>
      <w:r w:rsidRPr="00FB03AB">
        <w:rPr>
          <w:rFonts w:ascii="Arial" w:hAnsi="Arial" w:cs="Arial"/>
          <w:sz w:val="24"/>
          <w:szCs w:val="24"/>
        </w:rPr>
        <w:t xml:space="preserve">Vogler, P., Crivello, G. and Woodhead, M. (2008) </w:t>
      </w:r>
      <w:r w:rsidRPr="00FB03AB">
        <w:rPr>
          <w:rFonts w:ascii="Arial" w:hAnsi="Arial" w:cs="Arial"/>
          <w:i/>
          <w:iCs/>
          <w:sz w:val="24"/>
          <w:szCs w:val="24"/>
        </w:rPr>
        <w:t>Early childhood transitions research: A review of concepts, theory and practice.</w:t>
      </w:r>
      <w:r w:rsidRPr="00FB03AB">
        <w:rPr>
          <w:rFonts w:ascii="Arial" w:hAnsi="Arial" w:cs="Arial"/>
          <w:sz w:val="24"/>
          <w:szCs w:val="24"/>
        </w:rPr>
        <w:t xml:space="preserve"> Working Paper No. 48. The Hague, the Netherlands: Bernard van Leer Foundation.</w:t>
      </w:r>
    </w:p>
    <w:p w14:paraId="41329FF7" w14:textId="4E2F9AA6" w:rsidR="000111FA" w:rsidRPr="00FB03AB" w:rsidRDefault="000111FA" w:rsidP="00FB03AB">
      <w:pPr>
        <w:spacing w:line="360" w:lineRule="auto"/>
        <w:rPr>
          <w:rFonts w:ascii="Arial" w:eastAsia="Times New Roman" w:hAnsi="Arial" w:cs="Arial"/>
          <w:sz w:val="24"/>
          <w:szCs w:val="24"/>
          <w:lang w:eastAsia="en-GB"/>
        </w:rPr>
      </w:pPr>
      <w:r w:rsidRPr="00FB03AB">
        <w:rPr>
          <w:rFonts w:ascii="Arial" w:eastAsia="Times New Roman" w:hAnsi="Arial" w:cs="Arial"/>
          <w:sz w:val="24"/>
          <w:szCs w:val="24"/>
          <w:lang w:eastAsia="en-GB"/>
        </w:rPr>
        <w:t>Wood, L. (2018). Changing lives: The McMillian Sisters and the limits of transformational power. In L. M. Lerman (Ed.), Foundations of Early Childhood</w:t>
      </w:r>
    </w:p>
    <w:p w14:paraId="64F9AA28" w14:textId="77777777" w:rsidR="000111FA" w:rsidRPr="00FB03AB" w:rsidRDefault="000111FA" w:rsidP="00FB03AB">
      <w:pPr>
        <w:shd w:val="clear" w:color="auto" w:fill="FFFFFF"/>
        <w:spacing w:line="360" w:lineRule="auto"/>
        <w:rPr>
          <w:rFonts w:ascii="Arial" w:hAnsi="Arial" w:cs="Arial"/>
          <w:sz w:val="24"/>
          <w:szCs w:val="24"/>
        </w:rPr>
      </w:pPr>
      <w:hyperlink r:id="rId26" w:history="1">
        <w:r w:rsidRPr="00FB03AB">
          <w:rPr>
            <w:rStyle w:val="Hyperlink"/>
            <w:rFonts w:ascii="Arial" w:hAnsi="Arial" w:cs="Arial"/>
            <w:sz w:val="24"/>
            <w:szCs w:val="24"/>
          </w:rPr>
          <w:t>Well-being of Future Generations (Wales) Act 2015: the essentials [HTML] | GOV.WALES</w:t>
        </w:r>
      </w:hyperlink>
    </w:p>
    <w:p w14:paraId="12108184" w14:textId="77777777" w:rsidR="000111FA" w:rsidRPr="00112D22" w:rsidRDefault="000111FA" w:rsidP="000111FA">
      <w:pPr>
        <w:rPr>
          <w:rFonts w:ascii="Arial" w:hAnsi="Arial" w:cs="Arial"/>
          <w:sz w:val="24"/>
          <w:szCs w:val="24"/>
        </w:rPr>
      </w:pPr>
    </w:p>
    <w:p w14:paraId="35563541" w14:textId="77777777" w:rsidR="000111FA" w:rsidRPr="008D51C9" w:rsidRDefault="000111FA" w:rsidP="00112D22">
      <w:pPr>
        <w:spacing w:before="100" w:beforeAutospacing="1" w:after="100" w:afterAutospacing="1" w:line="240" w:lineRule="auto"/>
        <w:rPr>
          <w:rFonts w:ascii="Arial" w:eastAsia="Times New Roman" w:hAnsi="Arial" w:cs="Arial"/>
          <w:i/>
          <w:iCs/>
          <w:sz w:val="24"/>
          <w:szCs w:val="24"/>
          <w:lang w:eastAsia="en-GB"/>
        </w:rPr>
      </w:pPr>
    </w:p>
    <w:p w14:paraId="0E7F529A" w14:textId="77777777" w:rsidR="00112D22" w:rsidRPr="00C64009" w:rsidRDefault="00112D22" w:rsidP="00C64009">
      <w:pPr>
        <w:shd w:val="clear" w:color="auto" w:fill="FFFFFF"/>
        <w:spacing w:line="240" w:lineRule="auto"/>
        <w:rPr>
          <w:rFonts w:ascii="Arial" w:eastAsia="Times New Roman" w:hAnsi="Arial" w:cs="Arial"/>
          <w:sz w:val="24"/>
          <w:szCs w:val="24"/>
          <w:lang w:eastAsia="en-GB"/>
        </w:rPr>
      </w:pPr>
    </w:p>
    <w:p w14:paraId="055711C2" w14:textId="2FF1C072" w:rsidR="00C64009" w:rsidRPr="009A08C9" w:rsidRDefault="00C64009" w:rsidP="00C64009">
      <w:pPr>
        <w:spacing w:before="100" w:beforeAutospacing="1" w:after="100" w:afterAutospacing="1" w:line="360" w:lineRule="auto"/>
        <w:jc w:val="both"/>
        <w:rPr>
          <w:rFonts w:ascii="Arial" w:eastAsia="Times New Roman" w:hAnsi="Arial" w:cs="Arial"/>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A08C9">
        <w:rPr>
          <w:rFonts w:ascii="Arial" w:eastAsia="Times New Roman" w:hAnsi="Arial" w:cs="Arial"/>
          <w:sz w:val="24"/>
          <w:szCs w:val="24"/>
          <w:lang w:eastAsia="en-GB"/>
        </w:rPr>
        <w:t> </w:t>
      </w:r>
    </w:p>
    <w:p w14:paraId="1AA6C125" w14:textId="47A01615" w:rsidR="0014612D" w:rsidRPr="00112D22" w:rsidRDefault="0014612D" w:rsidP="007B0648">
      <w:pPr>
        <w:spacing w:line="360" w:lineRule="auto"/>
        <w:jc w:val="both"/>
        <w:rPr>
          <w:rFonts w:ascii="Arial" w:hAnsi="Arial" w:cs="Arial"/>
          <w:sz w:val="24"/>
          <w:szCs w:val="24"/>
        </w:rPr>
      </w:pPr>
    </w:p>
    <w:sectPr w:rsidR="0014612D" w:rsidRPr="00112D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D6AE9"/>
    <w:multiLevelType w:val="multilevel"/>
    <w:tmpl w:val="86EC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05368F"/>
    <w:multiLevelType w:val="multilevel"/>
    <w:tmpl w:val="B50E64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290709"/>
    <w:multiLevelType w:val="hybridMultilevel"/>
    <w:tmpl w:val="0AA6DD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A20D4A"/>
    <w:multiLevelType w:val="multilevel"/>
    <w:tmpl w:val="E0E67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115C61"/>
    <w:multiLevelType w:val="multilevel"/>
    <w:tmpl w:val="7F7C32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BC678F"/>
    <w:multiLevelType w:val="multilevel"/>
    <w:tmpl w:val="503682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4019F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B6F4751"/>
    <w:multiLevelType w:val="multilevel"/>
    <w:tmpl w:val="86889D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0052841">
    <w:abstractNumId w:val="1"/>
  </w:num>
  <w:num w:numId="2" w16cid:durableId="1983077616">
    <w:abstractNumId w:val="3"/>
  </w:num>
  <w:num w:numId="3" w16cid:durableId="856432535">
    <w:abstractNumId w:val="4"/>
  </w:num>
  <w:num w:numId="4" w16cid:durableId="1412846505">
    <w:abstractNumId w:val="5"/>
  </w:num>
  <w:num w:numId="5" w16cid:durableId="981010043">
    <w:abstractNumId w:val="7"/>
  </w:num>
  <w:num w:numId="6" w16cid:durableId="1873881868">
    <w:abstractNumId w:val="2"/>
  </w:num>
  <w:num w:numId="7" w16cid:durableId="1716156425">
    <w:abstractNumId w:val="6"/>
  </w:num>
  <w:num w:numId="8" w16cid:durableId="290209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CE8"/>
    <w:rsid w:val="00007672"/>
    <w:rsid w:val="000111FA"/>
    <w:rsid w:val="00025B80"/>
    <w:rsid w:val="000432DF"/>
    <w:rsid w:val="00072D62"/>
    <w:rsid w:val="00083CC1"/>
    <w:rsid w:val="0009739B"/>
    <w:rsid w:val="000A1337"/>
    <w:rsid w:val="000C60F3"/>
    <w:rsid w:val="0010163D"/>
    <w:rsid w:val="00107851"/>
    <w:rsid w:val="00111E86"/>
    <w:rsid w:val="00112D22"/>
    <w:rsid w:val="00141F4A"/>
    <w:rsid w:val="0014612D"/>
    <w:rsid w:val="00155921"/>
    <w:rsid w:val="00157DE5"/>
    <w:rsid w:val="00174BD6"/>
    <w:rsid w:val="00181472"/>
    <w:rsid w:val="00181CE8"/>
    <w:rsid w:val="001831CF"/>
    <w:rsid w:val="00187FE8"/>
    <w:rsid w:val="001B78FB"/>
    <w:rsid w:val="00207351"/>
    <w:rsid w:val="0021097A"/>
    <w:rsid w:val="002348CF"/>
    <w:rsid w:val="00250FB0"/>
    <w:rsid w:val="00295339"/>
    <w:rsid w:val="002B55B2"/>
    <w:rsid w:val="002C7291"/>
    <w:rsid w:val="002E7CEE"/>
    <w:rsid w:val="00317D64"/>
    <w:rsid w:val="0032111A"/>
    <w:rsid w:val="0035032F"/>
    <w:rsid w:val="00354A5B"/>
    <w:rsid w:val="00385998"/>
    <w:rsid w:val="003E15E3"/>
    <w:rsid w:val="00411249"/>
    <w:rsid w:val="00420128"/>
    <w:rsid w:val="00446458"/>
    <w:rsid w:val="004507F1"/>
    <w:rsid w:val="0046641E"/>
    <w:rsid w:val="00466AB4"/>
    <w:rsid w:val="004A7205"/>
    <w:rsid w:val="004F6732"/>
    <w:rsid w:val="00512AEF"/>
    <w:rsid w:val="00523239"/>
    <w:rsid w:val="00537EB4"/>
    <w:rsid w:val="00554802"/>
    <w:rsid w:val="0056150F"/>
    <w:rsid w:val="00581881"/>
    <w:rsid w:val="005A6960"/>
    <w:rsid w:val="005E45D1"/>
    <w:rsid w:val="005F2A8F"/>
    <w:rsid w:val="005F79FA"/>
    <w:rsid w:val="0061186E"/>
    <w:rsid w:val="00665F20"/>
    <w:rsid w:val="006922D0"/>
    <w:rsid w:val="00693827"/>
    <w:rsid w:val="006B0C40"/>
    <w:rsid w:val="006C11F8"/>
    <w:rsid w:val="006F663C"/>
    <w:rsid w:val="007173B9"/>
    <w:rsid w:val="00724A30"/>
    <w:rsid w:val="007729D2"/>
    <w:rsid w:val="00786890"/>
    <w:rsid w:val="007A3ACF"/>
    <w:rsid w:val="007B0648"/>
    <w:rsid w:val="007B682A"/>
    <w:rsid w:val="007E021A"/>
    <w:rsid w:val="0088072C"/>
    <w:rsid w:val="008939AB"/>
    <w:rsid w:val="008A6E6D"/>
    <w:rsid w:val="008B4F2B"/>
    <w:rsid w:val="008D4304"/>
    <w:rsid w:val="008D51C9"/>
    <w:rsid w:val="008E0A4B"/>
    <w:rsid w:val="008F4233"/>
    <w:rsid w:val="009043A1"/>
    <w:rsid w:val="00927C79"/>
    <w:rsid w:val="00961B57"/>
    <w:rsid w:val="00964AD0"/>
    <w:rsid w:val="00993EBB"/>
    <w:rsid w:val="009A08C9"/>
    <w:rsid w:val="00A32615"/>
    <w:rsid w:val="00A355C1"/>
    <w:rsid w:val="00AC629C"/>
    <w:rsid w:val="00AF72FA"/>
    <w:rsid w:val="00B0094B"/>
    <w:rsid w:val="00B06C82"/>
    <w:rsid w:val="00B74F97"/>
    <w:rsid w:val="00BA684D"/>
    <w:rsid w:val="00BC0CE4"/>
    <w:rsid w:val="00BC2EAC"/>
    <w:rsid w:val="00BE7676"/>
    <w:rsid w:val="00BF700D"/>
    <w:rsid w:val="00C017D8"/>
    <w:rsid w:val="00C0688B"/>
    <w:rsid w:val="00C13351"/>
    <w:rsid w:val="00C1389E"/>
    <w:rsid w:val="00C25020"/>
    <w:rsid w:val="00C32C58"/>
    <w:rsid w:val="00C54F7B"/>
    <w:rsid w:val="00C64009"/>
    <w:rsid w:val="00C65610"/>
    <w:rsid w:val="00C67427"/>
    <w:rsid w:val="00C72FC8"/>
    <w:rsid w:val="00CA1F1E"/>
    <w:rsid w:val="00CC4514"/>
    <w:rsid w:val="00CD5455"/>
    <w:rsid w:val="00CD6439"/>
    <w:rsid w:val="00CF2236"/>
    <w:rsid w:val="00CF3B04"/>
    <w:rsid w:val="00D062D6"/>
    <w:rsid w:val="00D113F8"/>
    <w:rsid w:val="00D40D1A"/>
    <w:rsid w:val="00D41BDD"/>
    <w:rsid w:val="00D43DAE"/>
    <w:rsid w:val="00D44BF8"/>
    <w:rsid w:val="00D91E29"/>
    <w:rsid w:val="00DA07CA"/>
    <w:rsid w:val="00DE2FB8"/>
    <w:rsid w:val="00E03489"/>
    <w:rsid w:val="00E0466F"/>
    <w:rsid w:val="00E96620"/>
    <w:rsid w:val="00EA2A8D"/>
    <w:rsid w:val="00EB1CCC"/>
    <w:rsid w:val="00EB33E9"/>
    <w:rsid w:val="00EC6597"/>
    <w:rsid w:val="00ED3AF4"/>
    <w:rsid w:val="00EF1B61"/>
    <w:rsid w:val="00EF3968"/>
    <w:rsid w:val="00F05F33"/>
    <w:rsid w:val="00F348E3"/>
    <w:rsid w:val="00F427F9"/>
    <w:rsid w:val="00F54682"/>
    <w:rsid w:val="00F83928"/>
    <w:rsid w:val="00F86F7F"/>
    <w:rsid w:val="00FB03AB"/>
    <w:rsid w:val="00FB0B28"/>
    <w:rsid w:val="00FB3781"/>
    <w:rsid w:val="00FE4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B0F94"/>
  <w15:chartTrackingRefBased/>
  <w15:docId w15:val="{9BE1FC20-0F90-4162-9514-A72AF34C8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163D"/>
    <w:rPr>
      <w:color w:val="0000FF"/>
      <w:u w:val="single"/>
    </w:rPr>
  </w:style>
  <w:style w:type="character" w:customStyle="1" w:styleId="published-date">
    <w:name w:val="published-date"/>
    <w:basedOn w:val="DefaultParagraphFont"/>
    <w:rsid w:val="002348CF"/>
  </w:style>
  <w:style w:type="paragraph" w:styleId="ListParagraph">
    <w:name w:val="List Paragraph"/>
    <w:basedOn w:val="Normal"/>
    <w:uiPriority w:val="34"/>
    <w:qFormat/>
    <w:rsid w:val="0035032F"/>
    <w:pPr>
      <w:ind w:left="720"/>
      <w:contextualSpacing/>
    </w:pPr>
  </w:style>
  <w:style w:type="character" w:styleId="UnresolvedMention">
    <w:name w:val="Unresolved Mention"/>
    <w:basedOn w:val="DefaultParagraphFont"/>
    <w:uiPriority w:val="99"/>
    <w:semiHidden/>
    <w:unhideWhenUsed/>
    <w:rsid w:val="00964AD0"/>
    <w:rPr>
      <w:color w:val="605E5C"/>
      <w:shd w:val="clear" w:color="auto" w:fill="E1DFDD"/>
    </w:rPr>
  </w:style>
  <w:style w:type="character" w:styleId="Emphasis">
    <w:name w:val="Emphasis"/>
    <w:basedOn w:val="DefaultParagraphFont"/>
    <w:uiPriority w:val="20"/>
    <w:qFormat/>
    <w:rsid w:val="008D51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397465">
      <w:bodyDiv w:val="1"/>
      <w:marLeft w:val="0"/>
      <w:marRight w:val="0"/>
      <w:marTop w:val="0"/>
      <w:marBottom w:val="0"/>
      <w:divBdr>
        <w:top w:val="none" w:sz="0" w:space="0" w:color="auto"/>
        <w:left w:val="none" w:sz="0" w:space="0" w:color="auto"/>
        <w:bottom w:val="none" w:sz="0" w:space="0" w:color="auto"/>
        <w:right w:val="none" w:sz="0" w:space="0" w:color="auto"/>
      </w:divBdr>
    </w:div>
    <w:div w:id="728772659">
      <w:bodyDiv w:val="1"/>
      <w:marLeft w:val="0"/>
      <w:marRight w:val="0"/>
      <w:marTop w:val="0"/>
      <w:marBottom w:val="0"/>
      <w:divBdr>
        <w:top w:val="none" w:sz="0" w:space="0" w:color="auto"/>
        <w:left w:val="none" w:sz="0" w:space="0" w:color="auto"/>
        <w:bottom w:val="none" w:sz="0" w:space="0" w:color="auto"/>
        <w:right w:val="none" w:sz="0" w:space="0" w:color="auto"/>
      </w:divBdr>
      <w:divsChild>
        <w:div w:id="1877304560">
          <w:marLeft w:val="0"/>
          <w:marRight w:val="0"/>
          <w:marTop w:val="0"/>
          <w:marBottom w:val="0"/>
          <w:divBdr>
            <w:top w:val="none" w:sz="0" w:space="0" w:color="auto"/>
            <w:left w:val="none" w:sz="0" w:space="0" w:color="auto"/>
            <w:bottom w:val="none" w:sz="0" w:space="0" w:color="auto"/>
            <w:right w:val="none" w:sz="0" w:space="0" w:color="auto"/>
          </w:divBdr>
          <w:divsChild>
            <w:div w:id="856693444">
              <w:marLeft w:val="0"/>
              <w:marRight w:val="0"/>
              <w:marTop w:val="0"/>
              <w:marBottom w:val="0"/>
              <w:divBdr>
                <w:top w:val="none" w:sz="0" w:space="0" w:color="auto"/>
                <w:left w:val="none" w:sz="0" w:space="0" w:color="auto"/>
                <w:bottom w:val="none" w:sz="0" w:space="0" w:color="auto"/>
                <w:right w:val="none" w:sz="0" w:space="0" w:color="auto"/>
              </w:divBdr>
              <w:divsChild>
                <w:div w:id="2121993034">
                  <w:marLeft w:val="0"/>
                  <w:marRight w:val="0"/>
                  <w:marTop w:val="0"/>
                  <w:marBottom w:val="0"/>
                  <w:divBdr>
                    <w:top w:val="none" w:sz="0" w:space="0" w:color="auto"/>
                    <w:left w:val="none" w:sz="0" w:space="0" w:color="auto"/>
                    <w:bottom w:val="none" w:sz="0" w:space="0" w:color="auto"/>
                    <w:right w:val="none" w:sz="0" w:space="0" w:color="auto"/>
                  </w:divBdr>
                  <w:divsChild>
                    <w:div w:id="136394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097903">
          <w:marLeft w:val="0"/>
          <w:marRight w:val="0"/>
          <w:marTop w:val="0"/>
          <w:marBottom w:val="0"/>
          <w:divBdr>
            <w:top w:val="none" w:sz="0" w:space="0" w:color="auto"/>
            <w:left w:val="none" w:sz="0" w:space="0" w:color="auto"/>
            <w:bottom w:val="none" w:sz="0" w:space="0" w:color="auto"/>
            <w:right w:val="none" w:sz="0" w:space="0" w:color="auto"/>
          </w:divBdr>
          <w:divsChild>
            <w:div w:id="316962855">
              <w:marLeft w:val="0"/>
              <w:marRight w:val="0"/>
              <w:marTop w:val="0"/>
              <w:marBottom w:val="0"/>
              <w:divBdr>
                <w:top w:val="none" w:sz="0" w:space="0" w:color="auto"/>
                <w:left w:val="none" w:sz="0" w:space="0" w:color="auto"/>
                <w:bottom w:val="none" w:sz="0" w:space="0" w:color="auto"/>
                <w:right w:val="none" w:sz="0" w:space="0" w:color="auto"/>
              </w:divBdr>
              <w:divsChild>
                <w:div w:id="1520461068">
                  <w:marLeft w:val="0"/>
                  <w:marRight w:val="0"/>
                  <w:marTop w:val="0"/>
                  <w:marBottom w:val="0"/>
                  <w:divBdr>
                    <w:top w:val="none" w:sz="0" w:space="0" w:color="auto"/>
                    <w:left w:val="none" w:sz="0" w:space="0" w:color="auto"/>
                    <w:bottom w:val="none" w:sz="0" w:space="0" w:color="auto"/>
                    <w:right w:val="none" w:sz="0" w:space="0" w:color="auto"/>
                  </w:divBdr>
                  <w:divsChild>
                    <w:div w:id="174051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971269">
      <w:bodyDiv w:val="1"/>
      <w:marLeft w:val="0"/>
      <w:marRight w:val="0"/>
      <w:marTop w:val="0"/>
      <w:marBottom w:val="0"/>
      <w:divBdr>
        <w:top w:val="none" w:sz="0" w:space="0" w:color="auto"/>
        <w:left w:val="none" w:sz="0" w:space="0" w:color="auto"/>
        <w:bottom w:val="none" w:sz="0" w:space="0" w:color="auto"/>
        <w:right w:val="none" w:sz="0" w:space="0" w:color="auto"/>
      </w:divBdr>
      <w:divsChild>
        <w:div w:id="1594780066">
          <w:marLeft w:val="0"/>
          <w:marRight w:val="0"/>
          <w:marTop w:val="0"/>
          <w:marBottom w:val="0"/>
          <w:divBdr>
            <w:top w:val="none" w:sz="0" w:space="0" w:color="auto"/>
            <w:left w:val="none" w:sz="0" w:space="0" w:color="auto"/>
            <w:bottom w:val="single" w:sz="6" w:space="23" w:color="E1E4E6"/>
            <w:right w:val="none" w:sz="0" w:space="0" w:color="auto"/>
          </w:divBdr>
          <w:divsChild>
            <w:div w:id="429355565">
              <w:marLeft w:val="0"/>
              <w:marRight w:val="0"/>
              <w:marTop w:val="0"/>
              <w:marBottom w:val="0"/>
              <w:divBdr>
                <w:top w:val="none" w:sz="0" w:space="0" w:color="auto"/>
                <w:left w:val="none" w:sz="0" w:space="0" w:color="auto"/>
                <w:bottom w:val="none" w:sz="0" w:space="0" w:color="auto"/>
                <w:right w:val="none" w:sz="0" w:space="0" w:color="auto"/>
              </w:divBdr>
              <w:divsChild>
                <w:div w:id="32313185">
                  <w:marLeft w:val="0"/>
                  <w:marRight w:val="0"/>
                  <w:marTop w:val="0"/>
                  <w:marBottom w:val="0"/>
                  <w:divBdr>
                    <w:top w:val="none" w:sz="0" w:space="0" w:color="auto"/>
                    <w:left w:val="none" w:sz="0" w:space="0" w:color="auto"/>
                    <w:bottom w:val="none" w:sz="0" w:space="0" w:color="auto"/>
                    <w:right w:val="none" w:sz="0" w:space="0" w:color="auto"/>
                  </w:divBdr>
                  <w:divsChild>
                    <w:div w:id="1439986065">
                      <w:marLeft w:val="0"/>
                      <w:marRight w:val="0"/>
                      <w:marTop w:val="0"/>
                      <w:marBottom w:val="0"/>
                      <w:divBdr>
                        <w:top w:val="none" w:sz="0" w:space="0" w:color="auto"/>
                        <w:left w:val="none" w:sz="0" w:space="0" w:color="auto"/>
                        <w:bottom w:val="none" w:sz="0" w:space="0" w:color="auto"/>
                        <w:right w:val="none" w:sz="0" w:space="0" w:color="auto"/>
                      </w:divBdr>
                      <w:divsChild>
                        <w:div w:id="1318372">
                          <w:marLeft w:val="0"/>
                          <w:marRight w:val="0"/>
                          <w:marTop w:val="0"/>
                          <w:marBottom w:val="0"/>
                          <w:divBdr>
                            <w:top w:val="none" w:sz="0" w:space="0" w:color="auto"/>
                            <w:left w:val="none" w:sz="0" w:space="0" w:color="auto"/>
                            <w:bottom w:val="none" w:sz="0" w:space="0" w:color="auto"/>
                            <w:right w:val="none" w:sz="0" w:space="0" w:color="auto"/>
                          </w:divBdr>
                          <w:divsChild>
                            <w:div w:id="17880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77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24665">
      <w:bodyDiv w:val="1"/>
      <w:marLeft w:val="0"/>
      <w:marRight w:val="0"/>
      <w:marTop w:val="0"/>
      <w:marBottom w:val="0"/>
      <w:divBdr>
        <w:top w:val="none" w:sz="0" w:space="0" w:color="auto"/>
        <w:left w:val="none" w:sz="0" w:space="0" w:color="auto"/>
        <w:bottom w:val="none" w:sz="0" w:space="0" w:color="auto"/>
        <w:right w:val="none" w:sz="0" w:space="0" w:color="auto"/>
      </w:divBdr>
    </w:div>
    <w:div w:id="1518302344">
      <w:bodyDiv w:val="1"/>
      <w:marLeft w:val="0"/>
      <w:marRight w:val="0"/>
      <w:marTop w:val="0"/>
      <w:marBottom w:val="0"/>
      <w:divBdr>
        <w:top w:val="none" w:sz="0" w:space="0" w:color="auto"/>
        <w:left w:val="none" w:sz="0" w:space="0" w:color="auto"/>
        <w:bottom w:val="none" w:sz="0" w:space="0" w:color="auto"/>
        <w:right w:val="none" w:sz="0" w:space="0" w:color="auto"/>
      </w:divBdr>
      <w:divsChild>
        <w:div w:id="657852112">
          <w:marLeft w:val="0"/>
          <w:marRight w:val="0"/>
          <w:marTop w:val="0"/>
          <w:marBottom w:val="0"/>
          <w:divBdr>
            <w:top w:val="none" w:sz="0" w:space="0" w:color="auto"/>
            <w:left w:val="none" w:sz="0" w:space="0" w:color="auto"/>
            <w:bottom w:val="none" w:sz="0" w:space="0" w:color="auto"/>
            <w:right w:val="none" w:sz="0" w:space="0" w:color="auto"/>
          </w:divBdr>
          <w:divsChild>
            <w:div w:id="1227381437">
              <w:marLeft w:val="0"/>
              <w:marRight w:val="0"/>
              <w:marTop w:val="0"/>
              <w:marBottom w:val="0"/>
              <w:divBdr>
                <w:top w:val="none" w:sz="0" w:space="0" w:color="auto"/>
                <w:left w:val="none" w:sz="0" w:space="0" w:color="auto"/>
                <w:bottom w:val="none" w:sz="0" w:space="0" w:color="auto"/>
                <w:right w:val="none" w:sz="0" w:space="0" w:color="auto"/>
              </w:divBdr>
              <w:divsChild>
                <w:div w:id="494297580">
                  <w:marLeft w:val="0"/>
                  <w:marRight w:val="0"/>
                  <w:marTop w:val="0"/>
                  <w:marBottom w:val="0"/>
                  <w:divBdr>
                    <w:top w:val="none" w:sz="0" w:space="0" w:color="auto"/>
                    <w:left w:val="none" w:sz="0" w:space="0" w:color="auto"/>
                    <w:bottom w:val="none" w:sz="0" w:space="0" w:color="auto"/>
                    <w:right w:val="none" w:sz="0" w:space="0" w:color="auto"/>
                  </w:divBdr>
                  <w:divsChild>
                    <w:div w:id="66664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351642">
          <w:marLeft w:val="0"/>
          <w:marRight w:val="0"/>
          <w:marTop w:val="0"/>
          <w:marBottom w:val="0"/>
          <w:divBdr>
            <w:top w:val="none" w:sz="0" w:space="0" w:color="auto"/>
            <w:left w:val="none" w:sz="0" w:space="0" w:color="auto"/>
            <w:bottom w:val="none" w:sz="0" w:space="0" w:color="auto"/>
            <w:right w:val="none" w:sz="0" w:space="0" w:color="auto"/>
          </w:divBdr>
          <w:divsChild>
            <w:div w:id="1584484998">
              <w:marLeft w:val="0"/>
              <w:marRight w:val="0"/>
              <w:marTop w:val="0"/>
              <w:marBottom w:val="0"/>
              <w:divBdr>
                <w:top w:val="none" w:sz="0" w:space="0" w:color="auto"/>
                <w:left w:val="none" w:sz="0" w:space="0" w:color="auto"/>
                <w:bottom w:val="none" w:sz="0" w:space="0" w:color="auto"/>
                <w:right w:val="none" w:sz="0" w:space="0" w:color="auto"/>
              </w:divBdr>
              <w:divsChild>
                <w:div w:id="348801845">
                  <w:marLeft w:val="0"/>
                  <w:marRight w:val="0"/>
                  <w:marTop w:val="0"/>
                  <w:marBottom w:val="0"/>
                  <w:divBdr>
                    <w:top w:val="none" w:sz="0" w:space="0" w:color="auto"/>
                    <w:left w:val="none" w:sz="0" w:space="0" w:color="auto"/>
                    <w:bottom w:val="none" w:sz="0" w:space="0" w:color="auto"/>
                    <w:right w:val="none" w:sz="0" w:space="0" w:color="auto"/>
                  </w:divBdr>
                  <w:divsChild>
                    <w:div w:id="137770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387791">
      <w:bodyDiv w:val="1"/>
      <w:marLeft w:val="0"/>
      <w:marRight w:val="0"/>
      <w:marTop w:val="0"/>
      <w:marBottom w:val="0"/>
      <w:divBdr>
        <w:top w:val="none" w:sz="0" w:space="0" w:color="auto"/>
        <w:left w:val="none" w:sz="0" w:space="0" w:color="auto"/>
        <w:bottom w:val="none" w:sz="0" w:space="0" w:color="auto"/>
        <w:right w:val="none" w:sz="0" w:space="0" w:color="auto"/>
      </w:divBdr>
      <w:divsChild>
        <w:div w:id="876816803">
          <w:marLeft w:val="0"/>
          <w:marRight w:val="0"/>
          <w:marTop w:val="0"/>
          <w:marBottom w:val="0"/>
          <w:divBdr>
            <w:top w:val="none" w:sz="0" w:space="0" w:color="auto"/>
            <w:left w:val="none" w:sz="0" w:space="0" w:color="auto"/>
            <w:bottom w:val="none" w:sz="0" w:space="0" w:color="auto"/>
            <w:right w:val="none" w:sz="0" w:space="0" w:color="auto"/>
          </w:divBdr>
          <w:divsChild>
            <w:div w:id="541096696">
              <w:marLeft w:val="0"/>
              <w:marRight w:val="0"/>
              <w:marTop w:val="0"/>
              <w:marBottom w:val="0"/>
              <w:divBdr>
                <w:top w:val="none" w:sz="0" w:space="0" w:color="auto"/>
                <w:left w:val="none" w:sz="0" w:space="0" w:color="auto"/>
                <w:bottom w:val="none" w:sz="0" w:space="0" w:color="auto"/>
                <w:right w:val="none" w:sz="0" w:space="0" w:color="auto"/>
              </w:divBdr>
              <w:divsChild>
                <w:div w:id="1679387109">
                  <w:marLeft w:val="0"/>
                  <w:marRight w:val="0"/>
                  <w:marTop w:val="0"/>
                  <w:marBottom w:val="0"/>
                  <w:divBdr>
                    <w:top w:val="none" w:sz="0" w:space="0" w:color="auto"/>
                    <w:left w:val="none" w:sz="0" w:space="0" w:color="auto"/>
                    <w:bottom w:val="none" w:sz="0" w:space="0" w:color="auto"/>
                    <w:right w:val="none" w:sz="0" w:space="0" w:color="auto"/>
                  </w:divBdr>
                  <w:divsChild>
                    <w:div w:id="41813767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features/article/early-years-pioneers-margaret-and-rachel-mcmillan" TargetMode="External"/><Relationship Id="rId13" Type="http://schemas.openxmlformats.org/officeDocument/2006/relationships/image" Target="media/image4.png"/><Relationship Id="rId18" Type="http://schemas.openxmlformats.org/officeDocument/2006/relationships/hyperlink" Target="https://doi.org/10.4324/9780429474736" TargetMode="External"/><Relationship Id="rId26" Type="http://schemas.openxmlformats.org/officeDocument/2006/relationships/hyperlink" Target="https://www.gov.wales/well-being-future-generations-act-essentials-html" TargetMode="External"/><Relationship Id="rId3" Type="http://schemas.openxmlformats.org/officeDocument/2006/relationships/settings" Target="settings.xml"/><Relationship Id="rId21" Type="http://schemas.openxmlformats.org/officeDocument/2006/relationships/hyperlink" Target="https://kinderly.co.uk/2021/11/09/early-childhood-pioneers-keeping-bronfenbrenner-at-the-heart-of-early-years-practice/" TargetMode="External"/><Relationship Id="rId7" Type="http://schemas.openxmlformats.org/officeDocument/2006/relationships/hyperlink" Target="https://www.simplypsychology.org/maslow.html" TargetMode="External"/><Relationship Id="rId12" Type="http://schemas.openxmlformats.org/officeDocument/2006/relationships/hyperlink" Target="https://www.firstdiscoverers.co.uk/albert-bandura-child-development-theories/" TargetMode="External"/><Relationship Id="rId17" Type="http://schemas.openxmlformats.org/officeDocument/2006/relationships/hyperlink" Target="https://www.mheducation.co.uk/9780335263332-emea-teaching-in-lifelong-learning" TargetMode="External"/><Relationship Id="rId25" Type="http://schemas.openxmlformats.org/officeDocument/2006/relationships/hyperlink" Target="https://www.simplypsychology.org/maslow.html"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yperlink" Target="https://felicity-has-montgomery.blogspot.com/2022/04/bronfenbrenners-ecological-theory-is.html"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felicity-has-montgomery.blogspot.com/2022/04/bronfenbrenners-ecological-theory-is.html" TargetMode="External"/><Relationship Id="rId24" Type="http://schemas.openxmlformats.org/officeDocument/2006/relationships/hyperlink" Target="https://www.freepik.com/premium-photo/happy-little-boy-girl-are-playing-puddle-walking-down-street_24505969.htm" TargetMode="External"/><Relationship Id="rId5" Type="http://schemas.openxmlformats.org/officeDocument/2006/relationships/image" Target="media/image1.jpeg"/><Relationship Id="rId15" Type="http://schemas.openxmlformats.org/officeDocument/2006/relationships/image" Target="media/image6.png"/><Relationship Id="rId23" Type="http://schemas.openxmlformats.org/officeDocument/2006/relationships/hyperlink" Target="https://doi.org/10.1093/OBO/9780199756810-0204"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earlyyearseducator.co.uk/features/article/hierarchy-of-needs-the-marvellous-maslow" TargetMode="External"/><Relationship Id="rId4" Type="http://schemas.openxmlformats.org/officeDocument/2006/relationships/webSettings" Target="webSettings.xml"/><Relationship Id="rId9" Type="http://schemas.openxmlformats.org/officeDocument/2006/relationships/hyperlink" Target="https://kinderly.co.uk/2021/11/09/early-childhood-pioneers-keeping-bronfenbrenner-at-the-heart-of-early-years-practice/" TargetMode="External"/><Relationship Id="rId14" Type="http://schemas.openxmlformats.org/officeDocument/2006/relationships/image" Target="media/image5.png"/><Relationship Id="rId22" Type="http://schemas.openxmlformats.org/officeDocument/2006/relationships/hyperlink" Target="https://treaties.un.org/doc/Treaties/1990/09/19900902%2003-14%20AM/Ch%20IV%2011p.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3710</Words>
  <Characters>21152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dc:creator>
  <cp:keywords/>
  <dc:description/>
  <cp:lastModifiedBy>Kate Rowlands</cp:lastModifiedBy>
  <cp:revision>2</cp:revision>
  <dcterms:created xsi:type="dcterms:W3CDTF">2023-12-02T12:38:00Z</dcterms:created>
  <dcterms:modified xsi:type="dcterms:W3CDTF">2023-12-02T12:38:00Z</dcterms:modified>
</cp:coreProperties>
</file>