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B0F1F9D" w:rsidP="3B0F1F9D" w:rsidRDefault="3B0F1F9D" w14:paraId="2DAD81EF" w14:textId="0ED9C332">
      <w:pPr>
        <w:rPr>
          <w:b w:val="1"/>
          <w:bCs w:val="1"/>
          <w:sz w:val="28"/>
          <w:szCs w:val="28"/>
        </w:rPr>
      </w:pPr>
    </w:p>
    <w:p w:rsidR="01F04B25" w:rsidP="3B0F1F9D" w:rsidRDefault="01F04B25" w14:paraId="52DCDCCB" w14:textId="32F09ED3">
      <w:pPr>
        <w:pStyle w:val="Normal"/>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nl-NL"/>
        </w:rPr>
      </w:pPr>
      <w:r w:rsidR="01F04B25">
        <w:drawing>
          <wp:inline wp14:editId="0AF92C31" wp14:anchorId="33384B7A">
            <wp:extent cx="1809750" cy="742950"/>
            <wp:effectExtent l="0" t="0" r="0" b="0"/>
            <wp:docPr id="1806578634"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8085221" name="Picture 1468085221"/>
                    <pic:cNvPicPr/>
                  </pic:nvPicPr>
                  <pic:blipFill>
                    <a:blip xmlns:r="http://schemas.openxmlformats.org/officeDocument/2006/relationships" r:embed="rId1113873765">
                      <a:extLst>
                        <a:ext uri="{28A0092B-C50C-407E-A947-70E740481C1C}">
                          <a14:useLocalDpi xmlns:a14="http://schemas.microsoft.com/office/drawing/2010/main"/>
                        </a:ext>
                      </a:extLst>
                    </a:blip>
                    <a:stretch>
                      <a:fillRect/>
                    </a:stretch>
                  </pic:blipFill>
                  <pic:spPr>
                    <a:xfrm rot="0">
                      <a:off x="0" y="0"/>
                      <a:ext cx="1809750" cy="742950"/>
                    </a:xfrm>
                    <a:prstGeom prst="rect">
                      <a:avLst/>
                    </a:prstGeom>
                  </pic:spPr>
                </pic:pic>
              </a:graphicData>
            </a:graphic>
          </wp:inline>
        </w:drawing>
      </w:r>
    </w:p>
    <w:p w:rsidR="3B0F1F9D" w:rsidP="3B0F1F9D" w:rsidRDefault="3B0F1F9D" w14:paraId="5D6C52BD" w14:textId="5E7DE1F0">
      <w:pPr>
        <w:jc w:val="center"/>
        <w:rPr>
          <w:b w:val="1"/>
          <w:bCs w:val="1"/>
          <w:sz w:val="36"/>
          <w:szCs w:val="36"/>
        </w:rPr>
      </w:pPr>
    </w:p>
    <w:p w:rsidR="3B0F1F9D" w:rsidP="3B0F1F9D" w:rsidRDefault="3B0F1F9D" w14:paraId="27BF1091" w14:textId="2B9AA0BA">
      <w:pPr>
        <w:jc w:val="center"/>
        <w:rPr>
          <w:b w:val="1"/>
          <w:bCs w:val="1"/>
          <w:sz w:val="36"/>
          <w:szCs w:val="36"/>
        </w:rPr>
      </w:pPr>
    </w:p>
    <w:p w:rsidR="0E06F512" w:rsidP="3B0F1F9D" w:rsidRDefault="0E06F512" w14:paraId="1F2B51C0" w14:textId="72C01C50">
      <w:pPr>
        <w:jc w:val="center"/>
        <w:rPr>
          <w:b w:val="1"/>
          <w:bCs w:val="1"/>
          <w:sz w:val="36"/>
          <w:szCs w:val="36"/>
        </w:rPr>
      </w:pPr>
      <w:r w:rsidRPr="3B0F1F9D" w:rsidR="0E06F512">
        <w:rPr>
          <w:b w:val="1"/>
          <w:bCs w:val="1"/>
          <w:sz w:val="36"/>
          <w:szCs w:val="36"/>
        </w:rPr>
        <w:t>Dementia as a Public Health Issue</w:t>
      </w:r>
    </w:p>
    <w:p w:rsidR="3B0F1F9D" w:rsidP="3B0F1F9D" w:rsidRDefault="3B0F1F9D" w14:paraId="4CB361D9" w14:textId="55BFF948">
      <w:pPr>
        <w:pStyle w:val="Normal"/>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nl-NL"/>
        </w:rPr>
      </w:pPr>
    </w:p>
    <w:p w:rsidR="3B0F1F9D" w:rsidP="3B0F1F9D" w:rsidRDefault="3B0F1F9D" w14:paraId="658D78E1" w14:textId="330511D9">
      <w:pPr>
        <w:pStyle w:val="Normal"/>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nl-NL"/>
        </w:rPr>
      </w:pPr>
      <w:r w:rsidRPr="3B0F1F9D" w:rsidR="3B0F1F9D">
        <w:rPr>
          <w:rFonts w:ascii="Arial" w:hAnsi="Arial" w:eastAsia="Arial" w:cs="Arial"/>
          <w:b w:val="1"/>
          <w:bCs w:val="1"/>
          <w:i w:val="0"/>
          <w:iCs w:val="0"/>
          <w:caps w:val="0"/>
          <w:smallCaps w:val="0"/>
          <w:noProof w:val="0"/>
          <w:color w:val="000000" w:themeColor="text1" w:themeTint="FF" w:themeShade="FF"/>
          <w:sz w:val="28"/>
          <w:szCs w:val="28"/>
          <w:lang w:val="nl-NL"/>
        </w:rPr>
        <w:t>Module name</w:t>
      </w:r>
      <w:r w:rsidRPr="3B0F1F9D" w:rsidR="3B0F1F9D">
        <w:rPr>
          <w:rFonts w:ascii="Arial" w:hAnsi="Arial" w:eastAsia="Arial" w:cs="Arial"/>
          <w:b w:val="0"/>
          <w:bCs w:val="0"/>
          <w:i w:val="0"/>
          <w:iCs w:val="0"/>
          <w:caps w:val="0"/>
          <w:smallCaps w:val="0"/>
          <w:noProof w:val="0"/>
          <w:color w:val="000000" w:themeColor="text1" w:themeTint="FF" w:themeShade="FF"/>
          <w:sz w:val="28"/>
          <w:szCs w:val="28"/>
          <w:lang w:val="nl-NL"/>
        </w:rPr>
        <w:t>:</w:t>
      </w:r>
      <w:r w:rsidRPr="3B0F1F9D" w:rsidR="58D73C99">
        <w:rPr>
          <w:rFonts w:ascii="Arial" w:hAnsi="Arial" w:eastAsia="Arial" w:cs="Arial"/>
          <w:noProof w:val="0"/>
          <w:sz w:val="28"/>
          <w:szCs w:val="28"/>
          <w:lang w:val="nl-NL"/>
        </w:rPr>
        <w:t xml:space="preserve"> </w:t>
      </w:r>
      <w:r w:rsidRPr="3B0F1F9D" w:rsidR="58D73C99">
        <w:rPr>
          <w:rFonts w:ascii="Arial" w:hAnsi="Arial" w:eastAsia="Arial" w:cs="Arial" w:asciiTheme="minorAscii" w:hAnsiTheme="minorAscii" w:eastAsiaTheme="minorAscii" w:cstheme="minorBidi"/>
          <w:b w:val="0"/>
          <w:bCs w:val="0"/>
          <w:i w:val="0"/>
          <w:iCs w:val="0"/>
          <w:caps w:val="0"/>
          <w:smallCaps w:val="0"/>
          <w:noProof w:val="0"/>
          <w:color w:val="000000" w:themeColor="text1" w:themeTint="FF" w:themeShade="FF"/>
          <w:sz w:val="28"/>
          <w:szCs w:val="28"/>
          <w:lang w:val="nl-NL" w:eastAsia="en-US" w:bidi="ar-SA"/>
        </w:rPr>
        <w:t>Introduction</w:t>
      </w:r>
      <w:r w:rsidRPr="3B0F1F9D" w:rsidR="58D73C99">
        <w:rPr>
          <w:rFonts w:ascii="Arial" w:hAnsi="Arial" w:eastAsia="Arial" w:cs="Arial" w:asciiTheme="minorAscii" w:hAnsiTheme="minorAscii" w:eastAsiaTheme="minorAscii" w:cstheme="minorBidi"/>
          <w:b w:val="0"/>
          <w:bCs w:val="0"/>
          <w:i w:val="0"/>
          <w:iCs w:val="0"/>
          <w:caps w:val="0"/>
          <w:smallCaps w:val="0"/>
          <w:noProof w:val="0"/>
          <w:color w:val="000000" w:themeColor="text1" w:themeTint="FF" w:themeShade="FF"/>
          <w:sz w:val="28"/>
          <w:szCs w:val="28"/>
          <w:lang w:val="nl-NL" w:eastAsia="en-US" w:bidi="ar-SA"/>
        </w:rPr>
        <w:t xml:space="preserve"> </w:t>
      </w:r>
      <w:r w:rsidRPr="3B0F1F9D" w:rsidR="58D73C99">
        <w:rPr>
          <w:rFonts w:ascii="Arial" w:hAnsi="Arial" w:eastAsia="Arial" w:cs="Arial" w:asciiTheme="minorAscii" w:hAnsiTheme="minorAscii" w:eastAsiaTheme="minorAscii" w:cstheme="minorBidi"/>
          <w:b w:val="0"/>
          <w:bCs w:val="0"/>
          <w:i w:val="0"/>
          <w:iCs w:val="0"/>
          <w:caps w:val="0"/>
          <w:smallCaps w:val="0"/>
          <w:noProof w:val="0"/>
          <w:color w:val="000000" w:themeColor="text1" w:themeTint="FF" w:themeShade="FF"/>
          <w:sz w:val="28"/>
          <w:szCs w:val="28"/>
          <w:lang w:val="nl-NL" w:eastAsia="en-US" w:bidi="ar-SA"/>
        </w:rPr>
        <w:t>to</w:t>
      </w:r>
      <w:r w:rsidRPr="3B0F1F9D" w:rsidR="58D73C99">
        <w:rPr>
          <w:rFonts w:ascii="Arial" w:hAnsi="Arial" w:eastAsia="Arial" w:cs="Arial" w:asciiTheme="minorAscii" w:hAnsiTheme="minorAscii" w:eastAsiaTheme="minorAscii" w:cstheme="minorBidi"/>
          <w:b w:val="0"/>
          <w:bCs w:val="0"/>
          <w:i w:val="0"/>
          <w:iCs w:val="0"/>
          <w:caps w:val="0"/>
          <w:smallCaps w:val="0"/>
          <w:noProof w:val="0"/>
          <w:color w:val="000000" w:themeColor="text1" w:themeTint="FF" w:themeShade="FF"/>
          <w:sz w:val="28"/>
          <w:szCs w:val="28"/>
          <w:lang w:val="nl-NL" w:eastAsia="en-US" w:bidi="ar-SA"/>
        </w:rPr>
        <w:t xml:space="preserve"> Public Health</w:t>
      </w:r>
    </w:p>
    <w:p w:rsidR="6318636A" w:rsidP="3B0F1F9D" w:rsidRDefault="6318636A" w14:paraId="2D5CC20D" w14:textId="661226EA">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B0F1F9D" w:rsidR="6318636A">
        <w:rPr>
          <w:rFonts w:ascii="Arial" w:hAnsi="Arial" w:eastAsia="Arial" w:cs="Arial"/>
          <w:b w:val="1"/>
          <w:bCs w:val="1"/>
          <w:i w:val="0"/>
          <w:iCs w:val="0"/>
          <w:caps w:val="0"/>
          <w:smallCaps w:val="0"/>
          <w:noProof w:val="0"/>
          <w:color w:val="000000" w:themeColor="text1" w:themeTint="FF" w:themeShade="FF"/>
          <w:sz w:val="28"/>
          <w:szCs w:val="28"/>
          <w:lang w:val="en-GB"/>
        </w:rPr>
        <w:t xml:space="preserve">Module </w:t>
      </w:r>
      <w:r w:rsidRPr="3B0F1F9D" w:rsidR="6318636A">
        <w:rPr>
          <w:rFonts w:ascii="Arial" w:hAnsi="Arial" w:eastAsia="Arial" w:cs="Arial"/>
          <w:b w:val="1"/>
          <w:bCs w:val="1"/>
          <w:i w:val="0"/>
          <w:iCs w:val="0"/>
          <w:caps w:val="0"/>
          <w:smallCaps w:val="0"/>
          <w:noProof w:val="0"/>
          <w:color w:val="000000" w:themeColor="text1" w:themeTint="FF" w:themeShade="FF"/>
          <w:sz w:val="28"/>
          <w:szCs w:val="28"/>
          <w:lang w:val="en-GB"/>
        </w:rPr>
        <w:t>code</w:t>
      </w:r>
      <w:r w:rsidRPr="3B0F1F9D" w:rsidR="6318636A">
        <w:rPr>
          <w:rFonts w:ascii="Arial" w:hAnsi="Arial" w:eastAsia="Arial" w:cs="Arial"/>
          <w:b w:val="0"/>
          <w:bCs w:val="0"/>
          <w:i w:val="0"/>
          <w:iCs w:val="0"/>
          <w:caps w:val="0"/>
          <w:smallCaps w:val="0"/>
          <w:noProof w:val="0"/>
          <w:color w:val="000000" w:themeColor="text1" w:themeTint="FF" w:themeShade="FF"/>
          <w:sz w:val="28"/>
          <w:szCs w:val="28"/>
          <w:lang w:val="en-GB"/>
        </w:rPr>
        <w:t>:LCHS</w:t>
      </w:r>
      <w:r w:rsidRPr="3B0F1F9D" w:rsidR="6318636A">
        <w:rPr>
          <w:rFonts w:ascii="Arial" w:hAnsi="Arial" w:eastAsia="Arial" w:cs="Arial"/>
          <w:b w:val="0"/>
          <w:bCs w:val="0"/>
          <w:i w:val="0"/>
          <w:iCs w:val="0"/>
          <w:caps w:val="0"/>
          <w:smallCaps w:val="0"/>
          <w:noProof w:val="0"/>
          <w:color w:val="000000" w:themeColor="text1" w:themeTint="FF" w:themeShade="FF"/>
          <w:sz w:val="28"/>
          <w:szCs w:val="28"/>
          <w:lang w:val="en-GB"/>
        </w:rPr>
        <w:t>400</w:t>
      </w:r>
      <w:r w:rsidRPr="3B0F1F9D" w:rsidR="0D71B64C">
        <w:rPr>
          <w:rFonts w:ascii="Arial" w:hAnsi="Arial" w:eastAsia="Arial" w:cs="Arial"/>
          <w:b w:val="0"/>
          <w:bCs w:val="0"/>
          <w:i w:val="0"/>
          <w:iCs w:val="0"/>
          <w:caps w:val="0"/>
          <w:smallCaps w:val="0"/>
          <w:noProof w:val="0"/>
          <w:color w:val="000000" w:themeColor="text1" w:themeTint="FF" w:themeShade="FF"/>
          <w:sz w:val="28"/>
          <w:szCs w:val="28"/>
          <w:lang w:val="en-GB"/>
        </w:rPr>
        <w:t>8</w:t>
      </w:r>
    </w:p>
    <w:p w:rsidR="3B0F1F9D" w:rsidP="3B0F1F9D" w:rsidRDefault="3B0F1F9D" w14:paraId="049B7665" w14:textId="6B1E68AF">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6318636A" w:rsidP="3B0F1F9D" w:rsidRDefault="6318636A" w14:paraId="3B3132F2" w14:textId="53131DD5">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B0F1F9D" w:rsidR="6318636A">
        <w:rPr>
          <w:rFonts w:ascii="Arial" w:hAnsi="Arial" w:eastAsia="Arial" w:cs="Arial"/>
          <w:b w:val="1"/>
          <w:bCs w:val="1"/>
          <w:i w:val="0"/>
          <w:iCs w:val="0"/>
          <w:caps w:val="0"/>
          <w:smallCaps w:val="0"/>
          <w:noProof w:val="0"/>
          <w:color w:val="000000" w:themeColor="text1" w:themeTint="FF" w:themeShade="FF"/>
          <w:sz w:val="28"/>
          <w:szCs w:val="28"/>
          <w:lang w:val="nl-NL"/>
        </w:rPr>
        <w:t>Student name</w:t>
      </w:r>
      <w:r w:rsidRPr="3B0F1F9D" w:rsidR="6318636A">
        <w:rPr>
          <w:rFonts w:ascii="Arial" w:hAnsi="Arial" w:eastAsia="Arial" w:cs="Arial"/>
          <w:b w:val="0"/>
          <w:bCs w:val="0"/>
          <w:i w:val="0"/>
          <w:iCs w:val="0"/>
          <w:caps w:val="0"/>
          <w:smallCaps w:val="0"/>
          <w:noProof w:val="0"/>
          <w:color w:val="000000" w:themeColor="text1" w:themeTint="FF" w:themeShade="FF"/>
          <w:sz w:val="28"/>
          <w:szCs w:val="28"/>
          <w:lang w:val="nl-NL"/>
        </w:rPr>
        <w:t>:TIGIST MEZENE MAMO</w:t>
      </w:r>
    </w:p>
    <w:p w:rsidR="6318636A" w:rsidP="3B0F1F9D" w:rsidRDefault="6318636A" w14:paraId="4600A471" w14:textId="0484A37A">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B0F1F9D" w:rsidR="6318636A">
        <w:rPr>
          <w:rFonts w:ascii="Arial" w:hAnsi="Arial" w:eastAsia="Arial" w:cs="Arial"/>
          <w:b w:val="1"/>
          <w:bCs w:val="1"/>
          <w:i w:val="0"/>
          <w:iCs w:val="0"/>
          <w:caps w:val="0"/>
          <w:smallCaps w:val="0"/>
          <w:noProof w:val="0"/>
          <w:color w:val="000000" w:themeColor="text1" w:themeTint="FF" w:themeShade="FF"/>
          <w:sz w:val="28"/>
          <w:szCs w:val="28"/>
          <w:lang w:val="nl-NL"/>
        </w:rPr>
        <w:t>Student ID</w:t>
      </w:r>
      <w:r w:rsidRPr="3B0F1F9D" w:rsidR="6318636A">
        <w:rPr>
          <w:rFonts w:ascii="Arial" w:hAnsi="Arial" w:eastAsia="Arial" w:cs="Arial"/>
          <w:b w:val="0"/>
          <w:bCs w:val="0"/>
          <w:i w:val="0"/>
          <w:iCs w:val="0"/>
          <w:caps w:val="0"/>
          <w:smallCaps w:val="0"/>
          <w:noProof w:val="0"/>
          <w:color w:val="000000" w:themeColor="text1" w:themeTint="FF" w:themeShade="FF"/>
          <w:sz w:val="28"/>
          <w:szCs w:val="28"/>
          <w:lang w:val="nl-NL"/>
        </w:rPr>
        <w:t>:2512511</w:t>
      </w:r>
    </w:p>
    <w:p w:rsidR="3B0F1F9D" w:rsidP="3B0F1F9D" w:rsidRDefault="3B0F1F9D" w14:paraId="70B27614" w14:textId="3C884D74">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6318636A" w:rsidP="3B0F1F9D" w:rsidRDefault="6318636A" w14:paraId="40CDF692" w14:textId="27066361">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B0F1F9D" w:rsidR="6318636A">
        <w:rPr>
          <w:rFonts w:ascii="Arial" w:hAnsi="Arial" w:eastAsia="Arial" w:cs="Arial"/>
          <w:b w:val="1"/>
          <w:bCs w:val="1"/>
          <w:i w:val="0"/>
          <w:iCs w:val="0"/>
          <w:caps w:val="0"/>
          <w:smallCaps w:val="0"/>
          <w:noProof w:val="0"/>
          <w:color w:val="000000" w:themeColor="text1" w:themeTint="FF" w:themeShade="FF"/>
          <w:sz w:val="28"/>
          <w:szCs w:val="28"/>
          <w:lang w:val="en-GB"/>
        </w:rPr>
        <w:t xml:space="preserve">Lecturer’s name </w:t>
      </w:r>
      <w:r w:rsidRPr="3B0F1F9D" w:rsidR="7B8384C7">
        <w:rPr>
          <w:rFonts w:ascii="Arial" w:hAnsi="Arial" w:eastAsia="Arial" w:cs="Arial"/>
          <w:b w:val="1"/>
          <w:bCs w:val="1"/>
          <w:i w:val="0"/>
          <w:iCs w:val="0"/>
          <w:caps w:val="0"/>
          <w:smallCaps w:val="0"/>
          <w:noProof w:val="0"/>
          <w:color w:val="000000" w:themeColor="text1" w:themeTint="FF" w:themeShade="FF"/>
          <w:sz w:val="28"/>
          <w:szCs w:val="28"/>
          <w:lang w:val="en-GB"/>
        </w:rPr>
        <w:t>Carolin Salmi</w:t>
      </w:r>
    </w:p>
    <w:p w:rsidR="3B0F1F9D" w:rsidP="3B0F1F9D" w:rsidRDefault="3B0F1F9D" w14:paraId="446771DA" w14:textId="0F39569D">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B0F1F9D" w:rsidP="3B0F1F9D" w:rsidRDefault="3B0F1F9D" w14:paraId="4570C455" w14:textId="58630FD6">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B0F1F9D" w:rsidP="3B0F1F9D" w:rsidRDefault="3B0F1F9D" w14:paraId="1EA4D27F" w14:textId="6CFA17A7">
      <w:pPr>
        <w:rPr>
          <w:b w:val="1"/>
          <w:bCs w:val="1"/>
          <w:sz w:val="28"/>
          <w:szCs w:val="28"/>
        </w:rPr>
      </w:pPr>
    </w:p>
    <w:p w:rsidR="3B0F1F9D" w:rsidP="3B0F1F9D" w:rsidRDefault="3B0F1F9D" w14:paraId="615FED28" w14:textId="3B5359E1">
      <w:pPr>
        <w:rPr>
          <w:b w:val="1"/>
          <w:bCs w:val="1"/>
          <w:sz w:val="28"/>
          <w:szCs w:val="28"/>
        </w:rPr>
      </w:pPr>
    </w:p>
    <w:p w:rsidR="3B0F1F9D" w:rsidP="3B0F1F9D" w:rsidRDefault="3B0F1F9D" w14:paraId="55C82FF3" w14:textId="4D0C5938">
      <w:pPr>
        <w:rPr>
          <w:b w:val="1"/>
          <w:bCs w:val="1"/>
          <w:sz w:val="28"/>
          <w:szCs w:val="28"/>
        </w:rPr>
      </w:pPr>
    </w:p>
    <w:p w:rsidR="3B0F1F9D" w:rsidP="3B0F1F9D" w:rsidRDefault="3B0F1F9D" w14:paraId="59FD2255" w14:textId="26D0D3FE">
      <w:pPr>
        <w:rPr>
          <w:b w:val="1"/>
          <w:bCs w:val="1"/>
          <w:sz w:val="28"/>
          <w:szCs w:val="28"/>
        </w:rPr>
      </w:pPr>
    </w:p>
    <w:p w:rsidR="3B0F1F9D" w:rsidP="3B0F1F9D" w:rsidRDefault="3B0F1F9D" w14:paraId="7C1E1E64" w14:textId="55E6A33F">
      <w:pPr>
        <w:rPr>
          <w:b w:val="1"/>
          <w:bCs w:val="1"/>
          <w:sz w:val="28"/>
          <w:szCs w:val="28"/>
        </w:rPr>
      </w:pPr>
    </w:p>
    <w:p w:rsidR="3B0F1F9D" w:rsidP="3B0F1F9D" w:rsidRDefault="3B0F1F9D" w14:paraId="78CB0526" w14:textId="43B50479">
      <w:pPr>
        <w:rPr>
          <w:b w:val="1"/>
          <w:bCs w:val="1"/>
          <w:sz w:val="28"/>
          <w:szCs w:val="28"/>
        </w:rPr>
      </w:pPr>
    </w:p>
    <w:p w:rsidR="3B0F1F9D" w:rsidP="3B0F1F9D" w:rsidRDefault="3B0F1F9D" w14:paraId="67B10738" w14:textId="42C7B8FC">
      <w:pPr>
        <w:rPr>
          <w:b w:val="1"/>
          <w:bCs w:val="1"/>
          <w:sz w:val="28"/>
          <w:szCs w:val="28"/>
        </w:rPr>
      </w:pPr>
    </w:p>
    <w:p w:rsidR="3B0F1F9D" w:rsidP="3B0F1F9D" w:rsidRDefault="3B0F1F9D" w14:paraId="349C4E90" w14:textId="1F4FD032">
      <w:pPr>
        <w:rPr>
          <w:b w:val="1"/>
          <w:bCs w:val="1"/>
          <w:sz w:val="28"/>
          <w:szCs w:val="28"/>
        </w:rPr>
      </w:pPr>
    </w:p>
    <w:p w:rsidR="733614C4" w:rsidP="3B0F1F9D" w:rsidRDefault="733614C4" w14:paraId="6D6CB4ED" w14:textId="3130AC38">
      <w:pPr>
        <w:rPr>
          <w:b w:val="1"/>
          <w:bCs w:val="1"/>
          <w:sz w:val="28"/>
          <w:szCs w:val="28"/>
        </w:rPr>
      </w:pPr>
      <w:r w:rsidRPr="3B0F1F9D" w:rsidR="733614C4">
        <w:rPr>
          <w:b w:val="1"/>
          <w:bCs w:val="1"/>
          <w:sz w:val="28"/>
          <w:szCs w:val="28"/>
        </w:rPr>
        <w:t xml:space="preserve">                                            </w:t>
      </w:r>
    </w:p>
    <w:p w:rsidR="3B0F1F9D" w:rsidP="3B0F1F9D" w:rsidRDefault="3B0F1F9D" w14:paraId="64790991" w14:textId="73130957">
      <w:pPr>
        <w:rPr>
          <w:b w:val="1"/>
          <w:bCs w:val="1"/>
          <w:sz w:val="28"/>
          <w:szCs w:val="28"/>
        </w:rPr>
      </w:pPr>
    </w:p>
    <w:p w:rsidR="3B0F1F9D" w:rsidP="3B0F1F9D" w:rsidRDefault="3B0F1F9D" w14:paraId="489AEA8B" w14:textId="3C79A61A">
      <w:pPr>
        <w:rPr>
          <w:b w:val="1"/>
          <w:bCs w:val="1"/>
          <w:sz w:val="28"/>
          <w:szCs w:val="28"/>
        </w:rPr>
      </w:pPr>
    </w:p>
    <w:p w:rsidR="733614C4" w:rsidP="3B0F1F9D" w:rsidRDefault="733614C4" w14:paraId="75D7600E" w14:textId="59046580">
      <w:pPr>
        <w:jc w:val="center"/>
        <w:rPr>
          <w:b w:val="1"/>
          <w:bCs w:val="1"/>
          <w:sz w:val="28"/>
          <w:szCs w:val="28"/>
        </w:rPr>
      </w:pPr>
      <w:r w:rsidRPr="3B0F1F9D" w:rsidR="733614C4">
        <w:rPr>
          <w:b w:val="1"/>
          <w:bCs w:val="1"/>
          <w:sz w:val="28"/>
          <w:szCs w:val="28"/>
        </w:rPr>
        <w:t xml:space="preserve"> </w:t>
      </w:r>
      <w:r w:rsidRPr="3B0F1F9D" w:rsidR="1E6CDB2F">
        <w:rPr>
          <w:b w:val="1"/>
          <w:bCs w:val="1"/>
          <w:sz w:val="28"/>
          <w:szCs w:val="28"/>
        </w:rPr>
        <w:t>Table of Content</w:t>
      </w:r>
    </w:p>
    <w:p w:rsidR="3B0F1F9D" w:rsidP="3B0F1F9D" w:rsidRDefault="3B0F1F9D" w14:paraId="358C1162" w14:textId="452B4183">
      <w:pPr>
        <w:pStyle w:val="Normal"/>
        <w:rPr>
          <w:b w:val="1"/>
          <w:bCs w:val="1"/>
          <w:sz w:val="28"/>
          <w:szCs w:val="28"/>
        </w:rPr>
      </w:pPr>
    </w:p>
    <w:sdt>
      <w:sdtPr>
        <w:id w:val="429515325"/>
        <w:docPartObj>
          <w:docPartGallery w:val="Table of Contents"/>
          <w:docPartUnique/>
        </w:docPartObj>
      </w:sdtPr>
      <w:sdtContent>
        <w:p w:rsidR="3B0F1F9D" w:rsidP="3B0F1F9D" w:rsidRDefault="3B0F1F9D" w14:paraId="4C11BDB1" w14:textId="4E3EC30E">
          <w:pPr>
            <w:pStyle w:val="TOC1"/>
            <w:tabs>
              <w:tab w:val="right" w:leader="dot" w:pos="9015"/>
            </w:tabs>
            <w:bidi w:val="0"/>
            <w:rPr>
              <w:rStyle w:val="Hyperlink"/>
            </w:rPr>
          </w:pPr>
          <w:r>
            <w:fldChar w:fldCharType="begin"/>
          </w:r>
          <w:r>
            <w:instrText xml:space="preserve">TOC \o \z \u \h</w:instrText>
          </w:r>
          <w:r>
            <w:fldChar w:fldCharType="separate"/>
          </w:r>
          <w:hyperlink w:anchor="_Toc483267603">
            <w:r w:rsidRPr="3B0F1F9D" w:rsidR="3B0F1F9D">
              <w:rPr>
                <w:rStyle w:val="Hyperlink"/>
              </w:rPr>
              <w:t>Introduction</w:t>
            </w:r>
            <w:r>
              <w:tab/>
            </w:r>
            <w:r>
              <w:fldChar w:fldCharType="begin"/>
            </w:r>
            <w:r>
              <w:instrText xml:space="preserve">PAGEREF _Toc483267603 \h</w:instrText>
            </w:r>
            <w:r>
              <w:fldChar w:fldCharType="separate"/>
            </w:r>
            <w:r w:rsidRPr="3B0F1F9D" w:rsidR="3B0F1F9D">
              <w:rPr>
                <w:rStyle w:val="Hyperlink"/>
              </w:rPr>
              <w:t>2</w:t>
            </w:r>
            <w:r>
              <w:fldChar w:fldCharType="end"/>
            </w:r>
          </w:hyperlink>
        </w:p>
        <w:p w:rsidR="3B0F1F9D" w:rsidP="3B0F1F9D" w:rsidRDefault="3B0F1F9D" w14:paraId="2B1692B0" w14:textId="69EA5404">
          <w:pPr>
            <w:pStyle w:val="TOC1"/>
            <w:tabs>
              <w:tab w:val="right" w:leader="dot" w:pos="9015"/>
            </w:tabs>
            <w:bidi w:val="0"/>
            <w:rPr>
              <w:rStyle w:val="Hyperlink"/>
            </w:rPr>
          </w:pPr>
          <w:hyperlink w:anchor="_Toc978427291">
            <w:r w:rsidRPr="3B0F1F9D" w:rsidR="3B0F1F9D">
              <w:rPr>
                <w:rStyle w:val="Hyperlink"/>
              </w:rPr>
              <w:t>Main Body</w:t>
            </w:r>
            <w:r>
              <w:tab/>
            </w:r>
            <w:r>
              <w:fldChar w:fldCharType="begin"/>
            </w:r>
            <w:r>
              <w:instrText xml:space="preserve">PAGEREF _Toc978427291 \h</w:instrText>
            </w:r>
            <w:r>
              <w:fldChar w:fldCharType="separate"/>
            </w:r>
            <w:r w:rsidRPr="3B0F1F9D" w:rsidR="3B0F1F9D">
              <w:rPr>
                <w:rStyle w:val="Hyperlink"/>
              </w:rPr>
              <w:t>2</w:t>
            </w:r>
            <w:r>
              <w:fldChar w:fldCharType="end"/>
            </w:r>
          </w:hyperlink>
        </w:p>
        <w:p w:rsidR="3B0F1F9D" w:rsidP="3B0F1F9D" w:rsidRDefault="3B0F1F9D" w14:paraId="6720CF8C" w14:textId="656C811E">
          <w:pPr>
            <w:pStyle w:val="TOC1"/>
            <w:tabs>
              <w:tab w:val="right" w:leader="dot" w:pos="9015"/>
            </w:tabs>
            <w:bidi w:val="0"/>
            <w:rPr>
              <w:rStyle w:val="Hyperlink"/>
            </w:rPr>
          </w:pPr>
          <w:hyperlink w:anchor="_Toc1152844313">
            <w:r w:rsidRPr="3B0F1F9D" w:rsidR="3B0F1F9D">
              <w:rPr>
                <w:rStyle w:val="Hyperlink"/>
              </w:rPr>
              <w:t>Conclusion</w:t>
            </w:r>
            <w:r>
              <w:tab/>
            </w:r>
            <w:r>
              <w:fldChar w:fldCharType="begin"/>
            </w:r>
            <w:r>
              <w:instrText xml:space="preserve">PAGEREF _Toc1152844313 \h</w:instrText>
            </w:r>
            <w:r>
              <w:fldChar w:fldCharType="separate"/>
            </w:r>
            <w:r w:rsidRPr="3B0F1F9D" w:rsidR="3B0F1F9D">
              <w:rPr>
                <w:rStyle w:val="Hyperlink"/>
              </w:rPr>
              <w:t>4</w:t>
            </w:r>
            <w:r>
              <w:fldChar w:fldCharType="end"/>
            </w:r>
          </w:hyperlink>
        </w:p>
        <w:p w:rsidR="3B0F1F9D" w:rsidP="3B0F1F9D" w:rsidRDefault="3B0F1F9D" w14:paraId="7F7CE718" w14:textId="67C9395B">
          <w:pPr>
            <w:pStyle w:val="TOC1"/>
            <w:tabs>
              <w:tab w:val="right" w:leader="dot" w:pos="9015"/>
            </w:tabs>
            <w:bidi w:val="0"/>
            <w:rPr>
              <w:rStyle w:val="Hyperlink"/>
            </w:rPr>
          </w:pPr>
          <w:hyperlink w:anchor="_Toc299322428">
            <w:r w:rsidRPr="3B0F1F9D" w:rsidR="3B0F1F9D">
              <w:rPr>
                <w:rStyle w:val="Hyperlink"/>
              </w:rPr>
              <w:t>Reference List</w:t>
            </w:r>
            <w:r>
              <w:tab/>
            </w:r>
            <w:r>
              <w:fldChar w:fldCharType="begin"/>
            </w:r>
            <w:r>
              <w:instrText xml:space="preserve">PAGEREF _Toc299322428 \h</w:instrText>
            </w:r>
            <w:r>
              <w:fldChar w:fldCharType="separate"/>
            </w:r>
            <w:r w:rsidRPr="3B0F1F9D" w:rsidR="3B0F1F9D">
              <w:rPr>
                <w:rStyle w:val="Hyperlink"/>
              </w:rPr>
              <w:t>5</w:t>
            </w:r>
            <w:r>
              <w:fldChar w:fldCharType="end"/>
            </w:r>
          </w:hyperlink>
          <w:r>
            <w:fldChar w:fldCharType="end"/>
          </w:r>
        </w:p>
      </w:sdtContent>
    </w:sdt>
    <w:p w:rsidR="3B0F1F9D" w:rsidP="3B0F1F9D" w:rsidRDefault="3B0F1F9D" w14:paraId="4075D497" w14:textId="25C38DC6">
      <w:pPr>
        <w:rPr>
          <w:b w:val="1"/>
          <w:bCs w:val="1"/>
          <w:sz w:val="28"/>
          <w:szCs w:val="28"/>
        </w:rPr>
      </w:pPr>
    </w:p>
    <w:p w:rsidR="3B0F1F9D" w:rsidP="3B0F1F9D" w:rsidRDefault="3B0F1F9D" w14:paraId="19940496" w14:textId="684AD449">
      <w:pPr>
        <w:rPr>
          <w:b w:val="1"/>
          <w:bCs w:val="1"/>
          <w:sz w:val="28"/>
          <w:szCs w:val="28"/>
        </w:rPr>
      </w:pPr>
    </w:p>
    <w:p w:rsidR="3B0F1F9D" w:rsidP="3B0F1F9D" w:rsidRDefault="3B0F1F9D" w14:paraId="3CBF8AB3" w14:textId="207D7377">
      <w:pPr>
        <w:rPr>
          <w:b w:val="1"/>
          <w:bCs w:val="1"/>
          <w:sz w:val="28"/>
          <w:szCs w:val="28"/>
        </w:rPr>
      </w:pPr>
    </w:p>
    <w:p w:rsidR="3B0F1F9D" w:rsidP="3B0F1F9D" w:rsidRDefault="3B0F1F9D" w14:paraId="6C988F0D" w14:textId="17789210">
      <w:pPr>
        <w:rPr>
          <w:b w:val="1"/>
          <w:bCs w:val="1"/>
          <w:sz w:val="28"/>
          <w:szCs w:val="28"/>
        </w:rPr>
      </w:pPr>
    </w:p>
    <w:p w:rsidR="3B0F1F9D" w:rsidP="3B0F1F9D" w:rsidRDefault="3B0F1F9D" w14:paraId="1B64CDC5" w14:textId="25CB55EC">
      <w:pPr>
        <w:rPr>
          <w:b w:val="1"/>
          <w:bCs w:val="1"/>
          <w:sz w:val="28"/>
          <w:szCs w:val="28"/>
        </w:rPr>
      </w:pPr>
    </w:p>
    <w:p w:rsidR="3B0F1F9D" w:rsidP="3B0F1F9D" w:rsidRDefault="3B0F1F9D" w14:paraId="7E9EB69D" w14:textId="626540EF">
      <w:pPr>
        <w:rPr>
          <w:b w:val="1"/>
          <w:bCs w:val="1"/>
          <w:sz w:val="28"/>
          <w:szCs w:val="28"/>
        </w:rPr>
      </w:pPr>
    </w:p>
    <w:p w:rsidR="3B0F1F9D" w:rsidP="3B0F1F9D" w:rsidRDefault="3B0F1F9D" w14:paraId="1576DF27" w14:textId="7A964236">
      <w:pPr>
        <w:rPr>
          <w:b w:val="1"/>
          <w:bCs w:val="1"/>
          <w:sz w:val="28"/>
          <w:szCs w:val="28"/>
        </w:rPr>
      </w:pPr>
    </w:p>
    <w:p w:rsidR="3B0F1F9D" w:rsidP="3B0F1F9D" w:rsidRDefault="3B0F1F9D" w14:paraId="3BA20C98" w14:textId="6D5B6A80">
      <w:pPr>
        <w:rPr>
          <w:b w:val="1"/>
          <w:bCs w:val="1"/>
          <w:sz w:val="28"/>
          <w:szCs w:val="28"/>
        </w:rPr>
      </w:pPr>
    </w:p>
    <w:p w:rsidR="3B0F1F9D" w:rsidP="3B0F1F9D" w:rsidRDefault="3B0F1F9D" w14:paraId="6F52F008" w14:textId="3E86C96C">
      <w:pPr>
        <w:rPr>
          <w:b w:val="1"/>
          <w:bCs w:val="1"/>
          <w:sz w:val="28"/>
          <w:szCs w:val="28"/>
        </w:rPr>
      </w:pPr>
    </w:p>
    <w:p w:rsidR="3B0F1F9D" w:rsidP="3B0F1F9D" w:rsidRDefault="3B0F1F9D" w14:paraId="4BDEB51A" w14:textId="2FA4D01D">
      <w:pPr>
        <w:rPr>
          <w:b w:val="1"/>
          <w:bCs w:val="1"/>
          <w:sz w:val="28"/>
          <w:szCs w:val="28"/>
        </w:rPr>
      </w:pPr>
    </w:p>
    <w:p w:rsidR="3B0F1F9D" w:rsidP="3B0F1F9D" w:rsidRDefault="3B0F1F9D" w14:paraId="3958AE5F" w14:textId="1DB3818E">
      <w:pPr>
        <w:rPr>
          <w:b w:val="1"/>
          <w:bCs w:val="1"/>
          <w:sz w:val="28"/>
          <w:szCs w:val="28"/>
        </w:rPr>
      </w:pPr>
    </w:p>
    <w:p w:rsidR="3B0F1F9D" w:rsidP="3B0F1F9D" w:rsidRDefault="3B0F1F9D" w14:paraId="3753A7C5" w14:textId="3605221B">
      <w:pPr>
        <w:rPr>
          <w:b w:val="1"/>
          <w:bCs w:val="1"/>
          <w:sz w:val="28"/>
          <w:szCs w:val="28"/>
        </w:rPr>
      </w:pPr>
    </w:p>
    <w:p w:rsidR="3B0F1F9D" w:rsidP="3B0F1F9D" w:rsidRDefault="3B0F1F9D" w14:paraId="6E9266F0" w14:textId="0854E7AE">
      <w:pPr>
        <w:rPr>
          <w:b w:val="1"/>
          <w:bCs w:val="1"/>
          <w:sz w:val="28"/>
          <w:szCs w:val="28"/>
        </w:rPr>
      </w:pPr>
    </w:p>
    <w:p w:rsidR="3B0F1F9D" w:rsidP="3B0F1F9D" w:rsidRDefault="3B0F1F9D" w14:paraId="1D63696B" w14:textId="5A88CFE9">
      <w:pPr>
        <w:rPr>
          <w:b w:val="1"/>
          <w:bCs w:val="1"/>
          <w:sz w:val="28"/>
          <w:szCs w:val="28"/>
        </w:rPr>
      </w:pPr>
    </w:p>
    <w:p w:rsidR="3B0F1F9D" w:rsidP="3B0F1F9D" w:rsidRDefault="3B0F1F9D" w14:paraId="1DA0356A" w14:textId="285F2F0E">
      <w:pPr>
        <w:rPr>
          <w:b w:val="1"/>
          <w:bCs w:val="1"/>
          <w:sz w:val="28"/>
          <w:szCs w:val="28"/>
        </w:rPr>
      </w:pPr>
    </w:p>
    <w:p w:rsidR="3B0F1F9D" w:rsidP="3B0F1F9D" w:rsidRDefault="3B0F1F9D" w14:paraId="1C5479E1" w14:textId="67D03471">
      <w:pPr>
        <w:rPr>
          <w:b w:val="1"/>
          <w:bCs w:val="1"/>
          <w:sz w:val="28"/>
          <w:szCs w:val="28"/>
        </w:rPr>
      </w:pPr>
    </w:p>
    <w:p w:rsidRPr="005B1759" w:rsidR="005B1759" w:rsidP="3B0F1F9D" w:rsidRDefault="005B1759" w14:paraId="0E94A934" w14:textId="2DB4330A">
      <w:pPr>
        <w:pStyle w:val="Heading1"/>
        <w:rPr>
          <w:b w:val="1"/>
          <w:bCs w:val="1"/>
          <w:sz w:val="24"/>
          <w:szCs w:val="24"/>
        </w:rPr>
      </w:pPr>
      <w:bookmarkStart w:name="_Toc483267603" w:id="224201744"/>
      <w:r w:rsidR="2AE465F2">
        <w:rPr/>
        <w:t>Introduction</w:t>
      </w:r>
      <w:bookmarkEnd w:id="224201744"/>
      <w:r w:rsidR="2AE465F2">
        <w:rPr/>
        <w:t xml:space="preserve"> </w:t>
      </w:r>
    </w:p>
    <w:p w:rsidRPr="005B1759" w:rsidR="005B1759" w:rsidP="005B1759" w:rsidRDefault="005B1759" w14:paraId="782BF4AC" w14:textId="737C79FF">
      <w:pPr>
        <w:spacing w:line="360" w:lineRule="auto"/>
        <w:jc w:val="both"/>
      </w:pPr>
      <w:r w:rsidR="2AE465F2">
        <w:rPr/>
        <w:t xml:space="preserve">Dementia is a condition that affects the brain and causes problems with memory, thinking, and behaviour. It is not a single </w:t>
      </w:r>
      <w:r w:rsidR="2B963FEE">
        <w:rPr/>
        <w:t>disease,</w:t>
      </w:r>
      <w:r w:rsidR="2AE465F2">
        <w:rPr/>
        <w:t xml:space="preserve"> but a group of symptoms linked to conditions such as Alzheimer’s disease. According to the World Health Organization (2023), dementia is one of the leading causes of disability and dependency among older people worldwide. People with dementia may experience memory loss, confusion, difficulty communicating, and changes in mood or personality. These symptoms usually get worse over time and can affect a person’s ability to carry out everyday activities (Carr, </w:t>
      </w:r>
      <w:r w:rsidR="2AE465F2">
        <w:rPr/>
        <w:t>Unwin</w:t>
      </w:r>
      <w:r w:rsidR="2AE465F2">
        <w:rPr/>
        <w:t xml:space="preserve"> and Pless-</w:t>
      </w:r>
      <w:r w:rsidR="2AE465F2">
        <w:rPr/>
        <w:t>Mulloli</w:t>
      </w:r>
      <w:r w:rsidR="2AE465F2">
        <w:rPr/>
        <w:t>, 2007).</w:t>
      </w:r>
    </w:p>
    <w:p w:rsidRPr="005B1759" w:rsidR="005B1759" w:rsidP="005B1759" w:rsidRDefault="005B1759" w14:paraId="495660F2" w14:textId="77777777">
      <w:pPr>
        <w:spacing w:line="360" w:lineRule="auto"/>
        <w:jc w:val="both"/>
      </w:pPr>
      <w:r w:rsidRPr="005B1759">
        <w:t>To support individuals living with dementia in the community, a range of health and social care services are required. These include GP services, community nurses, mental health teams, and social care support (Orme, 2007). Family carers also play an important role in providing daily support. Continuous care and early diagnosis are essential to improve quality of life, reduce complications, and help individuals remain as independent as possible.</w:t>
      </w:r>
    </w:p>
    <w:p w:rsidRPr="005B1759" w:rsidR="005B1759" w:rsidP="005B1759" w:rsidRDefault="005B1759" w14:paraId="11D20480" w14:textId="7516E231">
      <w:pPr>
        <w:spacing w:line="360" w:lineRule="auto"/>
        <w:jc w:val="both"/>
      </w:pPr>
    </w:p>
    <w:p w:rsidRPr="005B1759" w:rsidR="005B1759" w:rsidP="3B0F1F9D" w:rsidRDefault="005B1759" w14:paraId="41035B25" w14:textId="4401F9AB">
      <w:pPr>
        <w:pStyle w:val="Heading1"/>
        <w:rPr>
          <w:b w:val="1"/>
          <w:bCs w:val="1"/>
          <w:sz w:val="24"/>
          <w:szCs w:val="24"/>
        </w:rPr>
      </w:pPr>
      <w:bookmarkStart w:name="_Toc978427291" w:id="1924089958"/>
      <w:r w:rsidR="2AE465F2">
        <w:rPr/>
        <w:t>Main Body</w:t>
      </w:r>
      <w:bookmarkEnd w:id="1924089958"/>
      <w:r w:rsidR="2AE465F2">
        <w:rPr/>
        <w:t xml:space="preserve"> </w:t>
      </w:r>
    </w:p>
    <w:p w:rsidRPr="005B1759" w:rsidR="005B1759" w:rsidP="005B1759" w:rsidRDefault="005B1759" w14:paraId="38CC8092" w14:textId="77777777">
      <w:pPr>
        <w:spacing w:line="360" w:lineRule="auto"/>
        <w:jc w:val="both"/>
      </w:pPr>
      <w:r w:rsidRPr="005B1759">
        <w:t>Dementia is measured and monitored using a variety of methods to understand how the condition develops and how it affects individuals over time. One common method is the use of cognitive tests that assess memory, attention, language, and problem-solving skills. These tests help healthcare professionals identify early signs of dementia and determine how severe the condition is (Carr, Unwin and Pless-</w:t>
      </w:r>
      <w:proofErr w:type="spellStart"/>
      <w:r w:rsidRPr="005B1759">
        <w:t>Mulloli</w:t>
      </w:r>
      <w:proofErr w:type="spellEnd"/>
      <w:r w:rsidRPr="005B1759">
        <w:t>, 2007). For example, short memory tests can show whether a person is experiencing normal ageing or more serious cognitive decline.</w:t>
      </w:r>
    </w:p>
    <w:p w:rsidRPr="005B1759" w:rsidR="005B1759" w:rsidP="005B1759" w:rsidRDefault="005B1759" w14:paraId="186D2A9F" w14:textId="77777777">
      <w:pPr>
        <w:spacing w:line="360" w:lineRule="auto"/>
        <w:jc w:val="both"/>
      </w:pPr>
      <w:r w:rsidRPr="005B1759">
        <w:t>In addition to cognitive testing, brain scans such as MRI and CT scans are used to detect physical changes in the brain. These scans can show shrinkage or damage in certain areas, which is often linked to dementia. Blood tests may also be used to rule out other conditions that can cause similar symptoms. Monitoring dementia is not only done at the individual level but also at the population level. In the UK, organisations such as the Office for National Statistics and the Department of Health and Social Care collect data on the number of people living with dementia. This information helps the government plan services, allocate resources, and develop policies to support affected individuals. Regular reviews and follow-up appointments are also important, as they allow healthcare professionals to monitor the progression of the disease and adjust care plans when needed.</w:t>
      </w:r>
    </w:p>
    <w:p w:rsidRPr="005B1759" w:rsidR="005B1759" w:rsidP="005B1759" w:rsidRDefault="005B1759" w14:paraId="2F08D77A" w14:textId="77777777">
      <w:pPr>
        <w:spacing w:line="360" w:lineRule="auto"/>
        <w:jc w:val="both"/>
      </w:pPr>
      <w:r w:rsidRPr="005B1759">
        <w:lastRenderedPageBreak/>
        <w:t xml:space="preserve">Although there is currently no cure for dementia, there are several ways to control and manage the condition. One important approach is prevention. Research shows that lifestyle factors such as unhealthy diet, smoking, lack of physical activity, and excessive alcohol consumption can increase the risk of developing dementia (Scarborough </w:t>
      </w:r>
      <w:r w:rsidRPr="005B1759">
        <w:rPr>
          <w:i/>
          <w:iCs/>
        </w:rPr>
        <w:t>et al.</w:t>
      </w:r>
      <w:r w:rsidRPr="005B1759">
        <w:t>, 2011). Therefore, public health campaigns aim to encourage people to adopt healthier lifestyles. For example, regular exercise, a balanced diet, and social engagement can help reduce risk.</w:t>
      </w:r>
    </w:p>
    <w:p w:rsidRPr="005B1759" w:rsidR="005B1759" w:rsidP="005B1759" w:rsidRDefault="005B1759" w14:paraId="013F2244" w14:textId="77777777">
      <w:pPr>
        <w:spacing w:line="360" w:lineRule="auto"/>
        <w:jc w:val="both"/>
      </w:pPr>
      <w:r w:rsidRPr="005B1759">
        <w:t>Early diagnosis is another key strategy in managing dementia. When dementia is diagnosed early, individuals and their families can access support services sooner and plan for future care (World Health Organization, 2023). Early intervention can also help slow down the progression of symptoms in some cases. Medications are available to help manage symptoms such as memory loss and confusion. Although these medications do not cure dementia, they can improve quality of life for some individuals.</w:t>
      </w:r>
    </w:p>
    <w:p w:rsidRPr="005B1759" w:rsidR="005B1759" w:rsidP="005B1759" w:rsidRDefault="005B1759" w14:paraId="6E122DFE" w14:textId="77777777">
      <w:pPr>
        <w:spacing w:line="360" w:lineRule="auto"/>
        <w:jc w:val="both"/>
      </w:pPr>
      <w:r w:rsidRPr="005B1759">
        <w:t>Non-medical approaches are also very important. These include activities such as cognitive stimulation therapy, social interaction, and emotional support. These approaches can help individuals maintain their skills and improve their wellbeing (Orme, 2007). Community services such as home care, day centres, and support groups provide practical help and reduce isolation. In addition, national strategies and policies play a role in controlling dementia by improving awareness, diagnosis rates, and care services.</w:t>
      </w:r>
    </w:p>
    <w:p w:rsidRPr="005B1759" w:rsidR="005B1759" w:rsidP="005B1759" w:rsidRDefault="005B1759" w14:paraId="4A7B5851" w14:textId="77777777">
      <w:pPr>
        <w:spacing w:line="360" w:lineRule="auto"/>
        <w:jc w:val="both"/>
      </w:pPr>
      <w:r w:rsidRPr="005B1759">
        <w:t>Dementia has a significant impact on individuals, families, and the wider community. For individuals, the condition often leads to a gradual loss of independence. Everyday tasks such as cooking, dressing, and managing money become increasingly difficult. This can cause frustration, anxiety, and depression (Carr, Unwin and Pless-</w:t>
      </w:r>
      <w:proofErr w:type="spellStart"/>
      <w:r w:rsidRPr="005B1759">
        <w:t>Mulloli</w:t>
      </w:r>
      <w:proofErr w:type="spellEnd"/>
      <w:r w:rsidRPr="005B1759">
        <w:t>, 2007). As the disease progresses, individuals may require full-time care and support.</w:t>
      </w:r>
    </w:p>
    <w:p w:rsidRPr="005B1759" w:rsidR="005B1759" w:rsidP="005B1759" w:rsidRDefault="005B1759" w14:paraId="78F80825" w14:textId="77777777">
      <w:pPr>
        <w:spacing w:line="360" w:lineRule="auto"/>
        <w:jc w:val="both"/>
      </w:pPr>
      <w:r w:rsidRPr="005B1759">
        <w:t xml:space="preserve">There </w:t>
      </w:r>
      <w:proofErr w:type="gramStart"/>
      <w:r w:rsidRPr="005B1759">
        <w:t>are</w:t>
      </w:r>
      <w:proofErr w:type="gramEnd"/>
      <w:r w:rsidRPr="005B1759">
        <w:t xml:space="preserve"> also physical health risks associated with dementia. Individuals may be more likely to experience falls, infections, and other health complications. Communication difficulties can make it harder for them to express their needs, which can affect their care. Families and carers are also greatly affected. Caring for someone with dementia can be physically demanding and emotionally stressful. Many carers experience burnout and may need support themselves.</w:t>
      </w:r>
    </w:p>
    <w:p w:rsidRPr="005B1759" w:rsidR="005B1759" w:rsidP="005B1759" w:rsidRDefault="005B1759" w14:paraId="5E5D62C9" w14:textId="77777777">
      <w:pPr>
        <w:spacing w:line="360" w:lineRule="auto"/>
        <w:jc w:val="both"/>
      </w:pPr>
      <w:r w:rsidRPr="005B1759">
        <w:t xml:space="preserve">At the community level, dementia places pressure on health and social care services. There is an increased demand for healthcare professionals, care homes, and support services (Orme, 2007). This creates challenges for the healthcare system, especially as the number of people living with dementia continues to rise. There is also a significant financial cost. Governments spend large </w:t>
      </w:r>
      <w:r w:rsidRPr="005B1759">
        <w:lastRenderedPageBreak/>
        <w:t>amounts of money on healthcare and social care for people with dementia, and families may also face financial difficulties. In addition, individuals with dementia may experience social isolation and stigma, which can negatively affect their mental health and wellbeing.</w:t>
      </w:r>
    </w:p>
    <w:p w:rsidRPr="005B1759" w:rsidR="005B1759" w:rsidP="005B1759" w:rsidRDefault="005B1759" w14:paraId="3FA38FDD" w14:textId="77777777">
      <w:pPr>
        <w:spacing w:line="360" w:lineRule="auto"/>
        <w:jc w:val="both"/>
      </w:pPr>
      <w:r w:rsidRPr="005B1759">
        <w:t>Dementia is a growing global health issue with increasing numbers of people affected each year. According to the World Health Organization (2023), more than 55 million people worldwide are living with dementia, and around 10 million new cases are diagnosed every year. These numbers are expected to increase due to the ageing population. Dementia is one of the leading causes of death globally and is a major concern for public health systems.</w:t>
      </w:r>
    </w:p>
    <w:p w:rsidRPr="005B1759" w:rsidR="005B1759" w:rsidP="005B1759" w:rsidRDefault="005B1759" w14:paraId="00D2D8C5" w14:textId="77777777">
      <w:pPr>
        <w:spacing w:line="360" w:lineRule="auto"/>
        <w:jc w:val="both"/>
      </w:pPr>
      <w:r w:rsidR="2AE465F2">
        <w:rPr/>
        <w:t>In the United Kingdom, dementia is also a significant issue. It is estimated that around 900,000 people are currently living with dementia, and this number is expected to rise in the future (Department of Health and Social Care, no date). Dementia is more common in people aged 65 and over, although younger people can also develop the condition. Women are more likely to be affected than men, mainly because they tend to live longer. These statistics highlight the seriousness of dementia as a public health problem and show the need for effective prevention, care, and support strategies.</w:t>
      </w:r>
    </w:p>
    <w:p w:rsidR="3B0F1F9D" w:rsidP="3B0F1F9D" w:rsidRDefault="3B0F1F9D" w14:paraId="1AC8C7D1" w14:textId="474A337C">
      <w:pPr>
        <w:spacing w:line="360" w:lineRule="auto"/>
        <w:jc w:val="both"/>
      </w:pPr>
    </w:p>
    <w:p w:rsidR="3B0F1F9D" w:rsidP="3B0F1F9D" w:rsidRDefault="3B0F1F9D" w14:paraId="21C8B79C" w14:textId="09DA764C">
      <w:pPr>
        <w:spacing w:line="360" w:lineRule="auto"/>
        <w:jc w:val="both"/>
      </w:pPr>
    </w:p>
    <w:p w:rsidR="3B0F1F9D" w:rsidP="3B0F1F9D" w:rsidRDefault="3B0F1F9D" w14:paraId="30989E28" w14:textId="5C965F0F">
      <w:pPr>
        <w:spacing w:line="360" w:lineRule="auto"/>
        <w:jc w:val="both"/>
      </w:pPr>
    </w:p>
    <w:p w:rsidR="3B0F1F9D" w:rsidP="3B0F1F9D" w:rsidRDefault="3B0F1F9D" w14:paraId="390A7C32" w14:textId="3B186C8A">
      <w:pPr>
        <w:spacing w:line="360" w:lineRule="auto"/>
        <w:jc w:val="both"/>
      </w:pPr>
    </w:p>
    <w:p w:rsidR="3B0F1F9D" w:rsidP="3B0F1F9D" w:rsidRDefault="3B0F1F9D" w14:paraId="6A977305" w14:textId="480C8998">
      <w:pPr>
        <w:spacing w:line="360" w:lineRule="auto"/>
        <w:jc w:val="both"/>
      </w:pPr>
    </w:p>
    <w:p w:rsidR="3B0F1F9D" w:rsidP="3B0F1F9D" w:rsidRDefault="3B0F1F9D" w14:paraId="3A4A1D08" w14:textId="46C9942D">
      <w:pPr>
        <w:spacing w:line="360" w:lineRule="auto"/>
        <w:jc w:val="both"/>
      </w:pPr>
    </w:p>
    <w:p w:rsidR="3B0F1F9D" w:rsidP="3B0F1F9D" w:rsidRDefault="3B0F1F9D" w14:paraId="06A75518" w14:textId="03A57DDE">
      <w:pPr>
        <w:spacing w:line="360" w:lineRule="auto"/>
        <w:jc w:val="both"/>
      </w:pPr>
    </w:p>
    <w:p w:rsidR="3B0F1F9D" w:rsidP="3B0F1F9D" w:rsidRDefault="3B0F1F9D" w14:paraId="68A96FAA" w14:textId="09843E83">
      <w:pPr>
        <w:spacing w:line="360" w:lineRule="auto"/>
        <w:jc w:val="both"/>
      </w:pPr>
    </w:p>
    <w:p w:rsidR="3B0F1F9D" w:rsidP="3B0F1F9D" w:rsidRDefault="3B0F1F9D" w14:paraId="2E8777B4" w14:textId="3B50D5FE">
      <w:pPr>
        <w:spacing w:line="360" w:lineRule="auto"/>
        <w:jc w:val="both"/>
      </w:pPr>
    </w:p>
    <w:p w:rsidR="3B0F1F9D" w:rsidP="3B0F1F9D" w:rsidRDefault="3B0F1F9D" w14:paraId="02E698C1" w14:textId="194FE474">
      <w:pPr>
        <w:spacing w:line="360" w:lineRule="auto"/>
        <w:jc w:val="both"/>
      </w:pPr>
    </w:p>
    <w:p w:rsidR="3B0F1F9D" w:rsidP="3B0F1F9D" w:rsidRDefault="3B0F1F9D" w14:paraId="5260F19E" w14:textId="078BEF4D">
      <w:pPr>
        <w:spacing w:line="360" w:lineRule="auto"/>
        <w:jc w:val="both"/>
      </w:pPr>
    </w:p>
    <w:p w:rsidRPr="005B1759" w:rsidR="005B1759" w:rsidP="005B1759" w:rsidRDefault="005B1759" w14:paraId="33D2BBFC" w14:textId="7D5BEC55">
      <w:pPr>
        <w:spacing w:line="360" w:lineRule="auto"/>
        <w:jc w:val="both"/>
      </w:pPr>
    </w:p>
    <w:p w:rsidRPr="005B1759" w:rsidR="005B1759" w:rsidP="3B0F1F9D" w:rsidRDefault="005B1759" w14:paraId="368271CA" w14:textId="0D09E255">
      <w:pPr>
        <w:pStyle w:val="Heading1"/>
        <w:rPr>
          <w:b w:val="1"/>
          <w:bCs w:val="1"/>
          <w:sz w:val="24"/>
          <w:szCs w:val="24"/>
        </w:rPr>
      </w:pPr>
      <w:bookmarkStart w:name="_Toc1152844313" w:id="2090137757"/>
      <w:r w:rsidR="2AE465F2">
        <w:rPr/>
        <w:t>Conclusion</w:t>
      </w:r>
      <w:bookmarkEnd w:id="2090137757"/>
      <w:r w:rsidR="2AE465F2">
        <w:rPr/>
        <w:t xml:space="preserve"> </w:t>
      </w:r>
    </w:p>
    <w:p w:rsidRPr="005B1759" w:rsidR="005B1759" w:rsidP="005B1759" w:rsidRDefault="00027D3C" w14:paraId="45541D0D" w14:textId="23E4361E">
      <w:pPr>
        <w:spacing w:line="360" w:lineRule="auto"/>
        <w:jc w:val="both"/>
      </w:pPr>
      <w:r>
        <w:t>D</w:t>
      </w:r>
      <w:r w:rsidRPr="005B1759" w:rsidR="005B1759">
        <w:t>ementia is a serious and increasing public health issue that affects individuals, families, and communities. It causes memory loss, confusion, and difficulties with everyday activities, which can reduce independence and quality of life. Dementia is measured using cognitive tests, brain scans, and national data, which help healthcare professionals monitor the condition and plan care (Carr, Unwin and Pless-</w:t>
      </w:r>
      <w:proofErr w:type="spellStart"/>
      <w:r w:rsidRPr="005B1759" w:rsidR="005B1759">
        <w:t>Mulloli</w:t>
      </w:r>
      <w:proofErr w:type="spellEnd"/>
      <w:r w:rsidRPr="005B1759" w:rsidR="005B1759">
        <w:t>, 2007).</w:t>
      </w:r>
    </w:p>
    <w:p w:rsidRPr="005B1759" w:rsidR="005B1759" w:rsidP="005B1759" w:rsidRDefault="005B1759" w14:paraId="46EB429B" w14:textId="77777777">
      <w:pPr>
        <w:spacing w:line="360" w:lineRule="auto"/>
        <w:jc w:val="both"/>
      </w:pPr>
      <w:r w:rsidRPr="005B1759">
        <w:t>Although there is no cure, early diagnosis, medication, and community support can help manage symptoms and improve wellbeing (World Health Organization, 2023). The condition has a wide impact, including emotional stress for families, financial costs, and increased pressure on healthcare services (Orme, 2007). As the number of people living with dementia continues to rise, it is important for governments and healthcare providers to improve awareness, prevention strategies, and support services. This will help ensure better care and quality of life for those affected.</w:t>
      </w:r>
    </w:p>
    <w:p w:rsidR="00AE0536" w:rsidP="00B20C7F" w:rsidRDefault="00AE0536" w14:paraId="70018EE0" w14:textId="77777777">
      <w:pPr>
        <w:spacing w:line="360" w:lineRule="auto"/>
        <w:jc w:val="both"/>
      </w:pPr>
    </w:p>
    <w:p w:rsidR="00AE0536" w:rsidP="00B20C7F" w:rsidRDefault="00AE0536" w14:paraId="73281A2C" w14:textId="4598E360">
      <w:pPr>
        <w:spacing w:line="360" w:lineRule="auto"/>
        <w:jc w:val="both"/>
      </w:pPr>
    </w:p>
    <w:p w:rsidR="3B0F1F9D" w:rsidP="3B0F1F9D" w:rsidRDefault="3B0F1F9D" w14:paraId="6C287381" w14:textId="7B5EE2F6">
      <w:pPr>
        <w:spacing w:line="360" w:lineRule="auto"/>
        <w:jc w:val="both"/>
      </w:pPr>
    </w:p>
    <w:p w:rsidR="3B0F1F9D" w:rsidP="3B0F1F9D" w:rsidRDefault="3B0F1F9D" w14:paraId="0B33526A" w14:textId="1DE0F0CE">
      <w:pPr>
        <w:spacing w:line="360" w:lineRule="auto"/>
        <w:jc w:val="both"/>
      </w:pPr>
    </w:p>
    <w:p w:rsidR="3B0F1F9D" w:rsidP="3B0F1F9D" w:rsidRDefault="3B0F1F9D" w14:paraId="023674C6" w14:textId="32E3D55E">
      <w:pPr>
        <w:spacing w:line="360" w:lineRule="auto"/>
        <w:jc w:val="both"/>
      </w:pPr>
    </w:p>
    <w:p w:rsidR="3B0F1F9D" w:rsidP="3B0F1F9D" w:rsidRDefault="3B0F1F9D" w14:paraId="22C0CE88" w14:textId="02E9121A">
      <w:pPr>
        <w:spacing w:line="360" w:lineRule="auto"/>
        <w:jc w:val="both"/>
      </w:pPr>
    </w:p>
    <w:p w:rsidR="3B0F1F9D" w:rsidP="3B0F1F9D" w:rsidRDefault="3B0F1F9D" w14:paraId="786E86D5" w14:textId="098E9D62">
      <w:pPr>
        <w:spacing w:line="360" w:lineRule="auto"/>
        <w:jc w:val="both"/>
      </w:pPr>
    </w:p>
    <w:p w:rsidR="3B0F1F9D" w:rsidP="3B0F1F9D" w:rsidRDefault="3B0F1F9D" w14:paraId="6DEF0235" w14:textId="08D424F4">
      <w:pPr>
        <w:spacing w:line="360" w:lineRule="auto"/>
        <w:jc w:val="both"/>
      </w:pPr>
    </w:p>
    <w:p w:rsidR="3B0F1F9D" w:rsidP="3B0F1F9D" w:rsidRDefault="3B0F1F9D" w14:paraId="08BAA1CA" w14:textId="376B5FE0">
      <w:pPr>
        <w:spacing w:line="360" w:lineRule="auto"/>
        <w:jc w:val="both"/>
      </w:pPr>
    </w:p>
    <w:p w:rsidR="3B0F1F9D" w:rsidP="3B0F1F9D" w:rsidRDefault="3B0F1F9D" w14:paraId="2C9B42CC" w14:textId="30C3DA58">
      <w:pPr>
        <w:spacing w:line="360" w:lineRule="auto"/>
        <w:jc w:val="both"/>
      </w:pPr>
    </w:p>
    <w:p w:rsidR="3B0F1F9D" w:rsidP="3B0F1F9D" w:rsidRDefault="3B0F1F9D" w14:paraId="71CFF491" w14:textId="023E9ED3">
      <w:pPr>
        <w:spacing w:line="360" w:lineRule="auto"/>
        <w:jc w:val="both"/>
      </w:pPr>
    </w:p>
    <w:p w:rsidR="3B0F1F9D" w:rsidP="3B0F1F9D" w:rsidRDefault="3B0F1F9D" w14:paraId="3234C68B" w14:textId="70D35947">
      <w:pPr>
        <w:spacing w:line="360" w:lineRule="auto"/>
        <w:jc w:val="both"/>
      </w:pPr>
    </w:p>
    <w:p w:rsidR="3B0F1F9D" w:rsidP="3B0F1F9D" w:rsidRDefault="3B0F1F9D" w14:paraId="28E89ED7" w14:textId="5F83277B">
      <w:pPr>
        <w:spacing w:line="360" w:lineRule="auto"/>
        <w:jc w:val="both"/>
      </w:pPr>
    </w:p>
    <w:p w:rsidRPr="00AE0536" w:rsidR="00AE0536" w:rsidP="3B0F1F9D" w:rsidRDefault="00AE0536" w14:paraId="497FE11A" w14:textId="14315C96">
      <w:pPr>
        <w:pStyle w:val="Heading1"/>
        <w:rPr>
          <w:b w:val="1"/>
          <w:bCs w:val="1"/>
        </w:rPr>
      </w:pPr>
      <w:bookmarkStart w:name="_Toc299322428" w:id="90554656"/>
      <w:r w:rsidR="203A2497">
        <w:rPr/>
        <w:t>Reference List</w:t>
      </w:r>
      <w:bookmarkEnd w:id="90554656"/>
      <w:r w:rsidR="203A2497">
        <w:rPr/>
        <w:t xml:space="preserve"> </w:t>
      </w:r>
    </w:p>
    <w:p w:rsidRPr="00AE0536" w:rsidR="00AE0536" w:rsidP="00AE0536" w:rsidRDefault="00AE0536" w14:paraId="49EB8E0B" w14:textId="77777777">
      <w:pPr>
        <w:spacing w:line="360" w:lineRule="auto"/>
        <w:jc w:val="both"/>
      </w:pPr>
      <w:r w:rsidRPr="00AE0536">
        <w:t>Carr, S., Unwin, N. and Pless-</w:t>
      </w:r>
      <w:proofErr w:type="spellStart"/>
      <w:r w:rsidRPr="00AE0536">
        <w:t>Mulloli</w:t>
      </w:r>
      <w:proofErr w:type="spellEnd"/>
      <w:r w:rsidRPr="00AE0536">
        <w:t xml:space="preserve">, T. (2007) </w:t>
      </w:r>
      <w:r w:rsidRPr="00AE0536">
        <w:rPr>
          <w:i/>
          <w:iCs/>
        </w:rPr>
        <w:t>An introduction to public health and epidemiology</w:t>
      </w:r>
      <w:r w:rsidRPr="00AE0536">
        <w:t xml:space="preserve">. 2nd </w:t>
      </w:r>
      <w:proofErr w:type="spellStart"/>
      <w:r w:rsidRPr="00AE0536">
        <w:t>edn</w:t>
      </w:r>
      <w:proofErr w:type="spellEnd"/>
      <w:r w:rsidRPr="00AE0536">
        <w:t>. Maidenhead: Open University Press.</w:t>
      </w:r>
    </w:p>
    <w:p w:rsidRPr="00AE0536" w:rsidR="00AE0536" w:rsidP="00AE0536" w:rsidRDefault="00AE0536" w14:paraId="6CB50F8A" w14:textId="77777777">
      <w:pPr>
        <w:spacing w:line="360" w:lineRule="auto"/>
        <w:jc w:val="both"/>
      </w:pPr>
      <w:r w:rsidRPr="00AE0536">
        <w:t xml:space="preserve">Department of Health (2015) </w:t>
      </w:r>
      <w:r w:rsidRPr="00AE0536">
        <w:rPr>
          <w:i/>
          <w:iCs/>
        </w:rPr>
        <w:t>Prime Minister’s challenge on dementia 2020</w:t>
      </w:r>
      <w:r w:rsidRPr="00AE0536">
        <w:t>. London: Department of Health.</w:t>
      </w:r>
    </w:p>
    <w:p w:rsidRPr="00AE0536" w:rsidR="00AE0536" w:rsidP="00AE0536" w:rsidRDefault="00AE0536" w14:paraId="79220F46" w14:textId="1646ADAC">
      <w:pPr>
        <w:spacing w:line="360" w:lineRule="auto"/>
        <w:jc w:val="both"/>
      </w:pPr>
      <w:r w:rsidRPr="00AE0536">
        <w:t xml:space="preserve">Department of Health and Social Care </w:t>
      </w:r>
      <w:r w:rsidRPr="00AE0536">
        <w:rPr>
          <w:i/>
          <w:iCs/>
        </w:rPr>
        <w:t>Department of Health and Social Care</w:t>
      </w:r>
      <w:r w:rsidRPr="00AE0536">
        <w:t xml:space="preserve">. Available at: </w:t>
      </w:r>
      <w:hyperlink w:tgtFrame="_new" w:history="1" r:id="rId7">
        <w:r w:rsidRPr="00AE0536">
          <w:rPr>
            <w:rStyle w:val="Hyperlink"/>
          </w:rPr>
          <w:t>https://www.gov.uk</w:t>
        </w:r>
      </w:hyperlink>
      <w:r w:rsidRPr="00AE0536">
        <w:t xml:space="preserve"> (Accessed: 14 April 2026).</w:t>
      </w:r>
    </w:p>
    <w:p w:rsidRPr="00AE0536" w:rsidR="00AE0536" w:rsidP="00AE0536" w:rsidRDefault="00AE0536" w14:paraId="2AB0F13C" w14:textId="77777777">
      <w:pPr>
        <w:spacing w:line="360" w:lineRule="auto"/>
        <w:jc w:val="both"/>
      </w:pPr>
      <w:r w:rsidRPr="00AE0536">
        <w:t xml:space="preserve">Livingston, G. </w:t>
      </w:r>
      <w:r w:rsidRPr="00AE0536">
        <w:rPr>
          <w:i/>
          <w:iCs/>
        </w:rPr>
        <w:t>et al.</w:t>
      </w:r>
      <w:r w:rsidRPr="00AE0536">
        <w:t xml:space="preserve"> (2020) ‘Dementia prevention, intervention, and care: 2020 report of the Lancet Commission’, </w:t>
      </w:r>
      <w:r w:rsidRPr="00AE0536">
        <w:rPr>
          <w:i/>
          <w:iCs/>
        </w:rPr>
        <w:t>The Lancet</w:t>
      </w:r>
      <w:r w:rsidRPr="00AE0536">
        <w:t>, 396(10248), pp. 413–446.</w:t>
      </w:r>
    </w:p>
    <w:p w:rsidRPr="00AE0536" w:rsidR="00AE0536" w:rsidP="00AE0536" w:rsidRDefault="00AE0536" w14:paraId="61234790" w14:textId="77777777">
      <w:pPr>
        <w:spacing w:line="360" w:lineRule="auto"/>
        <w:jc w:val="both"/>
      </w:pPr>
      <w:r w:rsidRPr="00AE0536">
        <w:t xml:space="preserve">NHS (2023) </w:t>
      </w:r>
      <w:r w:rsidRPr="00AE0536">
        <w:rPr>
          <w:i/>
          <w:iCs/>
        </w:rPr>
        <w:t>Dementia overview</w:t>
      </w:r>
      <w:r w:rsidRPr="00AE0536">
        <w:t xml:space="preserve">. Available at: </w:t>
      </w:r>
      <w:hyperlink w:tgtFrame="_new" w:history="1" r:id="rId8">
        <w:r w:rsidRPr="00AE0536">
          <w:rPr>
            <w:rStyle w:val="Hyperlink"/>
          </w:rPr>
          <w:t>https://www.nhs.uk</w:t>
        </w:r>
      </w:hyperlink>
      <w:r w:rsidRPr="00AE0536">
        <w:t xml:space="preserve"> (Accessed: 14 April 2026).</w:t>
      </w:r>
    </w:p>
    <w:p w:rsidRPr="00AE0536" w:rsidR="00AE0536" w:rsidP="00AE0536" w:rsidRDefault="00AE0536" w14:paraId="217D4511" w14:textId="77777777">
      <w:pPr>
        <w:spacing w:line="360" w:lineRule="auto"/>
        <w:jc w:val="both"/>
      </w:pPr>
      <w:r w:rsidRPr="00AE0536">
        <w:t xml:space="preserve">Orme, J. (2007) </w:t>
      </w:r>
      <w:r w:rsidRPr="00AE0536">
        <w:rPr>
          <w:i/>
          <w:iCs/>
        </w:rPr>
        <w:t xml:space="preserve">Public health for the 21st century: </w:t>
      </w:r>
      <w:proofErr w:type="gramStart"/>
      <w:r w:rsidRPr="00AE0536">
        <w:rPr>
          <w:i/>
          <w:iCs/>
        </w:rPr>
        <w:t>New</w:t>
      </w:r>
      <w:proofErr w:type="gramEnd"/>
      <w:r w:rsidRPr="00AE0536">
        <w:rPr>
          <w:i/>
          <w:iCs/>
        </w:rPr>
        <w:t xml:space="preserve"> perspectives on policy, participation and practice</w:t>
      </w:r>
      <w:r w:rsidRPr="00AE0536">
        <w:t xml:space="preserve">. 2nd </w:t>
      </w:r>
      <w:proofErr w:type="spellStart"/>
      <w:r w:rsidRPr="00AE0536">
        <w:t>edn</w:t>
      </w:r>
      <w:proofErr w:type="spellEnd"/>
      <w:r w:rsidRPr="00AE0536">
        <w:t>. Maidenhead: McGraw-Hill/Open University Press.</w:t>
      </w:r>
    </w:p>
    <w:p w:rsidRPr="00AE0536" w:rsidR="00AE0536" w:rsidP="00AE0536" w:rsidRDefault="00AE0536" w14:paraId="5DCF6A47" w14:textId="77777777">
      <w:pPr>
        <w:spacing w:line="360" w:lineRule="auto"/>
        <w:jc w:val="both"/>
      </w:pPr>
      <w:r w:rsidRPr="00AE0536">
        <w:t xml:space="preserve">Scarborough, P., Bhatnagar, P., Wickramasinghe, K.K., Allender, S., Foster, C. and Rayner, M. (2011) ‘The economic burden of ill health due to diet, physical inactivity, smoking, alcohol and obesity in the UK: an update to 2006–07 NHS costs’, </w:t>
      </w:r>
      <w:r w:rsidRPr="00AE0536">
        <w:rPr>
          <w:i/>
          <w:iCs/>
        </w:rPr>
        <w:t>Journal of Public Health</w:t>
      </w:r>
      <w:r w:rsidRPr="00AE0536">
        <w:t>, 33(4), pp. 527–535.</w:t>
      </w:r>
    </w:p>
    <w:p w:rsidRPr="00AE0536" w:rsidR="00AE0536" w:rsidP="00AE0536" w:rsidRDefault="00AE0536" w14:paraId="792CFC1B" w14:textId="77777777">
      <w:pPr>
        <w:spacing w:line="360" w:lineRule="auto"/>
        <w:jc w:val="both"/>
      </w:pPr>
      <w:r w:rsidRPr="00AE0536">
        <w:t xml:space="preserve">Alzheimer's Society (2023) </w:t>
      </w:r>
      <w:r w:rsidRPr="00AE0536">
        <w:rPr>
          <w:i/>
          <w:iCs/>
        </w:rPr>
        <w:t>Dementia statistics UK</w:t>
      </w:r>
      <w:r w:rsidRPr="00AE0536">
        <w:t xml:space="preserve">. Available at: </w:t>
      </w:r>
      <w:hyperlink w:tgtFrame="_new" w:history="1" r:id="rId9">
        <w:r w:rsidRPr="00AE0536">
          <w:rPr>
            <w:rStyle w:val="Hyperlink"/>
          </w:rPr>
          <w:t>https://www.alzheimers.org.uk</w:t>
        </w:r>
      </w:hyperlink>
      <w:r w:rsidRPr="00AE0536">
        <w:t xml:space="preserve"> (Accessed: 14 April 2026).</w:t>
      </w:r>
    </w:p>
    <w:p w:rsidRPr="00AE0536" w:rsidR="00AE0536" w:rsidP="00AE0536" w:rsidRDefault="00AE0536" w14:paraId="4DD0A19A" w14:textId="77777777">
      <w:pPr>
        <w:spacing w:line="360" w:lineRule="auto"/>
        <w:jc w:val="both"/>
      </w:pPr>
      <w:r w:rsidRPr="00AE0536">
        <w:t xml:space="preserve">World Health Organization (2023) </w:t>
      </w:r>
      <w:r w:rsidRPr="00AE0536">
        <w:rPr>
          <w:i/>
          <w:iCs/>
        </w:rPr>
        <w:t>Dementia</w:t>
      </w:r>
      <w:r w:rsidRPr="00AE0536">
        <w:t xml:space="preserve">. Available at: </w:t>
      </w:r>
      <w:hyperlink w:tgtFrame="_new" w:history="1" r:id="rId10">
        <w:r w:rsidRPr="00AE0536">
          <w:rPr>
            <w:rStyle w:val="Hyperlink"/>
          </w:rPr>
          <w:t>https://www.who.int</w:t>
        </w:r>
      </w:hyperlink>
      <w:r w:rsidRPr="00AE0536">
        <w:t xml:space="preserve"> (Accessed: 14 April 2026).</w:t>
      </w:r>
    </w:p>
    <w:p w:rsidRPr="00B20C7F" w:rsidR="00AE0536" w:rsidP="00B20C7F" w:rsidRDefault="00AE0536" w14:paraId="5EAABB44" w14:textId="77777777">
      <w:pPr>
        <w:spacing w:line="360" w:lineRule="auto"/>
        <w:jc w:val="both"/>
      </w:pPr>
    </w:p>
    <w:p w:rsidR="005A5694" w:rsidRDefault="005A5694" w14:paraId="0D34DF69" w14:textId="77777777"/>
    <w:sectPr w:rsidR="005A5694">
      <w:pgSz w:w="11906" w:h="16838" w:orient="portrait"/>
      <w:pgMar w:top="1440" w:right="1440" w:bottom="1440" w:left="1440" w:header="708" w:footer="708" w:gutter="0"/>
      <w:cols w:space="708"/>
      <w:docGrid w:linePitch="360"/>
      <w:headerReference w:type="default" r:id="Rf73a7b4a74f74461"/>
      <w:footerReference w:type="default" r:id="R6b5d14735c9a4e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0F1F9D" w:rsidTr="3B0F1F9D" w14:paraId="4F2AB319">
      <w:trPr>
        <w:trHeight w:val="300"/>
      </w:trPr>
      <w:tc>
        <w:tcPr>
          <w:tcW w:w="3005" w:type="dxa"/>
          <w:tcMar/>
        </w:tcPr>
        <w:p w:rsidR="3B0F1F9D" w:rsidP="3B0F1F9D" w:rsidRDefault="3B0F1F9D" w14:paraId="20892A2B" w14:textId="15963278">
          <w:pPr>
            <w:pStyle w:val="Header"/>
            <w:bidi w:val="0"/>
            <w:ind w:left="-115"/>
            <w:jc w:val="left"/>
          </w:pPr>
        </w:p>
      </w:tc>
      <w:tc>
        <w:tcPr>
          <w:tcW w:w="3005" w:type="dxa"/>
          <w:tcMar/>
        </w:tcPr>
        <w:p w:rsidR="3B0F1F9D" w:rsidP="3B0F1F9D" w:rsidRDefault="3B0F1F9D" w14:paraId="4913188F" w14:textId="5D403299">
          <w:pPr>
            <w:pStyle w:val="Header"/>
            <w:bidi w:val="0"/>
            <w:jc w:val="center"/>
          </w:pPr>
          <w:r>
            <w:fldChar w:fldCharType="begin"/>
          </w:r>
          <w:r>
            <w:instrText xml:space="preserve">PAGE</w:instrText>
          </w:r>
          <w:r>
            <w:fldChar w:fldCharType="separate"/>
          </w:r>
          <w:r>
            <w:fldChar w:fldCharType="end"/>
          </w:r>
        </w:p>
      </w:tc>
      <w:tc>
        <w:tcPr>
          <w:tcW w:w="3005" w:type="dxa"/>
          <w:tcMar/>
        </w:tcPr>
        <w:p w:rsidR="3B0F1F9D" w:rsidP="3B0F1F9D" w:rsidRDefault="3B0F1F9D" w14:paraId="4F202F51" w14:textId="26B944B6">
          <w:pPr>
            <w:pStyle w:val="Header"/>
            <w:bidi w:val="0"/>
            <w:ind w:right="-115"/>
            <w:jc w:val="right"/>
          </w:pPr>
        </w:p>
      </w:tc>
    </w:tr>
  </w:tbl>
  <w:p w:rsidR="3B0F1F9D" w:rsidP="3B0F1F9D" w:rsidRDefault="3B0F1F9D" w14:paraId="6D42BC5C" w14:textId="54F9D7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0F1F9D" w:rsidTr="3B0F1F9D" w14:paraId="7805AB87">
      <w:trPr>
        <w:trHeight w:val="300"/>
      </w:trPr>
      <w:tc>
        <w:tcPr>
          <w:tcW w:w="3005" w:type="dxa"/>
          <w:tcMar/>
        </w:tcPr>
        <w:p w:rsidR="3B0F1F9D" w:rsidP="3B0F1F9D" w:rsidRDefault="3B0F1F9D" w14:paraId="554D3BB5" w14:textId="0F6B8AE3">
          <w:pPr>
            <w:pStyle w:val="Header"/>
            <w:bidi w:val="0"/>
            <w:ind w:left="-115"/>
            <w:jc w:val="left"/>
          </w:pPr>
        </w:p>
      </w:tc>
      <w:tc>
        <w:tcPr>
          <w:tcW w:w="3005" w:type="dxa"/>
          <w:tcMar/>
        </w:tcPr>
        <w:p w:rsidR="3B0F1F9D" w:rsidP="3B0F1F9D" w:rsidRDefault="3B0F1F9D" w14:paraId="52EA85BC" w14:textId="209D781C">
          <w:pPr>
            <w:pStyle w:val="Header"/>
            <w:bidi w:val="0"/>
            <w:jc w:val="center"/>
          </w:pPr>
        </w:p>
      </w:tc>
      <w:tc>
        <w:tcPr>
          <w:tcW w:w="3005" w:type="dxa"/>
          <w:tcMar/>
        </w:tcPr>
        <w:p w:rsidR="3B0F1F9D" w:rsidP="3B0F1F9D" w:rsidRDefault="3B0F1F9D" w14:paraId="6D69E75D" w14:textId="53CE07C8">
          <w:pPr>
            <w:pStyle w:val="Header"/>
            <w:bidi w:val="0"/>
            <w:ind w:right="-115"/>
            <w:jc w:val="right"/>
          </w:pPr>
        </w:p>
      </w:tc>
    </w:tr>
  </w:tbl>
  <w:p w:rsidR="3B0F1F9D" w:rsidP="3B0F1F9D" w:rsidRDefault="3B0F1F9D" w14:paraId="7E46EA5B" w14:textId="1B1917D9">
    <w:pPr>
      <w:pStyle w:val="Header"/>
      <w:bidi w:val="0"/>
    </w:pPr>
  </w:p>
</w:hdr>
</file>

<file path=word/intelligence2.xml><?xml version="1.0" encoding="utf-8"?>
<int2:intelligence xmlns:int2="http://schemas.microsoft.com/office/intelligence/2020/intelligence">
  <int2:observations>
    <int2:textHash int2:hashCode="JqynlBqZ2Q4/v2" int2:id="m6Y1rdoA">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7F"/>
    <w:rsid w:val="00027D3C"/>
    <w:rsid w:val="00090719"/>
    <w:rsid w:val="005A5694"/>
    <w:rsid w:val="005B1759"/>
    <w:rsid w:val="0061742B"/>
    <w:rsid w:val="00AE0536"/>
    <w:rsid w:val="00B20C7F"/>
    <w:rsid w:val="00B701A0"/>
    <w:rsid w:val="00F95FA0"/>
    <w:rsid w:val="01F04B25"/>
    <w:rsid w:val="030352B8"/>
    <w:rsid w:val="030352B8"/>
    <w:rsid w:val="0427EC50"/>
    <w:rsid w:val="053F6059"/>
    <w:rsid w:val="0D71B64C"/>
    <w:rsid w:val="0E06F512"/>
    <w:rsid w:val="13498413"/>
    <w:rsid w:val="13498413"/>
    <w:rsid w:val="1E6CDB2F"/>
    <w:rsid w:val="203A2497"/>
    <w:rsid w:val="25A4FD61"/>
    <w:rsid w:val="2AE465F2"/>
    <w:rsid w:val="2B963FEE"/>
    <w:rsid w:val="38E06A3B"/>
    <w:rsid w:val="39782DC0"/>
    <w:rsid w:val="3B0F1F9D"/>
    <w:rsid w:val="46AF2088"/>
    <w:rsid w:val="552AF7A6"/>
    <w:rsid w:val="55B41F23"/>
    <w:rsid w:val="58D73C99"/>
    <w:rsid w:val="5A7D6B6E"/>
    <w:rsid w:val="5B3D289E"/>
    <w:rsid w:val="6318636A"/>
    <w:rsid w:val="733614C4"/>
    <w:rsid w:val="7B838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7A63"/>
  <w15:chartTrackingRefBased/>
  <w15:docId w15:val="{4DC9B04C-B676-4DD0-B34B-7862DBBE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0C7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C7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C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C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C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C7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0C7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20C7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20C7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20C7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20C7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20C7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0C7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0C7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0C7F"/>
    <w:rPr>
      <w:rFonts w:eastAsiaTheme="majorEastAsia" w:cstheme="majorBidi"/>
      <w:color w:val="272727" w:themeColor="text1" w:themeTint="D8"/>
    </w:rPr>
  </w:style>
  <w:style w:type="paragraph" w:styleId="Title">
    <w:name w:val="Title"/>
    <w:basedOn w:val="Normal"/>
    <w:next w:val="Normal"/>
    <w:link w:val="TitleChar"/>
    <w:uiPriority w:val="10"/>
    <w:qFormat/>
    <w:rsid w:val="00B20C7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0C7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0C7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0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C7F"/>
    <w:pPr>
      <w:spacing w:before="160"/>
      <w:jc w:val="center"/>
    </w:pPr>
    <w:rPr>
      <w:i/>
      <w:iCs/>
      <w:color w:val="404040" w:themeColor="text1" w:themeTint="BF"/>
    </w:rPr>
  </w:style>
  <w:style w:type="character" w:styleId="QuoteChar" w:customStyle="1">
    <w:name w:val="Quote Char"/>
    <w:basedOn w:val="DefaultParagraphFont"/>
    <w:link w:val="Quote"/>
    <w:uiPriority w:val="29"/>
    <w:rsid w:val="00B20C7F"/>
    <w:rPr>
      <w:i/>
      <w:iCs/>
      <w:color w:val="404040" w:themeColor="text1" w:themeTint="BF"/>
    </w:rPr>
  </w:style>
  <w:style w:type="paragraph" w:styleId="ListParagraph">
    <w:name w:val="List Paragraph"/>
    <w:basedOn w:val="Normal"/>
    <w:uiPriority w:val="34"/>
    <w:qFormat/>
    <w:rsid w:val="00B20C7F"/>
    <w:pPr>
      <w:ind w:left="720"/>
      <w:contextualSpacing/>
    </w:pPr>
  </w:style>
  <w:style w:type="character" w:styleId="IntenseEmphasis">
    <w:name w:val="Intense Emphasis"/>
    <w:basedOn w:val="DefaultParagraphFont"/>
    <w:uiPriority w:val="21"/>
    <w:qFormat/>
    <w:rsid w:val="00B20C7F"/>
    <w:rPr>
      <w:i/>
      <w:iCs/>
      <w:color w:val="0F4761" w:themeColor="accent1" w:themeShade="BF"/>
    </w:rPr>
  </w:style>
  <w:style w:type="paragraph" w:styleId="IntenseQuote">
    <w:name w:val="Intense Quote"/>
    <w:basedOn w:val="Normal"/>
    <w:next w:val="Normal"/>
    <w:link w:val="IntenseQuoteChar"/>
    <w:uiPriority w:val="30"/>
    <w:qFormat/>
    <w:rsid w:val="00B20C7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20C7F"/>
    <w:rPr>
      <w:i/>
      <w:iCs/>
      <w:color w:val="0F4761" w:themeColor="accent1" w:themeShade="BF"/>
    </w:rPr>
  </w:style>
  <w:style w:type="character" w:styleId="IntenseReference">
    <w:name w:val="Intense Reference"/>
    <w:basedOn w:val="DefaultParagraphFont"/>
    <w:uiPriority w:val="32"/>
    <w:qFormat/>
    <w:rsid w:val="00B20C7F"/>
    <w:rPr>
      <w:b/>
      <w:bCs/>
      <w:smallCaps/>
      <w:color w:val="0F4761" w:themeColor="accent1" w:themeShade="BF"/>
      <w:spacing w:val="5"/>
    </w:rPr>
  </w:style>
  <w:style w:type="character" w:styleId="Hyperlink">
    <w:name w:val="Hyperlink"/>
    <w:basedOn w:val="DefaultParagraphFont"/>
    <w:uiPriority w:val="99"/>
    <w:unhideWhenUsed/>
    <w:rsid w:val="00AE0536"/>
    <w:rPr>
      <w:color w:val="467886" w:themeColor="hyperlink"/>
      <w:u w:val="single"/>
    </w:rPr>
  </w:style>
  <w:style w:type="character" w:styleId="UnresolvedMention">
    <w:name w:val="Unresolved Mention"/>
    <w:basedOn w:val="DefaultParagraphFont"/>
    <w:uiPriority w:val="99"/>
    <w:semiHidden/>
    <w:unhideWhenUsed/>
    <w:rsid w:val="00AE0536"/>
    <w:rPr>
      <w:color w:val="605E5C"/>
      <w:shd w:val="clear" w:color="auto" w:fill="E1DFDD"/>
    </w:rPr>
  </w:style>
  <w:style w:type="paragraph" w:styleId="Header">
    <w:uiPriority w:val="99"/>
    <w:name w:val="header"/>
    <w:basedOn w:val="Normal"/>
    <w:unhideWhenUsed/>
    <w:rsid w:val="3B0F1F9D"/>
    <w:pPr>
      <w:tabs>
        <w:tab w:val="center" w:leader="none" w:pos="4680"/>
        <w:tab w:val="right" w:leader="none" w:pos="9360"/>
      </w:tabs>
      <w:spacing w:after="0" w:line="240" w:lineRule="auto"/>
    </w:pPr>
  </w:style>
  <w:style w:type="paragraph" w:styleId="Footer">
    <w:uiPriority w:val="99"/>
    <w:name w:val="footer"/>
    <w:basedOn w:val="Normal"/>
    <w:unhideWhenUsed/>
    <w:rsid w:val="3B0F1F9D"/>
    <w:pPr>
      <w:tabs>
        <w:tab w:val="center" w:leader="none" w:pos="4680"/>
        <w:tab w:val="right" w:leader="none" w:pos="9360"/>
      </w:tabs>
      <w:spacing w:after="0" w:line="240" w:lineRule="auto"/>
    </w:pPr>
  </w:style>
  <w:style w:type="paragraph" w:styleId="TOC1">
    <w:uiPriority w:val="39"/>
    <w:name w:val="toc 1"/>
    <w:basedOn w:val="Normal"/>
    <w:next w:val="Normal"/>
    <w:unhideWhenUsed/>
    <w:rsid w:val="3B0F1F9D"/>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hs.uk" TargetMode="External" Id="rId8" /><Relationship Type="http://schemas.openxmlformats.org/officeDocument/2006/relationships/customXml" Target="../customXml/item3.xml" Id="rId3" /><Relationship Type="http://schemas.openxmlformats.org/officeDocument/2006/relationships/hyperlink" Target="https://www.gov.uk" TargetMode="Externa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yperlink" Target="https://www.who.int" TargetMode="External" Id="rId10" /><Relationship Type="http://schemas.openxmlformats.org/officeDocument/2006/relationships/styles" Target="styles.xml" Id="rId4" /><Relationship Type="http://schemas.openxmlformats.org/officeDocument/2006/relationships/hyperlink" Target="https://www.alzheimers.org.uk" TargetMode="External" Id="rId9" /><Relationship Type="http://schemas.openxmlformats.org/officeDocument/2006/relationships/image" Target="/media/image.png" Id="rId1113873765" /><Relationship Type="http://schemas.openxmlformats.org/officeDocument/2006/relationships/header" Target="header.xml" Id="Rf73a7b4a74f74461" /><Relationship Type="http://schemas.openxmlformats.org/officeDocument/2006/relationships/footer" Target="footer.xml" Id="R6b5d14735c9a4e35" /><Relationship Type="http://schemas.microsoft.com/office/2020/10/relationships/intelligence" Target="intelligence2.xml" Id="R574689fff57d4ec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1ba15edb323595340ba4d4e3dabbbc74">
  <xsd:schema xmlns:xsd="http://www.w3.org/2001/XMLSchema" xmlns:xs="http://www.w3.org/2001/XMLSchema" xmlns:p="http://schemas.microsoft.com/office/2006/metadata/properties" xmlns:ns3="5a96fd87-d65e-4250-a0f3-23014b7624a5" targetNamespace="http://schemas.microsoft.com/office/2006/metadata/properties" ma:root="true" ma:fieldsID="f85f1703efa0cd542e82d6361f1d436c"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Props1.xml><?xml version="1.0" encoding="utf-8"?>
<ds:datastoreItem xmlns:ds="http://schemas.openxmlformats.org/officeDocument/2006/customXml" ds:itemID="{B0358AFB-F685-413B-B78F-848BDE769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D4002E-DB4A-4C6F-8370-FA3FA477D993}">
  <ds:schemaRefs>
    <ds:schemaRef ds:uri="http://schemas.microsoft.com/sharepoint/v3/contenttype/forms"/>
  </ds:schemaRefs>
</ds:datastoreItem>
</file>

<file path=customXml/itemProps3.xml><?xml version="1.0" encoding="utf-8"?>
<ds:datastoreItem xmlns:ds="http://schemas.openxmlformats.org/officeDocument/2006/customXml" ds:itemID="{D8D9DBA6-139C-4A6C-8430-ABFDD992523D}">
  <ds:schemaRefs>
    <ds:schemaRef ds:uri="http://schemas.microsoft.com/office/2006/metadata/properties"/>
    <ds:schemaRef ds:uri="http://schemas.microsoft.com/office/infopath/2007/PartnerControls"/>
    <ds:schemaRef ds:uri="5a96fd87-d65e-4250-a0f3-23014b7624a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Tigist Mezene Mamo (2512511)</dc:creator>
  <keywords/>
  <dc:description/>
  <lastModifiedBy>Tigist Mezene Mamo (2512511)</lastModifiedBy>
  <revision>4</revision>
  <dcterms:created xsi:type="dcterms:W3CDTF">2026-04-14T10:49:00.0000000Z</dcterms:created>
  <dcterms:modified xsi:type="dcterms:W3CDTF">2026-04-21T08:55:01.4007562Z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