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195C25E5"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C2EA3">
        <w:t>-</w:t>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E13019" w:rsidRDefault="00063B4C" w:rsidP="00E13019">
      <w:pPr>
        <w:pStyle w:val="Title"/>
        <w:rPr>
          <w:rFonts w:ascii="Aptos" w:hAnsi="Aptos"/>
        </w:rPr>
      </w:pPr>
      <w:r w:rsidRPr="00E13019">
        <w:rPr>
          <w:rFonts w:ascii="Aptos" w:hAnsi="Aptos"/>
        </w:rPr>
        <w:t>Institute of Inner-City Learning Birmingham Campus</w:t>
      </w:r>
    </w:p>
    <w:p w14:paraId="7F58ECA1" w14:textId="77777777" w:rsidR="00063B4C" w:rsidRPr="00E13019" w:rsidRDefault="00063B4C" w:rsidP="00E13019">
      <w:pPr>
        <w:pStyle w:val="Title"/>
        <w:rPr>
          <w:rFonts w:ascii="Aptos" w:hAnsi="Aptos"/>
        </w:rPr>
      </w:pPr>
    </w:p>
    <w:p w14:paraId="3009F44A" w14:textId="3832127D" w:rsidR="00063B4C" w:rsidRPr="00540F11" w:rsidRDefault="00F06AA7" w:rsidP="00E13019">
      <w:pPr>
        <w:pStyle w:val="Title"/>
      </w:pPr>
      <w:r w:rsidRPr="00E13019">
        <w:rPr>
          <w:rFonts w:ascii="Aptos" w:hAnsi="Aptos"/>
        </w:rPr>
        <w:t>BSc Hons</w:t>
      </w:r>
      <w:r w:rsidR="00063B4C" w:rsidRPr="00E13019">
        <w:rPr>
          <w:rFonts w:ascii="Aptos" w:hAnsi="Aptos"/>
        </w:rPr>
        <w:t>)</w:t>
      </w:r>
      <w:r w:rsidR="002E4F29" w:rsidRPr="00E13019">
        <w:rPr>
          <w:rFonts w:ascii="Aptos" w:hAnsi="Aptos"/>
        </w:rPr>
        <w:t xml:space="preserve"> </w:t>
      </w:r>
      <w:r w:rsidRPr="00E13019">
        <w:rPr>
          <w:rFonts w:ascii="Aptos" w:hAnsi="Aptos"/>
        </w:rPr>
        <w:t>Health and Social Care</w:t>
      </w:r>
      <w:r w:rsidR="00063B4C" w:rsidRPr="00540F11">
        <w:br/>
      </w:r>
    </w:p>
    <w:p w14:paraId="6561604D" w14:textId="4640EC52" w:rsidR="008277B0" w:rsidRPr="0017212C" w:rsidRDefault="008277B0" w:rsidP="001721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0"/>
          <w:szCs w:val="40"/>
        </w:rPr>
      </w:pPr>
      <w:r w:rsidRPr="00A5384F">
        <w:rPr>
          <w:rFonts w:ascii="Arial" w:eastAsia="Arial Unicode MS" w:hAnsi="Arial" w:cs="Arial"/>
          <w:b/>
          <w:sz w:val="40"/>
          <w:szCs w:val="40"/>
        </w:rPr>
        <w:t xml:space="preserve">Name: </w:t>
      </w:r>
      <w:r w:rsidRPr="0017212C">
        <w:rPr>
          <w:rFonts w:ascii="Arial" w:eastAsia="Arial Unicode MS" w:hAnsi="Arial" w:cs="Arial"/>
          <w:bCs/>
          <w:sz w:val="32"/>
          <w:szCs w:val="32"/>
        </w:rPr>
        <w:t>Shamaila Sakhawat</w:t>
      </w:r>
    </w:p>
    <w:p w14:paraId="655C1D16" w14:textId="77777777" w:rsidR="008277B0" w:rsidRPr="0017212C" w:rsidRDefault="008277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32"/>
          <w:szCs w:val="32"/>
        </w:rPr>
      </w:pPr>
      <w:r w:rsidRPr="00A5384F">
        <w:rPr>
          <w:rFonts w:ascii="Arial" w:eastAsia="Arial Unicode MS" w:hAnsi="Arial" w:cs="Arial"/>
          <w:b/>
          <w:sz w:val="40"/>
          <w:szCs w:val="40"/>
        </w:rPr>
        <w:t xml:space="preserve">Student Number: </w:t>
      </w:r>
      <w:r w:rsidRPr="0017212C">
        <w:rPr>
          <w:rFonts w:ascii="Arial" w:eastAsia="Arial Unicode MS" w:hAnsi="Arial" w:cs="Arial"/>
          <w:bCs/>
          <w:sz w:val="32"/>
          <w:szCs w:val="32"/>
        </w:rPr>
        <w:t>2309140</w:t>
      </w:r>
    </w:p>
    <w:p w14:paraId="5E09A308" w14:textId="796A6017" w:rsidR="00DB7ACB" w:rsidRDefault="00DB7AC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0"/>
          <w:szCs w:val="40"/>
        </w:rPr>
      </w:pPr>
      <w:r>
        <w:rPr>
          <w:rFonts w:ascii="Arial" w:eastAsia="Arial Unicode MS" w:hAnsi="Arial" w:cs="Arial"/>
          <w:b/>
          <w:sz w:val="40"/>
          <w:szCs w:val="40"/>
        </w:rPr>
        <w:t>Lecturer:</w:t>
      </w:r>
      <w:r w:rsidR="008164AF">
        <w:rPr>
          <w:rFonts w:ascii="Arial" w:eastAsia="Arial Unicode MS" w:hAnsi="Arial" w:cs="Arial"/>
          <w:b/>
          <w:sz w:val="40"/>
          <w:szCs w:val="40"/>
        </w:rPr>
        <w:t xml:space="preserve"> </w:t>
      </w:r>
      <w:r w:rsidR="008164AF" w:rsidRPr="0017212C">
        <w:rPr>
          <w:rFonts w:ascii="Arial" w:eastAsia="Arial Unicode MS" w:hAnsi="Arial" w:cs="Arial"/>
          <w:bCs/>
          <w:sz w:val="32"/>
          <w:szCs w:val="32"/>
        </w:rPr>
        <w:t>Chloe Harries</w:t>
      </w:r>
    </w:p>
    <w:p w14:paraId="0DDD483F" w14:textId="690E3D88" w:rsidR="008164AF" w:rsidRDefault="008164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0"/>
          <w:szCs w:val="40"/>
        </w:rPr>
      </w:pPr>
      <w:r>
        <w:rPr>
          <w:rFonts w:ascii="Arial" w:eastAsia="Arial Unicode MS" w:hAnsi="Arial" w:cs="Arial"/>
          <w:b/>
          <w:sz w:val="40"/>
          <w:szCs w:val="40"/>
        </w:rPr>
        <w:t>Module:</w:t>
      </w:r>
      <w:r w:rsidR="004701BB">
        <w:rPr>
          <w:rFonts w:ascii="Arial" w:eastAsia="Arial Unicode MS" w:hAnsi="Arial" w:cs="Arial"/>
          <w:b/>
          <w:sz w:val="40"/>
          <w:szCs w:val="40"/>
        </w:rPr>
        <w:t xml:space="preserve"> </w:t>
      </w:r>
      <w:r w:rsidR="004701BB" w:rsidRPr="0017212C">
        <w:rPr>
          <w:rFonts w:ascii="Arial" w:eastAsia="Arial Unicode MS" w:hAnsi="Arial" w:cs="Arial"/>
          <w:bCs/>
          <w:sz w:val="32"/>
          <w:szCs w:val="32"/>
        </w:rPr>
        <w:t>Ind</w:t>
      </w:r>
      <w:r w:rsidR="00590DE6" w:rsidRPr="0017212C">
        <w:rPr>
          <w:rFonts w:ascii="Arial" w:eastAsia="Arial Unicode MS" w:hAnsi="Arial" w:cs="Arial"/>
          <w:bCs/>
          <w:sz w:val="32"/>
          <w:szCs w:val="32"/>
        </w:rPr>
        <w:t>ependent Pro</w:t>
      </w:r>
      <w:r w:rsidR="001F1905" w:rsidRPr="0017212C">
        <w:rPr>
          <w:rFonts w:ascii="Arial" w:eastAsia="Arial Unicode MS" w:hAnsi="Arial" w:cs="Arial"/>
          <w:bCs/>
          <w:sz w:val="32"/>
          <w:szCs w:val="32"/>
        </w:rPr>
        <w:t>ject</w:t>
      </w:r>
    </w:p>
    <w:p w14:paraId="77C1BB68" w14:textId="12292012" w:rsidR="008164AF" w:rsidRPr="0017212C" w:rsidRDefault="008164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32"/>
          <w:szCs w:val="32"/>
        </w:rPr>
      </w:pPr>
      <w:r>
        <w:rPr>
          <w:rFonts w:ascii="Arial" w:eastAsia="Arial Unicode MS" w:hAnsi="Arial" w:cs="Arial"/>
          <w:b/>
          <w:sz w:val="40"/>
          <w:szCs w:val="40"/>
        </w:rPr>
        <w:t xml:space="preserve">Module Code: </w:t>
      </w:r>
      <w:r w:rsidR="0024638E" w:rsidRPr="0017212C">
        <w:rPr>
          <w:rFonts w:ascii="Arial" w:eastAsia="Arial Unicode MS" w:hAnsi="Arial" w:cs="Arial"/>
          <w:bCs/>
          <w:sz w:val="32"/>
          <w:szCs w:val="32"/>
        </w:rPr>
        <w:t>BMHP6020</w:t>
      </w:r>
    </w:p>
    <w:p w14:paraId="376E9C3B" w14:textId="596DF900" w:rsidR="0024638E" w:rsidRPr="0017212C" w:rsidRDefault="007A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sz w:val="32"/>
          <w:szCs w:val="32"/>
        </w:rPr>
      </w:pPr>
      <w:r>
        <w:rPr>
          <w:rFonts w:ascii="Arial" w:eastAsia="Arial Unicode MS" w:hAnsi="Arial" w:cs="Arial"/>
          <w:b/>
          <w:sz w:val="40"/>
          <w:szCs w:val="40"/>
        </w:rPr>
        <w:t>Assignment Title:</w:t>
      </w:r>
      <w:r w:rsidR="003F65C9">
        <w:rPr>
          <w:rFonts w:ascii="Arial" w:eastAsia="Arial Unicode MS" w:hAnsi="Arial" w:cs="Arial"/>
          <w:b/>
          <w:sz w:val="40"/>
          <w:szCs w:val="40"/>
        </w:rPr>
        <w:t xml:space="preserve"> </w:t>
      </w:r>
      <w:r w:rsidR="00490683" w:rsidRPr="0017212C">
        <w:rPr>
          <w:rFonts w:ascii="Arial" w:eastAsia="Arial Unicode MS" w:hAnsi="Arial" w:cs="Arial"/>
          <w:bCs/>
          <w:sz w:val="32"/>
          <w:szCs w:val="32"/>
        </w:rPr>
        <w:t>Chapter 3</w:t>
      </w:r>
    </w:p>
    <w:p w14:paraId="7797A189" w14:textId="77777777" w:rsidR="007A3F00" w:rsidRDefault="007A3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
          <w:sz w:val="40"/>
          <w:szCs w:val="40"/>
        </w:rPr>
      </w:pPr>
    </w:p>
    <w:p w14:paraId="53E68B72" w14:textId="77777777" w:rsidR="008164AF" w:rsidRPr="00A5384F" w:rsidRDefault="008164A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sz w:val="40"/>
          <w:szCs w:val="40"/>
        </w:rPr>
      </w:pPr>
    </w:p>
    <w:p w14:paraId="2C0F81B3" w14:textId="77777777" w:rsidR="00995444" w:rsidRDefault="00995444" w:rsidP="00995444">
      <w:pPr>
        <w:pStyle w:val="Heading1"/>
        <w:ind w:left="0"/>
        <w:rPr>
          <w:rFonts w:ascii="Aptos" w:hAnsi="Aptos" w:cs="Arial"/>
        </w:rPr>
      </w:pPr>
    </w:p>
    <w:p w14:paraId="7EECA25C" w14:textId="77777777" w:rsidR="0092678D" w:rsidRDefault="0092678D"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5972B90B"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w:t>
      </w:r>
      <w:bookmarkStart w:id="0" w:name="_Int_YjoLKxUM"/>
      <w:r w:rsidRPr="00063B4C">
        <w:rPr>
          <w:rFonts w:cs="Arial"/>
          <w:sz w:val="20"/>
        </w:rPr>
        <w:t>modify</w:t>
      </w:r>
      <w:bookmarkEnd w:id="0"/>
      <w:r w:rsidRPr="00063B4C">
        <w:rPr>
          <w:rFonts w:cs="Arial"/>
          <w:sz w:val="20"/>
        </w:rPr>
        <w:t xml:space="preserve"> any </w:t>
      </w:r>
      <w:r w:rsidR="00F14910" w:rsidRPr="00063B4C">
        <w:rPr>
          <w:rFonts w:cs="Arial"/>
          <w:sz w:val="20"/>
        </w:rPr>
        <w:t>statement,</w:t>
      </w:r>
      <w:r w:rsidRPr="00063B4C">
        <w:rPr>
          <w:rFonts w:cs="Arial"/>
          <w:sz w:val="20"/>
        </w:rPr>
        <w:t xml:space="preserve"> if necessary, make variations to the content or methods of delivery of programmes of study, to </w:t>
      </w:r>
      <w:bookmarkStart w:id="1" w:name="_Int_p0A93rEv"/>
      <w:r w:rsidRPr="00063B4C">
        <w:rPr>
          <w:rFonts w:cs="Arial"/>
          <w:sz w:val="20"/>
        </w:rPr>
        <w:t>discontinue</w:t>
      </w:r>
      <w:bookmarkEnd w:id="1"/>
      <w:r w:rsidRPr="00063B4C">
        <w:rPr>
          <w:rFonts w:cs="Arial"/>
          <w:sz w:val="20"/>
        </w:rPr>
        <w:t xml:space="preserve"> programmes, or merge or combine programmes if such actions </w:t>
      </w:r>
      <w:r w:rsidR="00BC577A" w:rsidRPr="00063B4C">
        <w:rPr>
          <w:rFonts w:cs="Arial"/>
          <w:sz w:val="20"/>
        </w:rPr>
        <w:t>are</w:t>
      </w:r>
      <w:r w:rsidRPr="00063B4C">
        <w:rPr>
          <w:rFonts w:cs="Arial"/>
          <w:sz w:val="20"/>
        </w:rPr>
        <w:t xml:space="preserve"> necessary by UWTSD. Every effort will </w:t>
      </w:r>
      <w:bookmarkStart w:id="2" w:name="_Int_ZEqDkul6"/>
      <w:r w:rsidRPr="00063B4C">
        <w:rPr>
          <w:rFonts w:cs="Arial"/>
          <w:sz w:val="20"/>
        </w:rPr>
        <w:t>be made</w:t>
      </w:r>
      <w:bookmarkEnd w:id="2"/>
      <w:r w:rsidRPr="00063B4C">
        <w:rPr>
          <w:rFonts w:cs="Arial"/>
          <w:sz w:val="20"/>
        </w:rPr>
        <w:t xml:space="preserve"> to keep disruption to a minimum, and to give as much notice as possible. An electronic copy of this handbook can </w:t>
      </w:r>
      <w:bookmarkStart w:id="3" w:name="_Int_f20IdOcQ"/>
      <w:r w:rsidRPr="00063B4C">
        <w:rPr>
          <w:rFonts w:cs="Arial"/>
          <w:sz w:val="20"/>
        </w:rPr>
        <w:t>be found</w:t>
      </w:r>
      <w:bookmarkEnd w:id="3"/>
      <w:r w:rsidRPr="00063B4C">
        <w:rPr>
          <w:rFonts w:cs="Arial"/>
          <w:sz w:val="20"/>
        </w:rPr>
        <w:t xml:space="preserve">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0BD706A7" w:rsidR="00604A87" w:rsidRPr="00604A87" w:rsidRDefault="00604A87" w:rsidP="00604A87">
      <w:pPr>
        <w:rPr>
          <w:rFonts w:eastAsia="Times New Roman" w:cs="Arial"/>
        </w:rPr>
      </w:pPr>
      <w:r w:rsidRPr="00604A87">
        <w:rPr>
          <w:rFonts w:eastAsia="Times New Roman" w:cs="Arial"/>
        </w:rPr>
        <w:t xml:space="preserve">This work has not previously </w:t>
      </w:r>
      <w:bookmarkStart w:id="4" w:name="_Int_KN5xr2TZ"/>
      <w:r w:rsidRPr="00604A87">
        <w:rPr>
          <w:rFonts w:eastAsia="Times New Roman" w:cs="Arial"/>
        </w:rPr>
        <w:t>been accepted</w:t>
      </w:r>
      <w:bookmarkEnd w:id="4"/>
      <w:r w:rsidRPr="00604A87">
        <w:rPr>
          <w:rFonts w:eastAsia="Times New Roman" w:cs="Arial"/>
        </w:rPr>
        <w:t xml:space="preserve"> in substance for any degree and is not being concurrently </w:t>
      </w:r>
      <w:bookmarkStart w:id="5" w:name="_Int_C4MUMNJA"/>
      <w:r w:rsidRPr="00604A87">
        <w:rPr>
          <w:rFonts w:eastAsia="Times New Roman" w:cs="Arial"/>
        </w:rPr>
        <w:t>submitted</w:t>
      </w:r>
      <w:bookmarkEnd w:id="5"/>
      <w:r w:rsidRPr="00604A87">
        <w:rPr>
          <w:rFonts w:eastAsia="Times New Roman" w:cs="Arial"/>
        </w:rPr>
        <w:t xml:space="preserve"> in candidature for any </w:t>
      </w:r>
      <w:r w:rsidR="00F14910" w:rsidRPr="00604A87">
        <w:rPr>
          <w:rFonts w:eastAsia="Times New Roman" w:cs="Arial"/>
        </w:rPr>
        <w:t>degree.</w:t>
      </w:r>
    </w:p>
    <w:p w14:paraId="3EF51212" w14:textId="03DC3157" w:rsidR="00604A87" w:rsidRPr="00604A87" w:rsidRDefault="0014602C" w:rsidP="00604A87">
      <w:pPr>
        <w:rPr>
          <w:rFonts w:eastAsia="Times New Roman" w:cs="Arial"/>
        </w:rPr>
      </w:pPr>
      <w:r w:rsidRPr="00604A87">
        <w:rPr>
          <w:rFonts w:eastAsia="Times New Roman" w:cs="Arial"/>
        </w:rPr>
        <w:t>Signed</w:t>
      </w:r>
      <w:r>
        <w:rPr>
          <w:rFonts w:eastAsia="Times New Roman" w:cs="Arial"/>
        </w:rPr>
        <w:t>:</w:t>
      </w:r>
      <w:r w:rsidR="0021151B">
        <w:rPr>
          <w:rFonts w:eastAsia="Times New Roman" w:cs="Arial"/>
        </w:rPr>
        <w:t xml:space="preserve"> Sham</w:t>
      </w:r>
      <w:r w:rsidR="0055382D">
        <w:rPr>
          <w:rFonts w:eastAsia="Times New Roman" w:cs="Arial"/>
        </w:rPr>
        <w:t>aila Sakhawa</w:t>
      </w:r>
      <w:r w:rsidR="005A4E09">
        <w:rPr>
          <w:rFonts w:eastAsia="Times New Roman" w:cs="Arial"/>
        </w:rPr>
        <w:t>t</w:t>
      </w:r>
    </w:p>
    <w:p w14:paraId="16B6CB34" w14:textId="0397A082" w:rsidR="00604A87" w:rsidRPr="00604A87" w:rsidRDefault="00604A87" w:rsidP="00604A87">
      <w:pPr>
        <w:rPr>
          <w:rFonts w:eastAsia="Times New Roman" w:cs="Arial"/>
        </w:rPr>
      </w:pPr>
      <w:r w:rsidRPr="00604A87">
        <w:rPr>
          <w:rFonts w:eastAsia="Times New Roman" w:cs="Arial"/>
        </w:rPr>
        <w:t>Date…</w:t>
      </w:r>
      <w:r w:rsidR="00E21A64">
        <w:rPr>
          <w:rFonts w:eastAsia="Times New Roman" w:cs="Arial"/>
        </w:rPr>
        <w:t>24/7/2026</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 xml:space="preserve">This dissertation is being </w:t>
      </w:r>
      <w:bookmarkStart w:id="6" w:name="_Int_Kp4L1JJi"/>
      <w:r w:rsidRPr="00604A87">
        <w:rPr>
          <w:rFonts w:eastAsia="Times New Roman" w:cs="Arial"/>
        </w:rPr>
        <w:t>submitted</w:t>
      </w:r>
      <w:bookmarkEnd w:id="6"/>
      <w:r w:rsidRPr="00604A87">
        <w:rPr>
          <w:rFonts w:eastAsia="Times New Roman" w:cs="Arial"/>
        </w:rPr>
        <w:t xml:space="preserve"> in partial fulfilment of the requirements for the degree of BSc.</w:t>
      </w:r>
    </w:p>
    <w:p w14:paraId="39F661A6" w14:textId="71FCD0B0" w:rsidR="00604A87" w:rsidRPr="00604A87" w:rsidRDefault="00604A87" w:rsidP="00604A87">
      <w:pPr>
        <w:rPr>
          <w:rFonts w:eastAsia="Times New Roman" w:cs="Arial"/>
        </w:rPr>
      </w:pPr>
      <w:r w:rsidRPr="00604A87">
        <w:rPr>
          <w:rFonts w:eastAsia="Times New Roman" w:cs="Arial"/>
        </w:rPr>
        <w:t>Signed……</w:t>
      </w:r>
      <w:r w:rsidR="009B7967">
        <w:rPr>
          <w:rFonts w:eastAsia="Times New Roman" w:cs="Arial"/>
        </w:rPr>
        <w:t xml:space="preserve">Shamaila </w:t>
      </w:r>
      <w:r w:rsidR="004D3D1F">
        <w:rPr>
          <w:rFonts w:eastAsia="Times New Roman" w:cs="Arial"/>
        </w:rPr>
        <w:t>Sakhawat</w:t>
      </w:r>
    </w:p>
    <w:p w14:paraId="21F5E413" w14:textId="6A94F425" w:rsidR="00604A87" w:rsidRPr="00604A87" w:rsidRDefault="00604A87" w:rsidP="00604A87">
      <w:pPr>
        <w:rPr>
          <w:rFonts w:eastAsia="Times New Roman" w:cs="Arial"/>
        </w:rPr>
      </w:pPr>
      <w:r w:rsidRPr="00604A87">
        <w:rPr>
          <w:rFonts w:eastAsia="Times New Roman" w:cs="Arial"/>
        </w:rPr>
        <w:t>Date………</w:t>
      </w:r>
      <w:r w:rsidR="00E21A64">
        <w:rPr>
          <w:rFonts w:eastAsia="Times New Roman" w:cs="Arial"/>
        </w:rPr>
        <w:t>24/7/2026</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627959" w:rsidR="00604A87" w:rsidRPr="00604A87" w:rsidRDefault="00604A87" w:rsidP="00604A87">
      <w:pPr>
        <w:rPr>
          <w:rFonts w:eastAsia="Times New Roman" w:cs="Arial"/>
        </w:rPr>
      </w:pPr>
      <w:r w:rsidRPr="00604A87">
        <w:rPr>
          <w:rFonts w:eastAsia="Times New Roman" w:cs="Arial"/>
        </w:rPr>
        <w:t xml:space="preserve">This dissertation is the result of my own independent work/investigation, except where otherwise </w:t>
      </w:r>
      <w:bookmarkStart w:id="7" w:name="_Int_lvgHI63r"/>
      <w:r w:rsidRPr="00604A87">
        <w:rPr>
          <w:rFonts w:eastAsia="Times New Roman" w:cs="Arial"/>
        </w:rPr>
        <w:t>stated</w:t>
      </w:r>
      <w:bookmarkEnd w:id="7"/>
      <w:r w:rsidRPr="00604A87">
        <w:rPr>
          <w:rFonts w:eastAsia="Times New Roman" w:cs="Arial"/>
        </w:rPr>
        <w:t>.</w:t>
      </w:r>
      <w:r>
        <w:rPr>
          <w:rFonts w:eastAsia="Times New Roman" w:cs="Arial"/>
        </w:rPr>
        <w:t xml:space="preserve"> </w:t>
      </w:r>
      <w:r w:rsidRPr="00604A87">
        <w:rPr>
          <w:rFonts w:eastAsia="Times New Roman" w:cs="Arial"/>
        </w:rPr>
        <w:t xml:space="preserve">Other sources </w:t>
      </w:r>
      <w:bookmarkStart w:id="8" w:name="_Int_VK8LsscZ"/>
      <w:r w:rsidRPr="00604A87">
        <w:rPr>
          <w:rFonts w:eastAsia="Times New Roman" w:cs="Arial"/>
        </w:rPr>
        <w:t>are acknowledged</w:t>
      </w:r>
      <w:bookmarkEnd w:id="8"/>
      <w:r w:rsidRPr="00604A87">
        <w:rPr>
          <w:rFonts w:eastAsia="Times New Roman" w:cs="Arial"/>
        </w:rPr>
        <w:t xml:space="preserve"> by footnotes giving explicit references</w:t>
      </w:r>
      <w:r w:rsidR="002A0893" w:rsidRPr="00604A87">
        <w:rPr>
          <w:rFonts w:eastAsia="Times New Roman" w:cs="Arial"/>
        </w:rPr>
        <w:t xml:space="preserve">. </w:t>
      </w:r>
      <w:r w:rsidRPr="00604A87">
        <w:rPr>
          <w:rFonts w:eastAsia="Times New Roman" w:cs="Arial"/>
        </w:rPr>
        <w:t xml:space="preserve">A bibliography </w:t>
      </w:r>
      <w:bookmarkStart w:id="9" w:name="_Int_9A2F7TrY"/>
      <w:r w:rsidRPr="00604A87">
        <w:rPr>
          <w:rFonts w:eastAsia="Times New Roman" w:cs="Arial"/>
        </w:rPr>
        <w:t>is appended</w:t>
      </w:r>
      <w:bookmarkEnd w:id="9"/>
      <w:r w:rsidRPr="00604A87">
        <w:rPr>
          <w:rFonts w:eastAsia="Times New Roman" w:cs="Arial"/>
        </w:rPr>
        <w:t>.</w:t>
      </w:r>
    </w:p>
    <w:p w14:paraId="319A31E7" w14:textId="05E3A2DE" w:rsidR="00604A87" w:rsidRPr="00604A87" w:rsidRDefault="00604A87" w:rsidP="00604A87">
      <w:pPr>
        <w:rPr>
          <w:rFonts w:eastAsia="Times New Roman" w:cs="Arial"/>
        </w:rPr>
      </w:pPr>
      <w:r w:rsidRPr="00604A87">
        <w:rPr>
          <w:rFonts w:eastAsia="Times New Roman" w:cs="Arial"/>
        </w:rPr>
        <w:t>Signed………</w:t>
      </w:r>
      <w:r w:rsidR="004D3D1F">
        <w:rPr>
          <w:rFonts w:eastAsia="Times New Roman" w:cs="Arial"/>
        </w:rPr>
        <w:t>Shamaila Sakhawa</w:t>
      </w:r>
      <w:r w:rsidR="00E21A64">
        <w:rPr>
          <w:rFonts w:eastAsia="Times New Roman" w:cs="Arial"/>
        </w:rPr>
        <w:t>t</w:t>
      </w:r>
    </w:p>
    <w:p w14:paraId="1CB40FFB" w14:textId="4409CE73" w:rsidR="00604A87" w:rsidRPr="00604A87" w:rsidRDefault="00604A87" w:rsidP="00604A87">
      <w:pPr>
        <w:rPr>
          <w:rFonts w:eastAsia="Times New Roman" w:cs="Arial"/>
        </w:rPr>
      </w:pPr>
      <w:r w:rsidRPr="00604A87">
        <w:rPr>
          <w:rFonts w:eastAsia="Times New Roman" w:cs="Arial"/>
        </w:rPr>
        <w:t>Date……</w:t>
      </w:r>
      <w:r w:rsidR="00E21A64">
        <w:rPr>
          <w:rFonts w:eastAsia="Times New Roman" w:cs="Arial"/>
        </w:rPr>
        <w:t>24/7/2026</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 xml:space="preserve">I hereby give consent for my dissertation, if accepted, to be available for photocopying and for interlibrary loan, and for the title and summary to </w:t>
      </w:r>
      <w:bookmarkStart w:id="10" w:name="_Int_utAKOV6C"/>
      <w:r w:rsidRPr="00604A87">
        <w:rPr>
          <w:rFonts w:eastAsia="Times New Roman" w:cs="Arial"/>
        </w:rPr>
        <w:t>be made</w:t>
      </w:r>
      <w:bookmarkEnd w:id="10"/>
      <w:r w:rsidRPr="00604A87">
        <w:rPr>
          <w:rFonts w:eastAsia="Times New Roman" w:cs="Arial"/>
        </w:rPr>
        <w:t xml:space="preserve"> available to outside organisations.</w:t>
      </w:r>
    </w:p>
    <w:p w14:paraId="5C25443E" w14:textId="058639B6" w:rsidR="00604A87" w:rsidRPr="00604A87" w:rsidRDefault="00604A87" w:rsidP="00604A87">
      <w:pPr>
        <w:rPr>
          <w:rFonts w:eastAsia="Times New Roman" w:cs="Arial"/>
        </w:rPr>
      </w:pPr>
      <w:r w:rsidRPr="00604A87">
        <w:rPr>
          <w:rFonts w:eastAsia="Times New Roman" w:cs="Arial"/>
        </w:rPr>
        <w:t>Signed………</w:t>
      </w:r>
      <w:r w:rsidR="00CE43EF">
        <w:rPr>
          <w:rFonts w:eastAsia="Times New Roman" w:cs="Arial"/>
        </w:rPr>
        <w:t>Shamaila Sakh</w:t>
      </w:r>
      <w:r w:rsidR="00C74FCD">
        <w:rPr>
          <w:rFonts w:eastAsia="Times New Roman" w:cs="Arial"/>
        </w:rPr>
        <w:t>a</w:t>
      </w:r>
      <w:r w:rsidR="00CE43EF">
        <w:rPr>
          <w:rFonts w:eastAsia="Times New Roman" w:cs="Arial"/>
        </w:rPr>
        <w:t>wat</w:t>
      </w:r>
    </w:p>
    <w:p w14:paraId="021196D1" w14:textId="23C9437B"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C8776F">
        <w:rPr>
          <w:rFonts w:eastAsia="Times New Roman" w:cs="Arial"/>
        </w:rPr>
        <w:t>24/7/20</w:t>
      </w:r>
      <w:r w:rsidR="00E21A64">
        <w:rPr>
          <w:rFonts w:eastAsia="Times New Roman" w:cs="Arial"/>
        </w:rPr>
        <w:t>26</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212094ED" w:rsidR="00604A87" w:rsidRPr="00604A87" w:rsidRDefault="00604A87" w:rsidP="00604A87">
      <w:pPr>
        <w:rPr>
          <w:rFonts w:eastAsia="Times New Roman" w:cs="Arial"/>
        </w:rPr>
      </w:pPr>
      <w:r w:rsidRPr="00604A87">
        <w:rPr>
          <w:rFonts w:eastAsia="Times New Roman" w:cs="Arial"/>
        </w:rPr>
        <w:t>Signed……………</w:t>
      </w:r>
      <w:r w:rsidR="00C74FCD">
        <w:rPr>
          <w:rFonts w:eastAsia="Times New Roman" w:cs="Arial"/>
        </w:rPr>
        <w:t>Shamaila Sakhaw</w:t>
      </w:r>
      <w:r w:rsidR="00C8776F">
        <w:rPr>
          <w:rFonts w:eastAsia="Times New Roman" w:cs="Arial"/>
        </w:rPr>
        <w:t>at</w:t>
      </w:r>
    </w:p>
    <w:p w14:paraId="2BDDE109" w14:textId="53086DD5"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750864">
        <w:rPr>
          <w:rFonts w:eastAsia="Times New Roman" w:cs="Arial"/>
        </w:rPr>
        <w:t>2</w:t>
      </w:r>
      <w:r w:rsidR="00516E24">
        <w:rPr>
          <w:rFonts w:eastAsia="Times New Roman" w:cs="Arial"/>
        </w:rPr>
        <w:t>4/7/2026</w:t>
      </w:r>
    </w:p>
    <w:p w14:paraId="0FC75915" w14:textId="77777777"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21D35F18"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5B997DB8"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799341C4"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6FDC8097"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5D004B5E"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2811CEED"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720C849F"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331DECA3" w14:textId="77777777" w:rsidR="00176632" w:rsidRDefault="00176632"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0E4701C6" w14:textId="77777777" w:rsidR="005B7D4D" w:rsidRDefault="005B7D4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27480EBA" w14:textId="77777777" w:rsidR="005B7D4D" w:rsidRDefault="005B7D4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7D4A2337" w14:textId="77777777" w:rsidR="005B7D4D" w:rsidRDefault="005B7D4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4E87FACA" w14:textId="77777777" w:rsidR="005B7D4D" w:rsidRDefault="005B7D4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7404F9FC" w14:textId="77777777" w:rsidR="005B7D4D" w:rsidRDefault="005B7D4D"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07925EFD" w14:textId="77777777" w:rsidR="002758F4" w:rsidRDefault="002758F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25FE5D88" w14:textId="77777777" w:rsidR="002758F4" w:rsidRDefault="002758F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64599871" w14:textId="77777777" w:rsidR="002758F4" w:rsidRDefault="002758F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078E4C5B" w14:textId="77777777" w:rsidR="00B6316C" w:rsidRDefault="00B6316C"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Times New Roman" w:cs="Times New Roman"/>
          <w:sz w:val="20"/>
          <w:szCs w:val="20"/>
        </w:rPr>
      </w:pPr>
    </w:p>
    <w:p w14:paraId="268CBED7" w14:textId="77777777" w:rsidR="00176632" w:rsidRDefault="00176632" w:rsidP="001766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Times New Roman" w:cs="Times New Roman"/>
          <w:sz w:val="20"/>
          <w:szCs w:val="20"/>
        </w:rPr>
      </w:pPr>
    </w:p>
    <w:p w14:paraId="1789F9A7" w14:textId="77777777" w:rsidR="00544920" w:rsidRDefault="00544920" w:rsidP="00BF7B10">
      <w:pPr>
        <w:pStyle w:val="Title"/>
        <w:spacing w:line="360" w:lineRule="auto"/>
        <w:rPr>
          <w:rFonts w:ascii="Arial" w:hAnsi="Arial" w:cs="Arial"/>
        </w:rPr>
      </w:pPr>
    </w:p>
    <w:p w14:paraId="3477A2FB" w14:textId="77777777" w:rsidR="00544920" w:rsidRDefault="00544920" w:rsidP="00BF7B10">
      <w:pPr>
        <w:pStyle w:val="Title"/>
        <w:spacing w:line="360" w:lineRule="auto"/>
        <w:rPr>
          <w:rFonts w:ascii="Arial" w:hAnsi="Arial" w:cs="Arial"/>
        </w:rPr>
      </w:pPr>
    </w:p>
    <w:p w14:paraId="59B26616" w14:textId="77777777" w:rsidR="00544920" w:rsidRDefault="00544920" w:rsidP="00BF7B10">
      <w:pPr>
        <w:pStyle w:val="Title"/>
        <w:spacing w:line="360" w:lineRule="auto"/>
        <w:rPr>
          <w:rFonts w:ascii="Arial" w:hAnsi="Arial" w:cs="Arial"/>
        </w:rPr>
      </w:pPr>
    </w:p>
    <w:p w14:paraId="442E7D47" w14:textId="6CB43DC3" w:rsidR="0057413D" w:rsidRPr="0099596D" w:rsidRDefault="0057413D" w:rsidP="00BF7B10">
      <w:pPr>
        <w:pStyle w:val="Title"/>
        <w:spacing w:line="360" w:lineRule="auto"/>
        <w:rPr>
          <w:rFonts w:ascii="Arial" w:hAnsi="Arial" w:cs="Arial"/>
        </w:rPr>
      </w:pPr>
      <w:r w:rsidRPr="0099596D">
        <w:rPr>
          <w:rFonts w:ascii="Arial" w:hAnsi="Arial" w:cs="Arial"/>
        </w:rPr>
        <w:t xml:space="preserve">My project title: An Exploration of the Physiological Mechanisms and Long-Term Health Impacts of Type 2 </w:t>
      </w:r>
      <w:r w:rsidR="007A76C5">
        <w:rPr>
          <w:rFonts w:ascii="Arial" w:hAnsi="Arial" w:cs="Arial"/>
        </w:rPr>
        <w:t>2</w:t>
      </w:r>
      <w:r w:rsidRPr="0099596D">
        <w:rPr>
          <w:rFonts w:ascii="Arial" w:hAnsi="Arial" w:cs="Arial"/>
        </w:rPr>
        <w:t>Diabetes Mellitus in Older Adults Living in Birmingham</w:t>
      </w:r>
    </w:p>
    <w:p w14:paraId="27773740" w14:textId="77777777" w:rsidR="0057413D" w:rsidRPr="0099596D" w:rsidRDefault="0057413D" w:rsidP="0099596D">
      <w:pPr>
        <w:pStyle w:val="Title"/>
        <w:spacing w:line="360" w:lineRule="auto"/>
        <w:rPr>
          <w:rFonts w:ascii="Arial" w:eastAsia="Times New Roman" w:hAnsi="Arial" w:cs="Arial"/>
          <w:sz w:val="20"/>
          <w:szCs w:val="20"/>
        </w:rPr>
      </w:pPr>
    </w:p>
    <w:p w14:paraId="021218B2"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6E89398"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3F33BB2B"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25C9DD34"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46C415D"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5EBDDBCF"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139D765"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234DBABD" w14:textId="77777777" w:rsidR="00864788" w:rsidRDefault="00864788"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9654411" w14:textId="77777777" w:rsidR="003D383F" w:rsidRDefault="003D383F"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7BD0A57" w14:textId="77777777" w:rsidR="003D383F" w:rsidRDefault="003D383F"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4B65C5F3" w14:textId="77777777" w:rsidR="00730C3C" w:rsidRDefault="00730C3C"/>
    <w:p w14:paraId="76C223B0" w14:textId="77777777" w:rsidR="008832BE" w:rsidRPr="00B1224A" w:rsidRDefault="008832BE" w:rsidP="00B1224A">
      <w:pPr>
        <w:pStyle w:val="Heading2"/>
        <w:divId w:val="1841194064"/>
        <w:rPr>
          <w:rFonts w:ascii="Arial" w:hAnsi="Arial" w:cs="Arial"/>
          <w:b/>
          <w:bCs/>
          <w:sz w:val="32"/>
          <w:szCs w:val="32"/>
          <w:lang w:eastAsia="en-GB"/>
        </w:rPr>
      </w:pPr>
      <w:r w:rsidRPr="00B1224A">
        <w:rPr>
          <w:rFonts w:ascii="Arial" w:hAnsi="Arial" w:cs="Arial"/>
          <w:b/>
          <w:bCs/>
          <w:sz w:val="32"/>
          <w:szCs w:val="32"/>
          <w:lang w:eastAsia="en-GB"/>
        </w:rPr>
        <w:t>ACKNOWLEDGEMENTS</w:t>
      </w:r>
    </w:p>
    <w:p w14:paraId="10E01040" w14:textId="5CF94CB8" w:rsidR="008832BE" w:rsidRPr="008832BE" w:rsidRDefault="008832BE" w:rsidP="00C966D8">
      <w:pPr>
        <w:spacing w:before="100" w:beforeAutospacing="1" w:after="100" w:afterAutospacing="1"/>
        <w:jc w:val="left"/>
        <w:divId w:val="1841194064"/>
        <w:rPr>
          <w:rFonts w:ascii="Arial" w:hAnsi="Arial" w:cs="Arial"/>
          <w:kern w:val="0"/>
          <w:lang w:eastAsia="en-GB"/>
          <w14:ligatures w14:val="none"/>
        </w:rPr>
      </w:pPr>
      <w:r w:rsidRPr="008832BE">
        <w:rPr>
          <w:rFonts w:ascii="Arial" w:hAnsi="Arial" w:cs="Arial"/>
          <w:kern w:val="0"/>
          <w:lang w:eastAsia="en-GB"/>
          <w14:ligatures w14:val="none"/>
        </w:rPr>
        <w:t xml:space="preserve">I would like to express my sincere gratitude to my dissertation supervisor for their guidance, encouragement, and constructive feedback throughout the completion of this research project. Their </w:t>
      </w:r>
      <w:r w:rsidR="002D2952" w:rsidRPr="00C966D8">
        <w:rPr>
          <w:rFonts w:ascii="Arial" w:hAnsi="Arial" w:cs="Arial"/>
          <w:kern w:val="0"/>
          <w:lang w:eastAsia="en-GB"/>
          <w14:ligatures w14:val="none"/>
        </w:rPr>
        <w:t>ability</w:t>
      </w:r>
      <w:r w:rsidRPr="008832BE">
        <w:rPr>
          <w:rFonts w:ascii="Arial" w:hAnsi="Arial" w:cs="Arial"/>
          <w:kern w:val="0"/>
          <w:lang w:eastAsia="en-GB"/>
          <w14:ligatures w14:val="none"/>
        </w:rPr>
        <w:t xml:space="preserve"> and support were invaluable in helping me develop my understanding of the subject and strengthen the quality of this dissertation.</w:t>
      </w:r>
    </w:p>
    <w:p w14:paraId="7EDC1DB8" w14:textId="77777777" w:rsidR="008832BE" w:rsidRPr="008832BE" w:rsidRDefault="008832BE" w:rsidP="00C966D8">
      <w:pPr>
        <w:spacing w:before="100" w:beforeAutospacing="1" w:after="100" w:afterAutospacing="1"/>
        <w:jc w:val="left"/>
        <w:divId w:val="1841194064"/>
        <w:rPr>
          <w:rFonts w:ascii="Arial" w:hAnsi="Arial" w:cs="Arial"/>
          <w:kern w:val="0"/>
          <w:lang w:eastAsia="en-GB"/>
          <w14:ligatures w14:val="none"/>
        </w:rPr>
      </w:pPr>
      <w:r w:rsidRPr="008832BE">
        <w:rPr>
          <w:rFonts w:ascii="Arial" w:hAnsi="Arial" w:cs="Arial"/>
          <w:kern w:val="0"/>
          <w:lang w:eastAsia="en-GB"/>
          <w14:ligatures w14:val="none"/>
        </w:rPr>
        <w:t xml:space="preserve">I would also like to thank the academic staff within the Health and Social Care programme at the University of Wales Trinity Saint David for providing the knowledge, resources, and academic support that contributed to this study. Special thanks </w:t>
      </w:r>
      <w:bookmarkStart w:id="11" w:name="_Int_1HZydVkm"/>
      <w:r w:rsidRPr="008832BE">
        <w:rPr>
          <w:rFonts w:ascii="Arial" w:hAnsi="Arial" w:cs="Arial"/>
          <w:kern w:val="0"/>
          <w:lang w:eastAsia="en-GB"/>
          <w14:ligatures w14:val="none"/>
        </w:rPr>
        <w:t>are extended</w:t>
      </w:r>
      <w:bookmarkEnd w:id="11"/>
      <w:r w:rsidRPr="008832BE">
        <w:rPr>
          <w:rFonts w:ascii="Arial" w:hAnsi="Arial" w:cs="Arial"/>
          <w:kern w:val="0"/>
          <w:lang w:eastAsia="en-GB"/>
          <w14:ligatures w14:val="none"/>
        </w:rPr>
        <w:t xml:space="preserve"> to the university library staff for their </w:t>
      </w:r>
      <w:bookmarkStart w:id="12" w:name="_Int_3JwdHZaH"/>
      <w:r w:rsidRPr="008832BE">
        <w:rPr>
          <w:rFonts w:ascii="Arial" w:hAnsi="Arial" w:cs="Arial"/>
          <w:kern w:val="0"/>
          <w:lang w:eastAsia="en-GB"/>
          <w14:ligatures w14:val="none"/>
        </w:rPr>
        <w:t>assistance</w:t>
      </w:r>
      <w:bookmarkEnd w:id="12"/>
      <w:r w:rsidRPr="008832BE">
        <w:rPr>
          <w:rFonts w:ascii="Arial" w:hAnsi="Arial" w:cs="Arial"/>
          <w:kern w:val="0"/>
          <w:lang w:eastAsia="en-GB"/>
          <w14:ligatures w14:val="none"/>
        </w:rPr>
        <w:t xml:space="preserve"> in accessing relevant academic literature and research materials.</w:t>
      </w:r>
    </w:p>
    <w:p w14:paraId="5D6D1E11" w14:textId="77777777" w:rsidR="008832BE" w:rsidRPr="008832BE" w:rsidRDefault="008832BE" w:rsidP="00C966D8">
      <w:pPr>
        <w:spacing w:before="100" w:beforeAutospacing="1" w:after="100" w:afterAutospacing="1"/>
        <w:jc w:val="left"/>
        <w:divId w:val="1841194064"/>
        <w:rPr>
          <w:rFonts w:ascii="Arial" w:hAnsi="Arial" w:cs="Arial"/>
          <w:kern w:val="0"/>
          <w:lang w:eastAsia="en-GB"/>
          <w14:ligatures w14:val="none"/>
        </w:rPr>
      </w:pPr>
      <w:r w:rsidRPr="008832BE">
        <w:rPr>
          <w:rFonts w:ascii="Arial" w:hAnsi="Arial" w:cs="Arial"/>
          <w:kern w:val="0"/>
          <w:lang w:eastAsia="en-GB"/>
          <w14:ligatures w14:val="none"/>
        </w:rPr>
        <w:t xml:space="preserve">I am grateful to my fellow students and colleagues for their encouragement, discussions, and support throughout the research process. Their motivation and shared experiences helped </w:t>
      </w:r>
      <w:bookmarkStart w:id="13" w:name="_Int_SuUNAb46"/>
      <w:r w:rsidRPr="008832BE">
        <w:rPr>
          <w:rFonts w:ascii="Arial" w:hAnsi="Arial" w:cs="Arial"/>
          <w:kern w:val="0"/>
          <w:lang w:eastAsia="en-GB"/>
          <w14:ligatures w14:val="none"/>
        </w:rPr>
        <w:t>maintain</w:t>
      </w:r>
      <w:bookmarkEnd w:id="13"/>
      <w:r w:rsidRPr="008832BE">
        <w:rPr>
          <w:rFonts w:ascii="Arial" w:hAnsi="Arial" w:cs="Arial"/>
          <w:kern w:val="0"/>
          <w:lang w:eastAsia="en-GB"/>
          <w14:ligatures w14:val="none"/>
        </w:rPr>
        <w:t xml:space="preserve"> my focus and commitment during the completion of this dissertation.</w:t>
      </w:r>
    </w:p>
    <w:p w14:paraId="3E27668A" w14:textId="77777777" w:rsidR="008832BE" w:rsidRPr="008832BE" w:rsidRDefault="008832BE" w:rsidP="00C966D8">
      <w:pPr>
        <w:spacing w:before="100" w:beforeAutospacing="1" w:after="100" w:afterAutospacing="1"/>
        <w:jc w:val="left"/>
        <w:divId w:val="1841194064"/>
        <w:rPr>
          <w:rFonts w:ascii="Arial" w:hAnsi="Arial" w:cs="Arial"/>
          <w:kern w:val="0"/>
          <w:lang w:eastAsia="en-GB"/>
          <w14:ligatures w14:val="none"/>
        </w:rPr>
      </w:pPr>
      <w:r w:rsidRPr="008832BE">
        <w:rPr>
          <w:rFonts w:ascii="Arial" w:hAnsi="Arial" w:cs="Arial"/>
          <w:kern w:val="0"/>
          <w:lang w:eastAsia="en-GB"/>
          <w14:ligatures w14:val="none"/>
        </w:rPr>
        <w:t>Finally, I would like to express my heartfelt appreciation to my family and friends for their patience, understanding, and unwavering support throughout my studies. Their encouragement has been a constant source of motivation and has played a significant role in enabling me to achieve this milestone.</w:t>
      </w:r>
    </w:p>
    <w:p w14:paraId="08959959" w14:textId="77777777" w:rsidR="008832BE" w:rsidRPr="008832BE" w:rsidRDefault="008832BE" w:rsidP="005A54D6">
      <w:pPr>
        <w:spacing w:before="100" w:beforeAutospacing="1" w:after="100" w:afterAutospacing="1"/>
        <w:jc w:val="left"/>
        <w:divId w:val="1841194064"/>
        <w:rPr>
          <w:rFonts w:ascii="Arial" w:hAnsi="Arial" w:cs="Arial"/>
          <w:kern w:val="0"/>
          <w:lang w:eastAsia="en-GB"/>
          <w14:ligatures w14:val="none"/>
        </w:rPr>
      </w:pPr>
      <w:r w:rsidRPr="008832BE">
        <w:rPr>
          <w:rFonts w:ascii="Arial" w:hAnsi="Arial" w:cs="Arial"/>
          <w:kern w:val="0"/>
          <w:lang w:eastAsia="en-GB"/>
          <w14:ligatures w14:val="none"/>
        </w:rPr>
        <w:t>Thank you to everyone who contributed, directly or indirectly, to the successful completion of this dissertation.</w:t>
      </w:r>
    </w:p>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5010BA36" w14:textId="77777777" w:rsidR="008E4840" w:rsidRDefault="008E4840" w:rsidP="00A87F7F">
      <w:pPr>
        <w:pStyle w:val="Heading1"/>
        <w:spacing w:line="360" w:lineRule="auto"/>
        <w:ind w:left="0"/>
        <w:rPr>
          <w:rFonts w:ascii="Aptos" w:hAnsi="Aptos"/>
        </w:rPr>
      </w:pPr>
    </w:p>
    <w:p w14:paraId="3B8A1589" w14:textId="77777777" w:rsidR="00A87F7F" w:rsidRDefault="00A87F7F" w:rsidP="00A87F7F">
      <w:pPr>
        <w:pStyle w:val="Heading1"/>
        <w:spacing w:line="360" w:lineRule="auto"/>
        <w:ind w:left="0"/>
        <w:rPr>
          <w:rFonts w:ascii="Aptos" w:hAnsi="Aptos"/>
        </w:rPr>
      </w:pPr>
    </w:p>
    <w:p w14:paraId="7BB8DA37" w14:textId="77777777" w:rsidR="00092877" w:rsidRDefault="00092877" w:rsidP="00E551F3">
      <w:pPr>
        <w:pStyle w:val="Heading1"/>
        <w:spacing w:line="360" w:lineRule="auto"/>
        <w:ind w:left="0"/>
        <w:rPr>
          <w:rFonts w:ascii="Aptos" w:hAnsi="Aptos"/>
        </w:rPr>
      </w:pPr>
    </w:p>
    <w:p w14:paraId="1C917EF2" w14:textId="70EA9A74" w:rsidR="00CB0A65" w:rsidRPr="00A578B7" w:rsidRDefault="00804B94" w:rsidP="00A578B7">
      <w:pPr>
        <w:pStyle w:val="Heading2"/>
        <w:rPr>
          <w:rFonts w:cs="Arial"/>
          <w:b/>
        </w:rPr>
      </w:pPr>
      <w:r w:rsidRPr="00CB0A65">
        <w:rPr>
          <w:rFonts w:ascii="Arial" w:hAnsi="Arial" w:cs="Arial"/>
          <w:b/>
          <w:sz w:val="32"/>
          <w:szCs w:val="32"/>
        </w:rPr>
        <w:t>Table of Contents</w:t>
      </w:r>
    </w:p>
    <w:p w14:paraId="1CC5A080" w14:textId="77777777" w:rsidR="00CB0A65" w:rsidRDefault="00CB0A65" w:rsidP="00E551F3">
      <w:pPr>
        <w:pStyle w:val="Heading1"/>
        <w:spacing w:line="360" w:lineRule="auto"/>
        <w:ind w:left="0"/>
        <w:rPr>
          <w:rFonts w:cs="Arial"/>
          <w:b w:val="0"/>
          <w:bCs/>
        </w:rPr>
      </w:pPr>
    </w:p>
    <w:tbl>
      <w:tblPr>
        <w:tblW w:w="5000" w:type="pct"/>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8071"/>
        <w:gridCol w:w="939"/>
      </w:tblGrid>
      <w:tr w:rsidR="00DA673D" w:rsidRPr="00DA673D" w14:paraId="288CE108" w14:textId="77777777" w:rsidTr="00A578B7">
        <w:trPr>
          <w:divId w:val="1242985968"/>
          <w:tblHeader/>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9A85695" w14:textId="77777777" w:rsidR="00DA673D" w:rsidRPr="00DA673D" w:rsidRDefault="00DA673D" w:rsidP="00DA673D">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DA673D">
              <w:rPr>
                <w:rFonts w:ascii="Times New Roman" w:hAnsi="Times New Roman" w:cs="Times New Roman"/>
                <w:b/>
                <w:bCs/>
                <w:kern w:val="0"/>
                <w:sz w:val="24"/>
                <w:szCs w:val="24"/>
                <w:lang w:eastAsia="en-GB"/>
                <w14:ligatures w14:val="none"/>
              </w:rPr>
              <w:t>Section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A0E7AE1" w14:textId="77777777" w:rsidR="00DA673D" w:rsidRPr="00DA673D" w:rsidRDefault="00DA673D" w:rsidP="00DA673D">
            <w:pPr>
              <w:spacing w:before="100" w:beforeAutospacing="1" w:after="100" w:afterAutospacing="1" w:line="240" w:lineRule="auto"/>
              <w:jc w:val="center"/>
              <w:rPr>
                <w:rFonts w:ascii="Times New Roman" w:hAnsi="Times New Roman" w:cs="Times New Roman"/>
                <w:b/>
                <w:bCs/>
                <w:kern w:val="0"/>
                <w:sz w:val="24"/>
                <w:szCs w:val="24"/>
                <w:lang w:eastAsia="en-GB"/>
                <w14:ligatures w14:val="none"/>
              </w:rPr>
            </w:pPr>
            <w:r w:rsidRPr="00DA673D">
              <w:rPr>
                <w:rFonts w:ascii="Times New Roman" w:hAnsi="Times New Roman" w:cs="Times New Roman"/>
                <w:b/>
                <w:bCs/>
                <w:kern w:val="0"/>
                <w:sz w:val="24"/>
                <w:szCs w:val="24"/>
                <w:lang w:eastAsia="en-GB"/>
                <w14:ligatures w14:val="none"/>
              </w:rPr>
              <w:t>Page</w:t>
            </w:r>
          </w:p>
        </w:tc>
      </w:tr>
      <w:tr w:rsidR="00DA673D" w:rsidRPr="00DA673D" w14:paraId="4592A69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A1BAD6"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Declaration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896FC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w:t>
            </w:r>
          </w:p>
        </w:tc>
      </w:tr>
      <w:tr w:rsidR="00DA673D" w:rsidRPr="00DA673D" w14:paraId="6D9FFC72"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0E0BF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Title Page</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EE723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w:t>
            </w:r>
          </w:p>
        </w:tc>
      </w:tr>
      <w:tr w:rsidR="00DA673D" w:rsidRPr="00DA673D" w14:paraId="49342BC7"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A48D2A"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Acknowledgements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C83F6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w:t>
            </w:r>
          </w:p>
        </w:tc>
      </w:tr>
      <w:tr w:rsidR="00DA673D" w:rsidRPr="00DA673D" w14:paraId="47CC42D2"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804C5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Table of Contents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FD26F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w:t>
            </w:r>
          </w:p>
        </w:tc>
      </w:tr>
      <w:tr w:rsidR="00DA673D" w:rsidRPr="00DA673D" w14:paraId="61CEA9FC"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2C4683"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List of Figures (if applicable)</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99C95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w:t>
            </w:r>
          </w:p>
        </w:tc>
      </w:tr>
      <w:tr w:rsidR="00DA673D" w:rsidRPr="00DA673D" w14:paraId="21E9A41E"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05C17F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List of Tables (if applicable)</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8103C63"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8</w:t>
            </w:r>
          </w:p>
        </w:tc>
      </w:tr>
      <w:tr w:rsidR="00DA673D" w:rsidRPr="00DA673D" w14:paraId="77E68D9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B49DA0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b/>
                <w:kern w:val="0"/>
                <w:lang w:eastAsia="en-GB"/>
                <w14:ligatures w14:val="none"/>
              </w:rPr>
              <w:t>Chapter 1 – Introduction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3D40A9"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9</w:t>
            </w:r>
          </w:p>
        </w:tc>
      </w:tr>
      <w:tr w:rsidR="00DA673D" w:rsidRPr="00DA673D" w14:paraId="0A88DF22"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D330A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1.1 Introduction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AFF2DB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9</w:t>
            </w:r>
          </w:p>
        </w:tc>
      </w:tr>
      <w:tr w:rsidR="00DA673D" w:rsidRPr="00DA673D" w14:paraId="2C4BD01B"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E4CA2F"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1.2 Aim of the Dissertation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2D34B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10</w:t>
            </w:r>
          </w:p>
        </w:tc>
      </w:tr>
      <w:tr w:rsidR="00DA673D" w:rsidRPr="00DA673D" w14:paraId="6B66EB25"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7B792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1.3 Rationale and Purpose of the Research</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E44CE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12</w:t>
            </w:r>
          </w:p>
        </w:tc>
      </w:tr>
      <w:tr w:rsidR="00DA673D" w:rsidRPr="00DA673D" w14:paraId="5BF4607D"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657D13E"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1.4 Dissertation Objectives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03197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13</w:t>
            </w:r>
          </w:p>
        </w:tc>
      </w:tr>
      <w:tr w:rsidR="00DA673D" w:rsidRPr="00DA673D" w14:paraId="2ECCC27A"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268416"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1.5 Chapter Conclusion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A61050"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14</w:t>
            </w:r>
          </w:p>
        </w:tc>
      </w:tr>
      <w:tr w:rsidR="00DA673D" w:rsidRPr="00DA673D" w14:paraId="44A940BB"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4D8E0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b/>
                <w:kern w:val="0"/>
                <w:lang w:eastAsia="en-GB"/>
                <w14:ligatures w14:val="none"/>
              </w:rPr>
              <w:t>Chapter 2 – Literature Review</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4D5B0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15</w:t>
            </w:r>
          </w:p>
        </w:tc>
      </w:tr>
      <w:tr w:rsidR="00DA673D" w:rsidRPr="00DA673D" w14:paraId="7211A8A6"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C25287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2.1 Introduction and Purpose of the Chapter</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8E319A"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15</w:t>
            </w:r>
          </w:p>
        </w:tc>
      </w:tr>
      <w:tr w:rsidR="00DA673D" w:rsidRPr="00DA673D" w14:paraId="2BFA1875"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7FE1FD"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2.2 Historical Background of Type 2 Diabetes Mellitus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70D802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16</w:t>
            </w:r>
          </w:p>
        </w:tc>
      </w:tr>
      <w:tr w:rsidR="00DA673D" w:rsidRPr="00DA673D" w14:paraId="1420F080"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891480"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2.3 Theoretical Background, Key Theories and Concepts: Insulin Resistance Paradigm</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E43DB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21</w:t>
            </w:r>
          </w:p>
        </w:tc>
      </w:tr>
      <w:tr w:rsidR="00DA673D" w:rsidRPr="00DA673D" w14:paraId="604995C5"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B70F8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2.4 International Context of Type 2 Diabetes Mellitus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DA99C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25</w:t>
            </w:r>
          </w:p>
        </w:tc>
      </w:tr>
      <w:tr w:rsidR="00DA673D" w:rsidRPr="00DA673D" w14:paraId="0AC8918B"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038EC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2.5 National and Local UK Context</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D89CE9F"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26</w:t>
            </w:r>
          </w:p>
        </w:tc>
      </w:tr>
      <w:tr w:rsidR="00DA673D" w:rsidRPr="00DA673D" w14:paraId="06B95FC3"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843B9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2.6 Chapter Summary and Key Points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EDFAC0"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30</w:t>
            </w:r>
          </w:p>
        </w:tc>
      </w:tr>
      <w:tr w:rsidR="00DA673D" w:rsidRPr="00DA673D" w14:paraId="7B0CDB4A"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9B5E4F"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b/>
                <w:kern w:val="0"/>
                <w:lang w:eastAsia="en-GB"/>
                <w14:ligatures w14:val="none"/>
              </w:rPr>
              <w:t>Chapter 3 – Methodology</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7DC57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32</w:t>
            </w:r>
          </w:p>
        </w:tc>
      </w:tr>
      <w:tr w:rsidR="00DA673D" w:rsidRPr="00DA673D" w14:paraId="6A650B1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459228"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3.1 Introduction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04CE2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32</w:t>
            </w:r>
          </w:p>
        </w:tc>
      </w:tr>
      <w:tr w:rsidR="00DA673D" w:rsidRPr="00DA673D" w14:paraId="7794A9EC"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67BDFD"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3.2 Research Strategy and Development of Keywords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3F05FB6"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33</w:t>
            </w:r>
          </w:p>
        </w:tc>
      </w:tr>
      <w:tr w:rsidR="00DA673D" w:rsidRPr="00DA673D" w14:paraId="4A0ED51D"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47B6A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3.3 Searching for Information: Databases and Platforms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336D82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34</w:t>
            </w:r>
          </w:p>
        </w:tc>
      </w:tr>
      <w:tr w:rsidR="00DA673D" w:rsidRPr="00DA673D" w14:paraId="4031A7E8"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1292ED"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3.4 Research Validation and Screening Techniques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9B5C5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35</w:t>
            </w:r>
          </w:p>
        </w:tc>
      </w:tr>
      <w:tr w:rsidR="00DA673D" w:rsidRPr="00DA673D" w14:paraId="6B5B1FA7"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033B4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3.5 Inclusion and Exclusion Criteria</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053F53"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36</w:t>
            </w:r>
          </w:p>
        </w:tc>
      </w:tr>
      <w:tr w:rsidR="00DA673D" w:rsidRPr="00DA673D" w14:paraId="5C65C878"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DA34F8"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3.6 Data Analysis: Thematic Coding Approach</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B2EC5C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37</w:t>
            </w:r>
          </w:p>
        </w:tc>
      </w:tr>
      <w:tr w:rsidR="00DA673D" w:rsidRPr="00DA673D" w14:paraId="6FD1318E"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C87C6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3.7 Ethical Considerations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1589ECE"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38</w:t>
            </w:r>
          </w:p>
        </w:tc>
      </w:tr>
      <w:tr w:rsidR="00DA673D" w:rsidRPr="00DA673D" w14:paraId="773939D6"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767040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3.8 Chapter Summary</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6117819"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39</w:t>
            </w:r>
          </w:p>
        </w:tc>
      </w:tr>
      <w:tr w:rsidR="00DA673D" w:rsidRPr="00DA673D" w14:paraId="4383B836"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6CB00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b/>
                <w:kern w:val="0"/>
                <w:lang w:eastAsia="en-GB"/>
                <w14:ligatures w14:val="none"/>
              </w:rPr>
              <w:t>Chapter 4 – Findings and Discussion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A96B3D"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40</w:t>
            </w:r>
          </w:p>
        </w:tc>
      </w:tr>
      <w:tr w:rsidR="00DA673D" w:rsidRPr="00DA673D" w14:paraId="000AB90C"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3EBA2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4.1 Introduction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78F990"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40</w:t>
            </w:r>
          </w:p>
        </w:tc>
      </w:tr>
      <w:tr w:rsidR="00DA673D" w:rsidRPr="00DA673D" w14:paraId="27771F0C"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69A986"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4.2 Thematic Analysis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993AF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40</w:t>
            </w:r>
          </w:p>
        </w:tc>
      </w:tr>
      <w:tr w:rsidR="00DA673D" w:rsidRPr="00DA673D" w14:paraId="41691527"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FEECDA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4.3 Theme 1 – Physiological Mechanisms of Type 2 Diabetes Mellitus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7534AC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41</w:t>
            </w:r>
          </w:p>
        </w:tc>
      </w:tr>
      <w:tr w:rsidR="00DA673D" w:rsidRPr="00DA673D" w14:paraId="41751FB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5D56FA"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4.4 Theme 2 – Long-Term Health Impacts of Type 2 Diabetes Mellitus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2DE9E8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47</w:t>
            </w:r>
          </w:p>
        </w:tc>
      </w:tr>
      <w:tr w:rsidR="00DA673D" w:rsidRPr="00DA673D" w14:paraId="558B701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4EE542"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4.5 Theme 3 – Management and Support Strategies for Older Adults with Type 2 Diabetes Mellitus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BDE1C6"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52</w:t>
            </w:r>
          </w:p>
        </w:tc>
      </w:tr>
      <w:tr w:rsidR="00DA673D" w:rsidRPr="00DA673D" w14:paraId="5DC7FC1F"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15862FF"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4.6 Chapter Conclusion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DAAA6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56</w:t>
            </w:r>
          </w:p>
        </w:tc>
      </w:tr>
      <w:tr w:rsidR="00DA673D" w:rsidRPr="00DA673D" w14:paraId="390FBAEE"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C200EC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b/>
                <w:kern w:val="0"/>
                <w:lang w:eastAsia="en-GB"/>
                <w14:ligatures w14:val="none"/>
              </w:rPr>
              <w:t>Chapter 5 – Conclusion and Recommendations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4E38FC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58</w:t>
            </w:r>
          </w:p>
        </w:tc>
      </w:tr>
      <w:tr w:rsidR="00DA673D" w:rsidRPr="00DA673D" w14:paraId="306C227E"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831D0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5.1 Conclusion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FFE0E01"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58</w:t>
            </w:r>
          </w:p>
        </w:tc>
      </w:tr>
      <w:tr w:rsidR="00DA673D" w:rsidRPr="00DA673D" w14:paraId="1361ABDF"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F74055A"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5.2 Recommendations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FE35C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59</w:t>
            </w:r>
          </w:p>
        </w:tc>
      </w:tr>
      <w:tr w:rsidR="00DA673D" w:rsidRPr="00DA673D" w14:paraId="0ABA8CA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0B53A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5.2.1 Recommendation 1 – Improve Early Screening and Diagnosis Programmes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E958FCD"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60</w:t>
            </w:r>
          </w:p>
        </w:tc>
      </w:tr>
      <w:tr w:rsidR="00DA673D" w:rsidRPr="00DA673D" w14:paraId="281F0A09"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B2D310"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5.2.2 Recommendation 2 – Increase Personalised Diabetes Education and Lifestyle Support</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457D1F9"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61</w:t>
            </w:r>
          </w:p>
        </w:tc>
      </w:tr>
      <w:tr w:rsidR="00DA673D" w:rsidRPr="00DA673D" w14:paraId="64DC9C31"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9D0C72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5.2.3 Recommendation 3 – Strengthen Integrated Health and Social Care Services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75BCE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63</w:t>
            </w:r>
          </w:p>
        </w:tc>
      </w:tr>
      <w:tr w:rsidR="00DA673D" w:rsidRPr="00DA673D" w14:paraId="6AED3367"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E60FF6E"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b/>
                <w:kern w:val="0"/>
                <w:lang w:eastAsia="en-GB"/>
                <w14:ligatures w14:val="none"/>
              </w:rPr>
              <w:t>Chapter 6 – References and Appendices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3413E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64</w:t>
            </w:r>
          </w:p>
        </w:tc>
      </w:tr>
      <w:tr w:rsidR="00DA673D" w:rsidRPr="00DA673D" w14:paraId="58B9C4D7"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8D9DB20"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6.1 References</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8B812E5"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69</w:t>
            </w:r>
          </w:p>
        </w:tc>
      </w:tr>
      <w:tr w:rsidR="00DA673D" w:rsidRPr="00DA673D" w14:paraId="74BA1F8A"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C14A4A"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6.2 Appendix A – Source Tracking Table</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4BDF16"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70</w:t>
            </w:r>
          </w:p>
        </w:tc>
      </w:tr>
      <w:tr w:rsidR="00DA673D" w:rsidRPr="00DA673D" w14:paraId="184E969F"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58D51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Appendix B – Results Summary Table</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F392A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72</w:t>
            </w:r>
          </w:p>
        </w:tc>
      </w:tr>
      <w:tr w:rsidR="00DA673D" w:rsidRPr="00DA673D" w14:paraId="27CA01E5"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F505D7"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Appendix C – Literature Search Log</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EDC5CC"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74</w:t>
            </w:r>
          </w:p>
        </w:tc>
      </w:tr>
      <w:tr w:rsidR="00DA673D" w:rsidRPr="00DA673D" w14:paraId="24B2B1BB"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BB77F6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Appendix D – Inclusion and Exclusion Criteria</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9FDB7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75</w:t>
            </w:r>
          </w:p>
        </w:tc>
      </w:tr>
      <w:tr w:rsidR="00DA673D" w:rsidRPr="00DA673D" w14:paraId="75AAB62B"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6591C6F"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Appendix E – Thematic Coding Framework</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3A4D5CB"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76</w:t>
            </w:r>
          </w:p>
        </w:tc>
      </w:tr>
      <w:tr w:rsidR="00DA673D" w:rsidRPr="00DA673D" w14:paraId="784AD6B4" w14:textId="77777777" w:rsidTr="00A578B7">
        <w:trPr>
          <w:divId w:val="1242985968"/>
        </w:trPr>
        <w:tc>
          <w:tcPr>
            <w:tcW w:w="4479"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11B7F44"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Appendix F – CRAAP Test Evaluation</w:t>
            </w:r>
          </w:p>
        </w:tc>
        <w:tc>
          <w:tcPr>
            <w:tcW w:w="521"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EE1FE9" w14:textId="77777777" w:rsidR="00DA673D" w:rsidRPr="00DA673D" w:rsidRDefault="00DA673D" w:rsidP="00A578B7">
            <w:pPr>
              <w:spacing w:before="100" w:beforeAutospacing="1" w:after="100" w:afterAutospacing="1"/>
              <w:jc w:val="left"/>
              <w:rPr>
                <w:rFonts w:ascii="Arial" w:hAnsi="Arial" w:cs="Arial"/>
                <w:kern w:val="0"/>
                <w:lang w:eastAsia="en-GB"/>
                <w14:ligatures w14:val="none"/>
              </w:rPr>
            </w:pPr>
            <w:r w:rsidRPr="00DA673D">
              <w:rPr>
                <w:rFonts w:ascii="Arial" w:hAnsi="Arial" w:cs="Arial"/>
                <w:kern w:val="0"/>
                <w:lang w:eastAsia="en-GB"/>
                <w14:ligatures w14:val="none"/>
              </w:rPr>
              <w:t>78</w:t>
            </w:r>
          </w:p>
        </w:tc>
      </w:tr>
    </w:tbl>
    <w:p w14:paraId="112C91D6" w14:textId="77777777" w:rsidR="00DA673D" w:rsidRPr="00A578B7" w:rsidRDefault="00DA673D" w:rsidP="00E551F3">
      <w:pPr>
        <w:pStyle w:val="Heading1"/>
        <w:spacing w:line="360" w:lineRule="auto"/>
        <w:ind w:left="0"/>
        <w:rPr>
          <w:rFonts w:cs="Arial"/>
          <w:b w:val="0"/>
          <w:sz w:val="22"/>
          <w:szCs w:val="22"/>
        </w:rPr>
      </w:pPr>
    </w:p>
    <w:p w14:paraId="356D344E" w14:textId="77777777" w:rsidR="00DA673D" w:rsidRPr="00A578B7" w:rsidRDefault="00DA673D" w:rsidP="00E551F3">
      <w:pPr>
        <w:pStyle w:val="Heading1"/>
        <w:spacing w:line="360" w:lineRule="auto"/>
        <w:ind w:left="0"/>
        <w:rPr>
          <w:rFonts w:cs="Arial"/>
          <w:b w:val="0"/>
          <w:sz w:val="22"/>
          <w:szCs w:val="22"/>
        </w:rPr>
      </w:pPr>
    </w:p>
    <w:p w14:paraId="73C41B3A" w14:textId="77777777" w:rsidR="00DA673D" w:rsidRPr="00A578B7" w:rsidRDefault="00DA673D" w:rsidP="00E551F3">
      <w:pPr>
        <w:pStyle w:val="Heading1"/>
        <w:spacing w:line="360" w:lineRule="auto"/>
        <w:ind w:left="0"/>
        <w:rPr>
          <w:rFonts w:cs="Arial"/>
          <w:b w:val="0"/>
          <w:sz w:val="22"/>
          <w:szCs w:val="22"/>
        </w:rPr>
      </w:pPr>
    </w:p>
    <w:p w14:paraId="79E2294C" w14:textId="77777777" w:rsidR="00DA673D" w:rsidRPr="00A578B7" w:rsidRDefault="00DA673D" w:rsidP="00E551F3">
      <w:pPr>
        <w:pStyle w:val="Heading1"/>
        <w:spacing w:line="360" w:lineRule="auto"/>
        <w:ind w:left="0"/>
        <w:rPr>
          <w:rFonts w:cs="Arial"/>
          <w:b w:val="0"/>
          <w:sz w:val="22"/>
          <w:szCs w:val="22"/>
        </w:rPr>
      </w:pPr>
    </w:p>
    <w:p w14:paraId="52D08DE6" w14:textId="77777777" w:rsidR="00DA673D" w:rsidRDefault="00DA673D" w:rsidP="00E551F3">
      <w:pPr>
        <w:pStyle w:val="Heading1"/>
        <w:spacing w:line="360" w:lineRule="auto"/>
        <w:ind w:left="0"/>
        <w:rPr>
          <w:rFonts w:cs="Arial"/>
          <w:b w:val="0"/>
          <w:sz w:val="22"/>
          <w:szCs w:val="22"/>
        </w:rPr>
      </w:pPr>
    </w:p>
    <w:p w14:paraId="6E7E51B4" w14:textId="77777777" w:rsidR="00A578B7" w:rsidRDefault="00A578B7" w:rsidP="00A578B7">
      <w:pPr>
        <w:pStyle w:val="Heading1"/>
        <w:spacing w:line="360" w:lineRule="auto"/>
        <w:ind w:left="0"/>
        <w:rPr>
          <w:rFonts w:cs="Arial"/>
          <w:b w:val="0"/>
          <w:bCs/>
          <w:sz w:val="22"/>
          <w:szCs w:val="22"/>
        </w:rPr>
      </w:pPr>
    </w:p>
    <w:p w14:paraId="57E4BA9F" w14:textId="77777777" w:rsidR="00A578B7" w:rsidRDefault="00A578B7" w:rsidP="00A578B7">
      <w:pPr>
        <w:pStyle w:val="Heading1"/>
        <w:spacing w:line="360" w:lineRule="auto"/>
        <w:ind w:left="0"/>
        <w:rPr>
          <w:rFonts w:cs="Arial"/>
          <w:b w:val="0"/>
          <w:bCs/>
          <w:sz w:val="22"/>
          <w:szCs w:val="22"/>
        </w:rPr>
      </w:pPr>
    </w:p>
    <w:p w14:paraId="11ECA783" w14:textId="77777777" w:rsidR="00A578B7" w:rsidRDefault="00A578B7" w:rsidP="00A578B7">
      <w:pPr>
        <w:pStyle w:val="Heading1"/>
        <w:spacing w:line="360" w:lineRule="auto"/>
        <w:ind w:left="0"/>
        <w:rPr>
          <w:rFonts w:cs="Arial"/>
          <w:b w:val="0"/>
          <w:bCs/>
          <w:sz w:val="22"/>
          <w:szCs w:val="22"/>
        </w:rPr>
      </w:pPr>
    </w:p>
    <w:p w14:paraId="285ABD42" w14:textId="77777777" w:rsidR="00A578B7" w:rsidRDefault="00A578B7" w:rsidP="00A578B7">
      <w:pPr>
        <w:pStyle w:val="Heading1"/>
        <w:spacing w:line="360" w:lineRule="auto"/>
        <w:ind w:left="0"/>
        <w:rPr>
          <w:rFonts w:cs="Arial"/>
          <w:b w:val="0"/>
          <w:bCs/>
          <w:sz w:val="22"/>
          <w:szCs w:val="22"/>
        </w:rPr>
      </w:pPr>
    </w:p>
    <w:p w14:paraId="01CB7709" w14:textId="77777777" w:rsidR="00A578B7" w:rsidRPr="00A578B7" w:rsidRDefault="00A578B7" w:rsidP="00A578B7">
      <w:pPr>
        <w:pStyle w:val="Heading1"/>
        <w:spacing w:line="360" w:lineRule="auto"/>
        <w:ind w:left="0"/>
        <w:rPr>
          <w:rFonts w:cs="Arial"/>
          <w:b w:val="0"/>
          <w:bCs/>
          <w:sz w:val="22"/>
          <w:szCs w:val="22"/>
        </w:rPr>
      </w:pPr>
    </w:p>
    <w:p w14:paraId="756C3EE0" w14:textId="77777777" w:rsidR="00804B94" w:rsidRDefault="00804B94"/>
    <w:p w14:paraId="5BA45503" w14:textId="3A1B8B73" w:rsidR="002F7B15" w:rsidRPr="002105F6" w:rsidRDefault="00730C3C" w:rsidP="002105F6">
      <w:pPr>
        <w:pStyle w:val="Heading2"/>
        <w:rPr>
          <w:b/>
        </w:rPr>
      </w:pPr>
      <w:r w:rsidRPr="002105F6">
        <w:rPr>
          <w:rFonts w:ascii="Arial" w:hAnsi="Arial" w:cs="Arial"/>
          <w:b/>
          <w:bCs/>
          <w:sz w:val="32"/>
          <w:szCs w:val="32"/>
        </w:rPr>
        <w:t>CHAPTER 1</w:t>
      </w:r>
    </w:p>
    <w:p w14:paraId="14438EB1" w14:textId="77777777" w:rsidR="00670EDB" w:rsidRPr="002105F6" w:rsidRDefault="00670EDB" w:rsidP="002105F6">
      <w:pPr>
        <w:pStyle w:val="Heading2"/>
        <w:rPr>
          <w:rFonts w:ascii="Arial" w:eastAsia="Times New Roman" w:hAnsi="Arial"/>
        </w:rPr>
      </w:pPr>
      <w:r w:rsidRPr="002105F6">
        <w:rPr>
          <w:rFonts w:ascii="Arial" w:eastAsia="Times New Roman" w:hAnsi="Arial" w:cs="Arial"/>
          <w:b/>
          <w:bCs/>
          <w:sz w:val="32"/>
          <w:szCs w:val="32"/>
        </w:rPr>
        <w:t xml:space="preserve">1.1 Introduction </w:t>
      </w:r>
    </w:p>
    <w:p w14:paraId="7EC5EBB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Type 2 Diabetes Mellitus (T2DM) is a chronic and progressive metabolic disorder characterised by persistent hyperglycaemia resulting from insulin resistance and the gradual dysfunction of pancreatic B-cells responsible for insulin secretion (Saini, 2010; Achilli, Deng, and Liu, 2025). The condition accounts for 90–95% of all diabetes cases globally and </w:t>
      </w:r>
      <w:bookmarkStart w:id="14" w:name="_Int_SYDkLqPg"/>
      <w:r w:rsidRPr="00670EDB">
        <w:rPr>
          <w:rFonts w:ascii="Arial" w:hAnsi="Arial" w:cs="Arial"/>
          <w:kern w:val="0"/>
          <w:lang w:eastAsia="en-GB"/>
          <w14:ligatures w14:val="none"/>
        </w:rPr>
        <w:t>is widely recognised</w:t>
      </w:r>
      <w:bookmarkEnd w:id="14"/>
      <w:r w:rsidRPr="00670EDB">
        <w:rPr>
          <w:rFonts w:ascii="Arial" w:hAnsi="Arial" w:cs="Arial"/>
          <w:kern w:val="0"/>
          <w:lang w:eastAsia="en-GB"/>
          <w14:ligatures w14:val="none"/>
        </w:rPr>
        <w:t xml:space="preserve"> as one of the most significant public health challenges facing modern healthcare systems (</w:t>
      </w:r>
      <w:bookmarkStart w:id="15" w:name="_Int_x2djRO8r"/>
      <w:r w:rsidRPr="00670EDB">
        <w:rPr>
          <w:rFonts w:ascii="Arial" w:hAnsi="Arial" w:cs="Arial"/>
          <w:kern w:val="0"/>
          <w:lang w:eastAsia="en-GB"/>
          <w14:ligatures w14:val="none"/>
        </w:rPr>
        <w:t>Bellary</w:t>
      </w:r>
      <w:bookmarkEnd w:id="15"/>
      <w:r w:rsidRPr="00670EDB">
        <w:rPr>
          <w:rFonts w:ascii="Arial" w:hAnsi="Arial" w:cs="Arial"/>
          <w:kern w:val="0"/>
          <w:lang w:eastAsia="en-GB"/>
          <w14:ligatures w14:val="none"/>
        </w:rPr>
        <w:t xml:space="preserve"> et al., 2021). In the United Kingdom, the prevalence of diabetes has increased over the past two decades. According to NHS Digital (2022) data </w:t>
      </w:r>
      <w:bookmarkStart w:id="16" w:name="_Int_nVuOeWaE"/>
      <w:r w:rsidRPr="00670EDB">
        <w:rPr>
          <w:rFonts w:ascii="Arial" w:hAnsi="Arial" w:cs="Arial"/>
          <w:kern w:val="0"/>
          <w:lang w:eastAsia="en-GB"/>
          <w14:ligatures w14:val="none"/>
        </w:rPr>
        <w:t>indicate</w:t>
      </w:r>
      <w:bookmarkEnd w:id="16"/>
      <w:r w:rsidRPr="00670EDB">
        <w:rPr>
          <w:rFonts w:ascii="Arial" w:hAnsi="Arial" w:cs="Arial"/>
          <w:kern w:val="0"/>
          <w:lang w:eastAsia="en-GB"/>
          <w14:ligatures w14:val="none"/>
        </w:rPr>
        <w:t xml:space="preserve"> that more than 4.9 million people are currently living with diabetes, with the majority diagnosed with T2DM and prevalence rising significantly among adults aged 60 years and older.</w:t>
      </w:r>
    </w:p>
    <w:p w14:paraId="09F106BB"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7E9BE46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Population ageing has intensified the burden of T2DM, particularly in large urban centres such as Birmingham. Birmingham is the second largest city in the UK, with a population exceeding 1.1 million people and characterised by substantial ethnic diversity and socioeconomic variation. Epidemiological research suggests that areas with higher deprivation and diverse populations, such as Birmingham and the West Midlands, </w:t>
      </w:r>
      <w:bookmarkStart w:id="17" w:name="_Int_gFN8Mg4Z"/>
      <w:r w:rsidRPr="00670EDB">
        <w:rPr>
          <w:rFonts w:ascii="Arial" w:hAnsi="Arial" w:cs="Arial"/>
          <w:kern w:val="0"/>
          <w:lang w:eastAsia="en-GB"/>
          <w14:ligatures w14:val="none"/>
        </w:rPr>
        <w:t>demonstrate</w:t>
      </w:r>
      <w:bookmarkEnd w:id="17"/>
      <w:r w:rsidRPr="00670EDB">
        <w:rPr>
          <w:rFonts w:ascii="Arial" w:hAnsi="Arial" w:cs="Arial"/>
          <w:kern w:val="0"/>
          <w:lang w:eastAsia="en-GB"/>
          <w14:ligatures w14:val="none"/>
        </w:rPr>
        <w:t xml:space="preserve"> higher diabetes prevalence with the national average (Congdon, 2006; Au-Yeung et al., 2024). Local health data </w:t>
      </w:r>
      <w:bookmarkStart w:id="18" w:name="_Int_d5FQKPmJ"/>
      <w:r w:rsidRPr="00670EDB">
        <w:rPr>
          <w:rFonts w:ascii="Arial" w:hAnsi="Arial" w:cs="Arial"/>
          <w:kern w:val="0"/>
          <w:lang w:eastAsia="en-GB"/>
          <w14:ligatures w14:val="none"/>
        </w:rPr>
        <w:t>indicate</w:t>
      </w:r>
      <w:bookmarkEnd w:id="18"/>
      <w:r w:rsidRPr="00670EDB">
        <w:rPr>
          <w:rFonts w:ascii="Arial" w:hAnsi="Arial" w:cs="Arial"/>
          <w:kern w:val="0"/>
          <w:lang w:eastAsia="en-GB"/>
          <w14:ligatures w14:val="none"/>
        </w:rPr>
        <w:t xml:space="preserve"> that 8–10% of adults registered with comprehensive practices in Birmingham have diagnosed diabetes, with prevalence increasing significantly with age and among South Asian and Black ethnic groups.</w:t>
      </w:r>
    </w:p>
    <w:p w14:paraId="3D967DFD"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516C37B0"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Ageing contributes to metabolic dysregulation through mechanisms, including increased visceral adiposity, mitochondrial dysfunction, oxidative stress, and chronic low-grade inflammation (Halim and Halim, 2019; Shou, Chen, and Xiao, 2020). These processes impair insulin signalling and glucose metabolism, increasing susceptibility to T2DM. Older adults with T2DM are therefore at increased risk of complications including cardiovascular disease, neuropathy, nephropathy, retinopathy, and cognitive decline (Arnold and Arvanitakis, 2018).</w:t>
      </w:r>
    </w:p>
    <w:p w14:paraId="3FA1408A" w14:textId="56C3BE0D" w:rsidR="00670EDB" w:rsidRPr="00332609" w:rsidRDefault="009B0CAB" w:rsidP="00332609">
      <w:pPr>
        <w:pStyle w:val="Heading2"/>
        <w:rPr>
          <w:rFonts w:asciiTheme="majorHAnsi" w:eastAsia="Times New Roman" w:hAnsiTheme="majorHAnsi"/>
          <w:sz w:val="40"/>
          <w:szCs w:val="40"/>
        </w:rPr>
      </w:pPr>
      <w:r>
        <w:rPr>
          <w:rFonts w:ascii="Arial" w:hAnsi="Arial" w:cs="Arial"/>
          <w:b/>
          <w:bCs/>
          <w:sz w:val="32"/>
          <w:szCs w:val="32"/>
        </w:rPr>
        <w:t xml:space="preserve">1.2 </w:t>
      </w:r>
      <w:r w:rsidR="00670EDB" w:rsidRPr="00332609">
        <w:rPr>
          <w:rFonts w:ascii="Arial" w:hAnsi="Arial" w:cs="Arial"/>
          <w:b/>
          <w:bCs/>
          <w:sz w:val="32"/>
          <w:szCs w:val="32"/>
        </w:rPr>
        <w:t>Aim of the Dissertation: </w:t>
      </w:r>
    </w:p>
    <w:p w14:paraId="2835D3AA" w14:textId="36676584"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The primary aim of this dissertation is to explore the physiological mechanisms underlying Type 2 Diabetes Mellitus and examine its long-term health impacts among older adults living in Birmingham. By integrating current understanding of metabolic pathophysiology with local demographic and public health context, this study aims to provide insight into how ageing and environmental factors influence disease progression. The research </w:t>
      </w:r>
      <w:bookmarkStart w:id="19" w:name="_Int_JpFvV8jx"/>
      <w:r w:rsidRPr="00670EDB">
        <w:rPr>
          <w:rFonts w:ascii="Arial" w:hAnsi="Arial" w:cs="Arial"/>
          <w:kern w:val="0"/>
          <w:lang w:eastAsia="en-GB"/>
          <w14:ligatures w14:val="none"/>
        </w:rPr>
        <w:t>seeks</w:t>
      </w:r>
      <w:bookmarkEnd w:id="19"/>
      <w:r w:rsidRPr="00670EDB">
        <w:rPr>
          <w:rFonts w:ascii="Arial" w:hAnsi="Arial" w:cs="Arial"/>
          <w:kern w:val="0"/>
          <w:lang w:eastAsia="en-GB"/>
          <w14:ligatures w14:val="none"/>
        </w:rPr>
        <w:t xml:space="preserve"> to contribute to improved health and social care strategies, supporting more effective prevention, management, and long-term care for older adults living with T2DM in Birmingham.</w:t>
      </w:r>
    </w:p>
    <w:p w14:paraId="3405D8F5" w14:textId="77777777" w:rsidR="00670EDB" w:rsidRPr="00670EDB" w:rsidRDefault="00670EDB" w:rsidP="00670EDB">
      <w:pPr>
        <w:spacing w:after="0"/>
        <w:ind w:left="1080"/>
        <w:jc w:val="left"/>
        <w:textAlignment w:val="baseline"/>
        <w:rPr>
          <w:rFonts w:eastAsia="Times New Roman" w:cs="Segoe UI"/>
          <w:kern w:val="0"/>
          <w:sz w:val="16"/>
          <w:szCs w:val="16"/>
          <w14:ligatures w14:val="none"/>
        </w:rPr>
      </w:pPr>
      <w:r w:rsidRPr="00670EDB">
        <w:rPr>
          <w:rFonts w:eastAsia="Times New Roman" w:cs="Arial"/>
          <w:kern w:val="0"/>
          <w14:ligatures w14:val="none"/>
        </w:rPr>
        <w:t> </w:t>
      </w:r>
    </w:p>
    <w:p w14:paraId="24308B19" w14:textId="6828C1A7" w:rsidR="00670EDB" w:rsidRPr="00332609" w:rsidRDefault="00670EDB" w:rsidP="00332609">
      <w:pPr>
        <w:pStyle w:val="Heading2"/>
        <w:rPr>
          <w:rFonts w:ascii="Arial" w:hAnsi="Arial" w:cs="Arial"/>
          <w:b/>
          <w:bCs/>
          <w:sz w:val="32"/>
          <w:szCs w:val="32"/>
        </w:rPr>
      </w:pPr>
      <w:r w:rsidRPr="00332609">
        <w:rPr>
          <w:rFonts w:ascii="Arial" w:hAnsi="Arial" w:cs="Arial"/>
          <w:b/>
          <w:bCs/>
          <w:sz w:val="32"/>
          <w:szCs w:val="32"/>
        </w:rPr>
        <w:t>Definitions and Terminology Key Definitions: </w:t>
      </w:r>
    </w:p>
    <w:p w14:paraId="7554FD8B" w14:textId="77777777" w:rsidR="00670EDB" w:rsidRPr="00670EDB" w:rsidRDefault="00670EDB" w:rsidP="00670EDB">
      <w:pPr>
        <w:spacing w:after="0"/>
        <w:ind w:left="720"/>
        <w:jc w:val="left"/>
        <w:textAlignment w:val="baseline"/>
        <w:rPr>
          <w:rFonts w:eastAsia="Times New Roman" w:cs="Arial"/>
          <w:kern w:val="0"/>
          <w14:ligatures w14:val="none"/>
        </w:rPr>
      </w:pPr>
    </w:p>
    <w:p w14:paraId="588FB7EE"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This dissertation examines the physiological mechanisms and overall health consequences of Type 2 Diabetes Mellitus (T2DM) among adults living in Birmingham. To ensure clarity and consistency throughout the study, key terms, and concepts relevant to the research </w:t>
      </w:r>
      <w:bookmarkStart w:id="20" w:name="_Int_sPcrY7zt"/>
      <w:r w:rsidRPr="00670EDB">
        <w:rPr>
          <w:rFonts w:ascii="Arial" w:hAnsi="Arial" w:cs="Arial"/>
          <w:kern w:val="0"/>
          <w:lang w:eastAsia="en-GB"/>
          <w14:ligatures w14:val="none"/>
        </w:rPr>
        <w:t>are defined</w:t>
      </w:r>
      <w:bookmarkEnd w:id="20"/>
      <w:r w:rsidRPr="00670EDB">
        <w:rPr>
          <w:rFonts w:ascii="Arial" w:hAnsi="Arial" w:cs="Arial"/>
          <w:kern w:val="0"/>
          <w:lang w:eastAsia="en-GB"/>
          <w14:ligatures w14:val="none"/>
        </w:rPr>
        <w:t xml:space="preserve"> below.</w:t>
      </w:r>
    </w:p>
    <w:p w14:paraId="1C8FF7A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5A1CCBD6"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Type 2 Diabetes Mellitus (T2DM)</w:t>
      </w:r>
      <w:r w:rsidRPr="00670EDB">
        <w:rPr>
          <w:rFonts w:ascii="Arial" w:hAnsi="Arial" w:cs="Arial"/>
          <w:kern w:val="0"/>
          <w:lang w:eastAsia="en-GB"/>
          <w14:ligatures w14:val="none"/>
        </w:rPr>
        <w:t xml:space="preserve"> is a chronic metabolic disorder characterised by persistent hyperglycaemia resulting from insulin resistance and pancreatic B-cell dysfunction, leading to impaired insulin secretion (American Diabetes Association, 2023). T2DM is the most prevalent form of diabetes globally and is associated with ageing, obesity, physical inactivity, and genetic predisposition.</w:t>
      </w:r>
    </w:p>
    <w:p w14:paraId="1DC4A87C"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1C806B6D"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Insulin resistance refers</w:t>
      </w:r>
      <w:r w:rsidRPr="00670EDB">
        <w:rPr>
          <w:rFonts w:ascii="Arial" w:hAnsi="Arial" w:cs="Arial"/>
          <w:kern w:val="0"/>
          <w:lang w:eastAsia="en-GB"/>
          <w14:ligatures w14:val="none"/>
        </w:rPr>
        <w:t xml:space="preserve"> to a pathological state in which peripheral tissues such as a skeletal muscle, liver, and adipose tissue </w:t>
      </w:r>
      <w:bookmarkStart w:id="21" w:name="_Int_Jasn5QNv"/>
      <w:r w:rsidRPr="00670EDB">
        <w:rPr>
          <w:rFonts w:ascii="Arial" w:hAnsi="Arial" w:cs="Arial"/>
          <w:kern w:val="0"/>
          <w:lang w:eastAsia="en-GB"/>
          <w14:ligatures w14:val="none"/>
        </w:rPr>
        <w:t>exhibit</w:t>
      </w:r>
      <w:bookmarkEnd w:id="21"/>
      <w:r w:rsidRPr="00670EDB">
        <w:rPr>
          <w:rFonts w:ascii="Arial" w:hAnsi="Arial" w:cs="Arial"/>
          <w:kern w:val="0"/>
          <w:lang w:eastAsia="en-GB"/>
          <w14:ligatures w14:val="none"/>
        </w:rPr>
        <w:t xml:space="preserve"> reduced responsiveness to insulin. liver, and fat show reduced responsiveness to insulin, resulting in impaired glucose uptake and increased hepatic glucose production (DeFronzo, 2009).</w:t>
      </w:r>
    </w:p>
    <w:p w14:paraId="05A5E7ED"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B-cell dysfunction</w:t>
      </w:r>
      <w:r w:rsidRPr="00670EDB">
        <w:rPr>
          <w:rFonts w:ascii="Arial" w:hAnsi="Arial" w:cs="Arial"/>
          <w:kern w:val="0"/>
          <w:lang w:eastAsia="en-GB"/>
          <w14:ligatures w14:val="none"/>
        </w:rPr>
        <w:t xml:space="preserve"> describes the progressive decline in pancreatic beta-cell function and insulin secretory capacity, During the early stage of T2DM, B-Cells compensate for insulin resistance through hyperinsulinemia, leading to reduced insulin production and poor glycaemic control.</w:t>
      </w:r>
    </w:p>
    <w:p w14:paraId="48BF32D5"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6A0DF702"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Hyperglycaemia</w:t>
      </w:r>
      <w:r w:rsidRPr="00670EDB">
        <w:rPr>
          <w:rFonts w:ascii="Arial" w:hAnsi="Arial" w:cs="Arial"/>
          <w:kern w:val="0"/>
          <w:lang w:eastAsia="en-GB"/>
          <w14:ligatures w14:val="none"/>
        </w:rPr>
        <w:t xml:space="preserve"> </w:t>
      </w:r>
      <w:bookmarkStart w:id="22" w:name="_Int_eEQg1KJf"/>
      <w:r w:rsidRPr="00670EDB">
        <w:rPr>
          <w:rFonts w:ascii="Arial" w:hAnsi="Arial" w:cs="Arial"/>
          <w:kern w:val="0"/>
          <w:lang w:eastAsia="en-GB"/>
          <w14:ligatures w14:val="none"/>
        </w:rPr>
        <w:t>is defined</w:t>
      </w:r>
      <w:bookmarkEnd w:id="22"/>
      <w:r w:rsidRPr="00670EDB">
        <w:rPr>
          <w:rFonts w:ascii="Arial" w:hAnsi="Arial" w:cs="Arial"/>
          <w:kern w:val="0"/>
          <w:lang w:eastAsia="en-GB"/>
          <w14:ligatures w14:val="none"/>
        </w:rPr>
        <w:t xml:space="preserve"> as elevated blood glucose concentrations, commonly assessed using fasting plasma glucose or glycated haemoglobin (HbA1c), which reflects blood glucose levels over two to three months.</w:t>
      </w:r>
    </w:p>
    <w:p w14:paraId="34C9FB91"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43C4BC7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T2DM is associated</w:t>
      </w:r>
      <w:r w:rsidRPr="00670EDB">
        <w:rPr>
          <w:rFonts w:ascii="Arial" w:hAnsi="Arial" w:cs="Arial"/>
          <w:kern w:val="0"/>
          <w:lang w:eastAsia="en-GB"/>
          <w14:ligatures w14:val="none"/>
        </w:rPr>
        <w:t xml:space="preserve"> with microvascular complications, including cardiovascular disease and stroke, and microvascular complications such as nephropathy, retinopathy, and neuropathy (UKPDS Group, 1998). Frailty is a geriatric syndrome characterised by reduced physiological reserve and vulnerability to stressors and is more common in individuals with T2DM, particularly in older adults.</w:t>
      </w:r>
    </w:p>
    <w:p w14:paraId="6D7F3CC7"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454BA1CB" w14:textId="77777777" w:rsidR="00670EDB" w:rsidRPr="00332609" w:rsidRDefault="00670EDB" w:rsidP="00332609">
      <w:pPr>
        <w:pStyle w:val="Heading2"/>
        <w:rPr>
          <w:rFonts w:ascii="Arial" w:hAnsi="Arial" w:cs="Arial"/>
          <w:b/>
          <w:bCs/>
          <w:sz w:val="32"/>
          <w:szCs w:val="32"/>
        </w:rPr>
      </w:pPr>
      <w:r w:rsidRPr="00332609">
        <w:rPr>
          <w:rFonts w:ascii="Arial" w:hAnsi="Arial" w:cs="Arial"/>
          <w:b/>
          <w:bCs/>
          <w:sz w:val="32"/>
          <w:szCs w:val="32"/>
        </w:rPr>
        <w:t>Acronyms and Abbreviations:</w:t>
      </w:r>
    </w:p>
    <w:p w14:paraId="018ABA33"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T2DM –</w:t>
      </w:r>
      <w:r w:rsidRPr="00670EDB">
        <w:rPr>
          <w:rFonts w:ascii="Arial" w:hAnsi="Arial" w:cs="Arial"/>
          <w:kern w:val="0"/>
          <w:lang w:eastAsia="en-GB"/>
          <w14:ligatures w14:val="none"/>
        </w:rPr>
        <w:t xml:space="preserve"> Type 2 Diabetes Mellitus</w:t>
      </w:r>
    </w:p>
    <w:p w14:paraId="4215D4A6"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HbA1c –</w:t>
      </w:r>
      <w:r w:rsidRPr="00670EDB">
        <w:rPr>
          <w:rFonts w:ascii="Arial" w:hAnsi="Arial" w:cs="Arial"/>
          <w:kern w:val="0"/>
          <w:lang w:eastAsia="en-GB"/>
          <w14:ligatures w14:val="none"/>
        </w:rPr>
        <w:t xml:space="preserve"> Glycated Haemoglobin</w:t>
      </w:r>
    </w:p>
    <w:p w14:paraId="5A8BBEE5"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BMI –</w:t>
      </w:r>
      <w:r w:rsidRPr="00670EDB">
        <w:rPr>
          <w:rFonts w:ascii="Arial" w:hAnsi="Arial" w:cs="Arial"/>
          <w:kern w:val="0"/>
          <w:lang w:eastAsia="en-GB"/>
          <w14:ligatures w14:val="none"/>
        </w:rPr>
        <w:t xml:space="preserve"> Body Mass Index</w:t>
      </w:r>
    </w:p>
    <w:p w14:paraId="3E272D4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CVD –</w:t>
      </w:r>
      <w:r w:rsidRPr="00670EDB">
        <w:rPr>
          <w:rFonts w:ascii="Arial" w:hAnsi="Arial" w:cs="Arial"/>
          <w:kern w:val="0"/>
          <w:lang w:eastAsia="en-GB"/>
          <w14:ligatures w14:val="none"/>
        </w:rPr>
        <w:t xml:space="preserve"> cardiovascular disease</w:t>
      </w:r>
    </w:p>
    <w:p w14:paraId="0001180C"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NHS –</w:t>
      </w:r>
      <w:r w:rsidRPr="00670EDB">
        <w:rPr>
          <w:rFonts w:ascii="Arial" w:hAnsi="Arial" w:cs="Arial"/>
          <w:kern w:val="0"/>
          <w:lang w:eastAsia="en-GB"/>
          <w14:ligatures w14:val="none"/>
        </w:rPr>
        <w:t xml:space="preserve"> National Health Service </w:t>
      </w:r>
    </w:p>
    <w:p w14:paraId="4504459F"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UKPDS –</w:t>
      </w:r>
      <w:r w:rsidRPr="00670EDB">
        <w:rPr>
          <w:rFonts w:ascii="Arial" w:hAnsi="Arial" w:cs="Arial"/>
          <w:kern w:val="0"/>
          <w:lang w:eastAsia="en-GB"/>
          <w14:ligatures w14:val="none"/>
        </w:rPr>
        <w:t xml:space="preserve"> UK Prospective Diabetes Study</w:t>
      </w:r>
    </w:p>
    <w:p w14:paraId="4FEFC69E" w14:textId="77777777" w:rsidR="00670EDB" w:rsidRDefault="00670EDB" w:rsidP="00670EDB">
      <w:pPr>
        <w:spacing w:after="0"/>
        <w:jc w:val="left"/>
        <w:textAlignment w:val="baseline"/>
        <w:rPr>
          <w:rFonts w:eastAsia="Times New Roman" w:cs="Arial"/>
          <w:kern w:val="0"/>
          <w14:ligatures w14:val="none"/>
        </w:rPr>
      </w:pPr>
    </w:p>
    <w:p w14:paraId="7E3DC596" w14:textId="77777777" w:rsidR="00804E45" w:rsidRPr="008C2450" w:rsidRDefault="00804E45" w:rsidP="00670EDB">
      <w:pPr>
        <w:spacing w:after="0"/>
        <w:jc w:val="left"/>
        <w:textAlignment w:val="baseline"/>
        <w:rPr>
          <w:rFonts w:eastAsia="Times New Roman" w:cs="Arial"/>
          <w:kern w:val="0"/>
          <w14:ligatures w14:val="none"/>
        </w:rPr>
      </w:pPr>
    </w:p>
    <w:p w14:paraId="6E3D073D" w14:textId="77777777" w:rsidR="00804E45" w:rsidRPr="008C2450" w:rsidRDefault="00804E45" w:rsidP="00670EDB">
      <w:pPr>
        <w:spacing w:after="0"/>
        <w:jc w:val="left"/>
        <w:textAlignment w:val="baseline"/>
        <w:rPr>
          <w:rFonts w:eastAsia="Times New Roman" w:cs="Arial"/>
          <w:kern w:val="0"/>
          <w14:ligatures w14:val="none"/>
        </w:rPr>
      </w:pPr>
    </w:p>
    <w:p w14:paraId="0CBF20B6" w14:textId="77777777" w:rsidR="00804E45" w:rsidRPr="008C2450" w:rsidRDefault="00804E45" w:rsidP="00670EDB">
      <w:pPr>
        <w:spacing w:after="0"/>
        <w:jc w:val="left"/>
        <w:textAlignment w:val="baseline"/>
        <w:rPr>
          <w:rFonts w:eastAsia="Times New Roman" w:cs="Arial"/>
          <w:kern w:val="0"/>
          <w14:ligatures w14:val="none"/>
        </w:rPr>
      </w:pPr>
    </w:p>
    <w:p w14:paraId="2FD1F9B9" w14:textId="77777777" w:rsidR="00332609" w:rsidRPr="00670EDB" w:rsidRDefault="00332609" w:rsidP="00670EDB">
      <w:pPr>
        <w:spacing w:after="0"/>
        <w:jc w:val="left"/>
        <w:textAlignment w:val="baseline"/>
        <w:rPr>
          <w:rFonts w:eastAsia="Times New Roman" w:cs="Arial"/>
          <w:kern w:val="0"/>
          <w14:ligatures w14:val="none"/>
        </w:rPr>
      </w:pPr>
    </w:p>
    <w:p w14:paraId="3CA38BA4" w14:textId="77777777" w:rsidR="00670EDB" w:rsidRPr="00670EDB" w:rsidRDefault="00670EDB" w:rsidP="00670EDB">
      <w:pPr>
        <w:spacing w:after="0"/>
        <w:ind w:left="1080"/>
        <w:jc w:val="left"/>
        <w:textAlignment w:val="baseline"/>
        <w:rPr>
          <w:rFonts w:eastAsia="Times New Roman" w:cs="Segoe UI"/>
          <w:kern w:val="0"/>
          <w:sz w:val="16"/>
          <w:szCs w:val="16"/>
          <w14:ligatures w14:val="none"/>
        </w:rPr>
      </w:pPr>
      <w:r w:rsidRPr="00670EDB">
        <w:rPr>
          <w:rFonts w:eastAsia="Times New Roman" w:cs="Arial"/>
          <w:kern w:val="0"/>
          <w14:ligatures w14:val="none"/>
        </w:rPr>
        <w:t>  </w:t>
      </w:r>
    </w:p>
    <w:p w14:paraId="6930F029" w14:textId="77777777" w:rsidR="00670EDB" w:rsidRPr="00332609" w:rsidRDefault="00670EDB" w:rsidP="00332609">
      <w:pPr>
        <w:pStyle w:val="Heading2"/>
        <w:rPr>
          <w:rFonts w:asciiTheme="majorHAnsi" w:eastAsia="Times New Roman" w:hAnsiTheme="majorHAnsi" w:cs="Segoe UI"/>
          <w:sz w:val="16"/>
          <w:szCs w:val="16"/>
        </w:rPr>
      </w:pPr>
      <w:r w:rsidRPr="00332609">
        <w:rPr>
          <w:rFonts w:ascii="Arial" w:hAnsi="Arial" w:cs="Arial"/>
          <w:b/>
          <w:bCs/>
          <w:sz w:val="32"/>
          <w:szCs w:val="32"/>
        </w:rPr>
        <w:t xml:space="preserve">1.3 Rationale for Research </w:t>
      </w:r>
    </w:p>
    <w:p w14:paraId="157A5014" w14:textId="77777777" w:rsidR="00670EDB" w:rsidRPr="00332609" w:rsidRDefault="00670EDB" w:rsidP="00332609">
      <w:pPr>
        <w:pStyle w:val="Heading2"/>
        <w:rPr>
          <w:rFonts w:asciiTheme="majorHAnsi" w:hAnsiTheme="majorHAnsi"/>
          <w:sz w:val="40"/>
          <w:szCs w:val="40"/>
          <w:lang w:eastAsia="en-GB"/>
        </w:rPr>
      </w:pPr>
      <w:r w:rsidRPr="00332609">
        <w:rPr>
          <w:rFonts w:ascii="Arial" w:hAnsi="Arial" w:cs="Arial"/>
          <w:b/>
          <w:bCs/>
          <w:sz w:val="32"/>
          <w:szCs w:val="32"/>
          <w:lang w:eastAsia="en-GB"/>
        </w:rPr>
        <w:t>Purpose of the Research: </w:t>
      </w:r>
    </w:p>
    <w:p w14:paraId="105EDA6C" w14:textId="77777777" w:rsidR="00670EDB" w:rsidRPr="00670EDB" w:rsidRDefault="00670EDB" w:rsidP="00670EDB">
      <w:pPr>
        <w:spacing w:after="0"/>
        <w:jc w:val="left"/>
        <w:textAlignment w:val="baseline"/>
        <w:rPr>
          <w:rFonts w:eastAsia="Times New Roman" w:cs="Arial"/>
          <w:kern w:val="0"/>
          <w14:ligatures w14:val="none"/>
        </w:rPr>
      </w:pPr>
    </w:p>
    <w:p w14:paraId="21EE1BD5" w14:textId="36B42BDA"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The increasing prevalence of Type 2 Diabetes Mellitus (T2DM) among older adults </w:t>
      </w:r>
      <w:bookmarkStart w:id="23" w:name="_Int_xv6avsJj"/>
      <w:r w:rsidRPr="00670EDB">
        <w:rPr>
          <w:rFonts w:ascii="Arial" w:hAnsi="Arial" w:cs="Arial"/>
          <w:kern w:val="0"/>
          <w:lang w:eastAsia="en-GB"/>
          <w14:ligatures w14:val="none"/>
        </w:rPr>
        <w:t>represents</w:t>
      </w:r>
      <w:bookmarkEnd w:id="23"/>
      <w:r w:rsidRPr="00670EDB">
        <w:rPr>
          <w:rFonts w:ascii="Arial" w:hAnsi="Arial" w:cs="Arial"/>
          <w:kern w:val="0"/>
          <w:lang w:eastAsia="en-GB"/>
          <w14:ligatures w14:val="none"/>
        </w:rPr>
        <w:t xml:space="preserve"> a growing challenge for health and social care systems in the United Kingdom. As the population ages, the number of individuals living with chronic metabolic conditions such as T2DM continues to rise, increasing pressure on healthcare services, long-term disease management, and community support. Birmingham, the second largest city in the UK, has </w:t>
      </w:r>
      <w:bookmarkStart w:id="24" w:name="_Int_1FXaFQrH"/>
      <w:r w:rsidRPr="00670EDB">
        <w:rPr>
          <w:rFonts w:ascii="Arial" w:hAnsi="Arial" w:cs="Arial"/>
          <w:kern w:val="0"/>
          <w:lang w:eastAsia="en-GB"/>
          <w14:ligatures w14:val="none"/>
        </w:rPr>
        <w:t>been identified</w:t>
      </w:r>
      <w:bookmarkEnd w:id="24"/>
      <w:r w:rsidRPr="00670EDB">
        <w:rPr>
          <w:rFonts w:ascii="Arial" w:hAnsi="Arial" w:cs="Arial"/>
          <w:kern w:val="0"/>
          <w:lang w:eastAsia="en-GB"/>
          <w14:ligatures w14:val="none"/>
        </w:rPr>
        <w:t xml:space="preserve"> as an area with high diabetes prevalence, particularly among ethnically diverse populations and communities experiencing socioeconomic deprivation (Public Health England, 2019). Research shows that South Asian and Afro-Caribbean populations </w:t>
      </w:r>
      <w:bookmarkStart w:id="25" w:name="_Int_18bRJ02Z"/>
      <w:r w:rsidRPr="00670EDB">
        <w:rPr>
          <w:rFonts w:ascii="Arial" w:hAnsi="Arial" w:cs="Arial"/>
          <w:kern w:val="0"/>
          <w:lang w:eastAsia="en-GB"/>
          <w14:ligatures w14:val="none"/>
        </w:rPr>
        <w:t>are disproportionately affected</w:t>
      </w:r>
      <w:bookmarkEnd w:id="25"/>
      <w:r w:rsidRPr="00670EDB">
        <w:rPr>
          <w:rFonts w:ascii="Arial" w:hAnsi="Arial" w:cs="Arial"/>
          <w:kern w:val="0"/>
          <w:lang w:eastAsia="en-GB"/>
          <w14:ligatures w14:val="none"/>
        </w:rPr>
        <w:t xml:space="preserve"> by T2DM, often developing the condition at younger ages and lower body mass index thresholds compared with White European populations (</w:t>
      </w:r>
      <w:r w:rsidR="00D600CC" w:rsidRPr="00670EDB">
        <w:rPr>
          <w:rFonts w:ascii="Arial" w:hAnsi="Arial" w:cs="Arial"/>
          <w:kern w:val="0"/>
          <w:lang w:eastAsia="en-GB"/>
          <w14:ligatures w14:val="none"/>
        </w:rPr>
        <w:t>Foroughi</w:t>
      </w:r>
      <w:r w:rsidRPr="00670EDB">
        <w:rPr>
          <w:rFonts w:ascii="Arial" w:hAnsi="Arial" w:cs="Arial"/>
          <w:kern w:val="0"/>
          <w:lang w:eastAsia="en-GB"/>
          <w14:ligatures w14:val="none"/>
        </w:rPr>
        <w:t xml:space="preserve"> and Wareham, 2014).</w:t>
      </w:r>
    </w:p>
    <w:p w14:paraId="46AE6F81"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2CF87963"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Although extensive research</w:t>
      </w:r>
      <w:r w:rsidRPr="00670EDB">
        <w:rPr>
          <w:rFonts w:ascii="Arial" w:hAnsi="Arial" w:cs="Arial"/>
          <w:kern w:val="0"/>
          <w:lang w:eastAsia="en-GB"/>
          <w14:ligatures w14:val="none"/>
        </w:rPr>
        <w:t xml:space="preserve"> has examined the biological mechanisms underlying T2DM, these mechanisms </w:t>
      </w:r>
      <w:bookmarkStart w:id="26" w:name="_Int_vgeOITKM"/>
      <w:r w:rsidRPr="00670EDB">
        <w:rPr>
          <w:rFonts w:ascii="Arial" w:hAnsi="Arial" w:cs="Arial"/>
          <w:kern w:val="0"/>
          <w:lang w:eastAsia="en-GB"/>
          <w14:ligatures w14:val="none"/>
        </w:rPr>
        <w:t>are often discussed</w:t>
      </w:r>
      <w:bookmarkEnd w:id="26"/>
      <w:r w:rsidRPr="00670EDB">
        <w:rPr>
          <w:rFonts w:ascii="Arial" w:hAnsi="Arial" w:cs="Arial"/>
          <w:kern w:val="0"/>
          <w:lang w:eastAsia="en-GB"/>
          <w14:ligatures w14:val="none"/>
        </w:rPr>
        <w:t xml:space="preserve"> at a general level. DeFronzo (2009) described the pathophysiology of T2DM through the “ominous octet”, highlighting the role of multiple organs in disease development. However, limited research integrates these physiological mechanisms with local population contexts within UK cities such as Birmingham.</w:t>
      </w:r>
    </w:p>
    <w:p w14:paraId="5355966B"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15785D57"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bCs/>
          <w:kern w:val="0"/>
          <w:lang w:eastAsia="en-GB"/>
          <w14:ligatures w14:val="none"/>
        </w:rPr>
        <w:t xml:space="preserve">Several research gaps justify this study. </w:t>
      </w:r>
      <w:r w:rsidRPr="00670EDB">
        <w:rPr>
          <w:rFonts w:ascii="Arial" w:hAnsi="Arial" w:cs="Arial"/>
          <w:kern w:val="0"/>
          <w:lang w:eastAsia="en-GB"/>
          <w14:ligatures w14:val="none"/>
        </w:rPr>
        <w:t xml:space="preserve">There is limited research integrating physiological mechanisms with long-term outcomes in older adults within specific urban contexts such as Birmingham. In addition, many studies do not link physiological mechanisms with geriatric conditions such as frailty, multi morbidity, and cognitive decline. Socioeconomic inequalities and ethnic disparities </w:t>
      </w:r>
      <w:bookmarkStart w:id="27" w:name="_Int_WickaFt0"/>
      <w:r w:rsidRPr="00670EDB">
        <w:rPr>
          <w:rFonts w:ascii="Arial" w:hAnsi="Arial" w:cs="Arial"/>
          <w:kern w:val="0"/>
          <w:lang w:eastAsia="en-GB"/>
          <w14:ligatures w14:val="none"/>
        </w:rPr>
        <w:t>are also underrepresented</w:t>
      </w:r>
      <w:bookmarkEnd w:id="27"/>
      <w:r w:rsidRPr="00670EDB">
        <w:rPr>
          <w:rFonts w:ascii="Arial" w:hAnsi="Arial" w:cs="Arial"/>
          <w:kern w:val="0"/>
          <w:lang w:eastAsia="en-GB"/>
          <w14:ligatures w14:val="none"/>
        </w:rPr>
        <w:t xml:space="preserve"> in mechanistic diabetes research. This dissertation aims to address these gaps by linking mechanisms with outcomes in a population.</w:t>
      </w:r>
    </w:p>
    <w:p w14:paraId="45A19D9C" w14:textId="77777777" w:rsidR="00670EDB" w:rsidRPr="00670EDB" w:rsidRDefault="00670EDB" w:rsidP="00670EDB">
      <w:pPr>
        <w:spacing w:after="0"/>
        <w:jc w:val="left"/>
        <w:textAlignment w:val="baseline"/>
        <w:rPr>
          <w:rFonts w:eastAsia="Times New Roman" w:cs="Arial"/>
          <w:kern w:val="0"/>
          <w14:ligatures w14:val="none"/>
        </w:rPr>
      </w:pPr>
    </w:p>
    <w:p w14:paraId="6DFEA1AD" w14:textId="77777777" w:rsidR="00670EDB" w:rsidRPr="00332609" w:rsidRDefault="00670EDB" w:rsidP="00332609">
      <w:pPr>
        <w:pStyle w:val="Heading2"/>
        <w:rPr>
          <w:rFonts w:asciiTheme="majorHAnsi" w:eastAsia="Times New Roman" w:hAnsiTheme="majorHAnsi"/>
          <w:szCs w:val="24"/>
        </w:rPr>
      </w:pPr>
      <w:r w:rsidRPr="00332609">
        <w:rPr>
          <w:rFonts w:ascii="Arial" w:hAnsi="Arial" w:cs="Arial"/>
          <w:b/>
          <w:bCs/>
          <w:sz w:val="32"/>
          <w:szCs w:val="32"/>
        </w:rPr>
        <w:t xml:space="preserve">Aim and Objectives </w:t>
      </w:r>
    </w:p>
    <w:p w14:paraId="5C8D62B5"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To explore the physiological mechanisms underlying Type 2 Diabetes Mellitus and evaluate its long-term health impacts among older adults living in Birmingham.</w:t>
      </w:r>
    </w:p>
    <w:p w14:paraId="37109325" w14:textId="77777777" w:rsidR="00670EDB" w:rsidRPr="00670EDB" w:rsidRDefault="00670EDB" w:rsidP="00670EDB">
      <w:pPr>
        <w:spacing w:after="0"/>
        <w:jc w:val="left"/>
        <w:textAlignment w:val="baseline"/>
        <w:rPr>
          <w:rFonts w:ascii="Arial" w:eastAsia="Times New Roman" w:hAnsi="Arial" w:cs="Arial"/>
          <w:b/>
          <w:kern w:val="0"/>
          <w14:ligatures w14:val="none"/>
        </w:rPr>
      </w:pPr>
    </w:p>
    <w:p w14:paraId="11E9C0AB" w14:textId="77777777" w:rsidR="00670EDB" w:rsidRPr="00670EDB" w:rsidRDefault="00670EDB" w:rsidP="00670EDB">
      <w:pPr>
        <w:spacing w:after="0"/>
        <w:jc w:val="left"/>
        <w:textAlignment w:val="baseline"/>
        <w:rPr>
          <w:rFonts w:ascii="Arial" w:eastAsia="Times New Roman" w:hAnsi="Arial" w:cs="Arial"/>
          <w:kern w:val="0"/>
          <w14:ligatures w14:val="none"/>
        </w:rPr>
      </w:pPr>
      <w:r w:rsidRPr="00670EDB">
        <w:rPr>
          <w:rFonts w:ascii="Arial" w:eastAsia="Times New Roman" w:hAnsi="Arial" w:cs="Arial"/>
          <w:b/>
          <w:kern w:val="0"/>
          <w14:ligatures w14:val="none"/>
        </w:rPr>
        <w:t>Research Objectives:</w:t>
      </w:r>
      <w:r w:rsidRPr="00670EDB">
        <w:rPr>
          <w:rFonts w:ascii="Arial" w:eastAsia="Times New Roman" w:hAnsi="Arial" w:cs="Arial"/>
          <w:kern w:val="0"/>
          <w14:ligatures w14:val="none"/>
        </w:rPr>
        <w:t> </w:t>
      </w:r>
    </w:p>
    <w:p w14:paraId="4F912BDF" w14:textId="77777777" w:rsidR="00670EDB" w:rsidRPr="00670EDB" w:rsidRDefault="00670EDB" w:rsidP="00670EDB">
      <w:pPr>
        <w:spacing w:after="0"/>
        <w:jc w:val="left"/>
        <w:textAlignment w:val="baseline"/>
        <w:rPr>
          <w:rFonts w:ascii="Arial" w:eastAsia="Times New Roman" w:hAnsi="Arial" w:cs="Arial"/>
          <w:kern w:val="0"/>
          <w14:ligatures w14:val="none"/>
        </w:rPr>
      </w:pPr>
      <w:r w:rsidRPr="00670EDB">
        <w:rPr>
          <w:rFonts w:ascii="Arial" w:eastAsia="Times New Roman" w:hAnsi="Arial" w:cs="Arial"/>
          <w:kern w:val="0"/>
          <w14:ligatures w14:val="none"/>
        </w:rPr>
        <w:t xml:space="preserve">List the specific </w:t>
      </w:r>
      <w:bookmarkStart w:id="28" w:name="_Int_nDubsKjU"/>
      <w:r w:rsidRPr="00670EDB">
        <w:rPr>
          <w:rFonts w:ascii="Arial" w:eastAsia="Times New Roman" w:hAnsi="Arial" w:cs="Arial"/>
          <w:kern w:val="0"/>
          <w14:ligatures w14:val="none"/>
        </w:rPr>
        <w:t>objectives</w:t>
      </w:r>
      <w:bookmarkEnd w:id="28"/>
      <w:r w:rsidRPr="00670EDB">
        <w:rPr>
          <w:rFonts w:ascii="Arial" w:eastAsia="Times New Roman" w:hAnsi="Arial" w:cs="Arial"/>
          <w:kern w:val="0"/>
          <w14:ligatures w14:val="none"/>
        </w:rPr>
        <w:t xml:space="preserve"> that will help achieve the research aim. You will copy and paste this information from your proposal.</w:t>
      </w:r>
    </w:p>
    <w:p w14:paraId="0F4CFC5B" w14:textId="77777777" w:rsidR="00670EDB" w:rsidRPr="00670EDB" w:rsidRDefault="00670EDB" w:rsidP="00670EDB">
      <w:pPr>
        <w:spacing w:after="0"/>
        <w:jc w:val="left"/>
        <w:textAlignment w:val="baseline"/>
        <w:rPr>
          <w:rFonts w:ascii="Arial" w:eastAsia="Times New Roman" w:hAnsi="Arial" w:cs="Arial"/>
          <w:b/>
          <w:kern w:val="0"/>
          <w14:ligatures w14:val="none"/>
        </w:rPr>
      </w:pPr>
    </w:p>
    <w:p w14:paraId="1779E995" w14:textId="77777777" w:rsidR="00670EDB" w:rsidRPr="00670EDB" w:rsidRDefault="00670EDB" w:rsidP="00670EDB">
      <w:pPr>
        <w:jc w:val="left"/>
        <w:rPr>
          <w:rFonts w:ascii="Arial" w:eastAsia="Times New Roman" w:hAnsi="Arial" w:cs="Arial"/>
          <w:color w:val="111111"/>
          <w:kern w:val="0"/>
          <w:lang w:eastAsia="en-GB"/>
          <w14:ligatures w14:val="none"/>
        </w:rPr>
      </w:pPr>
      <w:r w:rsidRPr="00670EDB">
        <w:rPr>
          <w:rFonts w:ascii="Arial" w:hAnsi="Arial" w:cs="Arial"/>
          <w:b/>
          <w:kern w:val="0"/>
          <w:lang w:eastAsia="en-GB"/>
          <w14:ligatures w14:val="none"/>
        </w:rPr>
        <w:t>Objective 1:</w:t>
      </w:r>
      <w:r w:rsidRPr="00670EDB">
        <w:rPr>
          <w:rFonts w:ascii="Arial" w:hAnsi="Arial" w:cs="Arial"/>
          <w:kern w:val="0"/>
          <w:lang w:eastAsia="en-GB"/>
          <w14:ligatures w14:val="none"/>
        </w:rPr>
        <w:t>  </w:t>
      </w:r>
      <w:r w:rsidRPr="00670EDB">
        <w:rPr>
          <w:rFonts w:ascii="Arial" w:eastAsiaTheme="minorHAnsi" w:hAnsi="Arial" w:cs="Arial"/>
          <w:kern w:val="0"/>
          <w:lang w:eastAsia="en-US"/>
          <w14:ligatures w14:val="none"/>
        </w:rPr>
        <w:t>To examine how age-related physiological changes affect glucose regulation and insulin sensitivity in older adults and analyse how these changes increase care needs within health and social care settings (</w:t>
      </w:r>
      <w:r w:rsidRPr="00670EDB">
        <w:rPr>
          <w:rFonts w:ascii="Arial" w:eastAsia="Times New Roman" w:hAnsi="Arial" w:cs="Arial"/>
          <w:color w:val="111111"/>
          <w:kern w:val="0"/>
          <w:lang w:eastAsia="en-GB"/>
          <w14:ligatures w14:val="none"/>
        </w:rPr>
        <w:t>Reimann, 2023).</w:t>
      </w:r>
    </w:p>
    <w:p w14:paraId="3B02A74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6FD87129"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kern w:val="0"/>
          <w:lang w:eastAsia="en-GB"/>
          <w14:ligatures w14:val="none"/>
        </w:rPr>
        <w:t>Objective 2:</w:t>
      </w:r>
      <w:r w:rsidRPr="00670EDB">
        <w:rPr>
          <w:rFonts w:ascii="Arial" w:hAnsi="Arial" w:cs="Arial"/>
          <w:kern w:val="0"/>
          <w:lang w:eastAsia="en-GB"/>
          <w14:ligatures w14:val="none"/>
        </w:rPr>
        <w:t>  </w:t>
      </w:r>
      <w:r w:rsidRPr="00670EDB">
        <w:rPr>
          <w:rFonts w:ascii="Arial" w:hAnsi="Arial" w:cs="Arial"/>
          <w:lang w:eastAsia="en-GB"/>
        </w:rPr>
        <w:t>To analyse the key physiological characteristics of Type 2 Diabetes Mellitus in older adults, including insulin resistance and chronic hyperglycaemia (Sinclair et al., 2020).</w:t>
      </w:r>
    </w:p>
    <w:p w14:paraId="5D7A2356"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31AA743B"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kern w:val="0"/>
          <w:lang w:eastAsia="en-GB"/>
          <w14:ligatures w14:val="none"/>
        </w:rPr>
        <w:t>Objective 3:</w:t>
      </w:r>
      <w:r w:rsidRPr="00670EDB">
        <w:rPr>
          <w:rFonts w:ascii="Arial" w:hAnsi="Arial" w:cs="Arial"/>
          <w:kern w:val="0"/>
          <w:lang w:eastAsia="en-GB"/>
          <w14:ligatures w14:val="none"/>
        </w:rPr>
        <w:t>  To evaluate the long-term physiological complications of T2DM in older people, such as cardiovascular disease, neuropathy, and renal impairment, and their impact on functional independence (WHO, 2022; Stratton et al., 2000).</w:t>
      </w:r>
    </w:p>
    <w:p w14:paraId="7339DB0A"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p>
    <w:p w14:paraId="0D950626"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b/>
          <w:kern w:val="0"/>
          <w:lang w:eastAsia="en-GB"/>
          <w14:ligatures w14:val="none"/>
        </w:rPr>
        <w:t>Objective 4:</w:t>
      </w:r>
      <w:r w:rsidRPr="00670EDB">
        <w:rPr>
          <w:rFonts w:ascii="Arial" w:hAnsi="Arial" w:cs="Arial"/>
          <w:kern w:val="0"/>
          <w:lang w:eastAsia="en-GB"/>
          <w14:ligatures w14:val="none"/>
        </w:rPr>
        <w:t>  To provide evidence-based recommendations for improving the management and support of older adults with Type 2 Diabetes within Birmingham’s health and social care services (Diabetes UK, 2023; NHS Digital, 2022).</w:t>
      </w:r>
    </w:p>
    <w:p w14:paraId="2919887E" w14:textId="77777777" w:rsidR="00670EDB" w:rsidRPr="00670EDB" w:rsidRDefault="00670EDB" w:rsidP="00670EDB">
      <w:pPr>
        <w:spacing w:after="0"/>
        <w:jc w:val="left"/>
        <w:textAlignment w:val="baseline"/>
        <w:rPr>
          <w:rFonts w:eastAsia="Times New Roman" w:cs="Segoe UI"/>
          <w:kern w:val="0"/>
          <w:sz w:val="16"/>
          <w:szCs w:val="16"/>
          <w14:ligatures w14:val="none"/>
        </w:rPr>
      </w:pPr>
    </w:p>
    <w:p w14:paraId="53961573" w14:textId="77777777" w:rsidR="00670EDB" w:rsidRPr="00670EDB" w:rsidRDefault="00670EDB" w:rsidP="001D0023">
      <w:pPr>
        <w:pStyle w:val="Heading2"/>
        <w:rPr>
          <w:rFonts w:eastAsia="Times New Roman" w:cs="Segoe UI"/>
          <w:color w:val="0F4761"/>
          <w:kern w:val="0"/>
          <w:sz w:val="16"/>
          <w:szCs w:val="16"/>
          <w14:ligatures w14:val="none"/>
        </w:rPr>
      </w:pPr>
      <w:r w:rsidRPr="008C2450">
        <w:rPr>
          <w:rFonts w:ascii="Arial" w:hAnsi="Arial" w:cs="Arial"/>
          <w:b/>
          <w:sz w:val="32"/>
          <w:szCs w:val="32"/>
        </w:rPr>
        <w:t>1.5 Conclusion </w:t>
      </w:r>
    </w:p>
    <w:p w14:paraId="3FC1C826" w14:textId="1CA20D06" w:rsidR="00670EDB" w:rsidRPr="008C2450" w:rsidRDefault="00670EDB" w:rsidP="001D0023">
      <w:pPr>
        <w:pStyle w:val="Heading2"/>
        <w:rPr>
          <w:rFonts w:ascii="Arial" w:hAnsi="Arial" w:cs="Arial"/>
          <w:b/>
          <w:sz w:val="32"/>
          <w:szCs w:val="32"/>
          <w:lang w:eastAsia="en-GB"/>
        </w:rPr>
      </w:pPr>
      <w:r w:rsidRPr="008C2450">
        <w:rPr>
          <w:rFonts w:ascii="Arial" w:hAnsi="Arial" w:cs="Arial"/>
          <w:b/>
          <w:sz w:val="32"/>
          <w:szCs w:val="32"/>
          <w:lang w:eastAsia="en-GB"/>
        </w:rPr>
        <w:t xml:space="preserve">Summary of Chapter </w:t>
      </w:r>
    </w:p>
    <w:p w14:paraId="08283ED0"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This chapter has introduced the research topic by outlining the epidemiological and physiological significance of Type 2 Diabetes Mellitus among older adults, with particular emphasis on Birmingham’s urban and demographic context. Key terminology has </w:t>
      </w:r>
      <w:bookmarkStart w:id="29" w:name="_Int_Vxo1NmF1"/>
      <w:r w:rsidRPr="00670EDB">
        <w:rPr>
          <w:rFonts w:ascii="Arial" w:hAnsi="Arial" w:cs="Arial"/>
          <w:kern w:val="0"/>
          <w:lang w:eastAsia="en-GB"/>
          <w14:ligatures w14:val="none"/>
        </w:rPr>
        <w:t>been defined</w:t>
      </w:r>
      <w:bookmarkEnd w:id="29"/>
      <w:r w:rsidRPr="00670EDB">
        <w:rPr>
          <w:rFonts w:ascii="Arial" w:hAnsi="Arial" w:cs="Arial"/>
          <w:kern w:val="0"/>
          <w:lang w:eastAsia="en-GB"/>
          <w14:ligatures w14:val="none"/>
        </w:rPr>
        <w:t xml:space="preserve"> to </w:t>
      </w:r>
      <w:bookmarkStart w:id="30" w:name="_Int_OtvxT48H"/>
      <w:r w:rsidRPr="00670EDB">
        <w:rPr>
          <w:rFonts w:ascii="Arial" w:hAnsi="Arial" w:cs="Arial"/>
          <w:kern w:val="0"/>
          <w:lang w:eastAsia="en-GB"/>
          <w14:ligatures w14:val="none"/>
        </w:rPr>
        <w:t>establish</w:t>
      </w:r>
      <w:bookmarkEnd w:id="30"/>
      <w:r w:rsidRPr="00670EDB">
        <w:rPr>
          <w:rFonts w:ascii="Arial" w:hAnsi="Arial" w:cs="Arial"/>
          <w:kern w:val="0"/>
          <w:lang w:eastAsia="en-GB"/>
          <w14:ligatures w14:val="none"/>
        </w:rPr>
        <w:t xml:space="preserve"> conceptual clarity. The rationale for the research has highlighted existing gaps in integrating physiological mechanisms with long-term health outcomes within local populations.</w:t>
      </w:r>
    </w:p>
    <w:p w14:paraId="0AFE5F59"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5B9C8C22" w14:textId="77777777" w:rsidR="00670EDB" w:rsidRPr="00C15EB7" w:rsidRDefault="00670EDB" w:rsidP="00C15EB7">
      <w:pPr>
        <w:pStyle w:val="Heading2"/>
        <w:rPr>
          <w:rFonts w:ascii="Arial" w:hAnsi="Arial" w:cs="Arial"/>
          <w:sz w:val="36"/>
          <w:szCs w:val="36"/>
        </w:rPr>
      </w:pPr>
      <w:r w:rsidRPr="00C15EB7">
        <w:rPr>
          <w:rFonts w:ascii="Arial" w:hAnsi="Arial" w:cs="Arial"/>
          <w:sz w:val="36"/>
          <w:szCs w:val="36"/>
        </w:rPr>
        <w:t>Signposting to Chapter 2: </w:t>
      </w:r>
    </w:p>
    <w:p w14:paraId="1FB8D40A"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10AB3563" w14:textId="77777777" w:rsidR="00670EDB" w:rsidRPr="00670EDB" w:rsidRDefault="00670EDB" w:rsidP="00670EDB">
      <w:pPr>
        <w:spacing w:after="0"/>
        <w:jc w:val="left"/>
        <w:textAlignment w:val="baseline"/>
        <w:rPr>
          <w:rFonts w:ascii="Arial" w:eastAsia="Times New Roman" w:hAnsi="Arial" w:cs="Arial"/>
          <w:kern w:val="0"/>
          <w14:ligatures w14:val="none"/>
        </w:rPr>
      </w:pPr>
      <w:r w:rsidRPr="00670EDB">
        <w:rPr>
          <w:rFonts w:ascii="Arial" w:eastAsia="Times New Roman" w:hAnsi="Arial" w:cs="Arial"/>
          <w:kern w:val="0"/>
          <w14:ligatures w14:val="none"/>
        </w:rPr>
        <w:t>Briefly introduce the next chapter and explain its role in the dissertation. </w:t>
      </w:r>
    </w:p>
    <w:p w14:paraId="132BE1D2" w14:textId="77777777" w:rsidR="00670EDB" w:rsidRPr="00670EDB" w:rsidRDefault="00670EDB" w:rsidP="00670EDB">
      <w:pPr>
        <w:spacing w:before="100" w:beforeAutospacing="1" w:after="100" w:afterAutospacing="1"/>
        <w:jc w:val="left"/>
        <w:rPr>
          <w:rFonts w:ascii="Arial" w:hAnsi="Arial" w:cs="Arial"/>
          <w:kern w:val="0"/>
          <w:lang w:eastAsia="en-GB"/>
          <w14:ligatures w14:val="none"/>
        </w:rPr>
      </w:pPr>
      <w:r w:rsidRPr="00670EDB">
        <w:rPr>
          <w:rFonts w:ascii="Arial" w:hAnsi="Arial" w:cs="Arial"/>
          <w:kern w:val="0"/>
          <w:lang w:eastAsia="en-GB"/>
          <w14:ligatures w14:val="none"/>
        </w:rPr>
        <w:t xml:space="preserve">The next chapter will present a comprehensive literature review examining current evidence on the pathophysiology of T2DM, its chronic complications, and the influence of demographic and socioeconomic determinants. This chapter will critically evaluate existing studies, </w:t>
      </w:r>
      <w:bookmarkStart w:id="31" w:name="_Int_iZ1Ymi0X"/>
      <w:r w:rsidRPr="00670EDB">
        <w:rPr>
          <w:rFonts w:ascii="Arial" w:hAnsi="Arial" w:cs="Arial"/>
          <w:kern w:val="0"/>
          <w:lang w:eastAsia="en-GB"/>
          <w14:ligatures w14:val="none"/>
        </w:rPr>
        <w:t>identify</w:t>
      </w:r>
      <w:bookmarkEnd w:id="31"/>
      <w:r w:rsidRPr="00670EDB">
        <w:rPr>
          <w:rFonts w:ascii="Arial" w:hAnsi="Arial" w:cs="Arial"/>
          <w:kern w:val="0"/>
          <w:lang w:eastAsia="en-GB"/>
          <w14:ligatures w14:val="none"/>
        </w:rPr>
        <w:t xml:space="preserve"> limitations in current knowledge, and provide the theoretical and empirical foundation for the present research study. It will also highlight key debates, methodological approaches, and relevant public health perspectives that inform the research aims and </w:t>
      </w:r>
      <w:bookmarkStart w:id="32" w:name="_Int_OGz5Uawh"/>
      <w:r w:rsidRPr="00670EDB">
        <w:rPr>
          <w:rFonts w:ascii="Arial" w:hAnsi="Arial" w:cs="Arial"/>
          <w:kern w:val="0"/>
          <w:lang w:eastAsia="en-GB"/>
          <w14:ligatures w14:val="none"/>
        </w:rPr>
        <w:t>objectives</w:t>
      </w:r>
      <w:bookmarkEnd w:id="32"/>
      <w:r w:rsidRPr="00670EDB">
        <w:rPr>
          <w:rFonts w:ascii="Arial" w:hAnsi="Arial" w:cs="Arial"/>
          <w:kern w:val="0"/>
          <w:lang w:eastAsia="en-GB"/>
          <w14:ligatures w14:val="none"/>
        </w:rPr>
        <w:t>. Together, these discussions will justify the study’s focus and research questions and outline the conceptual framework used throughout.</w:t>
      </w:r>
    </w:p>
    <w:p w14:paraId="1582FA60"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5CCBFA7B"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18553713"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182E8715"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4C00E66D"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56307039" w14:textId="77777777" w:rsidR="00B3048D" w:rsidRDefault="00B3048D" w:rsidP="00670EDB">
      <w:pPr>
        <w:spacing w:after="0"/>
        <w:jc w:val="left"/>
        <w:textAlignment w:val="baseline"/>
        <w:rPr>
          <w:rFonts w:ascii="Arial" w:eastAsia="Times New Roman" w:hAnsi="Arial" w:cs="Arial"/>
          <w:kern w:val="0"/>
          <w14:ligatures w14:val="none"/>
        </w:rPr>
      </w:pPr>
    </w:p>
    <w:p w14:paraId="1EA7C2D3" w14:textId="77777777" w:rsidR="00B3048D" w:rsidRDefault="00B3048D" w:rsidP="00670EDB">
      <w:pPr>
        <w:spacing w:after="0"/>
        <w:jc w:val="left"/>
        <w:textAlignment w:val="baseline"/>
        <w:rPr>
          <w:rFonts w:ascii="Arial" w:eastAsia="Times New Roman" w:hAnsi="Arial" w:cs="Arial"/>
          <w:kern w:val="0"/>
          <w14:ligatures w14:val="none"/>
        </w:rPr>
      </w:pPr>
    </w:p>
    <w:p w14:paraId="3BBE37D4" w14:textId="77777777" w:rsidR="00B3048D" w:rsidRDefault="00B3048D" w:rsidP="00670EDB">
      <w:pPr>
        <w:spacing w:after="0"/>
        <w:jc w:val="left"/>
        <w:textAlignment w:val="baseline"/>
        <w:rPr>
          <w:rFonts w:ascii="Arial" w:eastAsia="Times New Roman" w:hAnsi="Arial" w:cs="Arial"/>
          <w:kern w:val="0"/>
          <w14:ligatures w14:val="none"/>
        </w:rPr>
      </w:pPr>
    </w:p>
    <w:p w14:paraId="793B7EB2" w14:textId="77777777" w:rsidR="00B3048D" w:rsidRDefault="00B3048D" w:rsidP="00670EDB">
      <w:pPr>
        <w:spacing w:after="0"/>
        <w:jc w:val="left"/>
        <w:textAlignment w:val="baseline"/>
        <w:rPr>
          <w:rFonts w:ascii="Arial" w:eastAsia="Times New Roman" w:hAnsi="Arial" w:cs="Arial"/>
          <w:kern w:val="0"/>
          <w14:ligatures w14:val="none"/>
        </w:rPr>
      </w:pPr>
    </w:p>
    <w:p w14:paraId="762CAAD0" w14:textId="77777777" w:rsidR="00B3048D" w:rsidRDefault="00B3048D" w:rsidP="00670EDB">
      <w:pPr>
        <w:spacing w:after="0"/>
        <w:jc w:val="left"/>
        <w:textAlignment w:val="baseline"/>
        <w:rPr>
          <w:rFonts w:ascii="Arial" w:eastAsia="Times New Roman" w:hAnsi="Arial" w:cs="Arial"/>
          <w:kern w:val="0"/>
          <w14:ligatures w14:val="none"/>
        </w:rPr>
      </w:pPr>
    </w:p>
    <w:p w14:paraId="1DC17144" w14:textId="77777777" w:rsidR="00B3048D" w:rsidRDefault="00B3048D" w:rsidP="00670EDB">
      <w:pPr>
        <w:spacing w:after="0"/>
        <w:jc w:val="left"/>
        <w:textAlignment w:val="baseline"/>
        <w:rPr>
          <w:rFonts w:ascii="Arial" w:eastAsia="Times New Roman" w:hAnsi="Arial" w:cs="Arial"/>
          <w:kern w:val="0"/>
          <w14:ligatures w14:val="none"/>
        </w:rPr>
      </w:pPr>
    </w:p>
    <w:p w14:paraId="594B2CAD" w14:textId="77777777" w:rsidR="00B3048D" w:rsidRDefault="00B3048D" w:rsidP="00670EDB">
      <w:pPr>
        <w:spacing w:after="0"/>
        <w:jc w:val="left"/>
        <w:textAlignment w:val="baseline"/>
        <w:rPr>
          <w:rFonts w:ascii="Arial" w:eastAsia="Times New Roman" w:hAnsi="Arial" w:cs="Arial"/>
          <w:kern w:val="0"/>
          <w14:ligatures w14:val="none"/>
        </w:rPr>
      </w:pPr>
    </w:p>
    <w:p w14:paraId="2C4A6745" w14:textId="77777777" w:rsidR="00B3048D" w:rsidRDefault="00B3048D" w:rsidP="00670EDB">
      <w:pPr>
        <w:spacing w:after="0"/>
        <w:jc w:val="left"/>
        <w:textAlignment w:val="baseline"/>
        <w:rPr>
          <w:rFonts w:ascii="Arial" w:eastAsia="Times New Roman" w:hAnsi="Arial" w:cs="Arial"/>
          <w:kern w:val="0"/>
          <w14:ligatures w14:val="none"/>
        </w:rPr>
      </w:pPr>
    </w:p>
    <w:p w14:paraId="700F9203" w14:textId="77777777" w:rsidR="00B3048D" w:rsidRPr="00670EDB" w:rsidRDefault="00B3048D" w:rsidP="00670EDB">
      <w:pPr>
        <w:spacing w:after="0"/>
        <w:jc w:val="left"/>
        <w:textAlignment w:val="baseline"/>
        <w:rPr>
          <w:rFonts w:ascii="Arial" w:eastAsia="Times New Roman" w:hAnsi="Arial" w:cs="Arial"/>
          <w:kern w:val="0"/>
          <w14:ligatures w14:val="none"/>
        </w:rPr>
      </w:pPr>
    </w:p>
    <w:p w14:paraId="6F2F7A2D" w14:textId="77777777" w:rsidR="00670EDB" w:rsidRPr="00670EDB" w:rsidRDefault="00670EDB" w:rsidP="00670EDB">
      <w:pPr>
        <w:spacing w:after="0"/>
        <w:jc w:val="left"/>
        <w:textAlignment w:val="baseline"/>
        <w:rPr>
          <w:rFonts w:ascii="Arial" w:eastAsia="Times New Roman" w:hAnsi="Arial" w:cs="Arial"/>
          <w:kern w:val="0"/>
          <w14:ligatures w14:val="none"/>
        </w:rPr>
      </w:pPr>
    </w:p>
    <w:p w14:paraId="664E43FA" w14:textId="5374AEC6" w:rsidR="00377746" w:rsidRPr="006806A6" w:rsidRDefault="00377746" w:rsidP="006806A6">
      <w:pPr>
        <w:pStyle w:val="Heading1"/>
        <w:ind w:left="0"/>
        <w:rPr>
          <w:rStyle w:val="s1"/>
          <w:rFonts w:ascii="Aptos" w:hAnsi="Aptos"/>
        </w:rPr>
      </w:pPr>
    </w:p>
    <w:p w14:paraId="757703F7" w14:textId="77777777" w:rsidR="000F2E68" w:rsidRPr="008E4F29" w:rsidRDefault="000F2E68" w:rsidP="008E4F29">
      <w:pPr>
        <w:pStyle w:val="Heading2"/>
        <w:rPr>
          <w:rFonts w:asciiTheme="majorHAnsi" w:hAnsiTheme="majorHAnsi"/>
          <w:sz w:val="40"/>
          <w:szCs w:val="40"/>
          <w:lang w:eastAsia="en-GB"/>
        </w:rPr>
      </w:pPr>
      <w:r w:rsidRPr="008E4F29">
        <w:rPr>
          <w:rFonts w:ascii="Arial" w:hAnsi="Arial" w:cs="Arial"/>
          <w:b/>
          <w:bCs/>
          <w:sz w:val="32"/>
          <w:szCs w:val="32"/>
          <w:lang w:eastAsia="en-GB"/>
        </w:rPr>
        <w:t xml:space="preserve">CHAPTER 2 – Background Information and Analysis </w:t>
      </w:r>
    </w:p>
    <w:p w14:paraId="3C9E7E32" w14:textId="762F27F3" w:rsidR="000F2E68" w:rsidRPr="008E4F29" w:rsidRDefault="000F2E68" w:rsidP="008E4F29">
      <w:pPr>
        <w:pStyle w:val="Heading2"/>
        <w:rPr>
          <w:rFonts w:asciiTheme="majorHAnsi" w:hAnsiTheme="majorHAnsi"/>
          <w:sz w:val="40"/>
          <w:szCs w:val="40"/>
          <w:lang w:eastAsia="en-GB"/>
        </w:rPr>
      </w:pPr>
      <w:r w:rsidRPr="008E4F29">
        <w:rPr>
          <w:rFonts w:ascii="Arial" w:hAnsi="Arial" w:cs="Arial"/>
          <w:b/>
          <w:bCs/>
          <w:sz w:val="32"/>
          <w:szCs w:val="32"/>
          <w:lang w:eastAsia="en-GB"/>
        </w:rPr>
        <w:t>2.1 Introduction Purpose of the Chapter: </w:t>
      </w:r>
    </w:p>
    <w:p w14:paraId="275C1FC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This chapter provides the conceptual and contextual foundation for understanding Type 2 Diabetes Mellitus (T2DM), with particular emphasis on its physiological mechanisms and long-term health impacts in older adults. The purpose of this chapter is to critically examine the historical development, theoretical frameworks, and policy contexts that have shaped contemporary knowledge of T2DM. Rather than presenting a purely descriptive overview, it considers how diabetes has been conceptualised within biomedical, epidemiological, and public health perspectives.</w:t>
      </w:r>
    </w:p>
    <w:p w14:paraId="143CDAEF"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7DA7C608"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The chapter outlines the historical evolution of diabetes research, tracing the transition from early descriptions of symptoms to contemporary molecular explanations of metabolic dysfunction. It then examines key theoretical frameworks explaining T2DM, including insulin resistance, beta-cell dysfunction, and the concept of inflammaging associated with ageing populations. In addition, broader social perspectives </w:t>
      </w:r>
      <w:bookmarkStart w:id="33" w:name="_Int_NHYLYaVp"/>
      <w:r w:rsidRPr="000F2E68">
        <w:rPr>
          <w:rFonts w:ascii="Arial" w:hAnsi="Arial" w:cs="Arial"/>
          <w:kern w:val="0"/>
          <w:lang w:eastAsia="en-GB"/>
          <w14:ligatures w14:val="none"/>
        </w:rPr>
        <w:t>are considered</w:t>
      </w:r>
      <w:bookmarkEnd w:id="33"/>
      <w:r w:rsidRPr="000F2E68">
        <w:rPr>
          <w:rFonts w:ascii="Arial" w:hAnsi="Arial" w:cs="Arial"/>
          <w:kern w:val="0"/>
          <w:lang w:eastAsia="en-GB"/>
          <w14:ligatures w14:val="none"/>
        </w:rPr>
        <w:t xml:space="preserve"> through the social determinants of health framework, which highlights how socioeconomic conditions influence disease risk.</w:t>
      </w:r>
    </w:p>
    <w:p w14:paraId="28651E7D"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A8DB3E4" w14:textId="77777777" w:rsidR="00B63D23" w:rsidRDefault="000F2E68" w:rsidP="00B63D23">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Finally, the chapter situates T2DM within international, national, and local UK policy contexts, with particular focus on Birmingham’s demographic and socioeconomic characteristics. This chapter is directly relevant to the aims of this study because it explores how physiological mechanisms such as insulin resistance, beta-cell dysfunction, and chronic inflammation contribute to long-term health outcomes among older adults with T2DM. In addition, examining social and policy influences provides a broader understanding of how biological and environmental factors interact to shape disease progression and healthcare experiences in Birmingham</w:t>
      </w:r>
      <w:r w:rsidR="00B63D23">
        <w:rPr>
          <w:rFonts w:ascii="Arial" w:hAnsi="Arial" w:cs="Arial"/>
          <w:kern w:val="0"/>
          <w:lang w:eastAsia="en-GB"/>
          <w14:ligatures w14:val="none"/>
        </w:rPr>
        <w:t>.</w:t>
      </w:r>
    </w:p>
    <w:p w14:paraId="34B928A5" w14:textId="08A77059" w:rsidR="000F2E68" w:rsidRPr="008E4F29" w:rsidRDefault="000F2E68" w:rsidP="008E4F29">
      <w:pPr>
        <w:pStyle w:val="Heading2"/>
        <w:rPr>
          <w:rFonts w:ascii="Arial" w:hAnsi="Arial" w:cs="Arial"/>
          <w:b/>
          <w:bCs/>
          <w:sz w:val="32"/>
          <w:szCs w:val="32"/>
          <w:lang w:eastAsia="en-GB"/>
        </w:rPr>
      </w:pPr>
      <w:r w:rsidRPr="000F2E68">
        <w:rPr>
          <w:lang w:eastAsia="en-GB"/>
        </w:rPr>
        <w:t xml:space="preserve"> </w:t>
      </w:r>
      <w:r w:rsidRPr="008E4F29">
        <w:rPr>
          <w:rFonts w:ascii="Arial" w:hAnsi="Arial" w:cs="Arial"/>
          <w:b/>
          <w:bCs/>
          <w:sz w:val="32"/>
          <w:szCs w:val="32"/>
          <w:lang w:eastAsia="en-GB"/>
        </w:rPr>
        <w:t>Monitoring Blood Glucose</w:t>
      </w:r>
    </w:p>
    <w:p w14:paraId="3E590634" w14:textId="77777777" w:rsidR="000F2E68" w:rsidRPr="000F2E68" w:rsidRDefault="000F2E68" w:rsidP="000F2E68">
      <w:pPr>
        <w:spacing w:after="0"/>
        <w:jc w:val="left"/>
        <w:rPr>
          <w:rFonts w:ascii="Arial" w:eastAsia="Times New Roman" w:hAnsi="Arial" w:cs="Arial"/>
          <w:kern w:val="0"/>
          <w:lang w:eastAsia="en-GB"/>
          <w14:ligatures w14:val="none"/>
        </w:rPr>
      </w:pPr>
      <w:r w:rsidRPr="000F2E68">
        <w:rPr>
          <w:rFonts w:ascii="Arial" w:hAnsi="Arial" w:cs="Arial"/>
          <w:b/>
          <w:bCs/>
          <w:noProof/>
        </w:rPr>
        <w:drawing>
          <wp:anchor distT="0" distB="0" distL="114300" distR="114300" simplePos="0" relativeHeight="251658241" behindDoc="0" locked="0" layoutInCell="1" allowOverlap="1" wp14:anchorId="35CAA4BF" wp14:editId="466E775A">
            <wp:simplePos x="0" y="0"/>
            <wp:positionH relativeFrom="column">
              <wp:posOffset>0</wp:posOffset>
            </wp:positionH>
            <wp:positionV relativeFrom="paragraph">
              <wp:posOffset>243840</wp:posOffset>
            </wp:positionV>
            <wp:extent cx="4902200" cy="2463800"/>
            <wp:effectExtent l="0" t="0" r="0" b="0"/>
            <wp:wrapTopAndBottom/>
            <wp:docPr id="127221869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218693" name="Picture 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4902200" cy="2463800"/>
                    </a:xfrm>
                    <a:prstGeom prst="rect">
                      <a:avLst/>
                    </a:prstGeom>
                  </pic:spPr>
                </pic:pic>
              </a:graphicData>
            </a:graphic>
          </wp:anchor>
        </w:drawing>
      </w:r>
    </w:p>
    <w:p w14:paraId="784FBE92" w14:textId="77777777" w:rsidR="000F2E68" w:rsidRPr="000F2E68" w:rsidRDefault="000F2E68" w:rsidP="000F2E68">
      <w:pPr>
        <w:spacing w:after="0"/>
        <w:jc w:val="left"/>
        <w:rPr>
          <w:rFonts w:ascii="Arial" w:eastAsia="Times New Roman" w:hAnsi="Arial" w:cs="Arial"/>
          <w:kern w:val="0"/>
          <w:lang w:eastAsia="en-GB"/>
          <w14:ligatures w14:val="none"/>
        </w:rPr>
      </w:pPr>
    </w:p>
    <w:p w14:paraId="264EE465" w14:textId="77777777" w:rsidR="000F2E68" w:rsidRPr="000F2E68" w:rsidRDefault="000F2E68" w:rsidP="000F2E68">
      <w:pPr>
        <w:spacing w:after="0"/>
        <w:jc w:val="left"/>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9016"/>
      </w:tblGrid>
      <w:tr w:rsidR="000F2E68" w:rsidRPr="000F2E68" w14:paraId="09520A95" w14:textId="77777777">
        <w:tc>
          <w:tcPr>
            <w:tcW w:w="9016" w:type="dxa"/>
          </w:tcPr>
          <w:p w14:paraId="3B9CCC2F" w14:textId="77777777" w:rsidR="000F2E68" w:rsidRPr="000F2E68" w:rsidRDefault="000F2E68" w:rsidP="000F2E68">
            <w:pPr>
              <w:jc w:val="left"/>
              <w:rPr>
                <w:rFonts w:ascii="Arial" w:eastAsia="Times New Roman" w:hAnsi="Arial" w:cs="Arial"/>
                <w:color w:val="111111"/>
                <w:lang w:eastAsia="en-GB"/>
              </w:rPr>
            </w:pPr>
            <w:r w:rsidRPr="000F2E68">
              <w:rPr>
                <w:rFonts w:ascii="Arial" w:eastAsia="Times New Roman" w:hAnsi="Arial" w:cs="Arial"/>
                <w:color w:val="111111"/>
                <w:lang w:eastAsia="en-GB"/>
              </w:rPr>
              <w:t>Figure 1: Monitoring blood glucose is an important part of managing Type 2 Diabetes Mellitus and reducing long-term complications.</w:t>
            </w:r>
          </w:p>
        </w:tc>
      </w:tr>
      <w:tr w:rsidR="000F2E68" w:rsidRPr="000F2E68" w14:paraId="77D07A53" w14:textId="77777777">
        <w:tc>
          <w:tcPr>
            <w:tcW w:w="9016" w:type="dxa"/>
          </w:tcPr>
          <w:p w14:paraId="2B6CB200" w14:textId="77777777" w:rsidR="000F2E68" w:rsidRPr="000F2E68" w:rsidRDefault="000F2E68" w:rsidP="000F2E68">
            <w:pPr>
              <w:spacing w:before="69" w:beforeAutospacing="1" w:after="69" w:afterAutospacing="1"/>
              <w:jc w:val="left"/>
              <w:outlineLvl w:val="2"/>
              <w:rPr>
                <w:rFonts w:ascii="Arial" w:eastAsia="Times New Roman" w:hAnsi="Arial" w:cs="Arial"/>
                <w:b/>
                <w:lang w:eastAsia="en-GB"/>
              </w:rPr>
            </w:pPr>
            <w:r w:rsidRPr="000F2E68">
              <w:rPr>
                <w:rFonts w:ascii="Arial" w:eastAsia="Times New Roman" w:hAnsi="Arial" w:cs="Arial"/>
                <w:b/>
                <w:lang w:eastAsia="en-GB"/>
              </w:rPr>
              <w:t xml:space="preserve">Source: </w:t>
            </w:r>
            <w:r w:rsidRPr="000F2E68">
              <w:rPr>
                <w:rFonts w:ascii="Arial" w:eastAsia="Times New Roman" w:hAnsi="Arial" w:cs="Arial"/>
                <w:color w:val="111111"/>
                <w:lang w:eastAsia="en-GB"/>
              </w:rPr>
              <w:t>National Institute of Diabetes and Digestive and Kidney Diseases (NIDDK).</w:t>
            </w:r>
          </w:p>
          <w:p w14:paraId="03F56280" w14:textId="77777777" w:rsidR="000F2E68" w:rsidRPr="000F2E68" w:rsidRDefault="000F2E68" w:rsidP="000F2E68">
            <w:pPr>
              <w:spacing w:before="69" w:beforeAutospacing="1" w:after="69" w:afterAutospacing="1" w:line="240" w:lineRule="auto"/>
              <w:jc w:val="left"/>
              <w:rPr>
                <w:rFonts w:ascii="Times New Roman" w:eastAsiaTheme="minorEastAsia" w:hAnsi="Times New Roman" w:cs="Times New Roman"/>
                <w:sz w:val="24"/>
                <w:szCs w:val="24"/>
                <w:lang w:eastAsia="en-GB"/>
              </w:rPr>
            </w:pPr>
          </w:p>
        </w:tc>
      </w:tr>
    </w:tbl>
    <w:p w14:paraId="13F1BA57" w14:textId="77777777" w:rsidR="000F2E68" w:rsidRPr="000F2E68" w:rsidRDefault="000F2E68" w:rsidP="000F2E68">
      <w:pPr>
        <w:spacing w:after="0"/>
        <w:jc w:val="left"/>
        <w:rPr>
          <w:rFonts w:ascii="Arial" w:eastAsia="Times New Roman" w:hAnsi="Arial" w:cs="Arial"/>
          <w:kern w:val="0"/>
          <w:lang w:eastAsia="en-GB"/>
          <w14:ligatures w14:val="none"/>
        </w:rPr>
      </w:pPr>
    </w:p>
    <w:p w14:paraId="3B865C92" w14:textId="77777777" w:rsidR="000F2E68" w:rsidRPr="000F2E68" w:rsidRDefault="000F2E68" w:rsidP="000F2E68">
      <w:pPr>
        <w:spacing w:before="100" w:beforeAutospacing="1" w:after="100" w:afterAutospacing="1"/>
        <w:jc w:val="left"/>
        <w:outlineLvl w:val="0"/>
        <w:rPr>
          <w:rFonts w:ascii="Arial" w:hAnsi="Arial" w:cs="Arial"/>
          <w:b/>
          <w:kern w:val="36"/>
          <w:sz w:val="28"/>
          <w:szCs w:val="28"/>
          <w:lang w:eastAsia="en-GB"/>
          <w14:ligatures w14:val="none"/>
        </w:rPr>
      </w:pPr>
      <w:r w:rsidRPr="000F2E68">
        <w:rPr>
          <w:rFonts w:ascii="Arial" w:eastAsia="Times New Roman" w:hAnsi="Arial" w:cs="Arial"/>
          <w:b/>
          <w:bCs/>
          <w:kern w:val="36"/>
          <w:sz w:val="28"/>
          <w:szCs w:val="28"/>
          <w:lang w:eastAsia="en-GB"/>
          <w14:ligatures w14:val="none"/>
        </w:rPr>
        <w:t>2.2 Historical Background</w:t>
      </w:r>
    </w:p>
    <w:p w14:paraId="2C9A1306" w14:textId="77777777" w:rsidR="000F2E68" w:rsidRPr="000F2E68" w:rsidRDefault="000F2E68" w:rsidP="000F2E68">
      <w:pPr>
        <w:spacing w:before="100" w:beforeAutospacing="1" w:after="100" w:afterAutospacing="1"/>
        <w:jc w:val="left"/>
        <w:outlineLvl w:val="1"/>
        <w:rPr>
          <w:rFonts w:ascii="Arial" w:eastAsia="Times New Roman" w:hAnsi="Arial" w:cs="Arial"/>
          <w:b/>
          <w:bCs/>
          <w:kern w:val="0"/>
          <w:sz w:val="28"/>
          <w:szCs w:val="28"/>
          <w:lang w:eastAsia="en-GB"/>
          <w14:ligatures w14:val="none"/>
        </w:rPr>
      </w:pPr>
      <w:r w:rsidRPr="000F2E68">
        <w:rPr>
          <w:rFonts w:ascii="Arial" w:eastAsia="Times New Roman" w:hAnsi="Arial" w:cs="Arial"/>
          <w:b/>
          <w:bCs/>
          <w:kern w:val="0"/>
          <w:sz w:val="28"/>
          <w:szCs w:val="28"/>
          <w:lang w:eastAsia="en-GB"/>
          <w14:ligatures w14:val="none"/>
        </w:rPr>
        <w:t>Development of the Topic</w:t>
      </w:r>
    </w:p>
    <w:p w14:paraId="2DD899AF" w14:textId="77777777" w:rsidR="000F2E68" w:rsidRPr="000F2E68" w:rsidRDefault="000F2E68" w:rsidP="000F2E68">
      <w:pPr>
        <w:spacing w:before="100" w:beforeAutospacing="1" w:after="100" w:afterAutospacing="1"/>
        <w:jc w:val="left"/>
        <w:outlineLvl w:val="1"/>
        <w:rPr>
          <w:rFonts w:ascii="Arial" w:eastAsia="Times New Roman" w:hAnsi="Arial" w:cs="Arial"/>
          <w:b/>
          <w:bCs/>
          <w:kern w:val="0"/>
          <w:sz w:val="32"/>
          <w:szCs w:val="32"/>
          <w:lang w:eastAsia="en-GB"/>
          <w14:ligatures w14:val="none"/>
        </w:rPr>
      </w:pPr>
      <w:r w:rsidRPr="000F2E68">
        <w:rPr>
          <w:rFonts w:ascii="Arial" w:eastAsia="Times New Roman" w:hAnsi="Arial" w:cs="Arial"/>
          <w:b/>
          <w:bCs/>
          <w:kern w:val="0"/>
          <w:sz w:val="32"/>
          <w:szCs w:val="32"/>
          <w:lang w:eastAsia="en-GB"/>
          <w14:ligatures w14:val="none"/>
        </w:rPr>
        <w:t>Historical Timeline of Insulin Research and Genetic Discoveries</w:t>
      </w:r>
    </w:p>
    <w:p w14:paraId="698C9382" w14:textId="77777777" w:rsidR="000F2E68" w:rsidRPr="000F2E68" w:rsidRDefault="000F2E68" w:rsidP="000F2E68">
      <w:pPr>
        <w:spacing w:before="100" w:beforeAutospacing="1" w:after="100" w:afterAutospacing="1" w:line="240" w:lineRule="auto"/>
        <w:jc w:val="left"/>
        <w:rPr>
          <w:rFonts w:ascii="Arial" w:hAnsi="Arial" w:cs="Arial"/>
          <w:kern w:val="0"/>
          <w:lang w:eastAsia="en-GB"/>
          <w14:ligatures w14:val="none"/>
        </w:rPr>
      </w:pPr>
      <w:r w:rsidRPr="000F2E68">
        <w:rPr>
          <w:rFonts w:asciiTheme="minorHAnsi" w:hAnsiTheme="minorHAnsi"/>
          <w:noProof/>
          <w:sz w:val="24"/>
          <w:szCs w:val="24"/>
          <w:lang w:eastAsia="en-GB"/>
        </w:rPr>
        <w:drawing>
          <wp:anchor distT="0" distB="0" distL="114300" distR="114300" simplePos="0" relativeHeight="251658242" behindDoc="0" locked="0" layoutInCell="1" allowOverlap="1" wp14:anchorId="53C701B1" wp14:editId="16E59236">
            <wp:simplePos x="0" y="0"/>
            <wp:positionH relativeFrom="column">
              <wp:posOffset>0</wp:posOffset>
            </wp:positionH>
            <wp:positionV relativeFrom="paragraph">
              <wp:posOffset>349885</wp:posOffset>
            </wp:positionV>
            <wp:extent cx="5731510" cy="3173730"/>
            <wp:effectExtent l="0" t="0" r="0" b="1270"/>
            <wp:wrapTopAndBottom/>
            <wp:docPr id="27303038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30381" name="Picture 1">
                      <a:extLst>
                        <a:ext uri="{C183D7F6-B498-43B3-948B-1728B52AA6E4}">
                          <adec:decorative xmlns:adec="http://schemas.microsoft.com/office/drawing/2017/decorative" val="1"/>
                        </a:ext>
                      </a:extLst>
                    </pic:cNvPr>
                    <pic:cNvPicPr/>
                  </pic:nvPicPr>
                  <pic:blipFill>
                    <a:blip r:embed="rId13"/>
                    <a:stretch>
                      <a:fillRect/>
                    </a:stretch>
                  </pic:blipFill>
                  <pic:spPr>
                    <a:xfrm>
                      <a:off x="0" y="0"/>
                      <a:ext cx="5731510" cy="3173730"/>
                    </a:xfrm>
                    <a:prstGeom prst="rect">
                      <a:avLst/>
                    </a:prstGeom>
                  </pic:spPr>
                </pic:pic>
              </a:graphicData>
            </a:graphic>
          </wp:anchor>
        </w:drawing>
      </w:r>
    </w:p>
    <w:p w14:paraId="5103C043" w14:textId="77777777" w:rsidR="000F2E68" w:rsidRPr="000F2E68" w:rsidRDefault="000F2E68" w:rsidP="000F2E68">
      <w:pPr>
        <w:spacing w:before="100" w:beforeAutospacing="1" w:after="100" w:afterAutospacing="1" w:line="240" w:lineRule="auto"/>
        <w:jc w:val="left"/>
        <w:rPr>
          <w:rFonts w:ascii="Arial" w:hAnsi="Arial" w:cs="Arial"/>
          <w:kern w:val="0"/>
          <w:lang w:eastAsia="en-GB"/>
          <w14:ligatures w14:val="none"/>
        </w:rPr>
      </w:pPr>
    </w:p>
    <w:tbl>
      <w:tblPr>
        <w:tblStyle w:val="TableGrid"/>
        <w:tblW w:w="0" w:type="auto"/>
        <w:tblLook w:val="04A0" w:firstRow="1" w:lastRow="0" w:firstColumn="1" w:lastColumn="0" w:noHBand="0" w:noVBand="1"/>
      </w:tblPr>
      <w:tblGrid>
        <w:gridCol w:w="9016"/>
      </w:tblGrid>
      <w:tr w:rsidR="000F2E68" w:rsidRPr="000F2E68" w14:paraId="78B1ED18" w14:textId="77777777">
        <w:tc>
          <w:tcPr>
            <w:tcW w:w="9016" w:type="dxa"/>
          </w:tcPr>
          <w:p w14:paraId="17F3A29C" w14:textId="77777777" w:rsidR="000F2E68" w:rsidRPr="000F2E68" w:rsidRDefault="000F2E68" w:rsidP="000F2E68">
            <w:pPr>
              <w:spacing w:before="69" w:beforeAutospacing="1" w:after="69" w:afterAutospacing="1"/>
              <w:jc w:val="left"/>
              <w:rPr>
                <w:rFonts w:ascii="Arial" w:eastAsiaTheme="minorEastAsia" w:hAnsi="Arial" w:cs="Arial"/>
                <w:lang w:eastAsia="en-GB"/>
              </w:rPr>
            </w:pPr>
            <w:r w:rsidRPr="000F2E68">
              <w:rPr>
                <w:rFonts w:ascii="Arial" w:eastAsia="Times New Roman" w:hAnsi="Arial" w:cs="Arial"/>
                <w:color w:val="111111"/>
                <w:lang w:eastAsia="en-GB"/>
              </w:rPr>
              <w:t xml:space="preserve">Figure 2: Timeline </w:t>
            </w:r>
            <w:bookmarkStart w:id="34" w:name="_Int_EgWbryY4"/>
            <w:r w:rsidRPr="000F2E68">
              <w:rPr>
                <w:rFonts w:ascii="Arial" w:eastAsia="Times New Roman" w:hAnsi="Arial" w:cs="Arial"/>
                <w:color w:val="111111"/>
                <w:lang w:eastAsia="en-GB"/>
              </w:rPr>
              <w:t>indicating</w:t>
            </w:r>
            <w:bookmarkEnd w:id="34"/>
            <w:r w:rsidRPr="000F2E68">
              <w:rPr>
                <w:rFonts w:ascii="Arial" w:eastAsia="Times New Roman" w:hAnsi="Arial" w:cs="Arial"/>
                <w:color w:val="111111"/>
                <w:lang w:eastAsia="en-GB"/>
              </w:rPr>
              <w:t xml:space="preserve"> key genetic discoveries in the context of understanding the hormone insulin and its therapeutic use in diabetes management.</w:t>
            </w:r>
          </w:p>
        </w:tc>
      </w:tr>
      <w:tr w:rsidR="000F2E68" w:rsidRPr="000F2E68" w14:paraId="5ADACC3D" w14:textId="77777777">
        <w:tc>
          <w:tcPr>
            <w:tcW w:w="9016" w:type="dxa"/>
          </w:tcPr>
          <w:p w14:paraId="5CE1BB49" w14:textId="7549E5F2" w:rsidR="000F2E68" w:rsidRPr="000F2E68" w:rsidRDefault="000F2E68" w:rsidP="000F2E68">
            <w:pPr>
              <w:spacing w:before="69" w:beforeAutospacing="1" w:after="69" w:afterAutospacing="1"/>
              <w:jc w:val="left"/>
              <w:outlineLvl w:val="2"/>
              <w:rPr>
                <w:rFonts w:ascii="Arial" w:eastAsia="Times New Roman" w:hAnsi="Arial" w:cs="Arial"/>
                <w:b/>
                <w:bCs/>
                <w:lang w:eastAsia="en-GB"/>
              </w:rPr>
            </w:pPr>
            <w:r w:rsidRPr="000F2E68">
              <w:rPr>
                <w:rFonts w:ascii="Arial" w:eastAsia="Times New Roman" w:hAnsi="Arial" w:cs="Arial"/>
                <w:b/>
                <w:bCs/>
                <w:lang w:eastAsia="en-GB"/>
              </w:rPr>
              <w:t xml:space="preserve">Citation/Source: </w:t>
            </w:r>
            <w:r w:rsidRPr="000F2E68">
              <w:rPr>
                <w:rFonts w:ascii="Arial" w:eastAsia="Times New Roman" w:hAnsi="Arial" w:cs="Arial"/>
                <w:color w:val="111111"/>
                <w:lang w:eastAsia="en-GB"/>
              </w:rPr>
              <w:t xml:space="preserve"> Journal of Endocrinology, 250(3). Available at: </w:t>
            </w:r>
            <w:hyperlink r:id="rId14" w:history="1">
              <w:r w:rsidR="005938D5" w:rsidRPr="0098120E">
                <w:rPr>
                  <w:rStyle w:val="Hyperlink"/>
                  <w:rFonts w:ascii="Arial" w:eastAsia="Times New Roman" w:hAnsi="Arial" w:cs="Arial"/>
                  <w:lang w:eastAsia="en-GB"/>
                </w:rPr>
                <w:t>https://doi.org/10.1530/JOE-21-0067</w:t>
              </w:r>
            </w:hyperlink>
          </w:p>
        </w:tc>
      </w:tr>
    </w:tbl>
    <w:p w14:paraId="16DA2F82" w14:textId="77777777" w:rsidR="000F2E68" w:rsidRPr="000F2E68" w:rsidRDefault="000F2E68" w:rsidP="000F2E68">
      <w:pPr>
        <w:spacing w:before="100" w:beforeAutospacing="1" w:after="100" w:afterAutospacing="1" w:line="240" w:lineRule="auto"/>
        <w:jc w:val="left"/>
        <w:rPr>
          <w:rFonts w:ascii="Arial" w:hAnsi="Arial" w:cs="Arial"/>
          <w:kern w:val="0"/>
          <w:lang w:eastAsia="en-GB"/>
          <w14:ligatures w14:val="none"/>
        </w:rPr>
      </w:pPr>
    </w:p>
    <w:p w14:paraId="4B5D3E8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The understanding of diabetes has evolved significantly over centuries, reflecting broader changes in medical knowledge and scientific </w:t>
      </w:r>
      <w:bookmarkStart w:id="35" w:name="_Int_0BymMiTB"/>
      <w:r w:rsidRPr="000F2E68">
        <w:rPr>
          <w:rFonts w:ascii="Arial" w:hAnsi="Arial" w:cs="Arial"/>
          <w:kern w:val="0"/>
          <w:lang w:eastAsia="en-GB"/>
          <w14:ligatures w14:val="none"/>
        </w:rPr>
        <w:t>methodology</w:t>
      </w:r>
      <w:bookmarkEnd w:id="35"/>
      <w:r w:rsidRPr="000F2E68">
        <w:rPr>
          <w:rFonts w:ascii="Arial" w:hAnsi="Arial" w:cs="Arial"/>
          <w:kern w:val="0"/>
          <w:lang w:eastAsia="en-GB"/>
          <w14:ligatures w14:val="none"/>
        </w:rPr>
        <w:t>. Early references to diabetes appear in ancient Egyptian and Indian medical texts, which described symptoms such as excessive urination, persistent thirst, and unexplained weight loss (Polonsky, 2012). However, these early accounts lacked a clear explanation of the physiological mechanisms responsible for the condition and were based primarily on observable symptoms rather than scientific evidence.</w:t>
      </w:r>
    </w:p>
    <w:p w14:paraId="5335AD7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A breakthrough occurred in the nineteenth century when Paul Langerhans </w:t>
      </w:r>
      <w:bookmarkStart w:id="36" w:name="_Int_9boMO76D"/>
      <w:r w:rsidRPr="000F2E68">
        <w:rPr>
          <w:rFonts w:ascii="Arial" w:hAnsi="Arial" w:cs="Arial"/>
          <w:kern w:val="0"/>
          <w:lang w:eastAsia="en-GB"/>
          <w14:ligatures w14:val="none"/>
        </w:rPr>
        <w:t>identified</w:t>
      </w:r>
      <w:bookmarkEnd w:id="36"/>
      <w:r w:rsidRPr="000F2E68">
        <w:rPr>
          <w:rFonts w:ascii="Arial" w:hAnsi="Arial" w:cs="Arial"/>
          <w:kern w:val="0"/>
          <w:lang w:eastAsia="en-GB"/>
          <w14:ligatures w14:val="none"/>
        </w:rPr>
        <w:t xml:space="preserve"> clusters of cells in the pancreas, later known as the islets of Langerhans, which </w:t>
      </w:r>
      <w:bookmarkStart w:id="37" w:name="_Int_p8QQ76IK"/>
      <w:r w:rsidRPr="000F2E68">
        <w:rPr>
          <w:rFonts w:ascii="Arial" w:hAnsi="Arial" w:cs="Arial"/>
          <w:kern w:val="0"/>
          <w:lang w:eastAsia="en-GB"/>
          <w14:ligatures w14:val="none"/>
        </w:rPr>
        <w:t>were eventually recognised</w:t>
      </w:r>
      <w:bookmarkEnd w:id="37"/>
      <w:r w:rsidRPr="000F2E68">
        <w:rPr>
          <w:rFonts w:ascii="Arial" w:hAnsi="Arial" w:cs="Arial"/>
          <w:kern w:val="0"/>
          <w:lang w:eastAsia="en-GB"/>
          <w14:ligatures w14:val="none"/>
        </w:rPr>
        <w:t xml:space="preserve"> as central to insulin secretion and glucose regulation. The discovery of insulin in 1921 by Frederick Banting and Charles Best transformed diabetes from a fatal disease into a manageable chronic condition and marked a turning point in endocrinology and metabolic research (Polonsky, 2012). The introduction of insulin therapy significantly improved survival rates and changed the clinical management of diabetes worldwide, allowing patients to live longer and healthier lives.</w:t>
      </w:r>
    </w:p>
    <w:p w14:paraId="4D4DA7C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372AFB9A" w14:textId="37AE4AED"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Despite these advances, the classification of Type 2 diabetes remained unclear for much of the twentieth century and </w:t>
      </w:r>
      <w:bookmarkStart w:id="38" w:name="_Int_eyQYHAju"/>
      <w:r w:rsidRPr="000F2E68">
        <w:rPr>
          <w:rFonts w:ascii="Arial" w:hAnsi="Arial" w:cs="Arial"/>
          <w:kern w:val="0"/>
          <w:lang w:eastAsia="en-GB"/>
          <w14:ligatures w14:val="none"/>
        </w:rPr>
        <w:t>was commonly referred</w:t>
      </w:r>
      <w:bookmarkEnd w:id="38"/>
      <w:r w:rsidRPr="000F2E68">
        <w:rPr>
          <w:rFonts w:ascii="Arial" w:hAnsi="Arial" w:cs="Arial"/>
          <w:kern w:val="0"/>
          <w:lang w:eastAsia="en-GB"/>
          <w14:ligatures w14:val="none"/>
        </w:rPr>
        <w:t xml:space="preserve"> to as adult-onset diabetes. This terminology reflected age of diagnosis rather than underlying biological mechanisms and overlooked the heterogeneity of the disease and its complex causes (Reed, Bain,</w:t>
      </w:r>
      <w:r w:rsidR="00E91DDC">
        <w:rPr>
          <w:rFonts w:ascii="Arial" w:hAnsi="Arial" w:cs="Arial"/>
          <w:kern w:val="0"/>
          <w:lang w:eastAsia="en-GB"/>
          <w14:ligatures w14:val="none"/>
        </w:rPr>
        <w:t xml:space="preserve"> </w:t>
      </w:r>
      <w:r w:rsidRPr="000F2E68">
        <w:rPr>
          <w:rFonts w:ascii="Arial" w:hAnsi="Arial" w:cs="Arial"/>
          <w:kern w:val="0"/>
          <w:lang w:eastAsia="en-GB"/>
          <w14:ligatures w14:val="none"/>
        </w:rPr>
        <w:t>and Kanamarlapudi, 2021). Over time, researchers recognised that Type 2 diabetes is a multifactorial metabolic disorder influenced by genetic, environmental, behavioural, and socioeconomic factors rather than age alone.</w:t>
      </w:r>
    </w:p>
    <w:p w14:paraId="07030928"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A82FE94" w14:textId="322BE9DE"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By the late twentieth century, epidemiological evidence </w:t>
      </w:r>
      <w:bookmarkStart w:id="39" w:name="_Int_xfr9iFY1"/>
      <w:r w:rsidRPr="000F2E68">
        <w:rPr>
          <w:rFonts w:ascii="Arial" w:hAnsi="Arial" w:cs="Arial"/>
          <w:kern w:val="0"/>
          <w:lang w:eastAsia="en-GB"/>
          <w14:ligatures w14:val="none"/>
        </w:rPr>
        <w:t>demonstrated</w:t>
      </w:r>
      <w:bookmarkEnd w:id="39"/>
      <w:r w:rsidRPr="000F2E68">
        <w:rPr>
          <w:rFonts w:ascii="Arial" w:hAnsi="Arial" w:cs="Arial"/>
          <w:kern w:val="0"/>
          <w:lang w:eastAsia="en-GB"/>
          <w14:ligatures w14:val="none"/>
        </w:rPr>
        <w:t xml:space="preserve"> a rapid increase in the prevalence of T2DM, particularly in industrialised countries. This rise was strongly associated with lifestyle changes including reduced physical activity, increased consumption of energy-dense foods, obesity, and urbanisation (Forouhi and Wareham, 2014). Urbanisation, technological development, and changes in occupational structures contributed to increasingly sedentary lifestyles, further increasing the risk of metabolic disease. These societal changes played </w:t>
      </w:r>
      <w:r w:rsidR="00CB0AFE" w:rsidRPr="000F2E68">
        <w:rPr>
          <w:rFonts w:ascii="Arial" w:hAnsi="Arial" w:cs="Arial"/>
          <w:kern w:val="0"/>
          <w:lang w:eastAsia="en-GB"/>
          <w14:ligatures w14:val="none"/>
        </w:rPr>
        <w:t>a significant role</w:t>
      </w:r>
      <w:r w:rsidRPr="000F2E68">
        <w:rPr>
          <w:rFonts w:ascii="Arial" w:hAnsi="Arial" w:cs="Arial"/>
          <w:kern w:val="0"/>
          <w:lang w:eastAsia="en-GB"/>
          <w14:ligatures w14:val="none"/>
        </w:rPr>
        <w:t xml:space="preserve"> in the global expansion of T2DM, particularly in urban populations.</w:t>
      </w:r>
    </w:p>
    <w:p w14:paraId="2E6D2C56"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D4ABE67"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One of the most influential clinical investigations was the UK Prospective Diabetes Study (UKPDS), conducted between 1977 and 1997, which </w:t>
      </w:r>
      <w:bookmarkStart w:id="40" w:name="_Int_HX8lKbcj"/>
      <w:r w:rsidRPr="000F2E68">
        <w:rPr>
          <w:rFonts w:ascii="Arial" w:hAnsi="Arial" w:cs="Arial"/>
          <w:kern w:val="0"/>
          <w:lang w:eastAsia="en-GB"/>
          <w14:ligatures w14:val="none"/>
        </w:rPr>
        <w:t>demonstrated</w:t>
      </w:r>
      <w:bookmarkEnd w:id="40"/>
      <w:r w:rsidRPr="000F2E68">
        <w:rPr>
          <w:rFonts w:ascii="Arial" w:hAnsi="Arial" w:cs="Arial"/>
          <w:kern w:val="0"/>
          <w:lang w:eastAsia="en-GB"/>
          <w14:ligatures w14:val="none"/>
        </w:rPr>
        <w:t xml:space="preserve"> that improved glycaemic control reduced the risk of microvascular complications such as retinopathy and nephropathy (UKPDS Group, 1998). The findings significantly influenced clinical practice and diabetes management guidelines. Consequently, HbA1c became widely adopted as a key indicator for </w:t>
      </w:r>
      <w:bookmarkStart w:id="41" w:name="_Int_qKMewobE"/>
      <w:r w:rsidRPr="000F2E68">
        <w:rPr>
          <w:rFonts w:ascii="Arial" w:hAnsi="Arial" w:cs="Arial"/>
          <w:kern w:val="0"/>
          <w:lang w:eastAsia="en-GB"/>
          <w14:ligatures w14:val="none"/>
        </w:rPr>
        <w:t>monitoring</w:t>
      </w:r>
      <w:bookmarkEnd w:id="41"/>
      <w:r w:rsidRPr="000F2E68">
        <w:rPr>
          <w:rFonts w:ascii="Arial" w:hAnsi="Arial" w:cs="Arial"/>
          <w:kern w:val="0"/>
          <w:lang w:eastAsia="en-GB"/>
          <w14:ligatures w14:val="none"/>
        </w:rPr>
        <w:t xml:space="preserve"> long-term glucose control and guiding treatment strategies. The UKPDS also highlighted the importance of blood pressure control and cardiovascular risk management among individuals with diabetes.</w:t>
      </w:r>
    </w:p>
    <w:p w14:paraId="2777431F"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556BD9A"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bookmarkStart w:id="42" w:name="_Int_Db6cSmW3"/>
      <w:r w:rsidRPr="000F2E68">
        <w:rPr>
          <w:rFonts w:ascii="Arial" w:hAnsi="Arial" w:cs="Arial"/>
          <w:kern w:val="0"/>
          <w:lang w:eastAsia="en-GB"/>
          <w14:ligatures w14:val="none"/>
        </w:rPr>
        <w:t>Subsequent</w:t>
      </w:r>
      <w:bookmarkEnd w:id="42"/>
      <w:r w:rsidRPr="000F2E68">
        <w:rPr>
          <w:rFonts w:ascii="Arial" w:hAnsi="Arial" w:cs="Arial"/>
          <w:kern w:val="0"/>
          <w:lang w:eastAsia="en-GB"/>
          <w14:ligatures w14:val="none"/>
        </w:rPr>
        <w:t xml:space="preserve"> research introduced </w:t>
      </w:r>
      <w:bookmarkStart w:id="43" w:name="_Int_i2cjatAq"/>
      <w:r w:rsidRPr="000F2E68">
        <w:rPr>
          <w:rFonts w:ascii="Arial" w:hAnsi="Arial" w:cs="Arial"/>
          <w:kern w:val="0"/>
          <w:lang w:eastAsia="en-GB"/>
          <w14:ligatures w14:val="none"/>
        </w:rPr>
        <w:t>additional</w:t>
      </w:r>
      <w:bookmarkEnd w:id="43"/>
      <w:r w:rsidRPr="000F2E68">
        <w:rPr>
          <w:rFonts w:ascii="Arial" w:hAnsi="Arial" w:cs="Arial"/>
          <w:kern w:val="0"/>
          <w:lang w:eastAsia="en-GB"/>
          <w14:ligatures w14:val="none"/>
        </w:rPr>
        <w:t xml:space="preserve"> complexities to diabetes management. Large clinical trials, including the ACCORD study, suggested that intensive glycaemic control may increase mortality risk in older adults due to hypoglycaemia and cardiovascular complications (Sinclair et al., 2012). These findings emphasised the need for more individualised treatment approaches, particularly for ageing populations experiencing frailty, co-morbidities, and polypharmacy. Consequently, diabetes management shifted from strict glycaemic targets towards more personalised and patient-centred care.</w:t>
      </w:r>
    </w:p>
    <w:p w14:paraId="0BB47F69"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688970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Another significant development was DeFronzo’s (2009) “ominous octet” model, which expanded understanding of T2DM by </w:t>
      </w:r>
      <w:bookmarkStart w:id="44" w:name="_Int_74FOU1p3"/>
      <w:r w:rsidRPr="000F2E68">
        <w:rPr>
          <w:rFonts w:ascii="Arial" w:hAnsi="Arial" w:cs="Arial"/>
          <w:kern w:val="0"/>
          <w:lang w:eastAsia="en-GB"/>
          <w14:ligatures w14:val="none"/>
        </w:rPr>
        <w:t>identifying</w:t>
      </w:r>
      <w:bookmarkEnd w:id="44"/>
      <w:r w:rsidRPr="000F2E68">
        <w:rPr>
          <w:rFonts w:ascii="Arial" w:hAnsi="Arial" w:cs="Arial"/>
          <w:kern w:val="0"/>
          <w:lang w:eastAsia="en-GB"/>
          <w14:ligatures w14:val="none"/>
        </w:rPr>
        <w:t xml:space="preserve"> eight interacting physiological mechanisms contributing to hyperglycaemia. These include impaired insulin secretion, increased hepatic glucose production, adipose tissue dysfunction, altered incretin activity, increased glucagon secretion, increased renal glucose reabsorption, neurotransmitter dysfunction, and reduced glucose uptake in skeletal muscle tissue. This model provided a more comprehensive explanation of disease progression and highlighted the complexity of Type 2 diabetes pathophysiology.</w:t>
      </w:r>
    </w:p>
    <w:p w14:paraId="611747CD"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52A7643"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However, although DeFronzo’s model significantly improved biomedical understanding of T2DM, it has been criticised for focusing primarily on physiological dysfunction while giving limited attention to wider environmental and socioeconomic influences. This limitation may reduce the effectiveness of interventions if broader determinants such as poverty, food insecurity, and unequal access to healthcare </w:t>
      </w:r>
      <w:bookmarkStart w:id="45" w:name="_Int_TFciA4pf"/>
      <w:r w:rsidRPr="000F2E68">
        <w:rPr>
          <w:rFonts w:ascii="Arial" w:hAnsi="Arial" w:cs="Arial"/>
          <w:kern w:val="0"/>
          <w:lang w:eastAsia="en-GB"/>
          <w14:ligatures w14:val="none"/>
        </w:rPr>
        <w:t>are not simultaneously addressed</w:t>
      </w:r>
      <w:bookmarkEnd w:id="45"/>
      <w:r w:rsidRPr="000F2E68">
        <w:rPr>
          <w:rFonts w:ascii="Arial" w:hAnsi="Arial" w:cs="Arial"/>
          <w:kern w:val="0"/>
          <w:lang w:eastAsia="en-GB"/>
          <w14:ligatures w14:val="none"/>
        </w:rPr>
        <w:t>.</w:t>
      </w:r>
    </w:p>
    <w:p w14:paraId="5907CCA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B439E48"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In recent decades, diabetes has increasingly </w:t>
      </w:r>
      <w:bookmarkStart w:id="46" w:name="_Int_Ca12wQ5O"/>
      <w:r w:rsidRPr="000F2E68">
        <w:rPr>
          <w:rFonts w:ascii="Arial" w:hAnsi="Arial" w:cs="Arial"/>
          <w:kern w:val="0"/>
          <w:lang w:eastAsia="en-GB"/>
          <w14:ligatures w14:val="none"/>
        </w:rPr>
        <w:t>been recognised</w:t>
      </w:r>
      <w:bookmarkEnd w:id="46"/>
      <w:r w:rsidRPr="000F2E68">
        <w:rPr>
          <w:rFonts w:ascii="Arial" w:hAnsi="Arial" w:cs="Arial"/>
          <w:kern w:val="0"/>
          <w:lang w:eastAsia="en-GB"/>
          <w14:ligatures w14:val="none"/>
        </w:rPr>
        <w:t xml:space="preserve"> as a global public health challenge shaped by biological, behavioural, environmental, and social factors (International Diabetes Federation, 2021). Collectively, these developments </w:t>
      </w:r>
      <w:bookmarkStart w:id="47" w:name="_Int_w1ufDUXZ"/>
      <w:r w:rsidRPr="000F2E68">
        <w:rPr>
          <w:rFonts w:ascii="Arial" w:hAnsi="Arial" w:cs="Arial"/>
          <w:kern w:val="0"/>
          <w:lang w:eastAsia="en-GB"/>
          <w14:ligatures w14:val="none"/>
        </w:rPr>
        <w:t>demonstrate</w:t>
      </w:r>
      <w:bookmarkEnd w:id="47"/>
      <w:r w:rsidRPr="000F2E68">
        <w:rPr>
          <w:rFonts w:ascii="Arial" w:hAnsi="Arial" w:cs="Arial"/>
          <w:kern w:val="0"/>
          <w:lang w:eastAsia="en-GB"/>
          <w14:ligatures w14:val="none"/>
        </w:rPr>
        <w:t xml:space="preserve"> that understanding of T2DM has progressed from early symptom-based descriptions to complex multidisciplinary models integrating biomedical and public health perspectives.</w:t>
      </w:r>
    </w:p>
    <w:p w14:paraId="0C1BE1B0"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4ADD2E3"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Overall, the historical development of diabetes research </w:t>
      </w:r>
      <w:bookmarkStart w:id="48" w:name="_Int_OiGvdk4B"/>
      <w:r w:rsidRPr="000F2E68">
        <w:rPr>
          <w:rFonts w:ascii="Arial" w:hAnsi="Arial" w:cs="Arial"/>
          <w:kern w:val="0"/>
          <w:lang w:eastAsia="en-GB"/>
          <w14:ligatures w14:val="none"/>
        </w:rPr>
        <w:t>demonstrates</w:t>
      </w:r>
      <w:bookmarkEnd w:id="48"/>
      <w:r w:rsidRPr="000F2E68">
        <w:rPr>
          <w:rFonts w:ascii="Arial" w:hAnsi="Arial" w:cs="Arial"/>
          <w:kern w:val="0"/>
          <w:lang w:eastAsia="en-GB"/>
          <w14:ligatures w14:val="none"/>
        </w:rPr>
        <w:t xml:space="preserve"> that T2DM </w:t>
      </w:r>
      <w:bookmarkStart w:id="49" w:name="_Int_6qDli70V"/>
      <w:r w:rsidRPr="000F2E68">
        <w:rPr>
          <w:rFonts w:ascii="Arial" w:hAnsi="Arial" w:cs="Arial"/>
          <w:kern w:val="0"/>
          <w:lang w:eastAsia="en-GB"/>
          <w14:ligatures w14:val="none"/>
        </w:rPr>
        <w:t>is influenced</w:t>
      </w:r>
      <w:bookmarkEnd w:id="49"/>
      <w:r w:rsidRPr="000F2E68">
        <w:rPr>
          <w:rFonts w:ascii="Arial" w:hAnsi="Arial" w:cs="Arial"/>
          <w:kern w:val="0"/>
          <w:lang w:eastAsia="en-GB"/>
          <w14:ligatures w14:val="none"/>
        </w:rPr>
        <w:t xml:space="preserve"> by both biological mechanisms and wider social factors. While advances in endocrinology and metabolic science improved understanding of disease processes, public health research highlighted the importance of lifestyle, deprivation, and health inequalities. This combined perspective is particularly important when examining older adults, whose health outcomes </w:t>
      </w:r>
      <w:bookmarkStart w:id="50" w:name="_Int_beEPKOk1"/>
      <w:r w:rsidRPr="000F2E68">
        <w:rPr>
          <w:rFonts w:ascii="Arial" w:hAnsi="Arial" w:cs="Arial"/>
          <w:kern w:val="0"/>
          <w:lang w:eastAsia="en-GB"/>
          <w14:ligatures w14:val="none"/>
        </w:rPr>
        <w:t>are shaped</w:t>
      </w:r>
      <w:bookmarkEnd w:id="50"/>
      <w:r w:rsidRPr="000F2E68">
        <w:rPr>
          <w:rFonts w:ascii="Arial" w:hAnsi="Arial" w:cs="Arial"/>
          <w:kern w:val="0"/>
          <w:lang w:eastAsia="en-GB"/>
          <w14:ligatures w14:val="none"/>
        </w:rPr>
        <w:t xml:space="preserve"> by both physiological ageing and long-term social circumstances.</w:t>
      </w:r>
    </w:p>
    <w:p w14:paraId="3B801FEA" w14:textId="77777777" w:rsidR="000F2E68" w:rsidRPr="000F2E68" w:rsidRDefault="000F2E68" w:rsidP="000F2E68">
      <w:pPr>
        <w:spacing w:after="0"/>
        <w:jc w:val="left"/>
        <w:rPr>
          <w:rFonts w:ascii="Arial" w:eastAsia="Times New Roman" w:hAnsi="Arial" w:cs="Arial"/>
          <w:kern w:val="0"/>
          <w:lang w:eastAsia="en-GB"/>
          <w14:ligatures w14:val="none"/>
        </w:rPr>
      </w:pPr>
    </w:p>
    <w:p w14:paraId="3D55187E" w14:textId="77777777" w:rsidR="000F2E68" w:rsidRDefault="000F2E68" w:rsidP="009063AE">
      <w:pPr>
        <w:pStyle w:val="Heading2"/>
        <w:rPr>
          <w:rFonts w:ascii="Arial" w:hAnsi="Arial" w:cs="Arial"/>
          <w:sz w:val="36"/>
          <w:szCs w:val="36"/>
          <w:lang w:eastAsia="en-GB"/>
        </w:rPr>
      </w:pPr>
      <w:r w:rsidRPr="009063AE">
        <w:rPr>
          <w:rFonts w:ascii="Arial" w:hAnsi="Arial" w:cs="Arial"/>
          <w:sz w:val="36"/>
          <w:szCs w:val="36"/>
          <w:lang w:eastAsia="en-GB"/>
        </w:rPr>
        <w:t>Significant Historical Figures and Contributions</w:t>
      </w:r>
    </w:p>
    <w:p w14:paraId="3134FEC4" w14:textId="77777777" w:rsidR="009063AE" w:rsidRPr="009063AE" w:rsidRDefault="009063AE" w:rsidP="009063AE">
      <w:pPr>
        <w:rPr>
          <w:lang w:eastAsia="en-GB"/>
        </w:rPr>
      </w:pPr>
    </w:p>
    <w:p w14:paraId="0499745E" w14:textId="77777777" w:rsidR="000F2E68" w:rsidRPr="00F627BB" w:rsidRDefault="000F2E68" w:rsidP="00F627BB">
      <w:pPr>
        <w:rPr>
          <w:rFonts w:ascii="Arial" w:hAnsi="Arial" w:cs="Arial"/>
          <w:lang w:eastAsia="en-GB"/>
        </w:rPr>
      </w:pPr>
      <w:r w:rsidRPr="00F627BB">
        <w:rPr>
          <w:rFonts w:ascii="Arial" w:hAnsi="Arial" w:cs="Arial"/>
          <w:lang w:eastAsia="en-GB"/>
        </w:rPr>
        <w:t xml:space="preserve">Several key researchers and institutions have significantly influenced the development of diabetes knowledge and treatment. Frederick Banting and Charles Best played a fundamental role through their discovery of insulin, which provided the first effective treatment for diabetes and dramatically improved patient survival rates (Polonsky, 2012). Their work </w:t>
      </w:r>
      <w:bookmarkStart w:id="51" w:name="_Int_cebz0ofk"/>
      <w:r w:rsidRPr="00F627BB">
        <w:rPr>
          <w:rFonts w:ascii="Arial" w:hAnsi="Arial" w:cs="Arial"/>
          <w:lang w:eastAsia="en-GB"/>
        </w:rPr>
        <w:t>remains</w:t>
      </w:r>
      <w:bookmarkEnd w:id="51"/>
      <w:r w:rsidRPr="00F627BB">
        <w:rPr>
          <w:rFonts w:ascii="Arial" w:hAnsi="Arial" w:cs="Arial"/>
          <w:lang w:eastAsia="en-GB"/>
        </w:rPr>
        <w:t xml:space="preserve"> one of the most important medical discoveries of the twentieth century.</w:t>
      </w:r>
    </w:p>
    <w:p w14:paraId="0E11DE6B" w14:textId="77777777" w:rsidR="000F2E68" w:rsidRPr="00F627BB" w:rsidRDefault="000F2E68" w:rsidP="00F627BB">
      <w:pPr>
        <w:rPr>
          <w:rFonts w:ascii="Arial" w:hAnsi="Arial" w:cs="Arial"/>
          <w:lang w:eastAsia="en-GB"/>
        </w:rPr>
      </w:pPr>
      <w:r w:rsidRPr="00F627BB">
        <w:rPr>
          <w:rFonts w:ascii="Arial" w:hAnsi="Arial" w:cs="Arial"/>
          <w:lang w:eastAsia="en-GB"/>
        </w:rPr>
        <w:t xml:space="preserve">Later, Ralph DeFronzo contributed to a deeper understanding of the complex pathophysiology of T2DM through his “ominous octet” framework, </w:t>
      </w:r>
      <w:bookmarkStart w:id="52" w:name="_Int_0xFfg1vU"/>
      <w:r w:rsidRPr="00F627BB">
        <w:rPr>
          <w:rFonts w:ascii="Arial" w:hAnsi="Arial" w:cs="Arial"/>
          <w:lang w:eastAsia="en-GB"/>
        </w:rPr>
        <w:t>demonstrating</w:t>
      </w:r>
      <w:bookmarkEnd w:id="52"/>
      <w:r w:rsidRPr="00F627BB">
        <w:rPr>
          <w:rFonts w:ascii="Arial" w:hAnsi="Arial" w:cs="Arial"/>
          <w:lang w:eastAsia="en-GB"/>
        </w:rPr>
        <w:t xml:space="preserve"> that hyperglycaemia results from dysfunction across multiple organs rather than a single physiological defect (DeFronzo, 2009). This model influenced modern pharmacological treatment approaches, which now target multiple physiological pathways.</w:t>
      </w:r>
    </w:p>
    <w:p w14:paraId="5E8E5F0C" w14:textId="77777777" w:rsidR="000F2E68" w:rsidRPr="00F627BB" w:rsidRDefault="000F2E68" w:rsidP="00F627BB">
      <w:pPr>
        <w:rPr>
          <w:rFonts w:ascii="Arial" w:hAnsi="Arial" w:cs="Arial"/>
          <w:lang w:eastAsia="en-GB"/>
        </w:rPr>
      </w:pPr>
      <w:r w:rsidRPr="00F627BB">
        <w:rPr>
          <w:rFonts w:ascii="Arial" w:hAnsi="Arial" w:cs="Arial"/>
          <w:lang w:eastAsia="en-GB"/>
        </w:rPr>
        <w:t xml:space="preserve">The investigators of the UK Prospective Diabetes Study also made substantial contributions by </w:t>
      </w:r>
      <w:bookmarkStart w:id="53" w:name="_Int_pFtGOxqx"/>
      <w:r w:rsidRPr="00F627BB">
        <w:rPr>
          <w:rFonts w:ascii="Arial" w:hAnsi="Arial" w:cs="Arial"/>
          <w:lang w:eastAsia="en-GB"/>
        </w:rPr>
        <w:t>establishing</w:t>
      </w:r>
      <w:bookmarkEnd w:id="53"/>
      <w:r w:rsidRPr="00F627BB">
        <w:rPr>
          <w:rFonts w:ascii="Arial" w:hAnsi="Arial" w:cs="Arial"/>
          <w:lang w:eastAsia="en-GB"/>
        </w:rPr>
        <w:t xml:space="preserve"> the importance of glycaemic control in preventing long-term complications, influencing clinical guidelines and evidence-based diabetes management strategies (UKPDS Group, 1998).</w:t>
      </w:r>
    </w:p>
    <w:p w14:paraId="16E147B2"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More recently, Sinclair et al. (2012) emphasised the importance of personalised care approaches for older adults with diabetes, highlighting the risks of over treatment and the need to prioritise patient safety, quality of life, and functional independence rather than focusing solely on glycaemic targets.</w:t>
      </w:r>
    </w:p>
    <w:p w14:paraId="5B884690"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Collectively, these developments illustrate how understanding of T2DM has evolved from early symptom-based descriptions to complex models integrating physiological, behavioural, environmental, and public health perspectives. This progression </w:t>
      </w:r>
      <w:bookmarkStart w:id="54" w:name="_Int_Ui9FceXu"/>
      <w:r w:rsidRPr="000F2E68">
        <w:rPr>
          <w:rFonts w:ascii="Arial" w:hAnsi="Arial" w:cs="Arial"/>
          <w:kern w:val="0"/>
          <w:lang w:eastAsia="en-GB"/>
          <w14:ligatures w14:val="none"/>
        </w:rPr>
        <w:t>demonstrates</w:t>
      </w:r>
      <w:bookmarkEnd w:id="54"/>
      <w:r w:rsidRPr="000F2E68">
        <w:rPr>
          <w:rFonts w:ascii="Arial" w:hAnsi="Arial" w:cs="Arial"/>
          <w:kern w:val="0"/>
          <w:lang w:eastAsia="en-GB"/>
          <w14:ligatures w14:val="none"/>
        </w:rPr>
        <w:t xml:space="preserve"> that Type 2 diabetes is not only a metabolic disorder but also a condition influenced by multiple interacting biological and social factors, reinforcing the need for multidisciplinary approaches to prevention, treatment, and long-term management.</w:t>
      </w:r>
    </w:p>
    <w:p w14:paraId="29CE0A15" w14:textId="77777777" w:rsidR="009063AE" w:rsidRDefault="009063AE" w:rsidP="000F2E68">
      <w:pPr>
        <w:spacing w:before="100" w:beforeAutospacing="1" w:after="100" w:afterAutospacing="1"/>
        <w:jc w:val="left"/>
        <w:outlineLvl w:val="0"/>
        <w:rPr>
          <w:rFonts w:ascii="Arial" w:eastAsia="Times New Roman" w:hAnsi="Arial" w:cs="Arial"/>
          <w:b/>
          <w:bCs/>
          <w:kern w:val="36"/>
          <w:lang w:eastAsia="en-GB"/>
          <w14:ligatures w14:val="none"/>
        </w:rPr>
      </w:pPr>
    </w:p>
    <w:p w14:paraId="481F641F" w14:textId="79A42937" w:rsidR="000F2E68" w:rsidRPr="009063AE" w:rsidRDefault="000F2E68" w:rsidP="009063AE">
      <w:pPr>
        <w:pStyle w:val="Heading2"/>
        <w:rPr>
          <w:rFonts w:ascii="Arial" w:hAnsi="Arial" w:cs="Arial"/>
          <w:sz w:val="36"/>
          <w:szCs w:val="36"/>
          <w:lang w:eastAsia="en-GB"/>
        </w:rPr>
      </w:pPr>
      <w:r w:rsidRPr="009063AE">
        <w:rPr>
          <w:rFonts w:ascii="Arial" w:hAnsi="Arial" w:cs="Arial"/>
          <w:sz w:val="36"/>
          <w:szCs w:val="36"/>
          <w:lang w:eastAsia="en-GB"/>
        </w:rPr>
        <w:t>2.3 Theoretical Background, Key Theories and Concepts</w:t>
      </w:r>
    </w:p>
    <w:p w14:paraId="7750DD83" w14:textId="77777777" w:rsidR="000F2E68" w:rsidRPr="009063AE" w:rsidRDefault="000F2E68" w:rsidP="009063AE">
      <w:pPr>
        <w:pStyle w:val="Heading2"/>
        <w:rPr>
          <w:rFonts w:ascii="Arial" w:hAnsi="Arial" w:cs="Arial"/>
          <w:kern w:val="0"/>
          <w:sz w:val="36"/>
          <w:szCs w:val="36"/>
          <w:lang w:eastAsia="en-GB"/>
        </w:rPr>
      </w:pPr>
      <w:r w:rsidRPr="009063AE">
        <w:rPr>
          <w:rFonts w:ascii="Arial" w:hAnsi="Arial" w:cs="Arial"/>
          <w:kern w:val="0"/>
          <w:sz w:val="36"/>
          <w:szCs w:val="36"/>
          <w:lang w:eastAsia="en-GB"/>
        </w:rPr>
        <w:t>Insulin Resistance Paradigm</w:t>
      </w:r>
    </w:p>
    <w:p w14:paraId="744EEC23"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2C5FD2B" w14:textId="77777777" w:rsidR="000F2E68" w:rsidRPr="000F2E68" w:rsidRDefault="000F2E68" w:rsidP="000F2E68">
      <w:pPr>
        <w:spacing w:after="0"/>
        <w:jc w:val="left"/>
        <w:outlineLvl w:val="0"/>
        <w:rPr>
          <w:rFonts w:ascii="Arial" w:eastAsia="Times New Roman" w:hAnsi="Arial" w:cs="Arial"/>
          <w:color w:val="111111"/>
          <w:kern w:val="36"/>
          <w:sz w:val="28"/>
          <w:szCs w:val="28"/>
          <w:lang w:eastAsia="en-GB"/>
          <w14:ligatures w14:val="none"/>
        </w:rPr>
      </w:pPr>
      <w:r w:rsidRPr="000F2E68">
        <w:rPr>
          <w:rFonts w:asciiTheme="minorHAnsi" w:hAnsiTheme="minorHAnsi"/>
          <w:noProof/>
          <w:sz w:val="24"/>
          <w:szCs w:val="24"/>
          <w:lang w:eastAsia="en-GB"/>
        </w:rPr>
        <w:drawing>
          <wp:anchor distT="0" distB="0" distL="114300" distR="114300" simplePos="0" relativeHeight="251658243" behindDoc="0" locked="0" layoutInCell="1" allowOverlap="1" wp14:anchorId="42356468" wp14:editId="1FF5ED1B">
            <wp:simplePos x="0" y="0"/>
            <wp:positionH relativeFrom="page">
              <wp:posOffset>763905</wp:posOffset>
            </wp:positionH>
            <wp:positionV relativeFrom="paragraph">
              <wp:posOffset>768985</wp:posOffset>
            </wp:positionV>
            <wp:extent cx="5581650" cy="3029585"/>
            <wp:effectExtent l="0" t="0" r="0" b="0"/>
            <wp:wrapTopAndBottom/>
            <wp:docPr id="49726169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261697" name="Picture 1">
                      <a:extLst>
                        <a:ext uri="{C183D7F6-B498-43B3-948B-1728B52AA6E4}">
                          <adec:decorative xmlns:adec="http://schemas.microsoft.com/office/drawing/2017/decorative" val="1"/>
                        </a:ext>
                      </a:extLst>
                    </pic:cNvPr>
                    <pic:cNvPicPr/>
                  </pic:nvPicPr>
                  <pic:blipFill>
                    <a:blip r:embed="rId15"/>
                    <a:stretch>
                      <a:fillRect/>
                    </a:stretch>
                  </pic:blipFill>
                  <pic:spPr>
                    <a:xfrm>
                      <a:off x="0" y="0"/>
                      <a:ext cx="5581650" cy="3029585"/>
                    </a:xfrm>
                    <a:prstGeom prst="rect">
                      <a:avLst/>
                    </a:prstGeom>
                  </pic:spPr>
                </pic:pic>
              </a:graphicData>
            </a:graphic>
            <wp14:sizeRelH relativeFrom="margin">
              <wp14:pctWidth>0</wp14:pctWidth>
            </wp14:sizeRelH>
            <wp14:sizeRelV relativeFrom="margin">
              <wp14:pctHeight>0</wp14:pctHeight>
            </wp14:sizeRelV>
          </wp:anchor>
        </w:drawing>
      </w:r>
      <w:r w:rsidRPr="000F2E68">
        <w:rPr>
          <w:rFonts w:ascii="Arial" w:eastAsia="Times New Roman" w:hAnsi="Arial" w:cs="Arial"/>
          <w:color w:val="111111"/>
          <w:kern w:val="36"/>
          <w:sz w:val="28"/>
          <w:szCs w:val="28"/>
          <w:lang w:eastAsia="en-GB"/>
          <w14:ligatures w14:val="none"/>
        </w:rPr>
        <w:t>Theoretical Relationship of Insulin Resistance to Other Features of the Insulin Resistance Syndrome</w:t>
      </w:r>
    </w:p>
    <w:tbl>
      <w:tblPr>
        <w:tblStyle w:val="TableGrid"/>
        <w:tblW w:w="0" w:type="auto"/>
        <w:tblLook w:val="04A0" w:firstRow="1" w:lastRow="0" w:firstColumn="1" w:lastColumn="0" w:noHBand="0" w:noVBand="1"/>
      </w:tblPr>
      <w:tblGrid>
        <w:gridCol w:w="9016"/>
      </w:tblGrid>
      <w:tr w:rsidR="000F2E68" w:rsidRPr="000F2E68" w14:paraId="761E56F9" w14:textId="77777777">
        <w:tc>
          <w:tcPr>
            <w:tcW w:w="9016" w:type="dxa"/>
          </w:tcPr>
          <w:p w14:paraId="508E173D" w14:textId="77777777" w:rsidR="000F2E68" w:rsidRPr="000F2E68" w:rsidRDefault="000F2E68" w:rsidP="000F2E68">
            <w:pPr>
              <w:spacing w:before="69" w:beforeAutospacing="1" w:after="69" w:afterAutospacing="1"/>
              <w:jc w:val="left"/>
              <w:rPr>
                <w:rFonts w:ascii="Arial" w:eastAsiaTheme="minorEastAsia" w:hAnsi="Arial" w:cs="Arial"/>
                <w:lang w:eastAsia="en-GB"/>
              </w:rPr>
            </w:pPr>
            <w:r w:rsidRPr="000F2E68">
              <w:rPr>
                <w:rFonts w:ascii="Arial" w:eastAsiaTheme="minorEastAsia" w:hAnsi="Arial" w:cs="Arial"/>
                <w:lang w:eastAsia="en-GB"/>
              </w:rPr>
              <w:t>Figure 3. Theoretical Relationship of Insulin Resistance to Other Features of the Insulin Resistance Syndrome</w:t>
            </w:r>
          </w:p>
        </w:tc>
      </w:tr>
    </w:tbl>
    <w:p w14:paraId="04FB8A2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40F042E7" w14:textId="47CA7011"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One of the most widely accepted explanations for the development of T2DM is the insulin resistance paradigm. This theory proposes that peripheral tissues, particularly skeletal </w:t>
      </w:r>
      <w:r w:rsidR="006D4179" w:rsidRPr="000F2E68">
        <w:rPr>
          <w:rFonts w:ascii="Arial" w:hAnsi="Arial" w:cs="Arial"/>
          <w:kern w:val="0"/>
          <w:lang w:eastAsia="en-GB"/>
          <w14:ligatures w14:val="none"/>
        </w:rPr>
        <w:t>muscle,</w:t>
      </w:r>
      <w:r w:rsidRPr="000F2E68">
        <w:rPr>
          <w:rFonts w:ascii="Arial" w:hAnsi="Arial" w:cs="Arial"/>
          <w:kern w:val="0"/>
          <w:lang w:eastAsia="en-GB"/>
          <w14:ligatures w14:val="none"/>
        </w:rPr>
        <w:t xml:space="preserve"> and adipose tissue, become less responsive to insulin, resulting in reduced glucose uptake and elevated blood glucose levels (DeFronzo, 2009). In response, pancreatic beta cells initially increase insulin production to </w:t>
      </w:r>
      <w:bookmarkStart w:id="55" w:name="_Int_0SVjVRTa"/>
      <w:r w:rsidRPr="000F2E68">
        <w:rPr>
          <w:rFonts w:ascii="Arial" w:hAnsi="Arial" w:cs="Arial"/>
          <w:kern w:val="0"/>
          <w:lang w:eastAsia="en-GB"/>
          <w14:ligatures w14:val="none"/>
        </w:rPr>
        <w:t>maintain</w:t>
      </w:r>
      <w:bookmarkEnd w:id="55"/>
      <w:r w:rsidRPr="000F2E68">
        <w:rPr>
          <w:rFonts w:ascii="Arial" w:hAnsi="Arial" w:cs="Arial"/>
          <w:kern w:val="0"/>
          <w:lang w:eastAsia="en-GB"/>
          <w14:ligatures w14:val="none"/>
        </w:rPr>
        <w:t xml:space="preserve"> glucose homeostasis; however, this compensatory mechanism eventually fails, leading to persistent hyperglycaemia.</w:t>
      </w:r>
    </w:p>
    <w:p w14:paraId="5C4362FF" w14:textId="77777777" w:rsidR="000F2E68" w:rsidRPr="000F2E68" w:rsidRDefault="000F2E68" w:rsidP="000F2E68">
      <w:pPr>
        <w:spacing w:before="100" w:beforeAutospacing="1" w:after="100" w:afterAutospacing="1" w:line="240" w:lineRule="auto"/>
        <w:jc w:val="left"/>
        <w:rPr>
          <w:rFonts w:ascii="Arial" w:hAnsi="Arial" w:cs="Arial"/>
          <w:kern w:val="0"/>
          <w:lang w:eastAsia="en-GB"/>
          <w14:ligatures w14:val="none"/>
        </w:rPr>
      </w:pPr>
    </w:p>
    <w:p w14:paraId="2039AAA1"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Insulin resistance is strongly associated with obesity, particularly visceral adiposity, which contributes to metabolic dysfunction through inflammatory pathways (Galicia-Garcia et al., 2020). While the insulin resistance model explains many aspects of metabolic dysfunction, it may not fully account for environmental and socioeconomic influences on disease progression. This limitation may reduce the effectiveness of interventions if broader social factors </w:t>
      </w:r>
      <w:bookmarkStart w:id="56" w:name="_Int_04h21tAx"/>
      <w:r w:rsidRPr="000F2E68">
        <w:rPr>
          <w:rFonts w:ascii="Arial" w:hAnsi="Arial" w:cs="Arial"/>
          <w:kern w:val="0"/>
          <w:lang w:eastAsia="en-GB"/>
          <w14:ligatures w14:val="none"/>
        </w:rPr>
        <w:t>are not addressed</w:t>
      </w:r>
      <w:bookmarkEnd w:id="56"/>
      <w:r w:rsidRPr="000F2E68">
        <w:rPr>
          <w:rFonts w:ascii="Arial" w:hAnsi="Arial" w:cs="Arial"/>
          <w:kern w:val="0"/>
          <w:lang w:eastAsia="en-GB"/>
          <w14:ligatures w14:val="none"/>
        </w:rPr>
        <w:t>.</w:t>
      </w:r>
    </w:p>
    <w:p w14:paraId="5F539BB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58A4C72"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This theory is directly relevant to the present study because insulin resistance contributes to many long-term complications experienced by older adults, including cardiovascular disease, frailty, and reduced physical functioning.</w:t>
      </w:r>
    </w:p>
    <w:p w14:paraId="45A38063" w14:textId="77777777" w:rsidR="000F2E68" w:rsidRPr="000F2E68" w:rsidRDefault="000F2E68" w:rsidP="000F2E68">
      <w:pPr>
        <w:spacing w:after="0"/>
        <w:jc w:val="left"/>
        <w:rPr>
          <w:rFonts w:ascii="Arial" w:eastAsia="Times New Roman" w:hAnsi="Arial" w:cs="Arial"/>
          <w:kern w:val="0"/>
          <w:lang w:eastAsia="en-GB"/>
          <w14:ligatures w14:val="none"/>
        </w:rPr>
      </w:pPr>
    </w:p>
    <w:p w14:paraId="2C81410A" w14:textId="77777777" w:rsidR="000F2E68" w:rsidRPr="00AD2400" w:rsidRDefault="000F2E68" w:rsidP="009063AE">
      <w:pPr>
        <w:pStyle w:val="Heading2"/>
        <w:rPr>
          <w:rFonts w:ascii="Arial" w:hAnsi="Arial" w:cs="Arial"/>
          <w:sz w:val="36"/>
          <w:szCs w:val="36"/>
          <w:lang w:eastAsia="en-GB"/>
        </w:rPr>
      </w:pPr>
      <w:r w:rsidRPr="00AD2400">
        <w:rPr>
          <w:rFonts w:ascii="Arial" w:hAnsi="Arial" w:cs="Arial"/>
          <w:sz w:val="36"/>
          <w:szCs w:val="36"/>
          <w:lang w:eastAsia="en-GB"/>
        </w:rPr>
        <w:t>Beta-Cell Dysfunction and Glucolipotoxicity</w:t>
      </w:r>
    </w:p>
    <w:p w14:paraId="75A8E5C3"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6B834E77"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Another important theoretical framework focuses on beta-cell dysfunction. Prolonged exposure to elevated glucose and circulating free fatty acids can lead to cellular stress and progressive beta-cell damage, commonly referred to as glucolipotoxicity. This process reduces insulin secretion and worsens glycaemic control over time (Reed, Bain, and Anomalepidid, 2021).</w:t>
      </w:r>
    </w:p>
    <w:p w14:paraId="27662956"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54C96B2"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However, emerging evidence suggests that beta-cell dysfunction may not always be irreversible. Research involving bariatric surgery and substantial weight reduction has </w:t>
      </w:r>
      <w:bookmarkStart w:id="57" w:name="_Int_3l8HfUTj"/>
      <w:r w:rsidRPr="000F2E68">
        <w:rPr>
          <w:rFonts w:ascii="Arial" w:hAnsi="Arial" w:cs="Arial"/>
          <w:kern w:val="0"/>
          <w:lang w:eastAsia="en-GB"/>
          <w14:ligatures w14:val="none"/>
        </w:rPr>
        <w:t>demonstrated</w:t>
      </w:r>
      <w:bookmarkEnd w:id="57"/>
      <w:r w:rsidRPr="000F2E68">
        <w:rPr>
          <w:rFonts w:ascii="Arial" w:hAnsi="Arial" w:cs="Arial"/>
          <w:kern w:val="0"/>
          <w:lang w:eastAsia="en-GB"/>
          <w14:ligatures w14:val="none"/>
        </w:rPr>
        <w:t xml:space="preserve"> that remission of T2DM can occur in some individuals, </w:t>
      </w:r>
      <w:bookmarkStart w:id="58" w:name="_Int_UhhJptoo"/>
      <w:r w:rsidRPr="000F2E68">
        <w:rPr>
          <w:rFonts w:ascii="Arial" w:hAnsi="Arial" w:cs="Arial"/>
          <w:kern w:val="0"/>
          <w:lang w:eastAsia="en-GB"/>
          <w14:ligatures w14:val="none"/>
        </w:rPr>
        <w:t>indicating</w:t>
      </w:r>
      <w:bookmarkEnd w:id="58"/>
      <w:r w:rsidRPr="000F2E68">
        <w:rPr>
          <w:rFonts w:ascii="Arial" w:hAnsi="Arial" w:cs="Arial"/>
          <w:kern w:val="0"/>
          <w:lang w:eastAsia="en-GB"/>
          <w14:ligatures w14:val="none"/>
        </w:rPr>
        <w:t xml:space="preserve"> that pancreatic function may partially recover under favourable metabolic conditions.</w:t>
      </w:r>
    </w:p>
    <w:p w14:paraId="363DE4F6"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7F8570FA"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These findings are important for this research because they </w:t>
      </w:r>
      <w:bookmarkStart w:id="59" w:name="_Int_3aC76tRZ"/>
      <w:r w:rsidRPr="000F2E68">
        <w:rPr>
          <w:rFonts w:ascii="Arial" w:hAnsi="Arial" w:cs="Arial"/>
          <w:kern w:val="0"/>
          <w:lang w:eastAsia="en-GB"/>
          <w14:ligatures w14:val="none"/>
        </w:rPr>
        <w:t>demonstrate</w:t>
      </w:r>
      <w:bookmarkEnd w:id="59"/>
      <w:r w:rsidRPr="000F2E68">
        <w:rPr>
          <w:rFonts w:ascii="Arial" w:hAnsi="Arial" w:cs="Arial"/>
          <w:kern w:val="0"/>
          <w:lang w:eastAsia="en-GB"/>
          <w14:ligatures w14:val="none"/>
        </w:rPr>
        <w:t xml:space="preserve"> that physiological decline in T2DM may not always be permanent and that management strategies targeting metabolic improvement may positively influence health outcomes in older adults.</w:t>
      </w:r>
    </w:p>
    <w:p w14:paraId="3D4C2F31" w14:textId="77777777" w:rsidR="000F2E68" w:rsidRPr="000F2E68" w:rsidRDefault="000F2E68" w:rsidP="000F2E68">
      <w:pPr>
        <w:spacing w:after="0"/>
        <w:jc w:val="left"/>
        <w:rPr>
          <w:rFonts w:ascii="Arial" w:eastAsia="Times New Roman" w:hAnsi="Arial" w:cs="Arial"/>
          <w:kern w:val="0"/>
          <w:lang w:eastAsia="en-GB"/>
          <w14:ligatures w14:val="none"/>
        </w:rPr>
      </w:pPr>
    </w:p>
    <w:p w14:paraId="45E23F83" w14:textId="77777777" w:rsidR="007057E3" w:rsidRDefault="007057E3" w:rsidP="000F2E68">
      <w:pPr>
        <w:spacing w:before="100" w:beforeAutospacing="1" w:after="100" w:afterAutospacing="1"/>
        <w:jc w:val="left"/>
        <w:outlineLvl w:val="1"/>
        <w:rPr>
          <w:rFonts w:ascii="Arial" w:eastAsia="Times New Roman" w:hAnsi="Arial" w:cs="Arial"/>
          <w:b/>
          <w:bCs/>
          <w:kern w:val="0"/>
          <w:lang w:eastAsia="en-GB"/>
          <w14:ligatures w14:val="none"/>
        </w:rPr>
      </w:pPr>
    </w:p>
    <w:p w14:paraId="5EE3B4AA" w14:textId="19AEFFB9" w:rsidR="000F2E68" w:rsidRPr="00AD2400" w:rsidRDefault="000F2E68" w:rsidP="00AD2400">
      <w:pPr>
        <w:pStyle w:val="Heading2"/>
        <w:rPr>
          <w:rFonts w:ascii="Arial" w:hAnsi="Arial" w:cs="Arial"/>
          <w:sz w:val="36"/>
          <w:szCs w:val="36"/>
          <w:lang w:eastAsia="en-GB"/>
        </w:rPr>
      </w:pPr>
      <w:r w:rsidRPr="00AD2400">
        <w:rPr>
          <w:rFonts w:ascii="Arial" w:hAnsi="Arial" w:cs="Arial"/>
          <w:sz w:val="36"/>
          <w:szCs w:val="36"/>
          <w:lang w:eastAsia="en-GB"/>
        </w:rPr>
        <w:t>Inflammaging and Metabolic Senescence</w:t>
      </w:r>
    </w:p>
    <w:p w14:paraId="6096D4D1" w14:textId="69693D7D"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The concept of inflammaging has become increasingly relevant in explaining T2DM among older adults. Inflammaging refers to chronic low-grade inflammation associated with ageing that contributes to the development of age-related diseases (Frasca et al., 2021). Inflammatory cytokines such as interleukin-6 and tumour necrosis factor-alpha impair insulin signalling and promote metabolic dysfunction, accelerating disease progression and increasing the risk of complications including cardiovascular disease and cognitive decline (Talley et al., 201</w:t>
      </w:r>
      <w:r w:rsidR="00446F0B">
        <w:rPr>
          <w:rFonts w:ascii="Arial" w:hAnsi="Arial" w:cs="Arial"/>
          <w:kern w:val="0"/>
          <w:lang w:eastAsia="en-GB"/>
          <w14:ligatures w14:val="none"/>
        </w:rPr>
        <w:t>6</w:t>
      </w:r>
      <w:r w:rsidRPr="000F2E68">
        <w:rPr>
          <w:rFonts w:ascii="Arial" w:hAnsi="Arial" w:cs="Arial"/>
          <w:kern w:val="0"/>
          <w:lang w:eastAsia="en-GB"/>
          <w14:ligatures w14:val="none"/>
        </w:rPr>
        <w:t>).</w:t>
      </w:r>
    </w:p>
    <w:p w14:paraId="156F47D2" w14:textId="77777777" w:rsidR="000F2E68" w:rsidRPr="000F2E68" w:rsidRDefault="000F2E68" w:rsidP="000F2E68">
      <w:pPr>
        <w:spacing w:before="100" w:beforeAutospacing="1" w:after="100" w:afterAutospacing="1" w:line="240" w:lineRule="auto"/>
        <w:jc w:val="left"/>
        <w:rPr>
          <w:rFonts w:ascii="Arial" w:hAnsi="Arial" w:cs="Arial"/>
          <w:kern w:val="0"/>
          <w:lang w:eastAsia="en-GB"/>
          <w14:ligatures w14:val="none"/>
        </w:rPr>
      </w:pPr>
    </w:p>
    <w:p w14:paraId="6922FA5C"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Recent evidence also suggests that inflammaging contributes to frailty, immune dysfunction, and reduced physiological resilience among older adults (Dugan, Conway, and Duggal, 2023). This is particularly relevant to ageing populations because it helps explain why older adults with T2DM often experience multiple co-morbidities simultaneously.</w:t>
      </w:r>
    </w:p>
    <w:p w14:paraId="7DEB88AA" w14:textId="77777777" w:rsidR="000F2E68" w:rsidRPr="000F2E68" w:rsidRDefault="000F2E68" w:rsidP="000F2E68">
      <w:pPr>
        <w:spacing w:after="0"/>
        <w:jc w:val="left"/>
        <w:rPr>
          <w:rFonts w:ascii="Arial" w:eastAsia="Times New Roman" w:hAnsi="Arial" w:cs="Arial"/>
          <w:kern w:val="0"/>
          <w:lang w:eastAsia="en-GB"/>
          <w14:ligatures w14:val="none"/>
        </w:rPr>
      </w:pPr>
    </w:p>
    <w:p w14:paraId="4FE6DB84" w14:textId="77777777" w:rsidR="000F2E68" w:rsidRPr="00AD2400" w:rsidRDefault="000F2E68" w:rsidP="00AD2400">
      <w:pPr>
        <w:pStyle w:val="Heading2"/>
        <w:rPr>
          <w:rFonts w:ascii="Arial" w:hAnsi="Arial" w:cs="Arial"/>
          <w:sz w:val="36"/>
          <w:szCs w:val="36"/>
          <w:lang w:eastAsia="en-GB"/>
        </w:rPr>
      </w:pPr>
      <w:r w:rsidRPr="00AD2400">
        <w:rPr>
          <w:rFonts w:ascii="Arial" w:hAnsi="Arial" w:cs="Arial"/>
          <w:sz w:val="36"/>
          <w:szCs w:val="36"/>
          <w:lang w:eastAsia="en-GB"/>
        </w:rPr>
        <w:t>Social Determinants of Health Framework</w:t>
      </w:r>
    </w:p>
    <w:p w14:paraId="6680373C"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FD3E24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While biomedical theories provide insight into physiological mechanisms, they do not fully explain variations in diabetes prevalence across populations. The social determinants of health framework highlights how socioeconomic factors such as income, education, employment, and housing influence health outcomes (Marmot, 2010).</w:t>
      </w:r>
    </w:p>
    <w:p w14:paraId="5E9D4DD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3C0B901"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Individuals living in disadvantaged communities often experience limited access to healthy foods, safe recreational environments, and healthcare services, increasing vulnerability to chronic diseases including T2DM. Research in Birmingham has demonstrated that socioeconomic deprivation and ethnicity significantly increase diabetes risk, particularly among South Asian populations (Au-Yeung et al., 2024).</w:t>
      </w:r>
    </w:p>
    <w:p w14:paraId="23862B2A" w14:textId="77777777" w:rsidR="000F2E68" w:rsidRPr="000F2E68" w:rsidRDefault="000F2E68" w:rsidP="000F2E68">
      <w:pPr>
        <w:spacing w:after="0"/>
        <w:jc w:val="left"/>
        <w:rPr>
          <w:rFonts w:ascii="Arial" w:eastAsia="Times New Roman" w:hAnsi="Arial" w:cs="Arial"/>
          <w:kern w:val="0"/>
          <w:lang w:eastAsia="en-GB"/>
          <w14:ligatures w14:val="none"/>
        </w:rPr>
      </w:pPr>
    </w:p>
    <w:p w14:paraId="16CC7B25" w14:textId="77777777" w:rsidR="007057E3" w:rsidRDefault="007057E3" w:rsidP="000F2E68">
      <w:pPr>
        <w:spacing w:before="100" w:beforeAutospacing="1" w:after="100" w:afterAutospacing="1"/>
        <w:jc w:val="left"/>
        <w:outlineLvl w:val="1"/>
        <w:rPr>
          <w:rFonts w:ascii="Arial" w:eastAsia="Times New Roman" w:hAnsi="Arial" w:cs="Arial"/>
          <w:b/>
          <w:bCs/>
          <w:kern w:val="0"/>
          <w:lang w:eastAsia="en-GB"/>
          <w14:ligatures w14:val="none"/>
        </w:rPr>
      </w:pPr>
    </w:p>
    <w:p w14:paraId="6D32AEE4" w14:textId="6995117B" w:rsidR="000F2E68" w:rsidRPr="00CB2473" w:rsidRDefault="000F2E68" w:rsidP="00BE597C">
      <w:pPr>
        <w:pStyle w:val="Heading2"/>
        <w:rPr>
          <w:rFonts w:ascii="Arial" w:hAnsi="Arial" w:cs="Arial"/>
          <w:b/>
          <w:bCs/>
          <w:sz w:val="32"/>
          <w:szCs w:val="32"/>
          <w:lang w:eastAsia="en-GB"/>
        </w:rPr>
      </w:pPr>
      <w:r w:rsidRPr="00CB2473">
        <w:rPr>
          <w:rFonts w:ascii="Arial" w:hAnsi="Arial" w:cs="Arial"/>
          <w:b/>
          <w:bCs/>
          <w:sz w:val="32"/>
          <w:szCs w:val="32"/>
          <w:lang w:eastAsia="en-GB"/>
        </w:rPr>
        <w:t>Application of Theories</w:t>
      </w:r>
    </w:p>
    <w:p w14:paraId="35C4CA93" w14:textId="06626F28" w:rsidR="000F2E68" w:rsidRPr="00A73F36" w:rsidRDefault="000F2E68" w:rsidP="00A73F36">
      <w:pPr>
        <w:spacing w:before="100" w:beforeAutospacing="1" w:after="100" w:afterAutospacing="1"/>
        <w:jc w:val="left"/>
        <w:outlineLvl w:val="1"/>
        <w:rPr>
          <w:rFonts w:ascii="Arial" w:hAnsi="Arial" w:cs="Arial"/>
          <w:b/>
          <w:kern w:val="0"/>
          <w:lang w:eastAsia="en-GB"/>
          <w14:ligatures w14:val="none"/>
        </w:rPr>
      </w:pPr>
      <w:r w:rsidRPr="000F2E68">
        <w:rPr>
          <w:rFonts w:asciiTheme="minorHAnsi" w:hAnsiTheme="minorHAnsi"/>
          <w:noProof/>
          <w:sz w:val="24"/>
          <w:szCs w:val="24"/>
          <w:lang w:eastAsia="en-GB"/>
        </w:rPr>
        <w:drawing>
          <wp:anchor distT="0" distB="0" distL="114300" distR="114300" simplePos="0" relativeHeight="251658244" behindDoc="0" locked="0" layoutInCell="1" allowOverlap="1" wp14:anchorId="2EDDC601" wp14:editId="3895DF54">
            <wp:simplePos x="0" y="0"/>
            <wp:positionH relativeFrom="column">
              <wp:posOffset>-257810</wp:posOffset>
            </wp:positionH>
            <wp:positionV relativeFrom="paragraph">
              <wp:posOffset>0</wp:posOffset>
            </wp:positionV>
            <wp:extent cx="6096000" cy="4406900"/>
            <wp:effectExtent l="0" t="0" r="0" b="0"/>
            <wp:wrapTopAndBottom/>
            <wp:docPr id="29456835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568351" name="Picture 1">
                      <a:extLst>
                        <a:ext uri="{C183D7F6-B498-43B3-948B-1728B52AA6E4}">
                          <adec:decorative xmlns:adec="http://schemas.microsoft.com/office/drawing/2017/decorative" val="1"/>
                        </a:ext>
                      </a:extLst>
                    </pic:cNvPr>
                    <pic:cNvPicPr/>
                  </pic:nvPicPr>
                  <pic:blipFill>
                    <a:blip r:embed="rId16"/>
                    <a:stretch>
                      <a:fillRect/>
                    </a:stretch>
                  </pic:blipFill>
                  <pic:spPr>
                    <a:xfrm>
                      <a:off x="0" y="0"/>
                      <a:ext cx="6096000" cy="4406900"/>
                    </a:xfrm>
                    <a:prstGeom prst="rect">
                      <a:avLst/>
                    </a:prstGeom>
                  </pic:spPr>
                </pic:pic>
              </a:graphicData>
            </a:graphic>
          </wp:anchor>
        </w:drawing>
      </w:r>
    </w:p>
    <w:tbl>
      <w:tblPr>
        <w:tblStyle w:val="TableGrid"/>
        <w:tblW w:w="0" w:type="auto"/>
        <w:tblLook w:val="04A0" w:firstRow="1" w:lastRow="0" w:firstColumn="1" w:lastColumn="0" w:noHBand="0" w:noVBand="1"/>
      </w:tblPr>
      <w:tblGrid>
        <w:gridCol w:w="9016"/>
      </w:tblGrid>
      <w:tr w:rsidR="000F2E68" w:rsidRPr="000F2E68" w14:paraId="58C9EA58" w14:textId="77777777">
        <w:tc>
          <w:tcPr>
            <w:tcW w:w="9016" w:type="dxa"/>
          </w:tcPr>
          <w:p w14:paraId="599C35D4" w14:textId="77777777" w:rsidR="000F2E68" w:rsidRPr="000F2E68" w:rsidRDefault="000F2E68" w:rsidP="000F2E68">
            <w:pPr>
              <w:spacing w:before="69" w:beforeAutospacing="1" w:after="69" w:afterAutospacing="1"/>
              <w:jc w:val="left"/>
              <w:outlineLvl w:val="1"/>
              <w:rPr>
                <w:rFonts w:ascii="Arial" w:eastAsia="Times New Roman" w:hAnsi="Arial" w:cs="Arial"/>
                <w:b/>
                <w:bCs/>
                <w:lang w:eastAsia="en-GB"/>
              </w:rPr>
            </w:pPr>
            <w:r w:rsidRPr="000F2E68">
              <w:rPr>
                <w:rFonts w:ascii="Arial" w:eastAsia="Times New Roman" w:hAnsi="Arial" w:cs="Arial"/>
                <w:b/>
                <w:bCs/>
                <w:lang w:eastAsia="en-GB"/>
              </w:rPr>
              <w:t xml:space="preserve">Figure 4: </w:t>
            </w:r>
            <w:r w:rsidRPr="000F2E68">
              <w:rPr>
                <w:rFonts w:ascii="Arial" w:eastAsia="Times New Roman" w:hAnsi="Arial" w:cs="Arial"/>
                <w:color w:val="000000"/>
                <w:kern w:val="2"/>
                <w:shd w:val="clear" w:color="auto" w:fill="FFFFFF"/>
                <w:lang w:eastAsia="en-GB"/>
                <w14:ligatures w14:val="standardContextual"/>
              </w:rPr>
              <w:t>Sites of Action of Pharmacological Therapies for the Treatment of Type 2 Diabetes.</w:t>
            </w:r>
          </w:p>
        </w:tc>
      </w:tr>
      <w:tr w:rsidR="00000298" w:rsidRPr="000F2E68" w14:paraId="48C52C42" w14:textId="77777777" w:rsidTr="00000298">
        <w:tc>
          <w:tcPr>
            <w:tcW w:w="9016" w:type="dxa"/>
          </w:tcPr>
          <w:p w14:paraId="02C488EA" w14:textId="77777777" w:rsidR="00000298" w:rsidRPr="000F2E68" w:rsidRDefault="00000298">
            <w:pPr>
              <w:spacing w:before="69" w:beforeAutospacing="1" w:after="69" w:afterAutospacing="1"/>
              <w:jc w:val="left"/>
              <w:outlineLvl w:val="2"/>
              <w:rPr>
                <w:rFonts w:ascii="Arial" w:eastAsia="Times New Roman" w:hAnsi="Arial" w:cs="Arial"/>
                <w:b/>
                <w:bCs/>
                <w:lang w:eastAsia="en-GB"/>
              </w:rPr>
            </w:pPr>
            <w:r w:rsidRPr="000F2E68">
              <w:rPr>
                <w:rFonts w:ascii="Arial" w:eastAsia="Times New Roman" w:hAnsi="Arial" w:cs="Arial"/>
                <w:b/>
                <w:bCs/>
                <w:lang w:eastAsia="en-GB"/>
              </w:rPr>
              <w:t xml:space="preserve">Source: </w:t>
            </w:r>
            <w:r w:rsidRPr="000F2E68">
              <w:rPr>
                <w:rFonts w:ascii="Arial" w:eastAsia="Times New Roman" w:hAnsi="Arial" w:cs="Arial"/>
                <w:color w:val="111111"/>
                <w:lang w:eastAsia="en-GB"/>
              </w:rPr>
              <w:t>Adapted from DeFronzo (2009).</w:t>
            </w:r>
          </w:p>
        </w:tc>
      </w:tr>
    </w:tbl>
    <w:p w14:paraId="670AF526"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A6B9DA7"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These theoretical perspectives have influenced both diabetes research and clinical practice. The insulin resistance model underpins the mechanism of action of metformin, which reduces hepatic glucose production and improves insulin sensitivity (</w:t>
      </w:r>
      <w:bookmarkStart w:id="60" w:name="_Int_NUkeS570"/>
      <w:r w:rsidRPr="000F2E68">
        <w:rPr>
          <w:rFonts w:ascii="Arial" w:hAnsi="Arial" w:cs="Arial"/>
          <w:kern w:val="0"/>
          <w:lang w:eastAsia="en-GB"/>
          <w14:ligatures w14:val="none"/>
        </w:rPr>
        <w:t>Bellary</w:t>
      </w:r>
      <w:bookmarkEnd w:id="60"/>
      <w:r w:rsidRPr="000F2E68">
        <w:rPr>
          <w:rFonts w:ascii="Arial" w:hAnsi="Arial" w:cs="Arial"/>
          <w:kern w:val="0"/>
          <w:lang w:eastAsia="en-GB"/>
          <w14:ligatures w14:val="none"/>
        </w:rPr>
        <w:t xml:space="preserve"> et al., 2021). The concept of inflammaging has informed research exploring relationships between diabetes, frailty, and cognitive impairment in older adults, while the social determinants framework has guided public health strategies and targeted diabetes prevention programmes.</w:t>
      </w:r>
    </w:p>
    <w:p w14:paraId="7D8BEA41" w14:textId="77777777" w:rsidR="000F2E68" w:rsidRPr="000F2E68" w:rsidRDefault="000F2E68" w:rsidP="000F2E68">
      <w:pPr>
        <w:spacing w:after="0"/>
        <w:jc w:val="left"/>
        <w:rPr>
          <w:rFonts w:ascii="Arial" w:eastAsia="Times New Roman" w:hAnsi="Arial" w:cs="Arial"/>
          <w:kern w:val="0"/>
          <w:lang w:eastAsia="en-GB"/>
          <w14:ligatures w14:val="none"/>
        </w:rPr>
      </w:pPr>
    </w:p>
    <w:p w14:paraId="44D200DA" w14:textId="27DC49B6" w:rsidR="000F2E68" w:rsidRPr="00E811BC" w:rsidRDefault="000F2E68" w:rsidP="00E811BC">
      <w:pPr>
        <w:pStyle w:val="Heading2"/>
        <w:rPr>
          <w:rFonts w:ascii="Arial" w:hAnsi="Arial" w:cs="Arial"/>
          <w:sz w:val="36"/>
          <w:szCs w:val="36"/>
          <w:lang w:eastAsia="en-GB"/>
        </w:rPr>
      </w:pPr>
      <w:r w:rsidRPr="00E811BC">
        <w:rPr>
          <w:rFonts w:ascii="Arial" w:hAnsi="Arial" w:cs="Arial"/>
          <w:sz w:val="36"/>
          <w:szCs w:val="36"/>
          <w:lang w:eastAsia="en-GB"/>
        </w:rPr>
        <w:t>Critical Evaluation of Theories</w:t>
      </w:r>
    </w:p>
    <w:p w14:paraId="47777D3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Although these theoretical frameworks </w:t>
      </w:r>
      <w:bookmarkStart w:id="61" w:name="_Int_etOm6NT0"/>
      <w:r w:rsidRPr="000F2E68">
        <w:rPr>
          <w:rFonts w:ascii="Arial" w:hAnsi="Arial" w:cs="Arial"/>
          <w:kern w:val="0"/>
          <w:lang w:eastAsia="en-GB"/>
          <w14:ligatures w14:val="none"/>
        </w:rPr>
        <w:t>provide</w:t>
      </w:r>
      <w:bookmarkEnd w:id="61"/>
      <w:r w:rsidRPr="000F2E68">
        <w:rPr>
          <w:rFonts w:ascii="Arial" w:hAnsi="Arial" w:cs="Arial"/>
          <w:kern w:val="0"/>
          <w:lang w:eastAsia="en-GB"/>
          <w14:ligatures w14:val="none"/>
        </w:rPr>
        <w:t xml:space="preserve"> valuable insight into T2DM, each has important limitations. The insulin resistance paradigm has been criticised for emphasising obesity and individual lifestyle behaviours while insufficiently considering environmental and socioeconomic influences. This may limit intervention effectiveness in deprived communities where opportunities for healthy living </w:t>
      </w:r>
      <w:bookmarkStart w:id="62" w:name="_Int_CZOLqvy9"/>
      <w:r w:rsidRPr="000F2E68">
        <w:rPr>
          <w:rFonts w:ascii="Arial" w:hAnsi="Arial" w:cs="Arial"/>
          <w:kern w:val="0"/>
          <w:lang w:eastAsia="en-GB"/>
          <w14:ligatures w14:val="none"/>
        </w:rPr>
        <w:t>are restricted</w:t>
      </w:r>
      <w:bookmarkEnd w:id="62"/>
      <w:r w:rsidRPr="000F2E68">
        <w:rPr>
          <w:rFonts w:ascii="Arial" w:hAnsi="Arial" w:cs="Arial"/>
          <w:kern w:val="0"/>
          <w:lang w:eastAsia="en-GB"/>
          <w14:ligatures w14:val="none"/>
        </w:rPr>
        <w:t>.</w:t>
      </w:r>
    </w:p>
    <w:p w14:paraId="4E0C8964"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1FFA14F" w14:textId="091A0DC5"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Similarly, the beta-cell dysfunction model traditionally assumes irreversible pancreatic decline, yet evidence from weight-loss interventions and bariatric surgery suggests that metabolic recovery may be possible in some individuals. The inflammaging framework </w:t>
      </w:r>
      <w:bookmarkStart w:id="63" w:name="_Int_zCrONyCW"/>
      <w:r w:rsidRPr="000F2E68">
        <w:rPr>
          <w:rFonts w:ascii="Arial" w:hAnsi="Arial" w:cs="Arial"/>
          <w:kern w:val="0"/>
          <w:lang w:eastAsia="en-GB"/>
          <w14:ligatures w14:val="none"/>
        </w:rPr>
        <w:t>remains</w:t>
      </w:r>
      <w:bookmarkEnd w:id="63"/>
      <w:r w:rsidRPr="000F2E68">
        <w:rPr>
          <w:rFonts w:ascii="Arial" w:hAnsi="Arial" w:cs="Arial"/>
          <w:kern w:val="0"/>
          <w:lang w:eastAsia="en-GB"/>
          <w14:ligatures w14:val="none"/>
        </w:rPr>
        <w:t xml:space="preserve"> </w:t>
      </w:r>
      <w:r w:rsidR="00BC577A" w:rsidRPr="000F2E68">
        <w:rPr>
          <w:rFonts w:ascii="Arial" w:hAnsi="Arial" w:cs="Arial"/>
          <w:kern w:val="0"/>
          <w:lang w:eastAsia="en-GB"/>
          <w14:ligatures w14:val="none"/>
        </w:rPr>
        <w:t>supported</w:t>
      </w:r>
      <w:r w:rsidRPr="000F2E68">
        <w:rPr>
          <w:rFonts w:ascii="Arial" w:hAnsi="Arial" w:cs="Arial"/>
          <w:kern w:val="0"/>
          <w:lang w:eastAsia="en-GB"/>
          <w14:ligatures w14:val="none"/>
        </w:rPr>
        <w:t xml:space="preserve"> by observational evidence, making causal relationships difficult to </w:t>
      </w:r>
      <w:bookmarkStart w:id="64" w:name="_Int_lExzUsWn"/>
      <w:r w:rsidRPr="000F2E68">
        <w:rPr>
          <w:rFonts w:ascii="Arial" w:hAnsi="Arial" w:cs="Arial"/>
          <w:kern w:val="0"/>
          <w:lang w:eastAsia="en-GB"/>
          <w14:ligatures w14:val="none"/>
        </w:rPr>
        <w:t>establish</w:t>
      </w:r>
      <w:bookmarkEnd w:id="64"/>
      <w:r w:rsidRPr="000F2E68">
        <w:rPr>
          <w:rFonts w:ascii="Arial" w:hAnsi="Arial" w:cs="Arial"/>
          <w:kern w:val="0"/>
          <w:lang w:eastAsia="en-GB"/>
          <w14:ligatures w14:val="none"/>
        </w:rPr>
        <w:t>. In addition, while the social determinants framework explains population-level inequalities, it may not fully integrate underlying biological mechanisms.</w:t>
      </w:r>
    </w:p>
    <w:p w14:paraId="56DC47B0"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BB70BA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Recent research also highlights the heterogeneity of T2DM. Ahlqvist et al. (2018) </w:t>
      </w:r>
      <w:bookmarkStart w:id="65" w:name="_Int_auKfqxZc"/>
      <w:r w:rsidRPr="000F2E68">
        <w:rPr>
          <w:rFonts w:ascii="Arial" w:hAnsi="Arial" w:cs="Arial"/>
          <w:kern w:val="0"/>
          <w:lang w:eastAsia="en-GB"/>
          <w14:ligatures w14:val="none"/>
        </w:rPr>
        <w:t>identified</w:t>
      </w:r>
      <w:bookmarkEnd w:id="65"/>
      <w:r w:rsidRPr="000F2E68">
        <w:rPr>
          <w:rFonts w:ascii="Arial" w:hAnsi="Arial" w:cs="Arial"/>
          <w:kern w:val="0"/>
          <w:lang w:eastAsia="en-GB"/>
          <w14:ligatures w14:val="none"/>
        </w:rPr>
        <w:t xml:space="preserve"> distinct subtypes of adult-onset diabetes based on genetic and metabolic characteristics, challenging traditional classifications and supporting more personalised treatment approaches.</w:t>
      </w:r>
    </w:p>
    <w:p w14:paraId="18478C12"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0BD54610"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Overall, these theories </w:t>
      </w:r>
      <w:bookmarkStart w:id="66" w:name="_Int_48D2kcTV"/>
      <w:r w:rsidRPr="000F2E68">
        <w:rPr>
          <w:rFonts w:ascii="Arial" w:hAnsi="Arial" w:cs="Arial"/>
          <w:kern w:val="0"/>
          <w:lang w:eastAsia="en-GB"/>
          <w14:ligatures w14:val="none"/>
        </w:rPr>
        <w:t>demonstrate</w:t>
      </w:r>
      <w:bookmarkEnd w:id="66"/>
      <w:r w:rsidRPr="000F2E68">
        <w:rPr>
          <w:rFonts w:ascii="Arial" w:hAnsi="Arial" w:cs="Arial"/>
          <w:kern w:val="0"/>
          <w:lang w:eastAsia="en-GB"/>
          <w14:ligatures w14:val="none"/>
        </w:rPr>
        <w:t xml:space="preserve"> that T2DM is a multifactorial condition shaped by interactions between biological dysfunction, ageing processes, behavioural factors, and wider social inequalities. Understanding these interacting influences is essential for developing effective prevention and management strategies for older adults living with diabetes.</w:t>
      </w:r>
    </w:p>
    <w:p w14:paraId="0FED9E25" w14:textId="77777777" w:rsidR="000F2E68" w:rsidRPr="00E811BC" w:rsidRDefault="000F2E68" w:rsidP="00E811BC">
      <w:pPr>
        <w:pStyle w:val="Heading2"/>
        <w:rPr>
          <w:rFonts w:ascii="Arial" w:hAnsi="Arial" w:cs="Arial"/>
          <w:sz w:val="36"/>
          <w:szCs w:val="36"/>
          <w:lang w:eastAsia="en-GB"/>
        </w:rPr>
      </w:pPr>
      <w:r w:rsidRPr="00E811BC">
        <w:rPr>
          <w:rFonts w:ascii="Arial" w:hAnsi="Arial" w:cs="Arial"/>
          <w:sz w:val="36"/>
          <w:szCs w:val="36"/>
          <w:lang w:eastAsia="en-GB"/>
        </w:rPr>
        <w:t>2.4 International Context</w:t>
      </w:r>
    </w:p>
    <w:p w14:paraId="29D8AC1D" w14:textId="4FB21B25"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Type 2 Diabetes Mellitus </w:t>
      </w:r>
      <w:bookmarkStart w:id="67" w:name="_Int_FpyFzZEn"/>
      <w:r w:rsidRPr="000F2E68">
        <w:rPr>
          <w:rFonts w:ascii="Arial" w:hAnsi="Arial" w:cs="Arial"/>
          <w:kern w:val="0"/>
          <w:lang w:eastAsia="en-GB"/>
          <w14:ligatures w14:val="none"/>
        </w:rPr>
        <w:t>is recognised</w:t>
      </w:r>
      <w:bookmarkEnd w:id="67"/>
      <w:r w:rsidRPr="000F2E68">
        <w:rPr>
          <w:rFonts w:ascii="Arial" w:hAnsi="Arial" w:cs="Arial"/>
          <w:kern w:val="0"/>
          <w:lang w:eastAsia="en-GB"/>
          <w14:ligatures w14:val="none"/>
        </w:rPr>
        <w:t xml:space="preserve"> globally as one of the most significant chronic non-communicable diseases. According to the International Diabetes Federation (2021), approximately 537 million adults worldwide are living with diabetes, with prevalence expected to increase </w:t>
      </w:r>
      <w:r w:rsidR="00BC577A" w:rsidRPr="000F2E68">
        <w:rPr>
          <w:rFonts w:ascii="Arial" w:hAnsi="Arial" w:cs="Arial"/>
          <w:kern w:val="0"/>
          <w:lang w:eastAsia="en-GB"/>
          <w14:ligatures w14:val="none"/>
        </w:rPr>
        <w:t>over</w:t>
      </w:r>
      <w:r w:rsidRPr="000F2E68">
        <w:rPr>
          <w:rFonts w:ascii="Arial" w:hAnsi="Arial" w:cs="Arial"/>
          <w:kern w:val="0"/>
          <w:lang w:eastAsia="en-GB"/>
          <w14:ligatures w14:val="none"/>
        </w:rPr>
        <w:t xml:space="preserve"> coming decades due to ageing populations, urbanisation, physical inactivity, and rising obesity levels.</w:t>
      </w:r>
    </w:p>
    <w:p w14:paraId="784F90A0"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F6C3DE4" w14:textId="6267D5DE"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The burden of T2DM differs </w:t>
      </w:r>
      <w:r w:rsidR="00BC577A" w:rsidRPr="000F2E68">
        <w:rPr>
          <w:rFonts w:ascii="Arial" w:hAnsi="Arial" w:cs="Arial"/>
          <w:kern w:val="0"/>
          <w:lang w:eastAsia="en-GB"/>
          <w14:ligatures w14:val="none"/>
        </w:rPr>
        <w:t>across</w:t>
      </w:r>
      <w:r w:rsidRPr="000F2E68">
        <w:rPr>
          <w:rFonts w:ascii="Arial" w:hAnsi="Arial" w:cs="Arial"/>
          <w:kern w:val="0"/>
          <w:lang w:eastAsia="en-GB"/>
          <w14:ligatures w14:val="none"/>
        </w:rPr>
        <w:t xml:space="preserve"> countries and regions. Low- and middle-income countries have experienced particularly rapid increases in prevalence, often linked to nutritional transition, reduced physical activity, and expanding urban environments. In many countries, healthcare systems face growing pressure from diabetes-related complications, including cardiovascular disease, kidney failure, and visual impairment.</w:t>
      </w:r>
    </w:p>
    <w:p w14:paraId="168F1FBC"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0BC122DA" w14:textId="0BB51CD1"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International research also </w:t>
      </w:r>
      <w:bookmarkStart w:id="68" w:name="_Int_H3MwSSqb"/>
      <w:r w:rsidRPr="000F2E68">
        <w:rPr>
          <w:rFonts w:ascii="Arial" w:hAnsi="Arial" w:cs="Arial"/>
          <w:kern w:val="0"/>
          <w:lang w:eastAsia="en-GB"/>
          <w14:ligatures w14:val="none"/>
        </w:rPr>
        <w:t>demonstrates</w:t>
      </w:r>
      <w:bookmarkEnd w:id="68"/>
      <w:r w:rsidRPr="000F2E68">
        <w:rPr>
          <w:rFonts w:ascii="Arial" w:hAnsi="Arial" w:cs="Arial"/>
          <w:kern w:val="0"/>
          <w:lang w:eastAsia="en-GB"/>
          <w14:ligatures w14:val="none"/>
        </w:rPr>
        <w:t xml:space="preserve"> significant inequalities in diabetes prevalence and outcomes across ethnic and socioeconomic groups. South Asian, African, and Hispanic populations often experience higher rates of T2DM, and earlier disease onset compared with White European populations (International Diabetes Federation, 2021). These disparities highlight the importance of considering both biological susceptibility and wider social determinants of health.</w:t>
      </w:r>
    </w:p>
    <w:p w14:paraId="0B62B77A" w14:textId="78771424"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65257239" w14:textId="549245DC"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While biomedical advances have improved diabetes treatment globally, major challenges </w:t>
      </w:r>
      <w:bookmarkStart w:id="69" w:name="_Int_5TLnJfY9"/>
      <w:r w:rsidRPr="000F2E68">
        <w:rPr>
          <w:rFonts w:ascii="Arial" w:hAnsi="Arial" w:cs="Arial"/>
          <w:kern w:val="0"/>
          <w:lang w:eastAsia="en-GB"/>
          <w14:ligatures w14:val="none"/>
        </w:rPr>
        <w:t>remain</w:t>
      </w:r>
      <w:bookmarkEnd w:id="69"/>
      <w:r w:rsidRPr="000F2E68">
        <w:rPr>
          <w:rFonts w:ascii="Arial" w:hAnsi="Arial" w:cs="Arial"/>
          <w:kern w:val="0"/>
          <w:lang w:eastAsia="en-GB"/>
          <w14:ligatures w14:val="none"/>
        </w:rPr>
        <w:t xml:space="preserve"> </w:t>
      </w:r>
      <w:bookmarkStart w:id="70" w:name="_Int_I627dq1U"/>
      <w:r w:rsidRPr="000F2E68">
        <w:rPr>
          <w:rFonts w:ascii="Arial" w:hAnsi="Arial" w:cs="Arial"/>
          <w:kern w:val="0"/>
          <w:lang w:eastAsia="en-GB"/>
          <w14:ligatures w14:val="none"/>
        </w:rPr>
        <w:t>regarding</w:t>
      </w:r>
      <w:bookmarkEnd w:id="70"/>
      <w:r w:rsidRPr="000F2E68">
        <w:rPr>
          <w:rFonts w:ascii="Arial" w:hAnsi="Arial" w:cs="Arial"/>
          <w:kern w:val="0"/>
          <w:lang w:eastAsia="en-GB"/>
          <w14:ligatures w14:val="none"/>
        </w:rPr>
        <w:t xml:space="preserve"> prevention, early diagnosis, and </w:t>
      </w:r>
      <w:bookmarkStart w:id="71" w:name="_Int_1QNNn5ze"/>
      <w:r w:rsidRPr="000F2E68">
        <w:rPr>
          <w:rFonts w:ascii="Arial" w:hAnsi="Arial" w:cs="Arial"/>
          <w:kern w:val="0"/>
          <w:lang w:eastAsia="en-GB"/>
          <w14:ligatures w14:val="none"/>
        </w:rPr>
        <w:t>equitable</w:t>
      </w:r>
      <w:bookmarkEnd w:id="71"/>
      <w:r w:rsidRPr="000F2E68">
        <w:rPr>
          <w:rFonts w:ascii="Arial" w:hAnsi="Arial" w:cs="Arial"/>
          <w:kern w:val="0"/>
          <w:lang w:eastAsia="en-GB"/>
          <w14:ligatures w14:val="none"/>
        </w:rPr>
        <w:t xml:space="preserve"> access to healthcare. Consequently, international public health organisations increasingly emphasise integrated approaches combining clinical management with population-level interventions targeting obesity, diet, physical activity, and health inequalities.</w:t>
      </w:r>
    </w:p>
    <w:p w14:paraId="34055062" w14:textId="77777777" w:rsidR="00A73F36" w:rsidRPr="00A86115" w:rsidRDefault="00A73F36" w:rsidP="000F2E68">
      <w:pPr>
        <w:spacing w:before="100" w:beforeAutospacing="1" w:after="100" w:afterAutospacing="1"/>
        <w:jc w:val="left"/>
        <w:outlineLvl w:val="0"/>
        <w:rPr>
          <w:rFonts w:ascii="Arial" w:eastAsia="Times New Roman" w:hAnsi="Arial" w:cs="Arial"/>
          <w:b/>
          <w:bCs/>
          <w:kern w:val="36"/>
          <w:sz w:val="32"/>
          <w:szCs w:val="32"/>
          <w:lang w:eastAsia="en-GB"/>
          <w14:ligatures w14:val="none"/>
        </w:rPr>
      </w:pPr>
    </w:p>
    <w:p w14:paraId="4E92CE92" w14:textId="1239C3DC" w:rsidR="000F2E68" w:rsidRPr="00E811BC" w:rsidRDefault="000F2E68" w:rsidP="00E811BC">
      <w:pPr>
        <w:pStyle w:val="Heading2"/>
        <w:rPr>
          <w:rFonts w:ascii="Arial" w:hAnsi="Arial" w:cs="Arial"/>
          <w:sz w:val="36"/>
          <w:szCs w:val="36"/>
          <w:lang w:eastAsia="en-GB"/>
        </w:rPr>
      </w:pPr>
      <w:r w:rsidRPr="00E811BC">
        <w:rPr>
          <w:rFonts w:ascii="Arial" w:hAnsi="Arial" w:cs="Arial"/>
          <w:sz w:val="36"/>
          <w:szCs w:val="36"/>
          <w:lang w:eastAsia="en-GB"/>
        </w:rPr>
        <w:t>2.5 National and Local UK Context</w:t>
      </w:r>
      <w:r w:rsidR="00E811BC">
        <w:rPr>
          <w:rFonts w:ascii="Arial" w:hAnsi="Arial" w:cs="Arial"/>
          <w:sz w:val="36"/>
          <w:szCs w:val="36"/>
          <w:lang w:eastAsia="en-GB"/>
        </w:rPr>
        <w:t xml:space="preserve"> </w:t>
      </w:r>
      <w:r w:rsidRPr="00E811BC">
        <w:rPr>
          <w:rFonts w:ascii="Arial" w:hAnsi="Arial" w:cs="Arial"/>
          <w:kern w:val="0"/>
          <w:sz w:val="36"/>
          <w:szCs w:val="36"/>
          <w:lang w:eastAsia="en-GB"/>
        </w:rPr>
        <w:t>UK Perspective</w:t>
      </w:r>
    </w:p>
    <w:p w14:paraId="710B98B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In the United Kingdom, T2DM </w:t>
      </w:r>
      <w:bookmarkStart w:id="72" w:name="_Int_20RTD9bx"/>
      <w:r w:rsidRPr="000F2E68">
        <w:rPr>
          <w:rFonts w:ascii="Arial" w:hAnsi="Arial" w:cs="Arial"/>
          <w:kern w:val="0"/>
          <w:lang w:eastAsia="en-GB"/>
          <w14:ligatures w14:val="none"/>
        </w:rPr>
        <w:t>is recognised</w:t>
      </w:r>
      <w:bookmarkEnd w:id="72"/>
      <w:r w:rsidRPr="000F2E68">
        <w:rPr>
          <w:rFonts w:ascii="Arial" w:hAnsi="Arial" w:cs="Arial"/>
          <w:kern w:val="0"/>
          <w:lang w:eastAsia="en-GB"/>
          <w14:ligatures w14:val="none"/>
        </w:rPr>
        <w:t xml:space="preserve"> as a major public health concern due to its increasing prevalence and long-term health consequences. Approximately 4.9 million people in the UK are living with diabetes, the majority of whom have T2DM (NHS Digital, 2022). The condition places substantial pressure on healthcare resources and accounts for a considerable proportion of NHS expenditure.</w:t>
      </w:r>
    </w:p>
    <w:p w14:paraId="64EFABD4"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FC6F19A" w14:textId="2331A285" w:rsidR="00A73F36" w:rsidRDefault="001E3BC4" w:rsidP="00A73F36">
      <w:pPr>
        <w:spacing w:before="100" w:beforeAutospacing="1" w:after="100" w:afterAutospacing="1"/>
        <w:jc w:val="left"/>
        <w:rPr>
          <w:rFonts w:ascii="Arial" w:hAnsi="Arial" w:cs="Arial"/>
          <w:kern w:val="0"/>
          <w:lang w:eastAsia="en-GB"/>
          <w14:ligatures w14:val="none"/>
        </w:rPr>
      </w:pPr>
      <w:r w:rsidRPr="000F2E68">
        <w:rPr>
          <w:rFonts w:asciiTheme="minorHAnsi" w:hAnsiTheme="minorHAnsi"/>
          <w:noProof/>
          <w:sz w:val="24"/>
          <w:szCs w:val="24"/>
          <w:lang w:eastAsia="en-GB"/>
        </w:rPr>
        <w:drawing>
          <wp:anchor distT="0" distB="0" distL="114300" distR="114300" simplePos="0" relativeHeight="251658250" behindDoc="0" locked="0" layoutInCell="1" allowOverlap="1" wp14:anchorId="1DC016B4" wp14:editId="6B244C11">
            <wp:simplePos x="0" y="0"/>
            <wp:positionH relativeFrom="page">
              <wp:posOffset>567690</wp:posOffset>
            </wp:positionH>
            <wp:positionV relativeFrom="paragraph">
              <wp:posOffset>1365885</wp:posOffset>
            </wp:positionV>
            <wp:extent cx="6388735" cy="5191125"/>
            <wp:effectExtent l="0" t="0" r="0" b="9525"/>
            <wp:wrapTopAndBottom/>
            <wp:docPr id="58904731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047313" name="Picture 1">
                      <a:extLst>
                        <a:ext uri="{C183D7F6-B498-43B3-948B-1728B52AA6E4}">
                          <adec:decorative xmlns:adec="http://schemas.microsoft.com/office/drawing/2017/decorative" val="1"/>
                        </a:ext>
                      </a:extLst>
                    </pic:cNvPr>
                    <pic:cNvPicPr/>
                  </pic:nvPicPr>
                  <pic:blipFill>
                    <a:blip r:embed="rId17"/>
                    <a:stretch>
                      <a:fillRect/>
                    </a:stretch>
                  </pic:blipFill>
                  <pic:spPr>
                    <a:xfrm>
                      <a:off x="0" y="0"/>
                      <a:ext cx="6388735" cy="5191125"/>
                    </a:xfrm>
                    <a:prstGeom prst="rect">
                      <a:avLst/>
                    </a:prstGeom>
                  </pic:spPr>
                </pic:pic>
              </a:graphicData>
            </a:graphic>
            <wp14:sizeRelH relativeFrom="margin">
              <wp14:pctWidth>0</wp14:pctWidth>
            </wp14:sizeRelH>
            <wp14:sizeRelV relativeFrom="margin">
              <wp14:pctHeight>0</wp14:pctHeight>
            </wp14:sizeRelV>
          </wp:anchor>
        </w:drawing>
      </w:r>
      <w:r w:rsidR="000F2E68" w:rsidRPr="000F2E68">
        <w:rPr>
          <w:rFonts w:ascii="Arial" w:hAnsi="Arial" w:cs="Arial"/>
          <w:kern w:val="0"/>
          <w:lang w:eastAsia="en-GB"/>
          <w14:ligatures w14:val="none"/>
        </w:rPr>
        <w:t>The burden of T2DM is particularly high among older adults, as ageing is associated with physiological changes that impair glucose metabolism and increase insulin resistance (</w:t>
      </w:r>
      <w:bookmarkStart w:id="73" w:name="_Int_kqthFvjX"/>
      <w:r w:rsidR="000F2E68" w:rsidRPr="000F2E68">
        <w:rPr>
          <w:rFonts w:ascii="Arial" w:hAnsi="Arial" w:cs="Arial"/>
          <w:kern w:val="0"/>
          <w:lang w:eastAsia="en-GB"/>
          <w14:ligatures w14:val="none"/>
        </w:rPr>
        <w:t>Bellary</w:t>
      </w:r>
      <w:bookmarkEnd w:id="73"/>
      <w:r w:rsidR="000F2E68" w:rsidRPr="000F2E68">
        <w:rPr>
          <w:rFonts w:ascii="Arial" w:hAnsi="Arial" w:cs="Arial"/>
          <w:kern w:val="0"/>
          <w:lang w:eastAsia="en-GB"/>
          <w14:ligatures w14:val="none"/>
        </w:rPr>
        <w:t xml:space="preserve"> et al., 2021). Prevalence is also higher among individuals living in socioeconomically deprived communities, highlighting the importance of wider social determinants of health.</w:t>
      </w:r>
    </w:p>
    <w:p w14:paraId="43E1323C" w14:textId="77777777" w:rsidR="00906024" w:rsidRDefault="00906024" w:rsidP="000F2E68">
      <w:pPr>
        <w:spacing w:before="100" w:beforeAutospacing="1" w:after="100" w:afterAutospacing="1"/>
        <w:jc w:val="left"/>
        <w:rPr>
          <w:rFonts w:ascii="Arial" w:eastAsia="Times New Roman" w:hAnsi="Arial" w:cs="Arial"/>
          <w:b/>
          <w:bCs/>
          <w:kern w:val="0"/>
          <w:sz w:val="32"/>
          <w:szCs w:val="32"/>
          <w:lang w:eastAsia="en-GB"/>
          <w14:ligatures w14:val="none"/>
        </w:rPr>
      </w:pPr>
    </w:p>
    <w:p w14:paraId="4612C5A7" w14:textId="00EA6256" w:rsidR="000E27CB" w:rsidRPr="00906024" w:rsidRDefault="000F2E68" w:rsidP="000F2E68">
      <w:pPr>
        <w:spacing w:before="100" w:beforeAutospacing="1" w:after="100" w:afterAutospacing="1"/>
        <w:jc w:val="left"/>
        <w:rPr>
          <w:rFonts w:ascii="Arial" w:hAnsi="Arial" w:cs="Arial"/>
          <w:kern w:val="0"/>
          <w:sz w:val="32"/>
          <w:szCs w:val="32"/>
          <w:lang w:eastAsia="en-GB"/>
          <w14:ligatures w14:val="none"/>
        </w:rPr>
      </w:pPr>
      <w:r w:rsidRPr="00A86115">
        <w:rPr>
          <w:rFonts w:ascii="Arial" w:eastAsia="Times New Roman" w:hAnsi="Arial" w:cs="Arial"/>
          <w:b/>
          <w:bCs/>
          <w:kern w:val="0"/>
          <w:sz w:val="32"/>
          <w:szCs w:val="32"/>
          <w:lang w:eastAsia="en-GB"/>
          <w14:ligatures w14:val="none"/>
        </w:rPr>
        <w:t>National Diabetes Management</w:t>
      </w:r>
    </w:p>
    <w:p w14:paraId="2EB3A5C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National diabetes management strategies </w:t>
      </w:r>
      <w:bookmarkStart w:id="74" w:name="_Int_t2MNA9b9"/>
      <w:r w:rsidRPr="000F2E68">
        <w:rPr>
          <w:rFonts w:ascii="Arial" w:hAnsi="Arial" w:cs="Arial"/>
          <w:kern w:val="0"/>
          <w:lang w:eastAsia="en-GB"/>
          <w14:ligatures w14:val="none"/>
        </w:rPr>
        <w:t>are coordinated</w:t>
      </w:r>
      <w:bookmarkEnd w:id="74"/>
      <w:r w:rsidRPr="000F2E68">
        <w:rPr>
          <w:rFonts w:ascii="Arial" w:hAnsi="Arial" w:cs="Arial"/>
          <w:kern w:val="0"/>
          <w:lang w:eastAsia="en-GB"/>
          <w14:ligatures w14:val="none"/>
        </w:rPr>
        <w:t xml:space="preserve"> primarily through primary care services. The NHS Long Term Plan (2019) emphasises prevention, early diagnosis, and integrated care pathways to reduce the burden of chronic disease. A key initiative is the NHS Diabetes Prevention Programme, which targets individuals at considerable risk of developing T2DM and promotes lifestyle interventions including improved diet, increased physical activity, and weight management.</w:t>
      </w:r>
    </w:p>
    <w:p w14:paraId="3CECAEB2"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EF6BADA"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Although evaluations suggest these interventions can reduce diabetes risk, participation and outcomes vary across regions and population groups. This may </w:t>
      </w:r>
      <w:bookmarkStart w:id="75" w:name="_Int_149gC1LZ"/>
      <w:r w:rsidRPr="000F2E68">
        <w:rPr>
          <w:rFonts w:ascii="Arial" w:hAnsi="Arial" w:cs="Arial"/>
          <w:kern w:val="0"/>
          <w:lang w:eastAsia="en-GB"/>
          <w14:ligatures w14:val="none"/>
        </w:rPr>
        <w:t>indicate</w:t>
      </w:r>
      <w:bookmarkEnd w:id="75"/>
      <w:r w:rsidRPr="000F2E68">
        <w:rPr>
          <w:rFonts w:ascii="Arial" w:hAnsi="Arial" w:cs="Arial"/>
          <w:kern w:val="0"/>
          <w:lang w:eastAsia="en-GB"/>
          <w14:ligatures w14:val="none"/>
        </w:rPr>
        <w:t xml:space="preserve"> that behavioural interventions alone are insufficient without addressing wider structural inequalities influencing health behaviours.</w:t>
      </w:r>
    </w:p>
    <w:p w14:paraId="3A6B3562" w14:textId="77777777" w:rsidR="000F2E68" w:rsidRPr="000F2E68" w:rsidRDefault="000F2E68" w:rsidP="000F2E68">
      <w:pPr>
        <w:spacing w:after="0"/>
        <w:jc w:val="left"/>
        <w:rPr>
          <w:rFonts w:ascii="Arial" w:eastAsia="Times New Roman" w:hAnsi="Arial" w:cs="Arial"/>
          <w:kern w:val="0"/>
          <w:lang w:eastAsia="en-GB"/>
          <w14:ligatures w14:val="none"/>
        </w:rPr>
      </w:pPr>
    </w:p>
    <w:p w14:paraId="1607CDA9" w14:textId="3C02F93F" w:rsidR="000F2E68" w:rsidRPr="00E811BC" w:rsidRDefault="000F2E68" w:rsidP="00E811BC">
      <w:pPr>
        <w:pStyle w:val="Heading2"/>
        <w:rPr>
          <w:rFonts w:ascii="Arial" w:hAnsi="Arial" w:cs="Arial"/>
          <w:sz w:val="36"/>
          <w:szCs w:val="36"/>
          <w:lang w:eastAsia="en-GB"/>
        </w:rPr>
      </w:pPr>
      <w:r w:rsidRPr="00E811BC">
        <w:rPr>
          <w:rFonts w:ascii="Arial" w:hAnsi="Arial" w:cs="Arial"/>
          <w:sz w:val="36"/>
          <w:szCs w:val="36"/>
          <w:lang w:eastAsia="en-GB"/>
        </w:rPr>
        <w:t>Ethnic Inequalities in Diabetes Prevalence</w:t>
      </w:r>
    </w:p>
    <w:p w14:paraId="446998E5" w14:textId="76FC24CC"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Ethnic inequalities </w:t>
      </w:r>
      <w:bookmarkStart w:id="76" w:name="_Int_fOBKJFWs"/>
      <w:r w:rsidRPr="000F2E68">
        <w:rPr>
          <w:rFonts w:ascii="Arial" w:hAnsi="Arial" w:cs="Arial"/>
          <w:kern w:val="0"/>
          <w:lang w:eastAsia="en-GB"/>
          <w14:ligatures w14:val="none"/>
        </w:rPr>
        <w:t>represent</w:t>
      </w:r>
      <w:bookmarkEnd w:id="76"/>
      <w:r w:rsidRPr="000F2E68">
        <w:rPr>
          <w:rFonts w:ascii="Arial" w:hAnsi="Arial" w:cs="Arial"/>
          <w:kern w:val="0"/>
          <w:lang w:eastAsia="en-GB"/>
          <w14:ligatures w14:val="none"/>
        </w:rPr>
        <w:t xml:space="preserve"> </w:t>
      </w:r>
      <w:r w:rsidR="00CB0AFE" w:rsidRPr="000F2E68">
        <w:rPr>
          <w:rFonts w:ascii="Arial" w:hAnsi="Arial" w:cs="Arial"/>
          <w:kern w:val="0"/>
          <w:lang w:eastAsia="en-GB"/>
          <w14:ligatures w14:val="none"/>
        </w:rPr>
        <w:t>a prominent issue</w:t>
      </w:r>
      <w:r w:rsidRPr="000F2E68">
        <w:rPr>
          <w:rFonts w:ascii="Arial" w:hAnsi="Arial" w:cs="Arial"/>
          <w:kern w:val="0"/>
          <w:lang w:eastAsia="en-GB"/>
          <w14:ligatures w14:val="none"/>
        </w:rPr>
        <w:t xml:space="preserve"> within UK diabetes management. South Asian populations are more likely to develop T2DM at younger ages and lower body mass index levels than White European populations (Barnett et al., 2006). These disparities </w:t>
      </w:r>
      <w:bookmarkStart w:id="77" w:name="_Int_PaUkK7KN"/>
      <w:r w:rsidRPr="000F2E68">
        <w:rPr>
          <w:rFonts w:ascii="Arial" w:hAnsi="Arial" w:cs="Arial"/>
          <w:kern w:val="0"/>
          <w:lang w:eastAsia="en-GB"/>
          <w14:ligatures w14:val="none"/>
        </w:rPr>
        <w:t>are influenced</w:t>
      </w:r>
      <w:bookmarkEnd w:id="77"/>
      <w:r w:rsidRPr="000F2E68">
        <w:rPr>
          <w:rFonts w:ascii="Arial" w:hAnsi="Arial" w:cs="Arial"/>
          <w:kern w:val="0"/>
          <w:lang w:eastAsia="en-GB"/>
          <w14:ligatures w14:val="none"/>
        </w:rPr>
        <w:t xml:space="preserve"> by a combination of genetic susceptibility, cultural dietary patterns, socioeconomic inequalities, and differential access to healthcare services.</w:t>
      </w:r>
    </w:p>
    <w:p w14:paraId="221B747E" w14:textId="77777777" w:rsidR="000F2E68" w:rsidRPr="000F2E68" w:rsidRDefault="000F2E68" w:rsidP="000F2E68">
      <w:pPr>
        <w:spacing w:after="0"/>
        <w:jc w:val="left"/>
        <w:rPr>
          <w:rFonts w:ascii="Arial" w:eastAsia="Times New Roman" w:hAnsi="Arial" w:cs="Arial"/>
          <w:kern w:val="0"/>
          <w:lang w:eastAsia="en-GB"/>
          <w14:ligatures w14:val="none"/>
        </w:rPr>
      </w:pPr>
    </w:p>
    <w:p w14:paraId="3E8096AE" w14:textId="7433634F" w:rsidR="000F2E68" w:rsidRPr="00E811BC" w:rsidRDefault="000F2E68" w:rsidP="00E811BC">
      <w:pPr>
        <w:pStyle w:val="Heading2"/>
        <w:rPr>
          <w:rFonts w:ascii="Arial" w:hAnsi="Arial" w:cs="Arial"/>
          <w:sz w:val="36"/>
          <w:szCs w:val="36"/>
          <w:lang w:eastAsia="en-GB"/>
        </w:rPr>
      </w:pPr>
      <w:r w:rsidRPr="00E811BC">
        <w:rPr>
          <w:rFonts w:ascii="Arial" w:hAnsi="Arial" w:cs="Arial"/>
          <w:sz w:val="36"/>
          <w:szCs w:val="36"/>
          <w:lang w:eastAsia="en-GB"/>
        </w:rPr>
        <w:t>Policy and Regulation</w:t>
      </w:r>
    </w:p>
    <w:p w14:paraId="66216A00"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Clinical management of diabetes in the UK </w:t>
      </w:r>
      <w:bookmarkStart w:id="78" w:name="_Int_KK0OXDXf"/>
      <w:r w:rsidRPr="000F2E68">
        <w:rPr>
          <w:rFonts w:ascii="Arial" w:hAnsi="Arial" w:cs="Arial"/>
          <w:kern w:val="0"/>
          <w:lang w:eastAsia="en-GB"/>
          <w14:ligatures w14:val="none"/>
        </w:rPr>
        <w:t>is guided</w:t>
      </w:r>
      <w:bookmarkEnd w:id="78"/>
      <w:r w:rsidRPr="000F2E68">
        <w:rPr>
          <w:rFonts w:ascii="Arial" w:hAnsi="Arial" w:cs="Arial"/>
          <w:kern w:val="0"/>
          <w:lang w:eastAsia="en-GB"/>
          <w14:ligatures w14:val="none"/>
        </w:rPr>
        <w:t xml:space="preserve"> by recommendations from the National Institute for Health and Care Excellence (NICE), which promotes personalised treatment approaches based on age, co-morbidities, and hypoglycaemia risk (NICE, 2022). The Quality and Outcomes Framework incentivise general practitioners to meet targets such as HbA1c monitoring, blood pressure control, and complication screening.</w:t>
      </w:r>
    </w:p>
    <w:p w14:paraId="2AEC6535"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1A011805" w14:textId="7309912C" w:rsidR="000F2E68" w:rsidRPr="000F2E68" w:rsidRDefault="000F2E68" w:rsidP="00510EE9">
      <w:pPr>
        <w:spacing w:before="100" w:beforeAutospacing="1" w:after="100" w:afterAutospacing="1"/>
        <w:jc w:val="left"/>
        <w:rPr>
          <w:rFonts w:ascii="Arial" w:eastAsia="Times New Roman" w:hAnsi="Arial" w:cs="Arial"/>
          <w:kern w:val="0"/>
          <w:lang w:eastAsia="en-GB"/>
          <w14:ligatures w14:val="none"/>
        </w:rPr>
      </w:pPr>
      <w:r w:rsidRPr="000F2E68">
        <w:rPr>
          <w:rFonts w:ascii="Arial" w:hAnsi="Arial" w:cs="Arial"/>
          <w:kern w:val="0"/>
          <w:lang w:eastAsia="en-GB"/>
          <w14:ligatures w14:val="none"/>
        </w:rPr>
        <w:t xml:space="preserve">However, critics argue that performance targets may prioritise measurable biomedical outcomes over holistic patient-centred care. Integrated Care Systems </w:t>
      </w:r>
      <w:bookmarkStart w:id="79" w:name="_Int_CLOqFNfh"/>
      <w:r w:rsidRPr="000F2E68">
        <w:rPr>
          <w:rFonts w:ascii="Arial" w:hAnsi="Arial" w:cs="Arial"/>
          <w:kern w:val="0"/>
          <w:lang w:eastAsia="en-GB"/>
          <w14:ligatures w14:val="none"/>
        </w:rPr>
        <w:t>were introduced</w:t>
      </w:r>
      <w:bookmarkEnd w:id="79"/>
      <w:r w:rsidRPr="000F2E68">
        <w:rPr>
          <w:rFonts w:ascii="Arial" w:hAnsi="Arial" w:cs="Arial"/>
          <w:kern w:val="0"/>
          <w:lang w:eastAsia="en-GB"/>
          <w14:ligatures w14:val="none"/>
        </w:rPr>
        <w:t xml:space="preserve"> to improve coordination between healthcare services, although workforce shortages and financial pressures continue to challenge effective service delivery.</w:t>
      </w:r>
    </w:p>
    <w:p w14:paraId="0F27F35A" w14:textId="37EE5283" w:rsidR="000F2E68" w:rsidRPr="00E811BC" w:rsidRDefault="000F2E68" w:rsidP="00E811BC">
      <w:pPr>
        <w:pStyle w:val="Heading2"/>
        <w:rPr>
          <w:rFonts w:ascii="Arial" w:hAnsi="Arial" w:cs="Arial"/>
          <w:sz w:val="36"/>
          <w:szCs w:val="36"/>
          <w:lang w:eastAsia="en-GB"/>
        </w:rPr>
      </w:pPr>
      <w:r w:rsidRPr="00E811BC">
        <w:rPr>
          <w:rFonts w:ascii="Arial" w:hAnsi="Arial" w:cs="Arial"/>
          <w:sz w:val="36"/>
          <w:szCs w:val="36"/>
          <w:lang w:eastAsia="en-GB"/>
        </w:rPr>
        <w:t>Local Context: Birmingham</w:t>
      </w:r>
    </w:p>
    <w:p w14:paraId="0AAF8A5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At the local level, Birmingham provides an important context for examining T2DM due to its diverse population and high diabetes prevalence. Public Health England reports that diabetes rates in Birmingham exceed the national average, reflecting demographic and socioeconomic influences. The city has a large South Asian population and areas of significant socioeconomic deprivation, both associated with increased risk of T2DM (Au-Yeung et al., 2024).</w:t>
      </w:r>
    </w:p>
    <w:p w14:paraId="0B5B838D" w14:textId="38B2940D" w:rsidR="000F2E68" w:rsidRPr="000F2E68" w:rsidRDefault="00EB3BE1" w:rsidP="000F2E68">
      <w:pPr>
        <w:spacing w:before="100" w:beforeAutospacing="1" w:after="100" w:afterAutospacing="1"/>
        <w:jc w:val="left"/>
        <w:outlineLvl w:val="1"/>
        <w:rPr>
          <w:rFonts w:ascii="Arial" w:eastAsia="Times New Roman" w:hAnsi="Arial" w:cs="Arial"/>
          <w:b/>
          <w:bCs/>
          <w:kern w:val="0"/>
          <w:sz w:val="28"/>
          <w:szCs w:val="28"/>
          <w:lang w:eastAsia="en-GB"/>
          <w14:ligatures w14:val="none"/>
        </w:rPr>
      </w:pPr>
      <w:r w:rsidRPr="000F2E68">
        <w:rPr>
          <w:rFonts w:asciiTheme="minorHAnsi" w:hAnsiTheme="minorHAnsi"/>
          <w:noProof/>
          <w:sz w:val="24"/>
          <w:szCs w:val="24"/>
          <w:lang w:eastAsia="en-GB"/>
        </w:rPr>
        <w:drawing>
          <wp:anchor distT="0" distB="0" distL="114300" distR="114300" simplePos="0" relativeHeight="251658245" behindDoc="0" locked="0" layoutInCell="1" allowOverlap="1" wp14:anchorId="74A17C20" wp14:editId="31151DD2">
            <wp:simplePos x="0" y="0"/>
            <wp:positionH relativeFrom="column">
              <wp:posOffset>-523875</wp:posOffset>
            </wp:positionH>
            <wp:positionV relativeFrom="paragraph">
              <wp:posOffset>614045</wp:posOffset>
            </wp:positionV>
            <wp:extent cx="6751955" cy="3701415"/>
            <wp:effectExtent l="0" t="0" r="0" b="0"/>
            <wp:wrapTopAndBottom/>
            <wp:docPr id="113675627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756273" name="Picture 1">
                      <a:extLst>
                        <a:ext uri="{C183D7F6-B498-43B3-948B-1728B52AA6E4}">
                          <adec:decorative xmlns:adec="http://schemas.microsoft.com/office/drawing/2017/decorative" val="1"/>
                        </a:ext>
                      </a:extLst>
                    </pic:cNvPr>
                    <pic:cNvPicPr/>
                  </pic:nvPicPr>
                  <pic:blipFill>
                    <a:blip r:embed="rId18"/>
                    <a:stretch>
                      <a:fillRect/>
                    </a:stretch>
                  </pic:blipFill>
                  <pic:spPr>
                    <a:xfrm>
                      <a:off x="0" y="0"/>
                      <a:ext cx="6751955" cy="3701415"/>
                    </a:xfrm>
                    <a:prstGeom prst="rect">
                      <a:avLst/>
                    </a:prstGeom>
                  </pic:spPr>
                </pic:pic>
              </a:graphicData>
            </a:graphic>
            <wp14:sizeRelH relativeFrom="margin">
              <wp14:pctWidth>0</wp14:pctWidth>
            </wp14:sizeRelH>
            <wp14:sizeRelV relativeFrom="margin">
              <wp14:pctHeight>0</wp14:pctHeight>
            </wp14:sizeRelV>
          </wp:anchor>
        </w:drawing>
      </w:r>
      <w:r w:rsidR="000F2E68" w:rsidRPr="000F2E68">
        <w:rPr>
          <w:rFonts w:ascii="Arial" w:eastAsia="Times New Roman" w:hAnsi="Arial" w:cs="Arial"/>
          <w:b/>
          <w:bCs/>
          <w:kern w:val="0"/>
          <w:sz w:val="28"/>
          <w:szCs w:val="28"/>
          <w:lang w:eastAsia="en-GB"/>
          <w14:ligatures w14:val="none"/>
        </w:rPr>
        <w:t>Figure 5. Birmingham: Local Context</w:t>
      </w:r>
    </w:p>
    <w:p w14:paraId="50D27E6E" w14:textId="3B8D5996" w:rsidR="000F2E68" w:rsidRPr="000F2E68" w:rsidRDefault="000F2E68" w:rsidP="000F2E68">
      <w:pPr>
        <w:spacing w:before="100" w:beforeAutospacing="1" w:after="100" w:afterAutospacing="1"/>
        <w:jc w:val="left"/>
        <w:rPr>
          <w:rFonts w:ascii="Times New Roman" w:eastAsia="Times New Roman" w:hAnsi="Times New Roman" w:cs="Times New Roman"/>
          <w:b/>
          <w:bCs/>
          <w:kern w:val="0"/>
          <w:sz w:val="36"/>
          <w:szCs w:val="36"/>
          <w:lang w:eastAsia="en-GB"/>
          <w14:ligatures w14:val="none"/>
        </w:rPr>
      </w:pPr>
    </w:p>
    <w:tbl>
      <w:tblPr>
        <w:tblStyle w:val="TableGrid"/>
        <w:tblW w:w="0" w:type="auto"/>
        <w:tblLook w:val="04A0" w:firstRow="1" w:lastRow="0" w:firstColumn="1" w:lastColumn="0" w:noHBand="0" w:noVBand="1"/>
      </w:tblPr>
      <w:tblGrid>
        <w:gridCol w:w="7508"/>
      </w:tblGrid>
      <w:tr w:rsidR="000F2E68" w:rsidRPr="000F2E68" w14:paraId="2EDEAC15" w14:textId="77777777">
        <w:tc>
          <w:tcPr>
            <w:tcW w:w="7508" w:type="dxa"/>
          </w:tcPr>
          <w:p w14:paraId="3649235E" w14:textId="77777777" w:rsidR="000F2E68" w:rsidRPr="000F2E68" w:rsidRDefault="000F2E68" w:rsidP="000F2E68">
            <w:pPr>
              <w:spacing w:before="69" w:beforeAutospacing="1" w:after="69" w:afterAutospacing="1"/>
              <w:jc w:val="left"/>
              <w:outlineLvl w:val="2"/>
              <w:rPr>
                <w:rFonts w:ascii="Arial" w:eastAsia="Times New Roman" w:hAnsi="Arial" w:cs="Arial"/>
                <w:color w:val="111111"/>
                <w:lang w:eastAsia="en-GB"/>
              </w:rPr>
            </w:pPr>
            <w:r w:rsidRPr="000F2E68">
              <w:rPr>
                <w:rFonts w:ascii="Arial" w:eastAsia="Times New Roman" w:hAnsi="Arial" w:cs="Arial"/>
                <w:b/>
                <w:bCs/>
                <w:lang w:eastAsia="en-GB"/>
              </w:rPr>
              <w:t xml:space="preserve">Figure 5: </w:t>
            </w:r>
            <w:r w:rsidRPr="000F2E68">
              <w:rPr>
                <w:rFonts w:ascii="Arial" w:eastAsia="Times New Roman" w:hAnsi="Arial" w:cs="Arial"/>
                <w:color w:val="000000"/>
                <w:kern w:val="2"/>
                <w:shd w:val="clear" w:color="auto" w:fill="FFFFFF"/>
                <w:lang w:eastAsia="en-GB"/>
                <w14:ligatures w14:val="standardContextual"/>
              </w:rPr>
              <w:t>Sites of Action of Pharmacological Therapies for the Treatment of Type 2 Diabetes.</w:t>
            </w:r>
          </w:p>
        </w:tc>
      </w:tr>
    </w:tbl>
    <w:p w14:paraId="2F7C80CA" w14:textId="77777777" w:rsidR="000F2E68" w:rsidRPr="000F2E68" w:rsidRDefault="000F2E68" w:rsidP="000F2E68">
      <w:pPr>
        <w:spacing w:before="100" w:beforeAutospacing="1" w:after="100" w:afterAutospacing="1" w:line="240" w:lineRule="auto"/>
        <w:jc w:val="left"/>
        <w:rPr>
          <w:rFonts w:ascii="Times New Roman" w:hAnsi="Times New Roman" w:cs="Times New Roman"/>
          <w:kern w:val="0"/>
          <w:sz w:val="24"/>
          <w:szCs w:val="24"/>
          <w:lang w:eastAsia="en-GB"/>
          <w14:ligatures w14:val="none"/>
        </w:rPr>
      </w:pPr>
    </w:p>
    <w:tbl>
      <w:tblPr>
        <w:tblStyle w:val="TableGrid"/>
        <w:tblW w:w="0" w:type="auto"/>
        <w:tblLook w:val="04A0" w:firstRow="1" w:lastRow="0" w:firstColumn="1" w:lastColumn="0" w:noHBand="0" w:noVBand="1"/>
      </w:tblPr>
      <w:tblGrid>
        <w:gridCol w:w="9016"/>
      </w:tblGrid>
      <w:tr w:rsidR="000F2E68" w:rsidRPr="000F2E68" w14:paraId="11C87455" w14:textId="77777777">
        <w:tc>
          <w:tcPr>
            <w:tcW w:w="9016" w:type="dxa"/>
          </w:tcPr>
          <w:p w14:paraId="56659315" w14:textId="77777777" w:rsidR="000F2E68" w:rsidRPr="000F2E68" w:rsidRDefault="000F2E68" w:rsidP="000F2E68">
            <w:pPr>
              <w:spacing w:before="69" w:beforeAutospacing="1" w:after="69" w:afterAutospacing="1"/>
              <w:jc w:val="left"/>
              <w:outlineLvl w:val="2"/>
              <w:rPr>
                <w:rFonts w:ascii="Arial" w:eastAsia="Times New Roman" w:hAnsi="Arial" w:cs="Arial"/>
                <w:b/>
                <w:bCs/>
                <w:lang w:eastAsia="en-GB"/>
              </w:rPr>
            </w:pPr>
            <w:r w:rsidRPr="000F2E68">
              <w:rPr>
                <w:rFonts w:ascii="Arial" w:eastAsia="Times New Roman" w:hAnsi="Arial" w:cs="Arial"/>
                <w:b/>
                <w:bCs/>
                <w:lang w:eastAsia="en-GB"/>
              </w:rPr>
              <w:t xml:space="preserve">Source: </w:t>
            </w:r>
            <w:r w:rsidRPr="000F2E68">
              <w:rPr>
                <w:rFonts w:ascii="Arial" w:eastAsia="Times New Roman" w:hAnsi="Arial" w:cs="Arial"/>
                <w:color w:val="111111"/>
                <w:lang w:eastAsia="en-GB"/>
              </w:rPr>
              <w:t>Birmingham City Council (2024) and Public Health England.</w:t>
            </w:r>
          </w:p>
        </w:tc>
      </w:tr>
    </w:tbl>
    <w:p w14:paraId="5223A357"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Local health authorities have introduced community screening programmes and culturally tailored health education initiatives. However, structural inequalities, deprivation, and limited access to healthy environments continue to influence health outcomes and may reduce the effectiveness of public health interventions.</w:t>
      </w:r>
    </w:p>
    <w:p w14:paraId="3C3E1ED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3632F175"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This local context is directly relevant to the present study because it highlights how physiological mechanisms of diabetes interact with wider environmental and social influences affecting older adults in Birmingham.</w:t>
      </w:r>
    </w:p>
    <w:p w14:paraId="595313E0" w14:textId="20776A5B" w:rsidR="004A664D" w:rsidRPr="004A664D" w:rsidRDefault="000F2E68" w:rsidP="004A664D">
      <w:pPr>
        <w:pStyle w:val="Heading2"/>
        <w:rPr>
          <w:rFonts w:ascii="Arial" w:hAnsi="Arial" w:cs="Arial"/>
          <w:sz w:val="36"/>
          <w:szCs w:val="36"/>
          <w:lang w:eastAsia="en-GB"/>
        </w:rPr>
      </w:pPr>
      <w:r w:rsidRPr="004A664D">
        <w:rPr>
          <w:rFonts w:ascii="Arial" w:hAnsi="Arial" w:cs="Arial"/>
          <w:sz w:val="36"/>
          <w:szCs w:val="36"/>
          <w:lang w:eastAsia="en-GB"/>
        </w:rPr>
        <w:t>Chapter Summary</w:t>
      </w:r>
    </w:p>
    <w:p w14:paraId="6E994BCA"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Overall, this chapter has </w:t>
      </w:r>
      <w:bookmarkStart w:id="80" w:name="_Int_nEOOxXvu"/>
      <w:r w:rsidRPr="000F2E68">
        <w:rPr>
          <w:rFonts w:ascii="Arial" w:hAnsi="Arial" w:cs="Arial"/>
          <w:kern w:val="0"/>
          <w:lang w:eastAsia="en-GB"/>
          <w14:ligatures w14:val="none"/>
        </w:rPr>
        <w:t>demonstrated</w:t>
      </w:r>
      <w:bookmarkEnd w:id="80"/>
      <w:r w:rsidRPr="000F2E68">
        <w:rPr>
          <w:rFonts w:ascii="Arial" w:hAnsi="Arial" w:cs="Arial"/>
          <w:kern w:val="0"/>
          <w:lang w:eastAsia="en-GB"/>
          <w14:ligatures w14:val="none"/>
        </w:rPr>
        <w:t xml:space="preserve"> that T2DM is a complex condition influenced by interacting physiological, behavioural, social, and environmental factors. Historical developments in diabetes research have improved understanding of metabolic dysfunction, while public health perspectives have highlighted the importance of inequality, deprivation, and ageing.</w:t>
      </w:r>
    </w:p>
    <w:p w14:paraId="09FD668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59539406"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The chapter also examined international, national, and local healthcare contexts, showing how policy, ethnicity, and socioeconomic conditions influence diabetes prevalence and management within Birmingham. These findings reinforce the importance of adopting an integrated approach when investigating long-term health outcomes among older adults with T2DM.</w:t>
      </w:r>
    </w:p>
    <w:p w14:paraId="1635EE43" w14:textId="77777777" w:rsidR="000F2E68" w:rsidRPr="000F2E68" w:rsidRDefault="000F2E68" w:rsidP="000F2E68">
      <w:pPr>
        <w:spacing w:before="100" w:beforeAutospacing="1" w:after="100" w:afterAutospacing="1" w:line="240" w:lineRule="auto"/>
        <w:jc w:val="left"/>
        <w:outlineLvl w:val="0"/>
        <w:rPr>
          <w:rFonts w:ascii="Arial" w:eastAsia="Times New Roman" w:hAnsi="Arial" w:cs="Arial"/>
          <w:b/>
          <w:bCs/>
          <w:kern w:val="36"/>
          <w:lang w:eastAsia="en-GB"/>
          <w14:ligatures w14:val="none"/>
        </w:rPr>
      </w:pPr>
    </w:p>
    <w:p w14:paraId="2864C9C0" w14:textId="4B9ECF6B" w:rsidR="000F2E68" w:rsidRPr="0085100A" w:rsidRDefault="000F2E68" w:rsidP="004A664D">
      <w:pPr>
        <w:pStyle w:val="Heading2"/>
        <w:rPr>
          <w:rFonts w:ascii="Arial" w:hAnsi="Arial" w:cs="Arial"/>
          <w:sz w:val="36"/>
          <w:szCs w:val="36"/>
          <w:lang w:eastAsia="en-GB"/>
        </w:rPr>
      </w:pPr>
      <w:r w:rsidRPr="0085100A">
        <w:rPr>
          <w:rFonts w:ascii="Arial" w:hAnsi="Arial" w:cs="Arial"/>
          <w:sz w:val="36"/>
          <w:szCs w:val="36"/>
          <w:lang w:eastAsia="en-GB"/>
        </w:rPr>
        <w:t>2.6 Conclusion</w:t>
      </w:r>
      <w:r w:rsidR="0085100A">
        <w:rPr>
          <w:rFonts w:ascii="Arial" w:hAnsi="Arial" w:cs="Arial"/>
          <w:sz w:val="36"/>
          <w:szCs w:val="36"/>
          <w:lang w:eastAsia="en-GB"/>
        </w:rPr>
        <w:t xml:space="preserve"> </w:t>
      </w:r>
      <w:r w:rsidRPr="0085100A">
        <w:rPr>
          <w:rFonts w:ascii="Arial" w:hAnsi="Arial" w:cs="Arial"/>
          <w:kern w:val="0"/>
          <w:sz w:val="36"/>
          <w:szCs w:val="36"/>
          <w:lang w:eastAsia="en-GB"/>
        </w:rPr>
        <w:t>Summary of Key Points</w:t>
      </w:r>
    </w:p>
    <w:p w14:paraId="3D9C9933"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3BAE1A2F" w14:textId="347D3500"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This chapter has critically examined the historical development, theoretical frameworks, and policy contexts shaping contemporary understanding of Type 2 Diabetes Mellitus. The discussion </w:t>
      </w:r>
      <w:bookmarkStart w:id="81" w:name="_Int_WBSis9yr"/>
      <w:r w:rsidRPr="000F2E68">
        <w:rPr>
          <w:rFonts w:ascii="Arial" w:hAnsi="Arial" w:cs="Arial"/>
          <w:kern w:val="0"/>
          <w:lang w:eastAsia="en-GB"/>
          <w14:ligatures w14:val="none"/>
        </w:rPr>
        <w:t>demonstrated</w:t>
      </w:r>
      <w:bookmarkEnd w:id="81"/>
      <w:r w:rsidRPr="000F2E68">
        <w:rPr>
          <w:rFonts w:ascii="Arial" w:hAnsi="Arial" w:cs="Arial"/>
          <w:kern w:val="0"/>
          <w:lang w:eastAsia="en-GB"/>
          <w14:ligatures w14:val="none"/>
        </w:rPr>
        <w:t xml:space="preserve"> how conceptualisation of diabetes has evolved from early symptom-based descriptions to complex biomedical models encompassing insulin resistance, beta-cell dysfunction, and chronic inflammation.</w:t>
      </w:r>
    </w:p>
    <w:p w14:paraId="212F630E"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31F7CBBB"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While these physiological frameworks </w:t>
      </w:r>
      <w:bookmarkStart w:id="82" w:name="_Int_S83e3TCS"/>
      <w:r w:rsidRPr="000F2E68">
        <w:rPr>
          <w:rFonts w:ascii="Arial" w:hAnsi="Arial" w:cs="Arial"/>
          <w:kern w:val="0"/>
          <w:lang w:eastAsia="en-GB"/>
          <w14:ligatures w14:val="none"/>
        </w:rPr>
        <w:t>provide</w:t>
      </w:r>
      <w:bookmarkEnd w:id="82"/>
      <w:r w:rsidRPr="000F2E68">
        <w:rPr>
          <w:rFonts w:ascii="Arial" w:hAnsi="Arial" w:cs="Arial"/>
          <w:kern w:val="0"/>
          <w:lang w:eastAsia="en-GB"/>
          <w14:ligatures w14:val="none"/>
        </w:rPr>
        <w:t xml:space="preserve"> valuable insight into disease mechanisms, they do not fully account for social and environmental factors influencing disease distribution and outcomes. The social determinants of health perspective emphasise how socioeconomic conditions, cultural contexts, and health inequalities contribute to variations in prevalence and long-term complications.</w:t>
      </w:r>
    </w:p>
    <w:p w14:paraId="0A4F8EE4"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9297F05"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 xml:space="preserve">Analysis of the international and UK policy landscape shows that diabetes management </w:t>
      </w:r>
      <w:bookmarkStart w:id="83" w:name="_Int_EoRqSKGw"/>
      <w:r w:rsidRPr="000F2E68">
        <w:rPr>
          <w:rFonts w:ascii="Arial" w:hAnsi="Arial" w:cs="Arial"/>
          <w:kern w:val="0"/>
          <w:lang w:eastAsia="en-GB"/>
          <w14:ligatures w14:val="none"/>
        </w:rPr>
        <w:t>is supported</w:t>
      </w:r>
      <w:bookmarkEnd w:id="83"/>
      <w:r w:rsidRPr="000F2E68">
        <w:rPr>
          <w:rFonts w:ascii="Arial" w:hAnsi="Arial" w:cs="Arial"/>
          <w:kern w:val="0"/>
          <w:lang w:eastAsia="en-GB"/>
          <w14:ligatures w14:val="none"/>
        </w:rPr>
        <w:t xml:space="preserve"> through structured governance, including NICE guidelines and national prevention programmes. Nevertheless, persistent inequalities in urban areas such as Birmingham highlight the limitations of biomedical approaches alone.</w:t>
      </w:r>
    </w:p>
    <w:p w14:paraId="37FAB384"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p>
    <w:p w14:paraId="27C59A7C" w14:textId="765F4FB7" w:rsidR="000F2E68" w:rsidRPr="0085100A" w:rsidRDefault="000F2E68" w:rsidP="0085100A">
      <w:pPr>
        <w:pStyle w:val="Heading2"/>
        <w:rPr>
          <w:rFonts w:ascii="Arial" w:hAnsi="Arial" w:cs="Arial"/>
          <w:sz w:val="36"/>
          <w:szCs w:val="36"/>
          <w:lang w:eastAsia="en-GB"/>
        </w:rPr>
      </w:pPr>
      <w:r w:rsidRPr="0085100A">
        <w:rPr>
          <w:rFonts w:ascii="Arial" w:hAnsi="Arial" w:cs="Arial"/>
          <w:sz w:val="36"/>
          <w:szCs w:val="36"/>
          <w:lang w:eastAsia="en-GB"/>
        </w:rPr>
        <w:t>Signpost to Next Chapter</w:t>
      </w:r>
    </w:p>
    <w:p w14:paraId="62C43E1E" w14:textId="77777777" w:rsidR="000F2E68" w:rsidRPr="000F2E68" w:rsidRDefault="000F2E68" w:rsidP="000F2E68">
      <w:pPr>
        <w:spacing w:before="100" w:beforeAutospacing="1" w:after="100" w:afterAutospacing="1" w:line="240" w:lineRule="auto"/>
        <w:jc w:val="left"/>
        <w:rPr>
          <w:rFonts w:ascii="Arial" w:hAnsi="Arial" w:cs="Arial"/>
          <w:kern w:val="0"/>
          <w:lang w:eastAsia="en-GB"/>
          <w14:ligatures w14:val="none"/>
        </w:rPr>
      </w:pPr>
    </w:p>
    <w:p w14:paraId="1D8FF225" w14:textId="77777777" w:rsidR="000F2E68" w:rsidRPr="000F2E68" w:rsidRDefault="000F2E68" w:rsidP="000F2E68">
      <w:pPr>
        <w:spacing w:before="100" w:beforeAutospacing="1" w:after="100" w:afterAutospacing="1"/>
        <w:jc w:val="left"/>
        <w:rPr>
          <w:rFonts w:ascii="Arial" w:hAnsi="Arial" w:cs="Arial"/>
          <w:kern w:val="0"/>
          <w:lang w:eastAsia="en-GB"/>
          <w14:ligatures w14:val="none"/>
        </w:rPr>
      </w:pPr>
      <w:r w:rsidRPr="000F2E68">
        <w:rPr>
          <w:rFonts w:ascii="Arial" w:hAnsi="Arial" w:cs="Arial"/>
          <w:kern w:val="0"/>
          <w:lang w:eastAsia="en-GB"/>
          <w14:ligatures w14:val="none"/>
        </w:rPr>
        <w:t>These insights underscore the need for research integrating both biological and contextual perspectives. Chapter 3 therefore outlines the methodological framework used to investigate the physiological mechanisms and long-term health impacts of T2DM among older adults in Birmingham.</w:t>
      </w:r>
    </w:p>
    <w:p w14:paraId="364948D6" w14:textId="77777777" w:rsidR="000F2E68" w:rsidRPr="000F2E68" w:rsidRDefault="000F2E68" w:rsidP="000F2E68">
      <w:pPr>
        <w:keepNext/>
        <w:keepLines/>
        <w:spacing w:before="360" w:after="80" w:line="278" w:lineRule="auto"/>
        <w:jc w:val="left"/>
        <w:outlineLvl w:val="0"/>
        <w:rPr>
          <w:rFonts w:ascii="Arial" w:eastAsia="Times New Roman" w:hAnsi="Arial" w:cs="Arial"/>
          <w:color w:val="2F5496" w:themeColor="accent1" w:themeShade="BF"/>
          <w:lang w:eastAsia="en-GB"/>
        </w:rPr>
      </w:pPr>
    </w:p>
    <w:p w14:paraId="347C19F3" w14:textId="77777777" w:rsidR="00E61A39" w:rsidRDefault="00E61A39" w:rsidP="000F2E68">
      <w:pPr>
        <w:keepNext/>
        <w:keepLines/>
        <w:spacing w:before="360" w:after="80" w:line="278" w:lineRule="auto"/>
        <w:jc w:val="left"/>
        <w:outlineLvl w:val="0"/>
        <w:rPr>
          <w:rFonts w:asciiTheme="minorHAnsi" w:hAnsiTheme="minorHAnsi"/>
          <w:sz w:val="24"/>
          <w:szCs w:val="24"/>
          <w:lang w:eastAsia="en-GB"/>
        </w:rPr>
      </w:pPr>
    </w:p>
    <w:p w14:paraId="62004A5C" w14:textId="77777777" w:rsidR="00E61A39" w:rsidRDefault="00E61A39" w:rsidP="000F2E68">
      <w:pPr>
        <w:keepNext/>
        <w:keepLines/>
        <w:spacing w:before="360" w:after="80" w:line="278" w:lineRule="auto"/>
        <w:jc w:val="left"/>
        <w:outlineLvl w:val="0"/>
        <w:rPr>
          <w:rFonts w:asciiTheme="minorHAnsi" w:hAnsiTheme="minorHAnsi"/>
          <w:sz w:val="24"/>
          <w:szCs w:val="24"/>
          <w:lang w:eastAsia="en-GB"/>
        </w:rPr>
      </w:pPr>
    </w:p>
    <w:p w14:paraId="4ADCFE74" w14:textId="77777777" w:rsidR="00E61A39" w:rsidRDefault="00E61A39" w:rsidP="000F2E68">
      <w:pPr>
        <w:keepNext/>
        <w:keepLines/>
        <w:spacing w:before="360" w:after="80" w:line="278" w:lineRule="auto"/>
        <w:jc w:val="left"/>
        <w:outlineLvl w:val="0"/>
        <w:rPr>
          <w:rFonts w:asciiTheme="minorHAnsi" w:hAnsiTheme="minorHAnsi"/>
          <w:sz w:val="24"/>
          <w:szCs w:val="24"/>
          <w:lang w:eastAsia="en-GB"/>
        </w:rPr>
      </w:pPr>
    </w:p>
    <w:p w14:paraId="64CAF6E7" w14:textId="77777777" w:rsidR="00E61A39" w:rsidRDefault="00E61A39" w:rsidP="000F2E68">
      <w:pPr>
        <w:keepNext/>
        <w:keepLines/>
        <w:spacing w:before="360" w:after="80" w:line="278" w:lineRule="auto"/>
        <w:jc w:val="left"/>
        <w:outlineLvl w:val="0"/>
        <w:rPr>
          <w:rFonts w:asciiTheme="minorHAnsi" w:hAnsiTheme="minorHAnsi"/>
          <w:sz w:val="24"/>
          <w:szCs w:val="24"/>
          <w:lang w:eastAsia="en-GB"/>
        </w:rPr>
      </w:pPr>
    </w:p>
    <w:p w14:paraId="24B4F94B" w14:textId="77777777" w:rsidR="00356044" w:rsidRPr="00C966D8" w:rsidRDefault="00356044" w:rsidP="00356044">
      <w:pPr>
        <w:keepNext/>
        <w:keepLines/>
        <w:spacing w:before="360" w:after="80"/>
        <w:jc w:val="left"/>
        <w:outlineLvl w:val="0"/>
        <w:rPr>
          <w:rFonts w:ascii="Arial" w:eastAsia="Times New Roman" w:hAnsi="Arial" w:cs="Arial"/>
          <w:color w:val="2F5496" w:themeColor="accent1" w:themeShade="BF"/>
          <w:sz w:val="32"/>
          <w:szCs w:val="32"/>
          <w:lang w:eastAsia="en-GB"/>
        </w:rPr>
      </w:pPr>
    </w:p>
    <w:p w14:paraId="407ABDAE" w14:textId="4F32BB8B" w:rsidR="00880B2D" w:rsidRDefault="00880B2D">
      <w:pPr>
        <w:sectPr w:rsidR="00880B2D" w:rsidSect="009D6A78">
          <w:footerReference w:type="default" r:id="rId19"/>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pPr>
    </w:p>
    <w:p w14:paraId="398427E3" w14:textId="5D4BF177" w:rsidR="00292A36" w:rsidRPr="00695640" w:rsidRDefault="00292A36" w:rsidP="00695640">
      <w:pPr>
        <w:pStyle w:val="Heading2"/>
        <w:rPr>
          <w:rFonts w:ascii="Arial" w:hAnsi="Arial" w:cs="Arial"/>
          <w:sz w:val="36"/>
          <w:szCs w:val="36"/>
        </w:rPr>
      </w:pPr>
      <w:r w:rsidRPr="00695640">
        <w:rPr>
          <w:rFonts w:ascii="Arial" w:hAnsi="Arial" w:cs="Arial"/>
          <w:sz w:val="36"/>
          <w:szCs w:val="36"/>
        </w:rPr>
        <w:t xml:space="preserve">CHAPTER 3 – </w:t>
      </w:r>
      <w:r w:rsidR="00E325CF" w:rsidRPr="00695640">
        <w:rPr>
          <w:rFonts w:ascii="Arial" w:hAnsi="Arial" w:cs="Arial"/>
          <w:sz w:val="36"/>
          <w:szCs w:val="36"/>
        </w:rPr>
        <w:t>Methods and Search Strategy</w:t>
      </w:r>
    </w:p>
    <w:p w14:paraId="482F4167" w14:textId="77777777" w:rsidR="00886EC6" w:rsidRDefault="00886EC6" w:rsidP="00E40B0D">
      <w:pPr>
        <w:pStyle w:val="Heading2"/>
      </w:pPr>
    </w:p>
    <w:p w14:paraId="51B4729D" w14:textId="77E14231" w:rsidR="006F4328" w:rsidRDefault="005D7A1E" w:rsidP="00F74FB8">
      <w:pPr>
        <w:pStyle w:val="Heading2"/>
        <w:rPr>
          <w:rStyle w:val="Strong"/>
          <w:rFonts w:ascii="Arial" w:eastAsia="Calibri Light" w:hAnsi="Arial" w:cs="Arial"/>
          <w:sz w:val="32"/>
          <w:szCs w:val="32"/>
        </w:rPr>
      </w:pPr>
      <w:r w:rsidRPr="00990AB0">
        <w:rPr>
          <w:rFonts w:ascii="Arial" w:hAnsi="Arial" w:cs="Arial"/>
          <w:b/>
          <w:bCs/>
          <w:sz w:val="32"/>
          <w:szCs w:val="32"/>
        </w:rPr>
        <w:t>1</w:t>
      </w:r>
      <w:r w:rsidR="00292A36" w:rsidRPr="00990AB0">
        <w:rPr>
          <w:rFonts w:ascii="Arial" w:hAnsi="Arial" w:cs="Arial"/>
          <w:b/>
          <w:bCs/>
          <w:sz w:val="32"/>
          <w:szCs w:val="32"/>
        </w:rPr>
        <w:t xml:space="preserve"> –</w:t>
      </w:r>
      <w:r w:rsidR="0021364B" w:rsidRPr="00990AB0">
        <w:rPr>
          <w:rFonts w:ascii="Arial" w:hAnsi="Arial" w:cs="Arial"/>
          <w:b/>
          <w:bCs/>
          <w:sz w:val="32"/>
          <w:szCs w:val="32"/>
        </w:rPr>
        <w:t xml:space="preserve"> </w:t>
      </w:r>
      <w:r w:rsidR="00292A36" w:rsidRPr="00990AB0">
        <w:rPr>
          <w:rFonts w:ascii="Arial" w:hAnsi="Arial" w:cs="Arial"/>
          <w:b/>
          <w:bCs/>
          <w:sz w:val="32"/>
          <w:szCs w:val="32"/>
        </w:rPr>
        <w:t xml:space="preserve">Introduction </w:t>
      </w:r>
      <w:r w:rsidR="00F14910" w:rsidRPr="00BB6794">
        <w:rPr>
          <w:rFonts w:ascii="Arial" w:hAnsi="Arial" w:cs="Arial"/>
          <w:b/>
          <w:bCs/>
          <w:sz w:val="32"/>
          <w:szCs w:val="32"/>
        </w:rPr>
        <w:t>Purpose</w:t>
      </w:r>
      <w:r w:rsidR="005B3EDE" w:rsidRPr="00BB6794">
        <w:rPr>
          <w:rStyle w:val="Strong"/>
          <w:rFonts w:ascii="Arial" w:eastAsia="Calibri Light" w:hAnsi="Arial" w:cs="Arial"/>
          <w:b w:val="0"/>
          <w:bCs w:val="0"/>
          <w:sz w:val="32"/>
          <w:szCs w:val="32"/>
        </w:rPr>
        <w:t xml:space="preserve"> </w:t>
      </w:r>
      <w:r w:rsidR="005B3EDE" w:rsidRPr="00BB6794">
        <w:rPr>
          <w:rStyle w:val="Strong"/>
          <w:rFonts w:ascii="Arial" w:eastAsia="Calibri Light" w:hAnsi="Arial" w:cs="Arial"/>
          <w:sz w:val="32"/>
          <w:szCs w:val="32"/>
        </w:rPr>
        <w:t>of the Chapter:</w:t>
      </w:r>
    </w:p>
    <w:p w14:paraId="2AA2D7B7" w14:textId="54DA4C85" w:rsidR="00E63131" w:rsidRDefault="00E63131" w:rsidP="00E63131">
      <w:r w:rsidRPr="008C2450">
        <w:rPr>
          <w:noProof/>
        </w:rPr>
        <w:drawing>
          <wp:anchor distT="0" distB="0" distL="114300" distR="114300" simplePos="0" relativeHeight="251658246" behindDoc="0" locked="0" layoutInCell="1" allowOverlap="1" wp14:anchorId="284F855F" wp14:editId="733DEE40">
            <wp:simplePos x="0" y="0"/>
            <wp:positionH relativeFrom="column">
              <wp:posOffset>347472</wp:posOffset>
            </wp:positionH>
            <wp:positionV relativeFrom="paragraph">
              <wp:posOffset>49403</wp:posOffset>
            </wp:positionV>
            <wp:extent cx="4663440" cy="3602101"/>
            <wp:effectExtent l="0" t="0" r="3810" b="0"/>
            <wp:wrapTopAndBottom/>
            <wp:docPr id="11985471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54717" name="Picture 1">
                      <a:extLst>
                        <a:ext uri="{C183D7F6-B498-43B3-948B-1728B52AA6E4}">
                          <adec:decorative xmlns:adec="http://schemas.microsoft.com/office/drawing/2017/decorative" val="1"/>
                        </a:ext>
                      </a:extLst>
                    </pic:cNvPr>
                    <pic:cNvPicPr/>
                  </pic:nvPicPr>
                  <pic:blipFill>
                    <a:blip r:embed="rId20"/>
                    <a:stretch>
                      <a:fillRect/>
                    </a:stretch>
                  </pic:blipFill>
                  <pic:spPr>
                    <a:xfrm>
                      <a:off x="0" y="0"/>
                      <a:ext cx="4663440" cy="3602101"/>
                    </a:xfrm>
                    <a:prstGeom prst="rect">
                      <a:avLst/>
                    </a:prstGeom>
                  </pic:spPr>
                </pic:pic>
              </a:graphicData>
            </a:graphic>
            <wp14:sizeRelH relativeFrom="margin">
              <wp14:pctWidth>0</wp14:pctWidth>
            </wp14:sizeRelH>
            <wp14:sizeRelV relativeFrom="margin">
              <wp14:pctHeight>0</wp14:pctHeight>
            </wp14:sizeRelV>
          </wp:anchor>
        </w:drawing>
      </w:r>
    </w:p>
    <w:p w14:paraId="0AD1C536" w14:textId="77777777" w:rsidR="00E63131" w:rsidRDefault="00E63131" w:rsidP="00E63131"/>
    <w:tbl>
      <w:tblPr>
        <w:tblStyle w:val="TableGrid"/>
        <w:tblW w:w="0" w:type="auto"/>
        <w:tblLook w:val="04A0" w:firstRow="1" w:lastRow="0" w:firstColumn="1" w:lastColumn="0" w:noHBand="0" w:noVBand="1"/>
      </w:tblPr>
      <w:tblGrid>
        <w:gridCol w:w="9016"/>
      </w:tblGrid>
      <w:tr w:rsidR="00AB1559" w14:paraId="3ED16EC2" w14:textId="77777777" w:rsidTr="00AB1559">
        <w:tc>
          <w:tcPr>
            <w:tcW w:w="9016" w:type="dxa"/>
          </w:tcPr>
          <w:p w14:paraId="3F3C1CCF" w14:textId="2A6A849C" w:rsidR="005F30D3" w:rsidRPr="009B04A8" w:rsidRDefault="00317EF3" w:rsidP="009B04A8">
            <w:pPr>
              <w:spacing w:before="100" w:beforeAutospacing="1" w:after="100" w:afterAutospacing="1"/>
              <w:jc w:val="left"/>
              <w:divId w:val="1703827436"/>
              <w:rPr>
                <w:rFonts w:ascii="Arial" w:eastAsia="Times New Roman" w:hAnsi="Arial" w:cs="Arial"/>
                <w:lang w:eastAsia="en-GB"/>
              </w:rPr>
            </w:pPr>
            <w:r w:rsidRPr="006D4451">
              <w:rPr>
                <w:rFonts w:ascii="Arial" w:eastAsia="Times New Roman" w:hAnsi="Arial" w:cs="Arial"/>
                <w:b/>
                <w:lang w:eastAsia="en-GB"/>
              </w:rPr>
              <w:t>Figure</w:t>
            </w:r>
            <w:r w:rsidR="00051159" w:rsidRPr="006D4451">
              <w:rPr>
                <w:rFonts w:ascii="Arial" w:eastAsia="Times New Roman" w:hAnsi="Arial" w:cs="Arial"/>
                <w:b/>
                <w:bCs/>
                <w:lang w:eastAsia="en-GB"/>
              </w:rPr>
              <w:t xml:space="preserve"> 6</w:t>
            </w:r>
            <w:r w:rsidRPr="006D4451">
              <w:rPr>
                <w:rFonts w:ascii="Arial" w:eastAsia="Times New Roman" w:hAnsi="Arial" w:cs="Arial"/>
                <w:b/>
                <w:lang w:eastAsia="en-GB"/>
              </w:rPr>
              <w:t>:</w:t>
            </w:r>
            <w:r w:rsidRPr="008C2450">
              <w:rPr>
                <w:rFonts w:ascii="Arial" w:eastAsia="Times New Roman" w:hAnsi="Arial" w:cs="Arial"/>
                <w:lang w:eastAsia="en-GB"/>
              </w:rPr>
              <w:t xml:space="preserve"> Aveyard</w:t>
            </w:r>
            <w:r w:rsidR="005F30D3" w:rsidRPr="009B04A8">
              <w:rPr>
                <w:rFonts w:ascii="Arial" w:eastAsia="Times New Roman" w:hAnsi="Arial" w:cs="Arial"/>
                <w:lang w:eastAsia="en-GB"/>
              </w:rPr>
              <w:t xml:space="preserve"> (2019) explains that an effective literature search involves </w:t>
            </w:r>
            <w:bookmarkStart w:id="84" w:name="_Int_Ei3su6nf"/>
            <w:r w:rsidR="005F30D3" w:rsidRPr="009B04A8">
              <w:rPr>
                <w:rFonts w:ascii="Arial" w:eastAsia="Times New Roman" w:hAnsi="Arial" w:cs="Arial"/>
                <w:lang w:eastAsia="en-GB"/>
              </w:rPr>
              <w:t>identifying</w:t>
            </w:r>
            <w:bookmarkEnd w:id="84"/>
            <w:r w:rsidR="005F30D3" w:rsidRPr="009B04A8">
              <w:rPr>
                <w:rFonts w:ascii="Arial" w:eastAsia="Times New Roman" w:hAnsi="Arial" w:cs="Arial"/>
                <w:lang w:eastAsia="en-GB"/>
              </w:rPr>
              <w:t xml:space="preserve"> key concepts and terms, selecting </w:t>
            </w:r>
            <w:bookmarkStart w:id="85" w:name="_Int_0A8Kw8R5"/>
            <w:r w:rsidR="005F30D3" w:rsidRPr="009B04A8">
              <w:rPr>
                <w:rFonts w:ascii="Arial" w:eastAsia="Times New Roman" w:hAnsi="Arial" w:cs="Arial"/>
                <w:lang w:eastAsia="en-GB"/>
              </w:rPr>
              <w:t>appropriate databases</w:t>
            </w:r>
            <w:bookmarkEnd w:id="85"/>
            <w:r w:rsidR="005F30D3" w:rsidRPr="009B04A8">
              <w:rPr>
                <w:rFonts w:ascii="Arial" w:eastAsia="Times New Roman" w:hAnsi="Arial" w:cs="Arial"/>
                <w:lang w:eastAsia="en-GB"/>
              </w:rPr>
              <w:t xml:space="preserve">, developing a search strategy, using Boolean operators, and critically reviewing search results to </w:t>
            </w:r>
            <w:bookmarkStart w:id="86" w:name="_Int_9TQ1CJK8"/>
            <w:r w:rsidR="005F30D3" w:rsidRPr="009B04A8">
              <w:rPr>
                <w:rFonts w:ascii="Arial" w:eastAsia="Times New Roman" w:hAnsi="Arial" w:cs="Arial"/>
                <w:lang w:eastAsia="en-GB"/>
              </w:rPr>
              <w:t>identify</w:t>
            </w:r>
            <w:bookmarkEnd w:id="86"/>
            <w:r w:rsidR="005F30D3" w:rsidRPr="009B04A8">
              <w:rPr>
                <w:rFonts w:ascii="Arial" w:eastAsia="Times New Roman" w:hAnsi="Arial" w:cs="Arial"/>
                <w:lang w:eastAsia="en-GB"/>
              </w:rPr>
              <w:t xml:space="preserve"> relevant evidence.</w:t>
            </w:r>
          </w:p>
          <w:p w14:paraId="56380981" w14:textId="77777777" w:rsidR="00AB1559" w:rsidRDefault="00AB1559" w:rsidP="00E63131"/>
        </w:tc>
      </w:tr>
    </w:tbl>
    <w:p w14:paraId="4E92BFBD" w14:textId="5746944D" w:rsidR="00E63131" w:rsidRPr="00E63131" w:rsidRDefault="00E63131" w:rsidP="00E63131"/>
    <w:p w14:paraId="51CBB753" w14:textId="505BE191" w:rsidR="006F4328" w:rsidRPr="00404F85" w:rsidRDefault="00C70654" w:rsidP="00404F85">
      <w:pPr>
        <w:pStyle w:val="p1"/>
        <w:spacing w:line="360" w:lineRule="auto"/>
        <w:divId w:val="59328856"/>
        <w:rPr>
          <w:rStyle w:val="s1"/>
          <w:rFonts w:ascii="Arial" w:hAnsi="Arial" w:cs="Arial"/>
          <w:sz w:val="22"/>
          <w:szCs w:val="22"/>
        </w:rPr>
      </w:pPr>
      <w:r w:rsidRPr="00404F85">
        <w:rPr>
          <w:rStyle w:val="s1"/>
          <w:rFonts w:ascii="Arial" w:hAnsi="Arial" w:cs="Arial"/>
          <w:sz w:val="22"/>
          <w:szCs w:val="22"/>
        </w:rPr>
        <w:t xml:space="preserve">The purpose of this chapter is to provide a clear and systematic explanation of how this research </w:t>
      </w:r>
      <w:bookmarkStart w:id="87" w:name="_Int_4h8IVVXh"/>
      <w:r w:rsidRPr="00404F85">
        <w:rPr>
          <w:rStyle w:val="s1"/>
          <w:rFonts w:ascii="Arial" w:hAnsi="Arial" w:cs="Arial"/>
          <w:sz w:val="22"/>
          <w:szCs w:val="22"/>
        </w:rPr>
        <w:t>was conducted</w:t>
      </w:r>
      <w:bookmarkEnd w:id="87"/>
      <w:r w:rsidRPr="00404F85">
        <w:rPr>
          <w:rStyle w:val="s1"/>
          <w:rFonts w:ascii="Arial" w:hAnsi="Arial" w:cs="Arial"/>
          <w:sz w:val="22"/>
          <w:szCs w:val="22"/>
        </w:rPr>
        <w:t xml:space="preserve"> using a structured desk-based, literature-based </w:t>
      </w:r>
      <w:bookmarkStart w:id="88" w:name="_Int_hFKGzoIH"/>
      <w:r w:rsidR="00317EF3" w:rsidRPr="00404F85">
        <w:rPr>
          <w:rStyle w:val="s1"/>
          <w:rFonts w:ascii="Arial" w:hAnsi="Arial" w:cs="Arial"/>
          <w:sz w:val="22"/>
          <w:szCs w:val="22"/>
        </w:rPr>
        <w:t>methodology</w:t>
      </w:r>
      <w:bookmarkEnd w:id="88"/>
      <w:r w:rsidR="00317EF3">
        <w:rPr>
          <w:rStyle w:val="s1"/>
          <w:rFonts w:ascii="Arial" w:hAnsi="Arial" w:cs="Arial"/>
          <w:sz w:val="22"/>
          <w:szCs w:val="22"/>
        </w:rPr>
        <w:t xml:space="preserve"> (Aveyard</w:t>
      </w:r>
      <w:r w:rsidR="00BC7AA5">
        <w:rPr>
          <w:rStyle w:val="s1"/>
          <w:rFonts w:ascii="Arial" w:hAnsi="Arial" w:cs="Arial"/>
          <w:sz w:val="22"/>
          <w:szCs w:val="22"/>
        </w:rPr>
        <w:t>, 2019)</w:t>
      </w:r>
      <w:r w:rsidRPr="00404F85">
        <w:rPr>
          <w:rStyle w:val="s1"/>
          <w:rFonts w:ascii="Arial" w:hAnsi="Arial" w:cs="Arial"/>
          <w:sz w:val="22"/>
          <w:szCs w:val="22"/>
        </w:rPr>
        <w:t xml:space="preserve">. As this project explores the physiological mechanisms and long-term health impacts of Type 2 Diabetes Mellitus (T2DM) in older adults living in Birmingham, the use of secondary research enables the synthesis of existing biomedical, clinical, and epidemiological evidence in a rigorous and academically </w:t>
      </w:r>
      <w:bookmarkStart w:id="89" w:name="_Int_L1ojVkev"/>
      <w:r w:rsidRPr="00404F85">
        <w:rPr>
          <w:rStyle w:val="s1"/>
          <w:rFonts w:ascii="Arial" w:hAnsi="Arial" w:cs="Arial"/>
          <w:sz w:val="22"/>
          <w:szCs w:val="22"/>
        </w:rPr>
        <w:t>appropriate manner</w:t>
      </w:r>
      <w:bookmarkEnd w:id="89"/>
      <w:r w:rsidRPr="00404F85">
        <w:rPr>
          <w:rStyle w:val="s1"/>
          <w:rFonts w:ascii="Arial" w:hAnsi="Arial" w:cs="Arial"/>
          <w:sz w:val="22"/>
          <w:szCs w:val="22"/>
        </w:rPr>
        <w:t xml:space="preserve"> (Snyder, 2019). The Academic Methodology Poster presented a visual summary of this process; however, this chapter expands on each </w:t>
      </w:r>
      <w:bookmarkStart w:id="90" w:name="_Int_WWpjx7qZ"/>
      <w:r w:rsidRPr="00404F85">
        <w:rPr>
          <w:rStyle w:val="s1"/>
          <w:rFonts w:ascii="Arial" w:hAnsi="Arial" w:cs="Arial"/>
          <w:sz w:val="22"/>
          <w:szCs w:val="22"/>
        </w:rPr>
        <w:t>component</w:t>
      </w:r>
      <w:bookmarkEnd w:id="90"/>
      <w:r w:rsidRPr="00404F85">
        <w:rPr>
          <w:rStyle w:val="s1"/>
          <w:rFonts w:ascii="Arial" w:hAnsi="Arial" w:cs="Arial"/>
          <w:sz w:val="22"/>
          <w:szCs w:val="22"/>
        </w:rPr>
        <w:t xml:space="preserve"> in detail, including the search strategy, validation procedures, inclusion and exclusion criteria, and thematic analysis </w:t>
      </w:r>
      <w:r w:rsidR="00F14910" w:rsidRPr="00404F85">
        <w:rPr>
          <w:rStyle w:val="s1"/>
          <w:rFonts w:ascii="Arial" w:hAnsi="Arial" w:cs="Arial"/>
          <w:sz w:val="22"/>
          <w:szCs w:val="22"/>
        </w:rPr>
        <w:t>approach.</w:t>
      </w:r>
    </w:p>
    <w:p w14:paraId="0CC93EF2" w14:textId="77777777" w:rsidR="00C70654" w:rsidRPr="00404F85" w:rsidRDefault="00C70654" w:rsidP="00404F85">
      <w:pPr>
        <w:pStyle w:val="p1"/>
        <w:spacing w:line="360" w:lineRule="auto"/>
        <w:divId w:val="59328856"/>
        <w:rPr>
          <w:rFonts w:ascii="Arial" w:hAnsi="Arial" w:cs="Arial"/>
          <w:sz w:val="22"/>
          <w:szCs w:val="22"/>
        </w:rPr>
      </w:pPr>
    </w:p>
    <w:p w14:paraId="7C4A4E91" w14:textId="3EE81855" w:rsidR="00F526CD" w:rsidRPr="00F74FB8" w:rsidRDefault="00F14910" w:rsidP="00F74FB8">
      <w:pPr>
        <w:pStyle w:val="Heading2"/>
        <w:rPr>
          <w:rFonts w:ascii="Arial" w:hAnsi="Arial" w:cs="Arial"/>
          <w:sz w:val="36"/>
          <w:szCs w:val="36"/>
        </w:rPr>
      </w:pPr>
      <w:r w:rsidRPr="00F74FB8">
        <w:rPr>
          <w:rFonts w:ascii="Arial" w:hAnsi="Arial" w:cs="Arial"/>
          <w:b/>
          <w:bCs/>
          <w:sz w:val="36"/>
          <w:szCs w:val="36"/>
        </w:rPr>
        <w:t>Connection</w:t>
      </w:r>
      <w:r w:rsidR="005B3EDE" w:rsidRPr="00F74FB8">
        <w:rPr>
          <w:rStyle w:val="Strong"/>
          <w:rFonts w:ascii="Arial" w:eastAsia="Calibri Light" w:hAnsi="Arial" w:cs="Arial"/>
          <w:sz w:val="36"/>
          <w:szCs w:val="36"/>
        </w:rPr>
        <w:t xml:space="preserve"> to the Dissertation:</w:t>
      </w:r>
    </w:p>
    <w:p w14:paraId="366BB9BC" w14:textId="119800B5" w:rsidR="00CF4479" w:rsidRPr="00404F85" w:rsidRDefault="003E4ECE" w:rsidP="00404F85">
      <w:pPr>
        <w:pStyle w:val="p1"/>
        <w:spacing w:line="360" w:lineRule="auto"/>
        <w:divId w:val="1108699638"/>
        <w:rPr>
          <w:rFonts w:ascii="Arial" w:hAnsi="Arial" w:cs="Arial"/>
          <w:sz w:val="22"/>
          <w:szCs w:val="22"/>
        </w:rPr>
      </w:pPr>
      <w:r w:rsidRPr="00404F85">
        <w:rPr>
          <w:rStyle w:val="s1"/>
          <w:rFonts w:ascii="Arial" w:hAnsi="Arial" w:cs="Arial"/>
          <w:sz w:val="22"/>
          <w:szCs w:val="22"/>
        </w:rPr>
        <w:t xml:space="preserve">The methods outlined in this chapter are fundamental to the dissertation, as they </w:t>
      </w:r>
      <w:bookmarkStart w:id="91" w:name="_Int_dWM08NGY"/>
      <w:r w:rsidRPr="00404F85">
        <w:rPr>
          <w:rStyle w:val="s1"/>
          <w:rFonts w:ascii="Arial" w:hAnsi="Arial" w:cs="Arial"/>
          <w:sz w:val="22"/>
          <w:szCs w:val="22"/>
        </w:rPr>
        <w:t>determine</w:t>
      </w:r>
      <w:bookmarkEnd w:id="91"/>
      <w:r w:rsidRPr="00404F85">
        <w:rPr>
          <w:rStyle w:val="s1"/>
          <w:rFonts w:ascii="Arial" w:hAnsi="Arial" w:cs="Arial"/>
          <w:sz w:val="22"/>
          <w:szCs w:val="22"/>
        </w:rPr>
        <w:t xml:space="preserve"> the quality, relevance, and credibility of the literature selected. The systematic identification and analysis of sources directly inform the thematic findings presented in Chapter 4, ensuring that conclusions </w:t>
      </w:r>
      <w:bookmarkStart w:id="92" w:name="_Int_ie8fVY0U"/>
      <w:r w:rsidRPr="00404F85">
        <w:rPr>
          <w:rStyle w:val="s1"/>
          <w:rFonts w:ascii="Arial" w:hAnsi="Arial" w:cs="Arial"/>
          <w:sz w:val="22"/>
          <w:szCs w:val="22"/>
        </w:rPr>
        <w:t>are grounded</w:t>
      </w:r>
      <w:bookmarkEnd w:id="92"/>
      <w:r w:rsidRPr="00404F85">
        <w:rPr>
          <w:rStyle w:val="s1"/>
          <w:rFonts w:ascii="Arial" w:hAnsi="Arial" w:cs="Arial"/>
          <w:sz w:val="22"/>
          <w:szCs w:val="22"/>
        </w:rPr>
        <w:t xml:space="preserve"> in robust academic evidence.</w:t>
      </w:r>
    </w:p>
    <w:p w14:paraId="390625B0" w14:textId="77777777" w:rsidR="001B726B" w:rsidRDefault="001B726B" w:rsidP="00A6214C">
      <w:pPr>
        <w:pStyle w:val="Heading2"/>
        <w:rPr>
          <w:rFonts w:ascii="Arial" w:hAnsi="Arial" w:cs="Arial"/>
          <w:b/>
          <w:bCs/>
          <w:sz w:val="32"/>
          <w:szCs w:val="32"/>
        </w:rPr>
      </w:pPr>
    </w:p>
    <w:p w14:paraId="379B4F9F" w14:textId="68009A4D" w:rsidR="005B3EDE" w:rsidRPr="00A6214C" w:rsidRDefault="00292A36" w:rsidP="00A6214C">
      <w:pPr>
        <w:pStyle w:val="Heading2"/>
        <w:rPr>
          <w:rFonts w:ascii="Arial" w:hAnsi="Arial" w:cs="Arial"/>
          <w:b/>
          <w:bCs/>
          <w:sz w:val="32"/>
          <w:szCs w:val="32"/>
        </w:rPr>
      </w:pPr>
      <w:r w:rsidRPr="00A6214C">
        <w:rPr>
          <w:rFonts w:ascii="Arial" w:hAnsi="Arial" w:cs="Arial"/>
          <w:b/>
          <w:bCs/>
          <w:sz w:val="32"/>
          <w:szCs w:val="32"/>
        </w:rPr>
        <w:t>3.</w:t>
      </w:r>
      <w:r w:rsidR="00E40B0D" w:rsidRPr="00A6214C">
        <w:rPr>
          <w:rFonts w:ascii="Arial" w:hAnsi="Arial" w:cs="Arial"/>
          <w:b/>
          <w:bCs/>
          <w:sz w:val="32"/>
          <w:szCs w:val="32"/>
        </w:rPr>
        <w:t>2</w:t>
      </w:r>
      <w:r w:rsidRPr="00A6214C">
        <w:rPr>
          <w:rFonts w:ascii="Arial" w:hAnsi="Arial" w:cs="Arial"/>
          <w:b/>
          <w:bCs/>
          <w:sz w:val="32"/>
          <w:szCs w:val="32"/>
        </w:rPr>
        <w:t xml:space="preserve"> – Search Strategy </w:t>
      </w:r>
      <w:r w:rsidR="005B3EDE" w:rsidRPr="00A6214C">
        <w:rPr>
          <w:rFonts w:ascii="Arial" w:hAnsi="Arial" w:cs="Arial"/>
          <w:b/>
          <w:bCs/>
          <w:sz w:val="32"/>
          <w:szCs w:val="32"/>
        </w:rPr>
        <w:t>Developing Keywords:</w:t>
      </w:r>
    </w:p>
    <w:p w14:paraId="5C527D86" w14:textId="1F5D399E" w:rsidR="00732FFC" w:rsidRPr="00404F85" w:rsidRDefault="00732FFC" w:rsidP="00404F85">
      <w:pPr>
        <w:pStyle w:val="p1"/>
        <w:spacing w:line="360" w:lineRule="auto"/>
        <w:divId w:val="596593996"/>
        <w:rPr>
          <w:rFonts w:ascii="Arial" w:hAnsi="Arial" w:cs="Arial"/>
          <w:sz w:val="22"/>
          <w:szCs w:val="22"/>
        </w:rPr>
      </w:pPr>
      <w:r w:rsidRPr="00404F85">
        <w:rPr>
          <w:rStyle w:val="s1"/>
          <w:rFonts w:ascii="Arial" w:hAnsi="Arial" w:cs="Arial"/>
          <w:sz w:val="22"/>
          <w:szCs w:val="22"/>
        </w:rPr>
        <w:t xml:space="preserve">The search strategy </w:t>
      </w:r>
      <w:bookmarkStart w:id="93" w:name="_Int_PriFXqA4"/>
      <w:r w:rsidRPr="00404F85">
        <w:rPr>
          <w:rStyle w:val="s1"/>
          <w:rFonts w:ascii="Arial" w:hAnsi="Arial" w:cs="Arial"/>
          <w:sz w:val="22"/>
          <w:szCs w:val="22"/>
        </w:rPr>
        <w:t>was derived</w:t>
      </w:r>
      <w:bookmarkEnd w:id="93"/>
      <w:r w:rsidRPr="00404F85">
        <w:rPr>
          <w:rStyle w:val="s1"/>
          <w:rFonts w:ascii="Arial" w:hAnsi="Arial" w:cs="Arial"/>
          <w:sz w:val="22"/>
          <w:szCs w:val="22"/>
        </w:rPr>
        <w:t xml:space="preserve"> directly from the research question. Primary keywords included: </w:t>
      </w:r>
      <w:r w:rsidRPr="00404F85">
        <w:rPr>
          <w:rStyle w:val="s2"/>
          <w:rFonts w:ascii="Arial" w:hAnsi="Arial" w:cs="Arial"/>
          <w:sz w:val="22"/>
          <w:szCs w:val="22"/>
        </w:rPr>
        <w:t>Type 2 Diabetes Mellitus</w:t>
      </w:r>
      <w:r w:rsidRPr="00404F85">
        <w:rPr>
          <w:rStyle w:val="s1"/>
          <w:rFonts w:ascii="Arial" w:hAnsi="Arial" w:cs="Arial"/>
          <w:sz w:val="22"/>
          <w:szCs w:val="22"/>
        </w:rPr>
        <w:t xml:space="preserve">, </w:t>
      </w:r>
      <w:r w:rsidRPr="00404F85">
        <w:rPr>
          <w:rStyle w:val="s2"/>
          <w:rFonts w:ascii="Arial" w:hAnsi="Arial" w:cs="Arial"/>
          <w:sz w:val="22"/>
          <w:szCs w:val="22"/>
        </w:rPr>
        <w:t>physiological mechanisms</w:t>
      </w:r>
      <w:r w:rsidRPr="00404F85">
        <w:rPr>
          <w:rStyle w:val="s1"/>
          <w:rFonts w:ascii="Arial" w:hAnsi="Arial" w:cs="Arial"/>
          <w:sz w:val="22"/>
          <w:szCs w:val="22"/>
        </w:rPr>
        <w:t xml:space="preserve">, </w:t>
      </w:r>
      <w:r w:rsidRPr="00404F85">
        <w:rPr>
          <w:rStyle w:val="s2"/>
          <w:rFonts w:ascii="Arial" w:hAnsi="Arial" w:cs="Arial"/>
          <w:sz w:val="22"/>
          <w:szCs w:val="22"/>
        </w:rPr>
        <w:t>pathophysiology</w:t>
      </w:r>
      <w:r w:rsidRPr="00404F85">
        <w:rPr>
          <w:rStyle w:val="s1"/>
          <w:rFonts w:ascii="Arial" w:hAnsi="Arial" w:cs="Arial"/>
          <w:sz w:val="22"/>
          <w:szCs w:val="22"/>
        </w:rPr>
        <w:t xml:space="preserve">, </w:t>
      </w:r>
      <w:r w:rsidRPr="00404F85">
        <w:rPr>
          <w:rStyle w:val="s2"/>
          <w:rFonts w:ascii="Arial" w:hAnsi="Arial" w:cs="Arial"/>
          <w:sz w:val="22"/>
          <w:szCs w:val="22"/>
        </w:rPr>
        <w:t>long-term complications</w:t>
      </w:r>
      <w:r w:rsidRPr="00404F85">
        <w:rPr>
          <w:rStyle w:val="s1"/>
          <w:rFonts w:ascii="Arial" w:hAnsi="Arial" w:cs="Arial"/>
          <w:sz w:val="22"/>
          <w:szCs w:val="22"/>
        </w:rPr>
        <w:t xml:space="preserve">, </w:t>
      </w:r>
      <w:r w:rsidRPr="00404F85">
        <w:rPr>
          <w:rStyle w:val="s2"/>
          <w:rFonts w:ascii="Arial" w:hAnsi="Arial" w:cs="Arial"/>
          <w:sz w:val="22"/>
          <w:szCs w:val="22"/>
        </w:rPr>
        <w:t>older adults</w:t>
      </w:r>
      <w:r w:rsidRPr="00404F85">
        <w:rPr>
          <w:rStyle w:val="s1"/>
          <w:rFonts w:ascii="Arial" w:hAnsi="Arial" w:cs="Arial"/>
          <w:sz w:val="22"/>
          <w:szCs w:val="22"/>
        </w:rPr>
        <w:t xml:space="preserve">, </w:t>
      </w:r>
      <w:r w:rsidRPr="00404F85">
        <w:rPr>
          <w:rStyle w:val="s2"/>
          <w:rFonts w:ascii="Arial" w:hAnsi="Arial" w:cs="Arial"/>
          <w:sz w:val="22"/>
          <w:szCs w:val="22"/>
        </w:rPr>
        <w:t>elderly</w:t>
      </w:r>
      <w:r w:rsidRPr="00404F85">
        <w:rPr>
          <w:rStyle w:val="s1"/>
          <w:rFonts w:ascii="Arial" w:hAnsi="Arial" w:cs="Arial"/>
          <w:sz w:val="22"/>
          <w:szCs w:val="22"/>
        </w:rPr>
        <w:t xml:space="preserve">, </w:t>
      </w:r>
      <w:r w:rsidRPr="00404F85">
        <w:rPr>
          <w:rStyle w:val="s2"/>
          <w:rFonts w:ascii="Arial" w:hAnsi="Arial" w:cs="Arial"/>
          <w:sz w:val="22"/>
          <w:szCs w:val="22"/>
        </w:rPr>
        <w:t>ageing</w:t>
      </w:r>
      <w:r w:rsidRPr="00404F85">
        <w:rPr>
          <w:rStyle w:val="s1"/>
          <w:rFonts w:ascii="Arial" w:hAnsi="Arial" w:cs="Arial"/>
          <w:sz w:val="22"/>
          <w:szCs w:val="22"/>
        </w:rPr>
        <w:t xml:space="preserve">, and </w:t>
      </w:r>
      <w:r w:rsidRPr="00404F85">
        <w:rPr>
          <w:rStyle w:val="s2"/>
          <w:rFonts w:ascii="Arial" w:hAnsi="Arial" w:cs="Arial"/>
          <w:sz w:val="22"/>
          <w:szCs w:val="22"/>
        </w:rPr>
        <w:t>Birmingham</w:t>
      </w:r>
      <w:r w:rsidRPr="00404F85">
        <w:rPr>
          <w:rStyle w:val="s1"/>
          <w:rFonts w:ascii="Arial" w:hAnsi="Arial" w:cs="Arial"/>
          <w:sz w:val="22"/>
          <w:szCs w:val="22"/>
        </w:rPr>
        <w:t xml:space="preserve">. To enhance sensitivity, medical terminology and synonyms </w:t>
      </w:r>
      <w:bookmarkStart w:id="94" w:name="_Int_R8p5dmjl"/>
      <w:r w:rsidRPr="00404F85">
        <w:rPr>
          <w:rStyle w:val="s1"/>
          <w:rFonts w:ascii="Arial" w:hAnsi="Arial" w:cs="Arial"/>
          <w:sz w:val="22"/>
          <w:szCs w:val="22"/>
        </w:rPr>
        <w:t>were incorporated</w:t>
      </w:r>
      <w:bookmarkEnd w:id="94"/>
      <w:r w:rsidRPr="00404F85">
        <w:rPr>
          <w:rStyle w:val="s1"/>
          <w:rFonts w:ascii="Arial" w:hAnsi="Arial" w:cs="Arial"/>
          <w:sz w:val="22"/>
          <w:szCs w:val="22"/>
        </w:rPr>
        <w:t xml:space="preserve">, such as </w:t>
      </w:r>
      <w:r w:rsidRPr="00404F85">
        <w:rPr>
          <w:rStyle w:val="s2"/>
          <w:rFonts w:ascii="Arial" w:hAnsi="Arial" w:cs="Arial"/>
          <w:sz w:val="22"/>
          <w:szCs w:val="22"/>
        </w:rPr>
        <w:t>T2DM</w:t>
      </w:r>
      <w:r w:rsidRPr="00404F85">
        <w:rPr>
          <w:rStyle w:val="s1"/>
          <w:rFonts w:ascii="Arial" w:hAnsi="Arial" w:cs="Arial"/>
          <w:sz w:val="22"/>
          <w:szCs w:val="22"/>
        </w:rPr>
        <w:t xml:space="preserve">, </w:t>
      </w:r>
      <w:r w:rsidRPr="00404F85">
        <w:rPr>
          <w:rStyle w:val="s2"/>
          <w:rFonts w:ascii="Arial" w:hAnsi="Arial" w:cs="Arial"/>
          <w:sz w:val="22"/>
          <w:szCs w:val="22"/>
        </w:rPr>
        <w:t>insulin resistance</w:t>
      </w:r>
      <w:r w:rsidRPr="00404F85">
        <w:rPr>
          <w:rStyle w:val="s1"/>
          <w:rFonts w:ascii="Arial" w:hAnsi="Arial" w:cs="Arial"/>
          <w:sz w:val="22"/>
          <w:szCs w:val="22"/>
        </w:rPr>
        <w:t xml:space="preserve">, </w:t>
      </w:r>
      <w:r w:rsidRPr="00404F85">
        <w:rPr>
          <w:rStyle w:val="s2"/>
          <w:rFonts w:ascii="Arial" w:hAnsi="Arial" w:cs="Arial"/>
          <w:sz w:val="22"/>
          <w:szCs w:val="22"/>
        </w:rPr>
        <w:t>beta-cell dysfunction</w:t>
      </w:r>
      <w:r w:rsidRPr="00404F85">
        <w:rPr>
          <w:rStyle w:val="s1"/>
          <w:rFonts w:ascii="Arial" w:hAnsi="Arial" w:cs="Arial"/>
          <w:sz w:val="22"/>
          <w:szCs w:val="22"/>
        </w:rPr>
        <w:t xml:space="preserve">, </w:t>
      </w:r>
      <w:r w:rsidRPr="00404F85">
        <w:rPr>
          <w:rStyle w:val="s2"/>
          <w:rFonts w:ascii="Arial" w:hAnsi="Arial" w:cs="Arial"/>
          <w:sz w:val="22"/>
          <w:szCs w:val="22"/>
        </w:rPr>
        <w:t>microvascular complications</w:t>
      </w:r>
      <w:r w:rsidRPr="00404F85">
        <w:rPr>
          <w:rStyle w:val="s1"/>
          <w:rFonts w:ascii="Arial" w:hAnsi="Arial" w:cs="Arial"/>
          <w:sz w:val="22"/>
          <w:szCs w:val="22"/>
        </w:rPr>
        <w:t xml:space="preserve">, </w:t>
      </w:r>
      <w:r w:rsidRPr="00404F85">
        <w:rPr>
          <w:rStyle w:val="s2"/>
          <w:rFonts w:ascii="Arial" w:hAnsi="Arial" w:cs="Arial"/>
          <w:sz w:val="22"/>
          <w:szCs w:val="22"/>
        </w:rPr>
        <w:t>microvascular complications</w:t>
      </w:r>
      <w:r w:rsidRPr="00404F85">
        <w:rPr>
          <w:rStyle w:val="s1"/>
          <w:rFonts w:ascii="Arial" w:hAnsi="Arial" w:cs="Arial"/>
          <w:sz w:val="22"/>
          <w:szCs w:val="22"/>
        </w:rPr>
        <w:t xml:space="preserve">, and </w:t>
      </w:r>
      <w:r w:rsidRPr="00404F85">
        <w:rPr>
          <w:rStyle w:val="s2"/>
          <w:rFonts w:ascii="Arial" w:hAnsi="Arial" w:cs="Arial"/>
          <w:sz w:val="22"/>
          <w:szCs w:val="22"/>
        </w:rPr>
        <w:t>geriatric population</w:t>
      </w:r>
      <w:r w:rsidRPr="00404F85">
        <w:rPr>
          <w:rStyle w:val="s1"/>
          <w:rFonts w:ascii="Arial" w:hAnsi="Arial" w:cs="Arial"/>
          <w:sz w:val="22"/>
          <w:szCs w:val="22"/>
        </w:rPr>
        <w:t xml:space="preserve"> (DeFronzo et al., 2015; Zheng et al., 2018).</w:t>
      </w:r>
    </w:p>
    <w:p w14:paraId="4429E63B" w14:textId="77777777" w:rsidR="001B726B" w:rsidRDefault="001B726B" w:rsidP="00A6214C">
      <w:pPr>
        <w:pStyle w:val="Heading2"/>
        <w:rPr>
          <w:rFonts w:ascii="Arial" w:hAnsi="Arial" w:cs="Arial"/>
          <w:b/>
          <w:bCs/>
          <w:sz w:val="36"/>
          <w:szCs w:val="36"/>
        </w:rPr>
      </w:pPr>
    </w:p>
    <w:p w14:paraId="5BED73AF" w14:textId="54851CDA" w:rsidR="005B3EDE" w:rsidRPr="00A6214C" w:rsidRDefault="005B3EDE" w:rsidP="00A6214C">
      <w:pPr>
        <w:pStyle w:val="Heading2"/>
        <w:rPr>
          <w:rFonts w:ascii="Arial" w:hAnsi="Arial" w:cs="Arial"/>
          <w:b/>
          <w:bCs/>
          <w:sz w:val="36"/>
          <w:szCs w:val="36"/>
        </w:rPr>
      </w:pPr>
      <w:r w:rsidRPr="00A6214C">
        <w:rPr>
          <w:rFonts w:ascii="Arial" w:hAnsi="Arial" w:cs="Arial"/>
          <w:b/>
          <w:bCs/>
          <w:sz w:val="36"/>
          <w:szCs w:val="36"/>
        </w:rPr>
        <w:t>Boolean Operators:</w:t>
      </w:r>
    </w:p>
    <w:p w14:paraId="1B4741F4" w14:textId="77777777" w:rsidR="00E630DF" w:rsidRPr="00404F85" w:rsidRDefault="00E630DF" w:rsidP="00A6214C">
      <w:pPr>
        <w:pStyle w:val="p1"/>
        <w:spacing w:line="360" w:lineRule="auto"/>
        <w:divId w:val="1206865451"/>
        <w:rPr>
          <w:rFonts w:ascii="Arial" w:hAnsi="Arial" w:cs="Arial"/>
          <w:sz w:val="22"/>
          <w:szCs w:val="22"/>
        </w:rPr>
      </w:pPr>
      <w:r w:rsidRPr="00404F85">
        <w:rPr>
          <w:rStyle w:val="s1"/>
          <w:rFonts w:ascii="Arial" w:hAnsi="Arial" w:cs="Arial"/>
          <w:sz w:val="22"/>
          <w:szCs w:val="22"/>
        </w:rPr>
        <w:t xml:space="preserve">Boolean operators </w:t>
      </w:r>
      <w:bookmarkStart w:id="95" w:name="_Int_8sm709O3"/>
      <w:r w:rsidRPr="00404F85">
        <w:rPr>
          <w:rStyle w:val="s1"/>
          <w:rFonts w:ascii="Arial" w:hAnsi="Arial" w:cs="Arial"/>
          <w:sz w:val="22"/>
          <w:szCs w:val="22"/>
        </w:rPr>
        <w:t>were systematically applied</w:t>
      </w:r>
      <w:bookmarkEnd w:id="95"/>
      <w:r w:rsidRPr="00404F85">
        <w:rPr>
          <w:rStyle w:val="s1"/>
          <w:rFonts w:ascii="Arial" w:hAnsi="Arial" w:cs="Arial"/>
          <w:sz w:val="22"/>
          <w:szCs w:val="22"/>
        </w:rPr>
        <w:t xml:space="preserve"> to refine results. For example:</w:t>
      </w:r>
    </w:p>
    <w:p w14:paraId="17B9FC65" w14:textId="77777777" w:rsidR="00E630DF" w:rsidRPr="00404F85" w:rsidRDefault="00E630DF" w:rsidP="00A6214C">
      <w:pPr>
        <w:pStyle w:val="p1"/>
        <w:numPr>
          <w:ilvl w:val="0"/>
          <w:numId w:val="109"/>
        </w:numPr>
        <w:spacing w:line="360" w:lineRule="auto"/>
        <w:divId w:val="1206865451"/>
        <w:rPr>
          <w:rFonts w:ascii="Arial" w:hAnsi="Arial" w:cs="Arial"/>
          <w:sz w:val="22"/>
          <w:szCs w:val="22"/>
        </w:rPr>
      </w:pPr>
      <w:r w:rsidRPr="00404F85">
        <w:rPr>
          <w:rStyle w:val="s1"/>
          <w:rFonts w:ascii="Arial" w:hAnsi="Arial" w:cs="Arial"/>
          <w:sz w:val="22"/>
          <w:szCs w:val="22"/>
        </w:rPr>
        <w:t>“Type 2 Diabetes Mellitus” AND “older adults”</w:t>
      </w:r>
    </w:p>
    <w:p w14:paraId="55145E7F" w14:textId="77777777" w:rsidR="00E630DF" w:rsidRPr="00404F85" w:rsidRDefault="00E630DF" w:rsidP="00A6214C">
      <w:pPr>
        <w:pStyle w:val="p1"/>
        <w:numPr>
          <w:ilvl w:val="0"/>
          <w:numId w:val="109"/>
        </w:numPr>
        <w:spacing w:line="360" w:lineRule="auto"/>
        <w:divId w:val="1206865451"/>
        <w:rPr>
          <w:rFonts w:ascii="Arial" w:hAnsi="Arial" w:cs="Arial"/>
          <w:sz w:val="22"/>
          <w:szCs w:val="22"/>
        </w:rPr>
      </w:pPr>
      <w:r w:rsidRPr="00404F85">
        <w:rPr>
          <w:rStyle w:val="s1"/>
          <w:rFonts w:ascii="Arial" w:hAnsi="Arial" w:cs="Arial"/>
          <w:sz w:val="22"/>
          <w:szCs w:val="22"/>
        </w:rPr>
        <w:t>“T2DM” AND “pathophysiology”</w:t>
      </w:r>
    </w:p>
    <w:p w14:paraId="097A03A2" w14:textId="7C136903" w:rsidR="00E630DF" w:rsidRPr="00404F85" w:rsidRDefault="00E630DF" w:rsidP="00A6214C">
      <w:pPr>
        <w:pStyle w:val="p1"/>
        <w:numPr>
          <w:ilvl w:val="0"/>
          <w:numId w:val="109"/>
        </w:numPr>
        <w:spacing w:line="360" w:lineRule="auto"/>
        <w:divId w:val="1206865451"/>
        <w:rPr>
          <w:rFonts w:ascii="Arial" w:hAnsi="Arial" w:cs="Arial"/>
          <w:sz w:val="22"/>
          <w:szCs w:val="22"/>
        </w:rPr>
      </w:pPr>
      <w:r w:rsidRPr="00404F85">
        <w:rPr>
          <w:rStyle w:val="s1"/>
          <w:rFonts w:ascii="Arial" w:hAnsi="Arial" w:cs="Arial"/>
          <w:sz w:val="22"/>
          <w:szCs w:val="22"/>
        </w:rPr>
        <w:t>“</w:t>
      </w:r>
      <w:r w:rsidR="00641BDD" w:rsidRPr="00404F85">
        <w:rPr>
          <w:rStyle w:val="s1"/>
          <w:rFonts w:ascii="Arial" w:hAnsi="Arial" w:cs="Arial"/>
          <w:sz w:val="22"/>
          <w:szCs w:val="22"/>
        </w:rPr>
        <w:t>Insulin</w:t>
      </w:r>
      <w:r w:rsidRPr="00404F85">
        <w:rPr>
          <w:rStyle w:val="s1"/>
          <w:rFonts w:ascii="Arial" w:hAnsi="Arial" w:cs="Arial"/>
          <w:sz w:val="22"/>
          <w:szCs w:val="22"/>
        </w:rPr>
        <w:t xml:space="preserve"> resistance” AND “ageing”</w:t>
      </w:r>
    </w:p>
    <w:p w14:paraId="543B4D96" w14:textId="72F0EC66" w:rsidR="005B068F" w:rsidRPr="00404F85" w:rsidRDefault="00E630DF" w:rsidP="00A6214C">
      <w:pPr>
        <w:pStyle w:val="p1"/>
        <w:numPr>
          <w:ilvl w:val="0"/>
          <w:numId w:val="109"/>
        </w:numPr>
        <w:spacing w:line="360" w:lineRule="auto"/>
        <w:rPr>
          <w:rStyle w:val="s1"/>
          <w:rFonts w:ascii="Arial" w:hAnsi="Arial" w:cs="Arial"/>
          <w:sz w:val="22"/>
          <w:szCs w:val="22"/>
        </w:rPr>
      </w:pPr>
      <w:r w:rsidRPr="00404F85">
        <w:rPr>
          <w:rStyle w:val="s1"/>
          <w:rFonts w:ascii="Arial" w:hAnsi="Arial" w:cs="Arial"/>
          <w:sz w:val="22"/>
          <w:szCs w:val="22"/>
        </w:rPr>
        <w:t>“Type 2 Diabetes” AND (“Birmingham” OR “United Kingdom</w:t>
      </w:r>
      <w:r w:rsidR="005B068F" w:rsidRPr="00404F85">
        <w:rPr>
          <w:rStyle w:val="s1"/>
          <w:rFonts w:ascii="Arial" w:hAnsi="Arial" w:cs="Arial"/>
          <w:sz w:val="22"/>
          <w:szCs w:val="22"/>
        </w:rPr>
        <w:t>.</w:t>
      </w:r>
    </w:p>
    <w:p w14:paraId="5B6CD77D" w14:textId="5790001B" w:rsidR="00582542" w:rsidRPr="00404F85" w:rsidRDefault="005019D4" w:rsidP="00A6214C">
      <w:pPr>
        <w:pStyle w:val="p1"/>
        <w:spacing w:line="360" w:lineRule="auto"/>
        <w:divId w:val="277179041"/>
        <w:rPr>
          <w:rFonts w:ascii="Arial" w:hAnsi="Arial" w:cs="Arial"/>
          <w:sz w:val="22"/>
          <w:szCs w:val="22"/>
        </w:rPr>
      </w:pPr>
      <w:r w:rsidRPr="00404F85">
        <w:rPr>
          <w:rStyle w:val="s1"/>
          <w:rFonts w:ascii="Arial" w:hAnsi="Arial" w:cs="Arial"/>
          <w:sz w:val="22"/>
          <w:szCs w:val="22"/>
        </w:rPr>
        <w:t xml:space="preserve">The operator OR broadened searches by capturing alternative terminology, while AND narrowed results to ensure conceptual relevance. NOT </w:t>
      </w:r>
      <w:bookmarkStart w:id="96" w:name="_Int_v8pSYCeC"/>
      <w:r w:rsidRPr="00404F85">
        <w:rPr>
          <w:rStyle w:val="s1"/>
          <w:rFonts w:ascii="Arial" w:hAnsi="Arial" w:cs="Arial"/>
          <w:sz w:val="22"/>
          <w:szCs w:val="22"/>
        </w:rPr>
        <w:t>was occasionally used</w:t>
      </w:r>
      <w:bookmarkEnd w:id="96"/>
      <w:r w:rsidRPr="00404F85">
        <w:rPr>
          <w:rStyle w:val="s1"/>
          <w:rFonts w:ascii="Arial" w:hAnsi="Arial" w:cs="Arial"/>
          <w:sz w:val="22"/>
          <w:szCs w:val="22"/>
        </w:rPr>
        <w:t xml:space="preserve"> to exclude studies focused exclusively on Type 1 Diabetes.</w:t>
      </w:r>
    </w:p>
    <w:p w14:paraId="0D37A907" w14:textId="5DF35914" w:rsidR="00BD29AC" w:rsidRDefault="005B3EDE" w:rsidP="00A6214C">
      <w:pPr>
        <w:pStyle w:val="Heading2"/>
        <w:rPr>
          <w:rFonts w:ascii="Arial" w:hAnsi="Arial" w:cs="Arial"/>
          <w:b/>
          <w:bCs/>
          <w:sz w:val="36"/>
          <w:szCs w:val="36"/>
        </w:rPr>
      </w:pPr>
      <w:r w:rsidRPr="00A6214C">
        <w:rPr>
          <w:rFonts w:ascii="Arial" w:hAnsi="Arial" w:cs="Arial"/>
          <w:b/>
          <w:bCs/>
          <w:sz w:val="36"/>
          <w:szCs w:val="36"/>
        </w:rPr>
        <w:t>Structured Search Plan:</w:t>
      </w:r>
    </w:p>
    <w:p w14:paraId="55A33922" w14:textId="77777777" w:rsidR="00FE31E8" w:rsidRPr="00FE31E8" w:rsidRDefault="00FE31E8" w:rsidP="00FE31E8"/>
    <w:p w14:paraId="4815DA16" w14:textId="77777777" w:rsidR="009B35F9" w:rsidRPr="00404F85" w:rsidRDefault="009B35F9" w:rsidP="00404F85">
      <w:pPr>
        <w:rPr>
          <w:rFonts w:ascii="Arial" w:hAnsi="Arial" w:cs="Arial"/>
        </w:rPr>
      </w:pPr>
      <w:r w:rsidRPr="00404F85">
        <w:rPr>
          <w:rStyle w:val="s1"/>
          <w:rFonts w:ascii="Arial" w:hAnsi="Arial" w:cs="Arial"/>
        </w:rPr>
        <w:t xml:space="preserve">A structured search log was </w:t>
      </w:r>
      <w:bookmarkStart w:id="97" w:name="_Int_RFVCsd8j"/>
      <w:r w:rsidRPr="00404F85">
        <w:rPr>
          <w:rStyle w:val="s1"/>
          <w:rFonts w:ascii="Arial" w:hAnsi="Arial" w:cs="Arial"/>
        </w:rPr>
        <w:t>maintained</w:t>
      </w:r>
      <w:bookmarkEnd w:id="97"/>
      <w:r w:rsidRPr="00404F85">
        <w:rPr>
          <w:rStyle w:val="s1"/>
          <w:rFonts w:ascii="Arial" w:hAnsi="Arial" w:cs="Arial"/>
        </w:rPr>
        <w:t xml:space="preserve"> to record databases used, search strings, filters applied, and number of results retrieved. This systematic documentation enhances transparency and replicability, consistent with best practice in literature-based research (Page et al., 2021).</w:t>
      </w:r>
    </w:p>
    <w:p w14:paraId="0293381E" w14:textId="77777777" w:rsidR="00D13A82" w:rsidRPr="00404F85" w:rsidRDefault="00D13A82" w:rsidP="00404F85">
      <w:pPr>
        <w:rPr>
          <w:rFonts w:ascii="Arial" w:hAnsi="Arial" w:cs="Arial"/>
        </w:rPr>
      </w:pPr>
    </w:p>
    <w:p w14:paraId="7C97A730" w14:textId="56973A79" w:rsidR="00B575E2" w:rsidRPr="00FE31E8" w:rsidRDefault="00292A36" w:rsidP="00404F85">
      <w:pPr>
        <w:pStyle w:val="Heading2"/>
        <w:numPr>
          <w:ilvl w:val="1"/>
          <w:numId w:val="81"/>
        </w:numPr>
        <w:jc w:val="left"/>
        <w:rPr>
          <w:rFonts w:ascii="Arial" w:hAnsi="Arial" w:cs="Arial"/>
          <w:b/>
          <w:bCs/>
          <w:sz w:val="32"/>
          <w:szCs w:val="32"/>
        </w:rPr>
      </w:pPr>
      <w:r w:rsidRPr="00FE31E8">
        <w:rPr>
          <w:rFonts w:ascii="Arial" w:hAnsi="Arial" w:cs="Arial"/>
          <w:b/>
          <w:bCs/>
          <w:sz w:val="22"/>
          <w:szCs w:val="22"/>
        </w:rPr>
        <w:t xml:space="preserve">– </w:t>
      </w:r>
      <w:r w:rsidRPr="00FE31E8">
        <w:rPr>
          <w:rFonts w:ascii="Arial" w:hAnsi="Arial" w:cs="Arial"/>
          <w:b/>
          <w:bCs/>
          <w:sz w:val="32"/>
          <w:szCs w:val="32"/>
        </w:rPr>
        <w:t xml:space="preserve">Searching for Information </w:t>
      </w:r>
      <w:r w:rsidR="00F14910" w:rsidRPr="00FE31E8">
        <w:rPr>
          <w:rFonts w:ascii="Arial" w:hAnsi="Arial" w:cs="Arial"/>
          <w:b/>
          <w:bCs/>
          <w:sz w:val="32"/>
          <w:szCs w:val="32"/>
        </w:rPr>
        <w:t>Databases</w:t>
      </w:r>
      <w:r w:rsidR="00B575E2" w:rsidRPr="00FE31E8">
        <w:rPr>
          <w:rFonts w:ascii="Arial" w:hAnsi="Arial" w:cs="Arial"/>
          <w:b/>
          <w:bCs/>
          <w:sz w:val="32"/>
          <w:szCs w:val="32"/>
        </w:rPr>
        <w:t xml:space="preserve"> and Platforms:</w:t>
      </w:r>
    </w:p>
    <w:p w14:paraId="484BC5DF" w14:textId="77777777" w:rsidR="00A81AC9" w:rsidRDefault="00A81AC9" w:rsidP="00404F85">
      <w:pPr>
        <w:rPr>
          <w:rFonts w:ascii="Arial" w:hAnsi="Arial" w:cs="Arial"/>
        </w:rPr>
      </w:pPr>
    </w:p>
    <w:p w14:paraId="658E358B" w14:textId="77777777" w:rsidR="0029326B" w:rsidRPr="0029326B" w:rsidRDefault="0029326B" w:rsidP="00F64C9F">
      <w:pPr>
        <w:spacing w:before="100" w:beforeAutospacing="1" w:after="100" w:afterAutospacing="1"/>
        <w:jc w:val="left"/>
        <w:divId w:val="1688822520"/>
        <w:rPr>
          <w:rFonts w:ascii="Arial" w:hAnsi="Arial" w:cs="Arial"/>
          <w:kern w:val="0"/>
          <w:lang w:eastAsia="en-GB"/>
          <w14:ligatures w14:val="none"/>
        </w:rPr>
      </w:pPr>
      <w:r w:rsidRPr="0029326B">
        <w:rPr>
          <w:rFonts w:ascii="Arial" w:hAnsi="Arial" w:cs="Arial"/>
          <w:kern w:val="0"/>
          <w:lang w:eastAsia="en-GB"/>
          <w14:ligatures w14:val="none"/>
        </w:rPr>
        <w:t xml:space="preserve">Academic literature </w:t>
      </w:r>
      <w:bookmarkStart w:id="98" w:name="_Int_VthW9qgD"/>
      <w:r w:rsidRPr="0029326B">
        <w:rPr>
          <w:rFonts w:ascii="Arial" w:hAnsi="Arial" w:cs="Arial"/>
          <w:kern w:val="0"/>
          <w:lang w:eastAsia="en-GB"/>
          <w14:ligatures w14:val="none"/>
        </w:rPr>
        <w:t>was sourced</w:t>
      </w:r>
      <w:bookmarkEnd w:id="98"/>
      <w:r w:rsidRPr="0029326B">
        <w:rPr>
          <w:rFonts w:ascii="Arial" w:hAnsi="Arial" w:cs="Arial"/>
          <w:kern w:val="0"/>
          <w:lang w:eastAsia="en-GB"/>
          <w14:ligatures w14:val="none"/>
        </w:rPr>
        <w:t xml:space="preserve"> primarily from PubMed, CINAHL, ScienceDirect, Google Scholar, and the UWTSD Online Library. These databases were selected because they collectively provided comprehensive coverage of biomedical, nursing, public health, and multidisciplinary research, making them the most appropriate sources for addressing the research question on the physiological mechanisms and long-term health impacts of Type 2 Diabetes Mellitus (T2DM) in older adults living in Birmingham. PubMed was prioritised due to its strong indexing of peer-reviewed biomedical and endocrinology research, making it particularly relevant for understanding T2DM pathophysiology (Chatterjee, Khunti and Davies, 2017). CINAHL supported exploration of nursing and public health perspectives, while ScienceDirect provided access to full-text clinical and epidemiological studies. Google Scholar and the UWTSD Online Library </w:t>
      </w:r>
      <w:bookmarkStart w:id="99" w:name="_Int_yQmBdcd7"/>
      <w:r w:rsidRPr="0029326B">
        <w:rPr>
          <w:rFonts w:ascii="Arial" w:hAnsi="Arial" w:cs="Arial"/>
          <w:kern w:val="0"/>
          <w:lang w:eastAsia="en-GB"/>
          <w14:ligatures w14:val="none"/>
        </w:rPr>
        <w:t>were used</w:t>
      </w:r>
      <w:bookmarkEnd w:id="99"/>
      <w:r w:rsidRPr="0029326B">
        <w:rPr>
          <w:rFonts w:ascii="Arial" w:hAnsi="Arial" w:cs="Arial"/>
          <w:kern w:val="0"/>
          <w:lang w:eastAsia="en-GB"/>
          <w14:ligatures w14:val="none"/>
        </w:rPr>
        <w:t xml:space="preserve"> to </w:t>
      </w:r>
      <w:bookmarkStart w:id="100" w:name="_Int_vI5zAgO4"/>
      <w:r w:rsidRPr="0029326B">
        <w:rPr>
          <w:rFonts w:ascii="Arial" w:hAnsi="Arial" w:cs="Arial"/>
          <w:kern w:val="0"/>
          <w:lang w:eastAsia="en-GB"/>
          <w14:ligatures w14:val="none"/>
        </w:rPr>
        <w:t>identify</w:t>
      </w:r>
      <w:bookmarkEnd w:id="100"/>
      <w:r w:rsidRPr="0029326B">
        <w:rPr>
          <w:rFonts w:ascii="Arial" w:hAnsi="Arial" w:cs="Arial"/>
          <w:kern w:val="0"/>
          <w:lang w:eastAsia="en-GB"/>
          <w14:ligatures w14:val="none"/>
        </w:rPr>
        <w:t xml:space="preserve"> </w:t>
      </w:r>
      <w:bookmarkStart w:id="101" w:name="_Int_8icuUUGi"/>
      <w:r w:rsidRPr="0029326B">
        <w:rPr>
          <w:rFonts w:ascii="Arial" w:hAnsi="Arial" w:cs="Arial"/>
          <w:kern w:val="0"/>
          <w:lang w:eastAsia="en-GB"/>
          <w14:ligatures w14:val="none"/>
        </w:rPr>
        <w:t>additional</w:t>
      </w:r>
      <w:bookmarkEnd w:id="101"/>
      <w:r w:rsidRPr="0029326B">
        <w:rPr>
          <w:rFonts w:ascii="Arial" w:hAnsi="Arial" w:cs="Arial"/>
          <w:kern w:val="0"/>
          <w:lang w:eastAsia="en-GB"/>
          <w14:ligatures w14:val="none"/>
        </w:rPr>
        <w:t xml:space="preserve"> relevant literature and ensure comprehensive coverage of available evidence.</w:t>
      </w:r>
    </w:p>
    <w:p w14:paraId="1BA8FAF4" w14:textId="77777777" w:rsidR="0029326B" w:rsidRPr="009F0DB4" w:rsidRDefault="0029326B" w:rsidP="001B726B">
      <w:pPr>
        <w:pStyle w:val="Heading2"/>
        <w:divId w:val="1688822520"/>
        <w:rPr>
          <w:rFonts w:ascii="Arial" w:hAnsi="Arial" w:cs="Arial"/>
          <w:b/>
          <w:sz w:val="32"/>
          <w:szCs w:val="32"/>
          <w:lang w:eastAsia="en-GB"/>
        </w:rPr>
      </w:pPr>
      <w:r w:rsidRPr="009F0DB4">
        <w:rPr>
          <w:rFonts w:ascii="Arial" w:hAnsi="Arial" w:cs="Arial"/>
          <w:b/>
          <w:sz w:val="32"/>
          <w:szCs w:val="32"/>
          <w:lang w:eastAsia="en-GB"/>
        </w:rPr>
        <w:t>Using Filters</w:t>
      </w:r>
    </w:p>
    <w:p w14:paraId="3CB013DE" w14:textId="6BDF96B0" w:rsidR="0029326B" w:rsidRPr="0029326B" w:rsidRDefault="0029326B" w:rsidP="00F64C9F">
      <w:pPr>
        <w:spacing w:before="100" w:beforeAutospacing="1" w:after="100" w:afterAutospacing="1"/>
        <w:jc w:val="left"/>
        <w:divId w:val="1688822520"/>
        <w:rPr>
          <w:rFonts w:ascii="Arial" w:hAnsi="Arial" w:cs="Arial"/>
          <w:kern w:val="0"/>
          <w:lang w:eastAsia="en-GB"/>
          <w14:ligatures w14:val="none"/>
        </w:rPr>
      </w:pPr>
      <w:r w:rsidRPr="0029326B">
        <w:rPr>
          <w:rFonts w:ascii="Arial" w:hAnsi="Arial" w:cs="Arial"/>
          <w:kern w:val="0"/>
          <w:lang w:eastAsia="en-GB"/>
          <w14:ligatures w14:val="none"/>
        </w:rPr>
        <w:t xml:space="preserve">Filters </w:t>
      </w:r>
      <w:bookmarkStart w:id="102" w:name="_Int_RxqQ4BUk"/>
      <w:r w:rsidRPr="0029326B">
        <w:rPr>
          <w:rFonts w:ascii="Arial" w:hAnsi="Arial" w:cs="Arial"/>
          <w:kern w:val="0"/>
          <w:lang w:eastAsia="en-GB"/>
          <w14:ligatures w14:val="none"/>
        </w:rPr>
        <w:t>were applied</w:t>
      </w:r>
      <w:bookmarkEnd w:id="102"/>
      <w:r w:rsidRPr="0029326B">
        <w:rPr>
          <w:rFonts w:ascii="Arial" w:hAnsi="Arial" w:cs="Arial"/>
          <w:kern w:val="0"/>
          <w:lang w:eastAsia="en-GB"/>
          <w14:ligatures w14:val="none"/>
        </w:rPr>
        <w:t xml:space="preserve"> to ensure the quality, relevance, and reliability of the evidence included. Publications </w:t>
      </w:r>
      <w:bookmarkStart w:id="103" w:name="_Int_0TwL5d1Y"/>
      <w:r w:rsidRPr="0029326B">
        <w:rPr>
          <w:rFonts w:ascii="Arial" w:hAnsi="Arial" w:cs="Arial"/>
          <w:kern w:val="0"/>
          <w:lang w:eastAsia="en-GB"/>
          <w14:ligatures w14:val="none"/>
        </w:rPr>
        <w:t>were limited</w:t>
      </w:r>
      <w:bookmarkEnd w:id="103"/>
      <w:r w:rsidRPr="0029326B">
        <w:rPr>
          <w:rFonts w:ascii="Arial" w:hAnsi="Arial" w:cs="Arial"/>
          <w:kern w:val="0"/>
          <w:lang w:eastAsia="en-GB"/>
          <w14:ligatures w14:val="none"/>
        </w:rPr>
        <w:t xml:space="preserve"> to 2014–2024 to </w:t>
      </w:r>
      <w:r w:rsidR="00C830D4" w:rsidRPr="00F64C9F">
        <w:rPr>
          <w:rFonts w:ascii="Arial" w:hAnsi="Arial" w:cs="Arial"/>
          <w:kern w:val="0"/>
          <w:lang w:eastAsia="en-GB"/>
          <w14:ligatures w14:val="none"/>
        </w:rPr>
        <w:t>support</w:t>
      </w:r>
      <w:r w:rsidRPr="0029326B">
        <w:rPr>
          <w:rFonts w:ascii="Arial" w:hAnsi="Arial" w:cs="Arial"/>
          <w:kern w:val="0"/>
          <w:lang w:eastAsia="en-GB"/>
          <w14:ligatures w14:val="none"/>
        </w:rPr>
        <w:t xml:space="preserve"> currency, as diabetes management and understanding of disease mechanisms have evolved significantly over the past decade (Zheng et al., 2018). Only peer-reviewed journal articles written in English </w:t>
      </w:r>
      <w:bookmarkStart w:id="104" w:name="_Int_o41lg2mJ"/>
      <w:r w:rsidRPr="0029326B">
        <w:rPr>
          <w:rFonts w:ascii="Arial" w:hAnsi="Arial" w:cs="Arial"/>
          <w:kern w:val="0"/>
          <w:lang w:eastAsia="en-GB"/>
          <w14:ligatures w14:val="none"/>
        </w:rPr>
        <w:t>were included</w:t>
      </w:r>
      <w:bookmarkEnd w:id="104"/>
      <w:r w:rsidRPr="0029326B">
        <w:rPr>
          <w:rFonts w:ascii="Arial" w:hAnsi="Arial" w:cs="Arial"/>
          <w:kern w:val="0"/>
          <w:lang w:eastAsia="en-GB"/>
          <w14:ligatures w14:val="none"/>
        </w:rPr>
        <w:t xml:space="preserve"> to ensure methodological quality and accessibility for critical appraisal. Where possible, UK-based studies were prioritised to </w:t>
      </w:r>
      <w:bookmarkStart w:id="105" w:name="_Int_B0HszzBb"/>
      <w:r w:rsidRPr="0029326B">
        <w:rPr>
          <w:rFonts w:ascii="Arial" w:hAnsi="Arial" w:cs="Arial"/>
          <w:kern w:val="0"/>
          <w:lang w:eastAsia="en-GB"/>
          <w14:ligatures w14:val="none"/>
        </w:rPr>
        <w:t>maintain</w:t>
      </w:r>
      <w:bookmarkEnd w:id="105"/>
      <w:r w:rsidRPr="0029326B">
        <w:rPr>
          <w:rFonts w:ascii="Arial" w:hAnsi="Arial" w:cs="Arial"/>
          <w:kern w:val="0"/>
          <w:lang w:eastAsia="en-GB"/>
          <w14:ligatures w14:val="none"/>
        </w:rPr>
        <w:t xml:space="preserve"> contextual relevance to Birmingham and ensure the findings reflected healthcare practice and epidemiological trends within the UK, particularly data from the NHS and regional populations (Diabetes UK, 2023).</w:t>
      </w:r>
    </w:p>
    <w:p w14:paraId="49F71273" w14:textId="77777777" w:rsidR="0029326B" w:rsidRPr="009F0DB4" w:rsidRDefault="0029326B" w:rsidP="001B726B">
      <w:pPr>
        <w:pStyle w:val="Heading2"/>
        <w:divId w:val="1688822520"/>
        <w:rPr>
          <w:rFonts w:ascii="Arial" w:hAnsi="Arial" w:cs="Arial"/>
          <w:b/>
          <w:sz w:val="32"/>
          <w:szCs w:val="32"/>
        </w:rPr>
      </w:pPr>
      <w:r w:rsidRPr="009F0DB4">
        <w:rPr>
          <w:rFonts w:ascii="Arial" w:hAnsi="Arial" w:cs="Arial"/>
          <w:b/>
          <w:sz w:val="32"/>
          <w:szCs w:val="32"/>
        </w:rPr>
        <w:t>Search Process</w:t>
      </w:r>
    </w:p>
    <w:p w14:paraId="672DE21D" w14:textId="28B2B00B" w:rsidR="00570839" w:rsidRDefault="0029326B" w:rsidP="003D07E0">
      <w:pPr>
        <w:spacing w:before="100" w:beforeAutospacing="1" w:after="100" w:afterAutospacing="1"/>
        <w:jc w:val="left"/>
        <w:rPr>
          <w:rFonts w:ascii="Arial" w:hAnsi="Arial" w:cs="Arial"/>
          <w:kern w:val="0"/>
          <w:lang w:eastAsia="en-GB"/>
          <w14:ligatures w14:val="none"/>
        </w:rPr>
      </w:pPr>
      <w:r w:rsidRPr="0029326B">
        <w:rPr>
          <w:rFonts w:ascii="Arial" w:hAnsi="Arial" w:cs="Arial"/>
          <w:kern w:val="0"/>
          <w:lang w:eastAsia="en-GB"/>
          <w14:ligatures w14:val="none"/>
        </w:rPr>
        <w:t xml:space="preserve">Initial searches yielded a high volume of pharmacological intervention studies. To better align with the research aim of exploring physiological mechanisms and long-term health impacts rather than treatment effectiveness, </w:t>
      </w:r>
      <w:bookmarkStart w:id="106" w:name="_Int_yiForITS"/>
      <w:r w:rsidRPr="0029326B">
        <w:rPr>
          <w:rFonts w:ascii="Arial" w:hAnsi="Arial" w:cs="Arial"/>
          <w:kern w:val="0"/>
          <w:lang w:eastAsia="en-GB"/>
          <w14:ligatures w14:val="none"/>
        </w:rPr>
        <w:t>additional</w:t>
      </w:r>
      <w:bookmarkEnd w:id="106"/>
      <w:r w:rsidRPr="0029326B">
        <w:rPr>
          <w:rFonts w:ascii="Arial" w:hAnsi="Arial" w:cs="Arial"/>
          <w:kern w:val="0"/>
          <w:lang w:eastAsia="en-GB"/>
          <w14:ligatures w14:val="none"/>
        </w:rPr>
        <w:t xml:space="preserve"> search terms such as </w:t>
      </w:r>
      <w:r w:rsidRPr="0029326B">
        <w:rPr>
          <w:rFonts w:ascii="Arial" w:hAnsi="Arial" w:cs="Arial"/>
          <w:b/>
          <w:kern w:val="0"/>
          <w:lang w:eastAsia="en-GB"/>
          <w14:ligatures w14:val="none"/>
        </w:rPr>
        <w:t>“</w:t>
      </w:r>
      <w:r w:rsidRPr="0029326B">
        <w:rPr>
          <w:rFonts w:ascii="Arial" w:hAnsi="Arial" w:cs="Arial"/>
          <w:kern w:val="0"/>
          <w:lang w:eastAsia="en-GB"/>
          <w14:ligatures w14:val="none"/>
        </w:rPr>
        <w:t>chronic</w:t>
      </w:r>
      <w:r w:rsidRPr="0029326B">
        <w:rPr>
          <w:rFonts w:ascii="Arial" w:hAnsi="Arial" w:cs="Arial"/>
          <w:b/>
          <w:kern w:val="0"/>
          <w:lang w:eastAsia="en-GB"/>
          <w14:ligatures w14:val="none"/>
        </w:rPr>
        <w:t xml:space="preserve"> </w:t>
      </w:r>
      <w:r w:rsidRPr="0029326B">
        <w:rPr>
          <w:rFonts w:ascii="Arial" w:hAnsi="Arial" w:cs="Arial"/>
          <w:kern w:val="0"/>
          <w:lang w:eastAsia="en-GB"/>
          <w14:ligatures w14:val="none"/>
        </w:rPr>
        <w:t>complications</w:t>
      </w:r>
      <w:r w:rsidR="00C830D4" w:rsidRPr="00BC12A7">
        <w:rPr>
          <w:rFonts w:ascii="Arial" w:hAnsi="Arial" w:cs="Arial"/>
          <w:kern w:val="0"/>
          <w:lang w:eastAsia="en-GB"/>
          <w14:ligatures w14:val="none"/>
        </w:rPr>
        <w:t>,”</w:t>
      </w:r>
      <w:r w:rsidRPr="0029326B">
        <w:rPr>
          <w:rFonts w:ascii="Arial" w:hAnsi="Arial" w:cs="Arial"/>
          <w:kern w:val="0"/>
          <w:lang w:eastAsia="en-GB"/>
          <w14:ligatures w14:val="none"/>
        </w:rPr>
        <w:t xml:space="preserve"> “cardiovascular disease</w:t>
      </w:r>
      <w:r w:rsidR="00C830D4" w:rsidRPr="00BC12A7">
        <w:rPr>
          <w:rFonts w:ascii="Arial" w:hAnsi="Arial" w:cs="Arial"/>
          <w:kern w:val="0"/>
          <w:lang w:eastAsia="en-GB"/>
          <w14:ligatures w14:val="none"/>
        </w:rPr>
        <w:t>,”</w:t>
      </w:r>
      <w:r w:rsidRPr="0029326B">
        <w:rPr>
          <w:rFonts w:ascii="Arial" w:hAnsi="Arial" w:cs="Arial"/>
          <w:kern w:val="0"/>
          <w:lang w:eastAsia="en-GB"/>
          <w14:ligatures w14:val="none"/>
        </w:rPr>
        <w:t xml:space="preserve"> “neuropathy</w:t>
      </w:r>
      <w:r w:rsidR="00C830D4" w:rsidRPr="00BC12A7">
        <w:rPr>
          <w:rFonts w:ascii="Arial" w:hAnsi="Arial" w:cs="Arial"/>
          <w:kern w:val="0"/>
          <w:lang w:eastAsia="en-GB"/>
          <w14:ligatures w14:val="none"/>
        </w:rPr>
        <w:t>,”</w:t>
      </w:r>
      <w:r w:rsidRPr="0029326B">
        <w:rPr>
          <w:rFonts w:ascii="Arial" w:hAnsi="Arial" w:cs="Arial"/>
          <w:kern w:val="0"/>
          <w:lang w:eastAsia="en-GB"/>
          <w14:ligatures w14:val="none"/>
        </w:rPr>
        <w:t xml:space="preserve"> and “age-related metabolic decline” </w:t>
      </w:r>
      <w:bookmarkStart w:id="107" w:name="_Int_5Ljty3yo"/>
      <w:r w:rsidRPr="0029326B">
        <w:rPr>
          <w:rFonts w:ascii="Arial" w:hAnsi="Arial" w:cs="Arial"/>
          <w:kern w:val="0"/>
          <w:lang w:eastAsia="en-GB"/>
          <w14:ligatures w14:val="none"/>
        </w:rPr>
        <w:t>were incorporated</w:t>
      </w:r>
      <w:bookmarkEnd w:id="107"/>
      <w:r w:rsidRPr="0029326B">
        <w:rPr>
          <w:rFonts w:ascii="Arial" w:hAnsi="Arial" w:cs="Arial"/>
          <w:kern w:val="0"/>
          <w:lang w:eastAsia="en-GB"/>
          <w14:ligatures w14:val="none"/>
        </w:rPr>
        <w:t xml:space="preserve">. When Birmingham-specific data </w:t>
      </w:r>
      <w:bookmarkStart w:id="108" w:name="_Int_5ETkATpB"/>
      <w:r w:rsidRPr="0029326B">
        <w:rPr>
          <w:rFonts w:ascii="Arial" w:hAnsi="Arial" w:cs="Arial"/>
          <w:kern w:val="0"/>
          <w:lang w:eastAsia="en-GB"/>
          <w14:ligatures w14:val="none"/>
        </w:rPr>
        <w:t>were limited</w:t>
      </w:r>
      <w:bookmarkEnd w:id="108"/>
      <w:r w:rsidRPr="0029326B">
        <w:rPr>
          <w:rFonts w:ascii="Arial" w:hAnsi="Arial" w:cs="Arial"/>
          <w:kern w:val="0"/>
          <w:lang w:eastAsia="en-GB"/>
          <w14:ligatures w14:val="none"/>
        </w:rPr>
        <w:t xml:space="preserve">, broader UK studies </w:t>
      </w:r>
      <w:bookmarkStart w:id="109" w:name="_Int_oDdPlpT2"/>
      <w:r w:rsidRPr="0029326B">
        <w:rPr>
          <w:rFonts w:ascii="Arial" w:hAnsi="Arial" w:cs="Arial"/>
          <w:kern w:val="0"/>
          <w:lang w:eastAsia="en-GB"/>
          <w14:ligatures w14:val="none"/>
        </w:rPr>
        <w:t>were included</w:t>
      </w:r>
      <w:bookmarkEnd w:id="109"/>
      <w:r w:rsidRPr="0029326B">
        <w:rPr>
          <w:rFonts w:ascii="Arial" w:hAnsi="Arial" w:cs="Arial"/>
          <w:kern w:val="0"/>
          <w:lang w:eastAsia="en-GB"/>
          <w14:ligatures w14:val="none"/>
        </w:rPr>
        <w:t xml:space="preserve"> to provide contextually relevant evidence while </w:t>
      </w:r>
      <w:bookmarkStart w:id="110" w:name="_Int_SPMoGp0F"/>
      <w:r w:rsidRPr="0029326B">
        <w:rPr>
          <w:rFonts w:ascii="Arial" w:hAnsi="Arial" w:cs="Arial"/>
          <w:kern w:val="0"/>
          <w:lang w:eastAsia="en-GB"/>
          <w14:ligatures w14:val="none"/>
        </w:rPr>
        <w:t>maintaining</w:t>
      </w:r>
      <w:bookmarkEnd w:id="110"/>
      <w:r w:rsidRPr="0029326B">
        <w:rPr>
          <w:rFonts w:ascii="Arial" w:hAnsi="Arial" w:cs="Arial"/>
          <w:kern w:val="0"/>
          <w:lang w:eastAsia="en-GB"/>
          <w14:ligatures w14:val="none"/>
        </w:rPr>
        <w:t xml:space="preserve"> applicability to the target population.</w:t>
      </w:r>
    </w:p>
    <w:p w14:paraId="4396184C" w14:textId="77777777" w:rsidR="003D07E0" w:rsidRPr="003D07E0" w:rsidRDefault="003D07E0" w:rsidP="003D07E0">
      <w:pPr>
        <w:spacing w:before="100" w:beforeAutospacing="1" w:after="100" w:afterAutospacing="1"/>
        <w:jc w:val="left"/>
        <w:divId w:val="1688822520"/>
        <w:rPr>
          <w:rFonts w:ascii="Arial" w:hAnsi="Arial" w:cs="Arial"/>
          <w:kern w:val="0"/>
          <w:lang w:eastAsia="en-GB"/>
          <w14:ligatures w14:val="none"/>
        </w:rPr>
      </w:pPr>
    </w:p>
    <w:p w14:paraId="1EC3CC01" w14:textId="22DC0752" w:rsidR="005744F3" w:rsidRPr="009B04A8" w:rsidRDefault="005744F3" w:rsidP="009B04A8">
      <w:pPr>
        <w:pStyle w:val="p1"/>
        <w:spacing w:line="360" w:lineRule="auto"/>
        <w:divId w:val="1484080220"/>
        <w:rPr>
          <w:rFonts w:ascii="Arial" w:hAnsi="Arial" w:cs="Arial"/>
          <w:sz w:val="22"/>
          <w:szCs w:val="22"/>
        </w:rPr>
      </w:pPr>
      <w:r w:rsidRPr="0033238E">
        <w:rPr>
          <w:rFonts w:ascii="Arial" w:hAnsi="Arial" w:cs="Arial"/>
          <w:sz w:val="22"/>
          <w:szCs w:val="22"/>
        </w:rPr>
        <w:t xml:space="preserve">A source-tracking spreadsheet </w:t>
      </w:r>
      <w:bookmarkStart w:id="111" w:name="_Int_3hzponRH"/>
      <w:r w:rsidRPr="0033238E">
        <w:rPr>
          <w:rFonts w:ascii="Arial" w:hAnsi="Arial" w:cs="Arial"/>
          <w:sz w:val="22"/>
          <w:szCs w:val="22"/>
        </w:rPr>
        <w:t>was developed</w:t>
      </w:r>
      <w:bookmarkEnd w:id="111"/>
      <w:r w:rsidRPr="0033238E">
        <w:rPr>
          <w:rFonts w:ascii="Arial" w:hAnsi="Arial" w:cs="Arial"/>
          <w:sz w:val="22"/>
          <w:szCs w:val="22"/>
        </w:rPr>
        <w:t xml:space="preserve"> to record the author, year, </w:t>
      </w:r>
      <w:r w:rsidR="006C0CC4" w:rsidRPr="0033238E">
        <w:rPr>
          <w:rFonts w:ascii="Arial" w:hAnsi="Arial" w:cs="Arial"/>
          <w:sz w:val="22"/>
          <w:szCs w:val="22"/>
        </w:rPr>
        <w:t>method</w:t>
      </w:r>
      <w:r w:rsidRPr="0033238E">
        <w:rPr>
          <w:rFonts w:ascii="Arial" w:hAnsi="Arial" w:cs="Arial"/>
          <w:sz w:val="22"/>
          <w:szCs w:val="22"/>
        </w:rPr>
        <w:t xml:space="preserve">, sample characteristics, key findings, and thematic relevance. This systematic approach enhanced transparency and consistency throughout the review process. The spreadsheet </w:t>
      </w:r>
      <w:bookmarkStart w:id="112" w:name="_Int_jfaTCuc1"/>
      <w:r w:rsidRPr="0033238E">
        <w:rPr>
          <w:rFonts w:ascii="Arial" w:hAnsi="Arial" w:cs="Arial"/>
          <w:sz w:val="22"/>
          <w:szCs w:val="22"/>
        </w:rPr>
        <w:t>is presented</w:t>
      </w:r>
      <w:bookmarkEnd w:id="112"/>
      <w:r w:rsidRPr="0033238E">
        <w:rPr>
          <w:rFonts w:ascii="Arial" w:hAnsi="Arial" w:cs="Arial"/>
          <w:sz w:val="22"/>
          <w:szCs w:val="22"/>
        </w:rPr>
        <w:t xml:space="preserve"> in Appendix A.</w:t>
      </w:r>
    </w:p>
    <w:p w14:paraId="6F09D47B" w14:textId="77777777" w:rsidR="00B575E2" w:rsidRPr="00404F85" w:rsidRDefault="00B575E2" w:rsidP="00C830D4">
      <w:pPr>
        <w:rPr>
          <w:rFonts w:ascii="Arial" w:hAnsi="Arial" w:cs="Arial"/>
        </w:rPr>
      </w:pPr>
    </w:p>
    <w:p w14:paraId="364448B6" w14:textId="4C5CC4CF" w:rsidR="00586859" w:rsidRPr="00FE31E8" w:rsidRDefault="00292A36" w:rsidP="00404F85">
      <w:pPr>
        <w:pStyle w:val="Heading2"/>
        <w:numPr>
          <w:ilvl w:val="1"/>
          <w:numId w:val="81"/>
        </w:numPr>
        <w:jc w:val="left"/>
        <w:rPr>
          <w:rFonts w:ascii="Arial" w:hAnsi="Arial" w:cs="Arial"/>
          <w:b/>
          <w:bCs/>
          <w:sz w:val="32"/>
          <w:szCs w:val="32"/>
        </w:rPr>
      </w:pPr>
      <w:r w:rsidRPr="00FE31E8">
        <w:rPr>
          <w:rFonts w:ascii="Arial" w:hAnsi="Arial" w:cs="Arial"/>
          <w:b/>
          <w:bCs/>
          <w:sz w:val="32"/>
          <w:szCs w:val="32"/>
        </w:rPr>
        <w:t xml:space="preserve">– Research Validation </w:t>
      </w:r>
      <w:r w:rsidR="00F14910" w:rsidRPr="00FE31E8">
        <w:rPr>
          <w:rFonts w:ascii="Arial" w:hAnsi="Arial" w:cs="Arial"/>
          <w:b/>
          <w:bCs/>
          <w:sz w:val="32"/>
          <w:szCs w:val="32"/>
        </w:rPr>
        <w:t>Skimming</w:t>
      </w:r>
      <w:r w:rsidR="00B575E2" w:rsidRPr="00FE31E8">
        <w:rPr>
          <w:rFonts w:ascii="Arial" w:hAnsi="Arial" w:cs="Arial"/>
          <w:b/>
          <w:bCs/>
          <w:sz w:val="32"/>
          <w:szCs w:val="32"/>
        </w:rPr>
        <w:t xml:space="preserve"> Techniques:</w:t>
      </w:r>
    </w:p>
    <w:p w14:paraId="310C8E5E" w14:textId="6D4F3DA4" w:rsidR="006632EC" w:rsidRPr="00404F85" w:rsidRDefault="006632EC" w:rsidP="00404F85">
      <w:pPr>
        <w:pStyle w:val="p1"/>
        <w:spacing w:line="360" w:lineRule="auto"/>
        <w:divId w:val="878514514"/>
        <w:rPr>
          <w:rFonts w:ascii="Arial" w:hAnsi="Arial" w:cs="Arial"/>
          <w:sz w:val="22"/>
          <w:szCs w:val="22"/>
        </w:rPr>
      </w:pPr>
      <w:r w:rsidRPr="00404F85">
        <w:rPr>
          <w:rStyle w:val="s1"/>
          <w:rFonts w:ascii="Arial" w:hAnsi="Arial" w:cs="Arial"/>
          <w:sz w:val="22"/>
          <w:szCs w:val="22"/>
        </w:rPr>
        <w:t xml:space="preserve">Articles </w:t>
      </w:r>
      <w:bookmarkStart w:id="113" w:name="_Int_iqt69NmZ"/>
      <w:r w:rsidRPr="00404F85">
        <w:rPr>
          <w:rStyle w:val="s1"/>
          <w:rFonts w:ascii="Arial" w:hAnsi="Arial" w:cs="Arial"/>
          <w:sz w:val="22"/>
          <w:szCs w:val="22"/>
        </w:rPr>
        <w:t>were initially screened</w:t>
      </w:r>
      <w:bookmarkEnd w:id="113"/>
      <w:r w:rsidRPr="00404F85">
        <w:rPr>
          <w:rStyle w:val="s1"/>
          <w:rFonts w:ascii="Arial" w:hAnsi="Arial" w:cs="Arial"/>
          <w:sz w:val="22"/>
          <w:szCs w:val="22"/>
        </w:rPr>
        <w:t xml:space="preserve"> by reviewing titles and abstracts to assess alignment with the research focus. Full-text screening followed where preliminary relevance </w:t>
      </w:r>
      <w:bookmarkStart w:id="114" w:name="_Int_6gRzPMpH"/>
      <w:r w:rsidRPr="00404F85">
        <w:rPr>
          <w:rStyle w:val="s1"/>
          <w:rFonts w:ascii="Arial" w:hAnsi="Arial" w:cs="Arial"/>
          <w:sz w:val="22"/>
          <w:szCs w:val="22"/>
        </w:rPr>
        <w:t xml:space="preserve">was </w:t>
      </w:r>
      <w:r w:rsidR="00576183" w:rsidRPr="00404F85">
        <w:rPr>
          <w:rStyle w:val="s1"/>
          <w:rFonts w:ascii="Arial" w:hAnsi="Arial" w:cs="Arial"/>
          <w:sz w:val="22"/>
          <w:szCs w:val="22"/>
        </w:rPr>
        <w:t>showed</w:t>
      </w:r>
      <w:bookmarkEnd w:id="114"/>
      <w:r w:rsidRPr="00404F85">
        <w:rPr>
          <w:rStyle w:val="s1"/>
          <w:rFonts w:ascii="Arial" w:hAnsi="Arial" w:cs="Arial"/>
          <w:sz w:val="22"/>
          <w:szCs w:val="22"/>
        </w:rPr>
        <w:t>. This staged approach reduced selection bias and ensured efficient filtering of large result sets (Page et al., 2021).</w:t>
      </w:r>
    </w:p>
    <w:p w14:paraId="2834E9EC" w14:textId="77777777" w:rsidR="006632EC" w:rsidRPr="00404F85" w:rsidRDefault="006632EC" w:rsidP="00404F85">
      <w:pPr>
        <w:rPr>
          <w:rFonts w:ascii="Arial" w:hAnsi="Arial" w:cs="Arial"/>
        </w:rPr>
      </w:pPr>
    </w:p>
    <w:p w14:paraId="34089B50" w14:textId="42D0E792" w:rsidR="00B575E2" w:rsidRPr="001304E1" w:rsidRDefault="00F14910" w:rsidP="001304E1">
      <w:pPr>
        <w:pStyle w:val="Heading2"/>
        <w:rPr>
          <w:rFonts w:ascii="Arial" w:hAnsi="Arial" w:cs="Arial"/>
          <w:b/>
          <w:bCs/>
          <w:sz w:val="36"/>
          <w:szCs w:val="36"/>
        </w:rPr>
      </w:pPr>
      <w:r w:rsidRPr="001304E1">
        <w:rPr>
          <w:rFonts w:ascii="Arial" w:hAnsi="Arial" w:cs="Arial"/>
          <w:b/>
          <w:bCs/>
          <w:sz w:val="36"/>
          <w:szCs w:val="36"/>
        </w:rPr>
        <w:t>CRAAP</w:t>
      </w:r>
      <w:r w:rsidR="00B575E2" w:rsidRPr="001304E1">
        <w:rPr>
          <w:rFonts w:ascii="Arial" w:hAnsi="Arial" w:cs="Arial"/>
          <w:b/>
          <w:bCs/>
          <w:sz w:val="36"/>
          <w:szCs w:val="36"/>
        </w:rPr>
        <w:t xml:space="preserve"> Test Application:</w:t>
      </w:r>
    </w:p>
    <w:p w14:paraId="2AB22DC9" w14:textId="71598925" w:rsidR="009245E6" w:rsidRPr="008C2450" w:rsidRDefault="00E77F32" w:rsidP="002A136E">
      <w:pPr>
        <w:pStyle w:val="p1"/>
        <w:spacing w:line="360" w:lineRule="auto"/>
        <w:rPr>
          <w:rFonts w:ascii="Arial" w:hAnsi="Arial" w:cs="Arial"/>
          <w:sz w:val="22"/>
          <w:szCs w:val="22"/>
        </w:rPr>
      </w:pPr>
      <w:r w:rsidRPr="00404F85">
        <w:rPr>
          <w:rStyle w:val="s1"/>
          <w:rFonts w:ascii="Arial" w:hAnsi="Arial" w:cs="Arial"/>
          <w:sz w:val="22"/>
          <w:szCs w:val="22"/>
        </w:rPr>
        <w:t xml:space="preserve">The CRAAP test (Currency, Relevance, Authority, Accuracy, Purpose) </w:t>
      </w:r>
      <w:bookmarkStart w:id="115" w:name="_Int_lbxI0JRf"/>
      <w:r w:rsidRPr="00404F85">
        <w:rPr>
          <w:rStyle w:val="s1"/>
          <w:rFonts w:ascii="Arial" w:hAnsi="Arial" w:cs="Arial"/>
          <w:sz w:val="22"/>
          <w:szCs w:val="22"/>
        </w:rPr>
        <w:t>was applied</w:t>
      </w:r>
      <w:bookmarkEnd w:id="115"/>
      <w:r w:rsidRPr="00404F85">
        <w:rPr>
          <w:rStyle w:val="s1"/>
          <w:rFonts w:ascii="Arial" w:hAnsi="Arial" w:cs="Arial"/>
          <w:sz w:val="22"/>
          <w:szCs w:val="22"/>
        </w:rPr>
        <w:t xml:space="preserve"> to evaluate source credibility. Currency </w:t>
      </w:r>
      <w:bookmarkStart w:id="116" w:name="_Int_d8VXObPh"/>
      <w:r w:rsidRPr="00404F85">
        <w:rPr>
          <w:rStyle w:val="s1"/>
          <w:rFonts w:ascii="Arial" w:hAnsi="Arial" w:cs="Arial"/>
          <w:sz w:val="22"/>
          <w:szCs w:val="22"/>
        </w:rPr>
        <w:t>was ensured</w:t>
      </w:r>
      <w:bookmarkEnd w:id="116"/>
      <w:r w:rsidRPr="00404F85">
        <w:rPr>
          <w:rStyle w:val="s1"/>
          <w:rFonts w:ascii="Arial" w:hAnsi="Arial" w:cs="Arial"/>
          <w:sz w:val="22"/>
          <w:szCs w:val="22"/>
        </w:rPr>
        <w:t xml:space="preserve"> through date restrictions. Relevance was </w:t>
      </w:r>
      <w:bookmarkStart w:id="117" w:name="_Int_k4N3UNBR"/>
      <w:r w:rsidRPr="00404F85">
        <w:rPr>
          <w:rStyle w:val="s1"/>
          <w:rFonts w:ascii="Arial" w:hAnsi="Arial" w:cs="Arial"/>
          <w:sz w:val="22"/>
          <w:szCs w:val="22"/>
        </w:rPr>
        <w:t>determined</w:t>
      </w:r>
      <w:bookmarkEnd w:id="117"/>
      <w:r w:rsidRPr="00404F85">
        <w:rPr>
          <w:rStyle w:val="s1"/>
          <w:rFonts w:ascii="Arial" w:hAnsi="Arial" w:cs="Arial"/>
          <w:sz w:val="22"/>
          <w:szCs w:val="22"/>
        </w:rPr>
        <w:t xml:space="preserve"> by direct connection to T2DM mechanisms or long-term outcomes in ageing populations. Authority </w:t>
      </w:r>
      <w:bookmarkStart w:id="118" w:name="_Int_jZ2zwblQ"/>
      <w:r w:rsidRPr="00404F85">
        <w:rPr>
          <w:rStyle w:val="s1"/>
          <w:rFonts w:ascii="Arial" w:hAnsi="Arial" w:cs="Arial"/>
          <w:sz w:val="22"/>
          <w:szCs w:val="22"/>
        </w:rPr>
        <w:t>was assessed</w:t>
      </w:r>
      <w:bookmarkEnd w:id="118"/>
      <w:r w:rsidRPr="00404F85">
        <w:rPr>
          <w:rStyle w:val="s1"/>
          <w:rFonts w:ascii="Arial" w:hAnsi="Arial" w:cs="Arial"/>
          <w:sz w:val="22"/>
          <w:szCs w:val="22"/>
        </w:rPr>
        <w:t xml:space="preserve"> by examining author credentials and publication in high-impact, peer-reviewed journals such as </w:t>
      </w:r>
      <w:r w:rsidRPr="00404F85">
        <w:rPr>
          <w:rStyle w:val="s2"/>
          <w:rFonts w:ascii="Arial" w:hAnsi="Arial" w:cs="Arial"/>
          <w:sz w:val="22"/>
          <w:szCs w:val="22"/>
        </w:rPr>
        <w:t>The Lancet Diabetes &amp; Endocrinology</w:t>
      </w:r>
      <w:r w:rsidRPr="00404F85">
        <w:rPr>
          <w:rStyle w:val="s1"/>
          <w:rFonts w:ascii="Arial" w:hAnsi="Arial" w:cs="Arial"/>
          <w:sz w:val="22"/>
          <w:szCs w:val="22"/>
        </w:rPr>
        <w:t xml:space="preserve"> and </w:t>
      </w:r>
      <w:r w:rsidRPr="00404F85">
        <w:rPr>
          <w:rStyle w:val="s2"/>
          <w:rFonts w:ascii="Arial" w:hAnsi="Arial" w:cs="Arial"/>
          <w:sz w:val="22"/>
          <w:szCs w:val="22"/>
        </w:rPr>
        <w:t>Diabetes Care</w:t>
      </w:r>
      <w:r w:rsidRPr="00404F85">
        <w:rPr>
          <w:rStyle w:val="s1"/>
          <w:rFonts w:ascii="Arial" w:hAnsi="Arial" w:cs="Arial"/>
          <w:sz w:val="22"/>
          <w:szCs w:val="22"/>
        </w:rPr>
        <w:t xml:space="preserve">. Accuracy </w:t>
      </w:r>
      <w:bookmarkStart w:id="119" w:name="_Int_r33QAgc5"/>
      <w:r w:rsidRPr="00404F85">
        <w:rPr>
          <w:rStyle w:val="s1"/>
          <w:rFonts w:ascii="Arial" w:hAnsi="Arial" w:cs="Arial"/>
          <w:sz w:val="22"/>
          <w:szCs w:val="22"/>
        </w:rPr>
        <w:t>was evaluated</w:t>
      </w:r>
      <w:bookmarkEnd w:id="119"/>
      <w:r w:rsidRPr="00404F85">
        <w:rPr>
          <w:rStyle w:val="s1"/>
          <w:rFonts w:ascii="Arial" w:hAnsi="Arial" w:cs="Arial"/>
          <w:sz w:val="22"/>
          <w:szCs w:val="22"/>
        </w:rPr>
        <w:t xml:space="preserve"> through methodological robustness, including sample size, study design, and statistical transparency. Purpose </w:t>
      </w:r>
      <w:bookmarkStart w:id="120" w:name="_Int_tMYn7yLS"/>
      <w:r w:rsidRPr="00404F85">
        <w:rPr>
          <w:rStyle w:val="s1"/>
          <w:rFonts w:ascii="Arial" w:hAnsi="Arial" w:cs="Arial"/>
          <w:sz w:val="22"/>
          <w:szCs w:val="22"/>
        </w:rPr>
        <w:t>was considered</w:t>
      </w:r>
      <w:bookmarkEnd w:id="120"/>
      <w:r w:rsidRPr="00404F85">
        <w:rPr>
          <w:rStyle w:val="s1"/>
          <w:rFonts w:ascii="Arial" w:hAnsi="Arial" w:cs="Arial"/>
          <w:sz w:val="22"/>
          <w:szCs w:val="22"/>
        </w:rPr>
        <w:t xml:space="preserve"> to ensure neutrality and absence of commercial bias.</w:t>
      </w:r>
    </w:p>
    <w:p w14:paraId="7605EE09" w14:textId="075A8658" w:rsidR="00B575E2" w:rsidRPr="001304E1" w:rsidRDefault="00F14910" w:rsidP="001304E1">
      <w:pPr>
        <w:pStyle w:val="Heading2"/>
        <w:rPr>
          <w:rFonts w:ascii="Arial" w:hAnsi="Arial" w:cs="Arial"/>
          <w:b/>
          <w:bCs/>
          <w:sz w:val="36"/>
          <w:szCs w:val="36"/>
        </w:rPr>
      </w:pPr>
      <w:r w:rsidRPr="001304E1">
        <w:rPr>
          <w:rFonts w:ascii="Arial" w:hAnsi="Arial" w:cs="Arial"/>
          <w:b/>
          <w:bCs/>
          <w:sz w:val="36"/>
          <w:szCs w:val="36"/>
        </w:rPr>
        <w:t xml:space="preserve"> Decision</w:t>
      </w:r>
      <w:r w:rsidR="009245E6" w:rsidRPr="001304E1">
        <w:rPr>
          <w:rFonts w:ascii="Arial" w:hAnsi="Arial" w:cs="Arial"/>
          <w:b/>
          <w:bCs/>
          <w:sz w:val="36"/>
          <w:szCs w:val="36"/>
        </w:rPr>
        <w:t xml:space="preserve"> </w:t>
      </w:r>
      <w:r w:rsidR="00B575E2" w:rsidRPr="001304E1">
        <w:rPr>
          <w:rFonts w:ascii="Arial" w:hAnsi="Arial" w:cs="Arial"/>
          <w:b/>
          <w:bCs/>
          <w:sz w:val="36"/>
          <w:szCs w:val="36"/>
        </w:rPr>
        <w:t>Making:</w:t>
      </w:r>
    </w:p>
    <w:p w14:paraId="386894B4" w14:textId="2DBA1F4C" w:rsidR="005D3E9A" w:rsidRPr="00404F85" w:rsidRDefault="005D3E9A" w:rsidP="00404F85">
      <w:pPr>
        <w:pStyle w:val="p2"/>
        <w:spacing w:line="360" w:lineRule="auto"/>
        <w:divId w:val="2139716632"/>
        <w:rPr>
          <w:rFonts w:ascii="Arial" w:hAnsi="Arial" w:cs="Arial"/>
          <w:sz w:val="22"/>
          <w:szCs w:val="22"/>
        </w:rPr>
      </w:pPr>
      <w:r w:rsidRPr="00404F85">
        <w:rPr>
          <w:rStyle w:val="s1"/>
          <w:rFonts w:ascii="Arial" w:hAnsi="Arial" w:cs="Arial"/>
          <w:sz w:val="22"/>
          <w:szCs w:val="22"/>
        </w:rPr>
        <w:t xml:space="preserve">For example, a longitudinal cohort study published in a reputable medical journal examining cardiovascular risk in older adults with T2DM (Rawshani et al., 2018) met </w:t>
      </w:r>
      <w:r w:rsidR="00BC1234" w:rsidRPr="00404F85">
        <w:rPr>
          <w:rStyle w:val="s1"/>
          <w:rFonts w:ascii="Arial" w:hAnsi="Arial" w:cs="Arial"/>
          <w:sz w:val="22"/>
          <w:szCs w:val="22"/>
        </w:rPr>
        <w:t>ambitious standards</w:t>
      </w:r>
      <w:r w:rsidRPr="00404F85">
        <w:rPr>
          <w:rStyle w:val="s1"/>
          <w:rFonts w:ascii="Arial" w:hAnsi="Arial" w:cs="Arial"/>
          <w:sz w:val="22"/>
          <w:szCs w:val="22"/>
        </w:rPr>
        <w:t xml:space="preserve"> across Currency, Authority, and Accuracy, and </w:t>
      </w:r>
      <w:bookmarkStart w:id="121" w:name="_Int_uHkqs99A"/>
      <w:r w:rsidRPr="00404F85">
        <w:rPr>
          <w:rStyle w:val="s1"/>
          <w:rFonts w:ascii="Arial" w:hAnsi="Arial" w:cs="Arial"/>
          <w:sz w:val="22"/>
          <w:szCs w:val="22"/>
        </w:rPr>
        <w:t>was therefore included</w:t>
      </w:r>
      <w:bookmarkEnd w:id="121"/>
      <w:r w:rsidRPr="00404F85">
        <w:rPr>
          <w:rStyle w:val="s1"/>
          <w:rFonts w:ascii="Arial" w:hAnsi="Arial" w:cs="Arial"/>
          <w:sz w:val="22"/>
          <w:szCs w:val="22"/>
        </w:rPr>
        <w:t>.</w:t>
      </w:r>
    </w:p>
    <w:p w14:paraId="1C1CD00C" w14:textId="77777777" w:rsidR="00B575E2" w:rsidRPr="00404F85" w:rsidRDefault="00B575E2" w:rsidP="00404F85">
      <w:pPr>
        <w:rPr>
          <w:rFonts w:ascii="Arial" w:hAnsi="Arial" w:cs="Arial"/>
        </w:rPr>
      </w:pPr>
    </w:p>
    <w:p w14:paraId="174FB297" w14:textId="2737DD88" w:rsidR="000F52BE" w:rsidRPr="00CD29F8" w:rsidRDefault="00D15A69" w:rsidP="00CD29F8">
      <w:pPr>
        <w:pStyle w:val="Heading2"/>
        <w:divId w:val="1775636624"/>
        <w:rPr>
          <w:rFonts w:ascii="Arial" w:hAnsi="Arial" w:cs="Arial"/>
          <w:b/>
          <w:sz w:val="32"/>
          <w:szCs w:val="32"/>
          <w:lang w:eastAsia="en-GB"/>
        </w:rPr>
      </w:pPr>
      <w:r w:rsidRPr="00F07331">
        <w:rPr>
          <w:rStyle w:val="Heading4Char"/>
          <w:rFonts w:ascii="Arial" w:hAnsi="Arial" w:cs="Arial"/>
          <w:b/>
          <w:i w:val="0"/>
          <w:sz w:val="32"/>
          <w:szCs w:val="32"/>
        </w:rPr>
        <w:t>3.5</w:t>
      </w:r>
      <w:r w:rsidRPr="00CD29F8">
        <w:rPr>
          <w:rStyle w:val="Heading4Char"/>
          <w:rFonts w:ascii="Arial" w:hAnsi="Arial" w:cs="Arial"/>
          <w:b/>
          <w:sz w:val="32"/>
          <w:szCs w:val="32"/>
        </w:rPr>
        <w:t xml:space="preserve"> </w:t>
      </w:r>
      <w:r w:rsidR="000F52BE" w:rsidRPr="00CD29F8">
        <w:rPr>
          <w:rFonts w:ascii="Arial" w:hAnsi="Arial" w:cs="Arial"/>
          <w:b/>
          <w:sz w:val="32"/>
          <w:szCs w:val="32"/>
          <w:lang w:eastAsia="en-GB"/>
        </w:rPr>
        <w:t>Inclusion and Exclusion Criteria</w:t>
      </w:r>
    </w:p>
    <w:p w14:paraId="67830021" w14:textId="77777777" w:rsidR="000F52BE" w:rsidRPr="009F0DB4" w:rsidRDefault="000F52BE" w:rsidP="00CD29F8">
      <w:pPr>
        <w:pStyle w:val="Heading2"/>
        <w:divId w:val="1775636624"/>
        <w:rPr>
          <w:rFonts w:ascii="Times New Roman" w:hAnsi="Times New Roman" w:cs="Times New Roman"/>
          <w:b/>
          <w:kern w:val="0"/>
          <w:szCs w:val="24"/>
          <w:lang w:eastAsia="en-GB"/>
          <w14:ligatures w14:val="none"/>
        </w:rPr>
      </w:pPr>
      <w:r w:rsidRPr="009F0DB4">
        <w:rPr>
          <w:rFonts w:ascii="Arial" w:hAnsi="Arial" w:cs="Arial"/>
          <w:b/>
          <w:sz w:val="32"/>
          <w:szCs w:val="32"/>
          <w:lang w:eastAsia="en-GB"/>
        </w:rPr>
        <w:t>Inclusion Criteria:</w:t>
      </w:r>
    </w:p>
    <w:p w14:paraId="27A8D173" w14:textId="77777777" w:rsidR="000F52BE" w:rsidRPr="000F52BE" w:rsidRDefault="000F52BE" w:rsidP="00CD29F8">
      <w:pPr>
        <w:spacing w:before="100" w:beforeAutospacing="1" w:after="100" w:afterAutospacing="1"/>
        <w:jc w:val="left"/>
        <w:divId w:val="1775636624"/>
        <w:rPr>
          <w:rFonts w:ascii="Arial" w:hAnsi="Arial" w:cs="Arial"/>
          <w:kern w:val="0"/>
          <w:lang w:eastAsia="en-GB"/>
          <w14:ligatures w14:val="none"/>
        </w:rPr>
      </w:pPr>
      <w:r w:rsidRPr="000F52BE">
        <w:rPr>
          <w:rFonts w:ascii="Arial" w:hAnsi="Arial" w:cs="Arial"/>
          <w:kern w:val="0"/>
          <w:lang w:eastAsia="en-GB"/>
          <w14:ligatures w14:val="none"/>
        </w:rPr>
        <w:t xml:space="preserve">Inclusion criteria </w:t>
      </w:r>
      <w:bookmarkStart w:id="122" w:name="_Int_sRwWLy9v"/>
      <w:r w:rsidRPr="000F52BE">
        <w:rPr>
          <w:rFonts w:ascii="Arial" w:hAnsi="Arial" w:cs="Arial"/>
          <w:kern w:val="0"/>
          <w:lang w:eastAsia="en-GB"/>
          <w14:ligatures w14:val="none"/>
        </w:rPr>
        <w:t>comprised</w:t>
      </w:r>
      <w:bookmarkEnd w:id="122"/>
      <w:r w:rsidRPr="000F52BE">
        <w:rPr>
          <w:rFonts w:ascii="Arial" w:hAnsi="Arial" w:cs="Arial"/>
          <w:kern w:val="0"/>
          <w:lang w:eastAsia="en-GB"/>
          <w14:ligatures w14:val="none"/>
        </w:rPr>
        <w:t xml:space="preserve"> peer-reviewed journal articles published between 2014–2024, studies focused on T2DM pathophysiology or chronic complications, research involving adults aged 60 years and above, and UK-based or comparable Western population studies. Systematic reviews, meta-analyses, and longitudinal cohort studies were prioritised due to their high evidential strength (Snyder, 2019). When applied alongside the Boolean search strategy and database filters, these criteria helped refine the search process, ensuring that only the most relevant and high-quality evidence </w:t>
      </w:r>
      <w:bookmarkStart w:id="123" w:name="_Int_r7S4Wq1l"/>
      <w:r w:rsidRPr="000F52BE">
        <w:rPr>
          <w:rFonts w:ascii="Arial" w:hAnsi="Arial" w:cs="Arial"/>
          <w:kern w:val="0"/>
          <w:lang w:eastAsia="en-GB"/>
          <w14:ligatures w14:val="none"/>
        </w:rPr>
        <w:t>was selected</w:t>
      </w:r>
      <w:bookmarkEnd w:id="123"/>
      <w:r w:rsidRPr="000F52BE">
        <w:rPr>
          <w:rFonts w:ascii="Arial" w:hAnsi="Arial" w:cs="Arial"/>
          <w:kern w:val="0"/>
          <w:lang w:eastAsia="en-GB"/>
          <w14:ligatures w14:val="none"/>
        </w:rPr>
        <w:t xml:space="preserve"> to address the research question.</w:t>
      </w:r>
    </w:p>
    <w:p w14:paraId="1277EBFE" w14:textId="77777777" w:rsidR="000F52BE" w:rsidRPr="009F0DB4" w:rsidRDefault="000F52BE" w:rsidP="00C734DD">
      <w:pPr>
        <w:pStyle w:val="Heading2"/>
        <w:divId w:val="1775636624"/>
        <w:rPr>
          <w:rFonts w:ascii="Times New Roman" w:hAnsi="Times New Roman" w:cs="Times New Roman"/>
          <w:b/>
          <w:kern w:val="0"/>
          <w:szCs w:val="24"/>
          <w:lang w:eastAsia="en-GB"/>
          <w14:ligatures w14:val="none"/>
        </w:rPr>
      </w:pPr>
      <w:r w:rsidRPr="009F0DB4">
        <w:rPr>
          <w:rFonts w:ascii="Arial" w:hAnsi="Arial" w:cs="Arial"/>
          <w:b/>
          <w:sz w:val="32"/>
          <w:szCs w:val="32"/>
        </w:rPr>
        <w:t>Exclusion Criteria:</w:t>
      </w:r>
    </w:p>
    <w:p w14:paraId="1DA52021" w14:textId="77777777" w:rsidR="000F52BE" w:rsidRPr="000F52BE" w:rsidRDefault="000F52BE" w:rsidP="00CD29F8">
      <w:pPr>
        <w:spacing w:before="100" w:beforeAutospacing="1" w:after="100" w:afterAutospacing="1"/>
        <w:jc w:val="left"/>
        <w:divId w:val="1775636624"/>
        <w:rPr>
          <w:rFonts w:ascii="Arial" w:hAnsi="Arial" w:cs="Arial"/>
          <w:kern w:val="0"/>
          <w:lang w:eastAsia="en-GB"/>
          <w14:ligatures w14:val="none"/>
        </w:rPr>
      </w:pPr>
      <w:r w:rsidRPr="000F52BE">
        <w:rPr>
          <w:rFonts w:ascii="Arial" w:hAnsi="Arial" w:cs="Arial"/>
          <w:kern w:val="0"/>
          <w:lang w:eastAsia="en-GB"/>
          <w14:ligatures w14:val="none"/>
        </w:rPr>
        <w:t>Exclusion criteria included non-peer-reviewed sources (e.g., blogs), studies focused solely on Type 1 Diabetes, research on paediatric populations, non-English publications, and outdated studies unless considered seminal (e.g., foundational pathophysiology research such as DeFronzo et al., 2015). Applying these exclusion criteria alongside the inclusion criteria reduced irrelevant results and strengthened the consistency and reliability of the evidence synthesis.</w:t>
      </w:r>
    </w:p>
    <w:p w14:paraId="62CE55F2" w14:textId="77777777" w:rsidR="000F52BE" w:rsidRPr="009B04A8" w:rsidRDefault="000F52BE" w:rsidP="00C734DD">
      <w:pPr>
        <w:pStyle w:val="Heading2"/>
        <w:divId w:val="1775636624"/>
        <w:rPr>
          <w:rFonts w:ascii="Times New Roman" w:hAnsi="Times New Roman" w:cs="Times New Roman"/>
          <w:b/>
          <w:kern w:val="0"/>
          <w:sz w:val="32"/>
          <w:szCs w:val="32"/>
          <w:lang w:eastAsia="en-GB"/>
          <w14:ligatures w14:val="none"/>
        </w:rPr>
      </w:pPr>
      <w:r w:rsidRPr="009B04A8">
        <w:rPr>
          <w:rFonts w:ascii="Arial" w:hAnsi="Arial" w:cs="Arial"/>
          <w:b/>
          <w:sz w:val="32"/>
          <w:szCs w:val="32"/>
          <w:lang w:eastAsia="en-GB"/>
        </w:rPr>
        <w:t>Justification:</w:t>
      </w:r>
    </w:p>
    <w:p w14:paraId="20C41B74" w14:textId="77777777" w:rsidR="000F52BE" w:rsidRPr="000F52BE" w:rsidRDefault="000F52BE" w:rsidP="00CD29F8">
      <w:pPr>
        <w:spacing w:before="100" w:beforeAutospacing="1" w:after="100" w:afterAutospacing="1"/>
        <w:jc w:val="left"/>
        <w:divId w:val="1775636624"/>
        <w:rPr>
          <w:rFonts w:ascii="Arial" w:hAnsi="Arial" w:cs="Arial"/>
          <w:kern w:val="0"/>
          <w:lang w:eastAsia="en-GB"/>
          <w14:ligatures w14:val="none"/>
        </w:rPr>
      </w:pPr>
      <w:r w:rsidRPr="000F52BE">
        <w:rPr>
          <w:rFonts w:ascii="Arial" w:hAnsi="Arial" w:cs="Arial"/>
          <w:kern w:val="0"/>
          <w:lang w:eastAsia="en-GB"/>
          <w14:ligatures w14:val="none"/>
        </w:rPr>
        <w:t>These criteria ensured methodological consistency, academic rigour, and focused alignment with the research aim, while supporting a transparent and systematic selection process that enhanced the relevance and credibility of the final studies included.</w:t>
      </w:r>
    </w:p>
    <w:p w14:paraId="1E5DF241" w14:textId="64852EF0" w:rsidR="000F52BE" w:rsidRPr="000F52BE" w:rsidRDefault="000F52BE" w:rsidP="00CD29F8">
      <w:pPr>
        <w:spacing w:after="0"/>
        <w:jc w:val="left"/>
        <w:divId w:val="1775636624"/>
        <w:rPr>
          <w:rFonts w:ascii="Arial" w:eastAsia="Times New Roman" w:hAnsi="Arial" w:cs="Arial"/>
          <w:kern w:val="0"/>
          <w:lang w:eastAsia="en-GB"/>
          <w14:ligatures w14:val="none"/>
        </w:rPr>
      </w:pPr>
    </w:p>
    <w:p w14:paraId="15237B89" w14:textId="108C53FF" w:rsidR="000F52BE" w:rsidRPr="009F0DB4" w:rsidRDefault="00E9113E" w:rsidP="00C734DD">
      <w:pPr>
        <w:pStyle w:val="Heading2"/>
        <w:divId w:val="1775636624"/>
        <w:rPr>
          <w:rFonts w:ascii="Arial" w:hAnsi="Arial" w:cs="Arial"/>
          <w:b/>
          <w:sz w:val="32"/>
          <w:szCs w:val="32"/>
          <w:lang w:eastAsia="en-GB"/>
        </w:rPr>
      </w:pPr>
      <w:r>
        <w:rPr>
          <w:rFonts w:ascii="Arial" w:hAnsi="Arial" w:cs="Arial"/>
          <w:b/>
          <w:sz w:val="32"/>
          <w:szCs w:val="32"/>
          <w:lang w:eastAsia="en-GB"/>
        </w:rPr>
        <w:t xml:space="preserve">3.6 </w:t>
      </w:r>
      <w:r w:rsidR="000F52BE" w:rsidRPr="009F0DB4">
        <w:rPr>
          <w:rFonts w:ascii="Arial" w:hAnsi="Arial" w:cs="Arial"/>
          <w:b/>
          <w:sz w:val="32"/>
          <w:szCs w:val="32"/>
          <w:lang w:eastAsia="en-GB"/>
        </w:rPr>
        <w:t>Analysing Research</w:t>
      </w:r>
    </w:p>
    <w:p w14:paraId="0D46FB08" w14:textId="77777777" w:rsidR="000F52BE" w:rsidRPr="000F52BE" w:rsidRDefault="000F52BE" w:rsidP="00C734DD">
      <w:pPr>
        <w:pStyle w:val="Heading2"/>
        <w:divId w:val="1775636624"/>
        <w:rPr>
          <w:rFonts w:ascii="Times New Roman" w:eastAsia="Times New Roman" w:hAnsi="Times New Roman" w:cs="Times New Roman"/>
          <w:b/>
          <w:bCs/>
          <w:kern w:val="0"/>
          <w:szCs w:val="24"/>
          <w:lang w:eastAsia="en-GB"/>
          <w14:ligatures w14:val="none"/>
        </w:rPr>
      </w:pPr>
      <w:r w:rsidRPr="009F0DB4">
        <w:rPr>
          <w:rFonts w:ascii="Arial" w:hAnsi="Arial" w:cs="Arial"/>
          <w:b/>
          <w:sz w:val="32"/>
          <w:szCs w:val="32"/>
          <w:lang w:eastAsia="en-GB"/>
        </w:rPr>
        <w:t>Thematic Coding Approach:</w:t>
      </w:r>
    </w:p>
    <w:p w14:paraId="77192796" w14:textId="77777777" w:rsidR="000F52BE" w:rsidRPr="000F52BE" w:rsidRDefault="000F52BE" w:rsidP="00CD29F8">
      <w:pPr>
        <w:spacing w:before="100" w:beforeAutospacing="1" w:after="100" w:afterAutospacing="1"/>
        <w:jc w:val="left"/>
        <w:divId w:val="1775636624"/>
        <w:rPr>
          <w:rFonts w:ascii="Arial" w:hAnsi="Arial" w:cs="Arial"/>
          <w:kern w:val="0"/>
          <w:lang w:eastAsia="en-GB"/>
          <w14:ligatures w14:val="none"/>
        </w:rPr>
      </w:pPr>
      <w:r w:rsidRPr="000F52BE">
        <w:rPr>
          <w:rFonts w:ascii="Arial" w:hAnsi="Arial" w:cs="Arial"/>
          <w:kern w:val="0"/>
          <w:lang w:eastAsia="en-GB"/>
          <w14:ligatures w14:val="none"/>
        </w:rPr>
        <w:t xml:space="preserve">A thematic coding approach </w:t>
      </w:r>
      <w:bookmarkStart w:id="124" w:name="_Int_qWMzbT4S"/>
      <w:r w:rsidRPr="000F52BE">
        <w:rPr>
          <w:rFonts w:ascii="Arial" w:hAnsi="Arial" w:cs="Arial"/>
          <w:kern w:val="0"/>
          <w:lang w:eastAsia="en-GB"/>
          <w14:ligatures w14:val="none"/>
        </w:rPr>
        <w:t>was adopted</w:t>
      </w:r>
      <w:bookmarkEnd w:id="124"/>
      <w:r w:rsidRPr="000F52BE">
        <w:rPr>
          <w:rFonts w:ascii="Arial" w:hAnsi="Arial" w:cs="Arial"/>
          <w:kern w:val="0"/>
          <w:lang w:eastAsia="en-GB"/>
          <w14:ligatures w14:val="none"/>
        </w:rPr>
        <w:t xml:space="preserve"> to systematically analyse the literature selected for this study (Braun and Clarke, 2006). Each article </w:t>
      </w:r>
      <w:bookmarkStart w:id="125" w:name="_Int_klgR5nf3"/>
      <w:r w:rsidRPr="000F52BE">
        <w:rPr>
          <w:rFonts w:ascii="Arial" w:hAnsi="Arial" w:cs="Arial"/>
          <w:kern w:val="0"/>
          <w:lang w:eastAsia="en-GB"/>
          <w14:ligatures w14:val="none"/>
        </w:rPr>
        <w:t>was read</w:t>
      </w:r>
      <w:bookmarkEnd w:id="125"/>
      <w:r w:rsidRPr="000F52BE">
        <w:rPr>
          <w:rFonts w:ascii="Arial" w:hAnsi="Arial" w:cs="Arial"/>
          <w:kern w:val="0"/>
          <w:lang w:eastAsia="en-GB"/>
          <w14:ligatures w14:val="none"/>
        </w:rPr>
        <w:t xml:space="preserve"> in detail, with key ideas, issues, and terminology highlighted and recorded. Initial codes </w:t>
      </w:r>
      <w:bookmarkStart w:id="126" w:name="_Int_iYCLJOz3"/>
      <w:r w:rsidRPr="000F52BE">
        <w:rPr>
          <w:rFonts w:ascii="Arial" w:hAnsi="Arial" w:cs="Arial"/>
          <w:kern w:val="0"/>
          <w:lang w:eastAsia="en-GB"/>
          <w14:ligatures w14:val="none"/>
        </w:rPr>
        <w:t>were generated</w:t>
      </w:r>
      <w:bookmarkEnd w:id="126"/>
      <w:r w:rsidRPr="000F52BE">
        <w:rPr>
          <w:rFonts w:ascii="Arial" w:hAnsi="Arial" w:cs="Arial"/>
          <w:kern w:val="0"/>
          <w:lang w:eastAsia="en-GB"/>
          <w14:ligatures w14:val="none"/>
        </w:rPr>
        <w:t xml:space="preserve"> based on recurring concepts, such as insulin resistance, beta-cell dysfunction, chronic inflammation, vascular damage, neuropathy, and cardiovascular risk. These codes reflected both physiological mechanisms and long-term complications of Type 2 Diabetes Mellitus (T2DM) in older adults. This approach enabled findings from studies with different methodologies to </w:t>
      </w:r>
      <w:bookmarkStart w:id="127" w:name="_Int_1g4I4cp0"/>
      <w:r w:rsidRPr="000F52BE">
        <w:rPr>
          <w:rFonts w:ascii="Arial" w:hAnsi="Arial" w:cs="Arial"/>
          <w:kern w:val="0"/>
          <w:lang w:eastAsia="en-GB"/>
          <w14:ligatures w14:val="none"/>
        </w:rPr>
        <w:t>be analysed</w:t>
      </w:r>
      <w:bookmarkEnd w:id="127"/>
      <w:r w:rsidRPr="000F52BE">
        <w:rPr>
          <w:rFonts w:ascii="Arial" w:hAnsi="Arial" w:cs="Arial"/>
          <w:kern w:val="0"/>
          <w:lang w:eastAsia="en-GB"/>
          <w14:ligatures w14:val="none"/>
        </w:rPr>
        <w:t xml:space="preserve"> consistently and compared systematically, strengthening the overall synthesis of evidence.</w:t>
      </w:r>
    </w:p>
    <w:p w14:paraId="1B10A2DA" w14:textId="77777777" w:rsidR="000F52BE" w:rsidRPr="000F52BE" w:rsidRDefault="000F52BE" w:rsidP="005F0FF3">
      <w:pPr>
        <w:pStyle w:val="Heading2"/>
        <w:divId w:val="1775636624"/>
        <w:rPr>
          <w:rFonts w:ascii="Times New Roman" w:eastAsia="Times New Roman" w:hAnsi="Times New Roman" w:cs="Times New Roman"/>
          <w:b/>
          <w:bCs/>
          <w:kern w:val="0"/>
          <w:szCs w:val="24"/>
          <w:lang w:eastAsia="en-GB"/>
          <w14:ligatures w14:val="none"/>
        </w:rPr>
      </w:pPr>
      <w:r w:rsidRPr="009F0DB4">
        <w:rPr>
          <w:rFonts w:ascii="Arial" w:hAnsi="Arial" w:cs="Arial"/>
          <w:b/>
          <w:sz w:val="32"/>
          <w:szCs w:val="32"/>
          <w:lang w:eastAsia="en-GB"/>
        </w:rPr>
        <w:t>Developing Themes:</w:t>
      </w:r>
    </w:p>
    <w:p w14:paraId="68443453" w14:textId="77777777" w:rsidR="000F52BE" w:rsidRPr="000F52BE" w:rsidRDefault="000F52BE" w:rsidP="00CD29F8">
      <w:pPr>
        <w:numPr>
          <w:ilvl w:val="0"/>
          <w:numId w:val="114"/>
        </w:numPr>
        <w:spacing w:before="100" w:beforeAutospacing="1" w:after="100" w:afterAutospacing="1"/>
        <w:jc w:val="left"/>
        <w:divId w:val="1775636624"/>
        <w:rPr>
          <w:rFonts w:ascii="Arial" w:eastAsia="Times New Roman" w:hAnsi="Arial" w:cs="Arial"/>
          <w:kern w:val="0"/>
          <w:lang w:eastAsia="en-GB"/>
          <w14:ligatures w14:val="none"/>
        </w:rPr>
      </w:pPr>
      <w:r w:rsidRPr="000F52BE">
        <w:rPr>
          <w:rFonts w:ascii="Arial" w:eastAsia="Times New Roman" w:hAnsi="Arial" w:cs="Arial"/>
          <w:kern w:val="0"/>
          <w:lang w:eastAsia="en-GB"/>
          <w14:ligatures w14:val="none"/>
        </w:rPr>
        <w:t>Physiological Mechanisms of T2DM, encompassing insulin resistance, beta-cell dysfunction, and inflammatory pathways.</w:t>
      </w:r>
    </w:p>
    <w:p w14:paraId="1B9837A9" w14:textId="77777777" w:rsidR="000F52BE" w:rsidRPr="000F52BE" w:rsidRDefault="000F52BE" w:rsidP="00CD29F8">
      <w:pPr>
        <w:numPr>
          <w:ilvl w:val="0"/>
          <w:numId w:val="114"/>
        </w:numPr>
        <w:spacing w:before="100" w:beforeAutospacing="1" w:after="100" w:afterAutospacing="1"/>
        <w:jc w:val="left"/>
        <w:divId w:val="1775636624"/>
        <w:rPr>
          <w:rFonts w:ascii="Arial" w:eastAsia="Times New Roman" w:hAnsi="Arial" w:cs="Arial"/>
          <w:kern w:val="0"/>
          <w:lang w:eastAsia="en-GB"/>
          <w14:ligatures w14:val="none"/>
        </w:rPr>
      </w:pPr>
      <w:r w:rsidRPr="000F52BE">
        <w:rPr>
          <w:rFonts w:ascii="Arial" w:eastAsia="Times New Roman" w:hAnsi="Arial" w:cs="Arial"/>
          <w:kern w:val="0"/>
          <w:lang w:eastAsia="en-GB"/>
          <w14:ligatures w14:val="none"/>
        </w:rPr>
        <w:t>Long-Term Complications, including cardiovascular disease, nephropathy, neuropathy, and reduced life expectancy (Zheng et al., 2018; Rawshani et al., 2018).</w:t>
      </w:r>
    </w:p>
    <w:p w14:paraId="399C0A43" w14:textId="77777777" w:rsidR="000F52BE" w:rsidRPr="000F52BE" w:rsidRDefault="000F52BE" w:rsidP="00CD29F8">
      <w:pPr>
        <w:spacing w:before="100" w:beforeAutospacing="1" w:after="100" w:afterAutospacing="1"/>
        <w:jc w:val="left"/>
        <w:divId w:val="1775636624"/>
        <w:rPr>
          <w:rFonts w:ascii="Arial" w:hAnsi="Arial" w:cs="Arial"/>
          <w:kern w:val="0"/>
          <w:lang w:eastAsia="en-GB"/>
          <w14:ligatures w14:val="none"/>
        </w:rPr>
      </w:pPr>
      <w:r w:rsidRPr="000F52BE">
        <w:rPr>
          <w:rFonts w:ascii="Arial" w:hAnsi="Arial" w:cs="Arial"/>
          <w:kern w:val="0"/>
          <w:lang w:eastAsia="en-GB"/>
          <w14:ligatures w14:val="none"/>
        </w:rPr>
        <w:t xml:space="preserve">A spreadsheet </w:t>
      </w:r>
      <w:bookmarkStart w:id="128" w:name="_Int_32gqp98d"/>
      <w:r w:rsidRPr="000F52BE">
        <w:rPr>
          <w:rFonts w:ascii="Arial" w:hAnsi="Arial" w:cs="Arial"/>
          <w:kern w:val="0"/>
          <w:lang w:eastAsia="en-GB"/>
          <w14:ligatures w14:val="none"/>
        </w:rPr>
        <w:t>was used</w:t>
      </w:r>
      <w:bookmarkEnd w:id="128"/>
      <w:r w:rsidRPr="000F52BE">
        <w:rPr>
          <w:rFonts w:ascii="Arial" w:hAnsi="Arial" w:cs="Arial"/>
          <w:kern w:val="0"/>
          <w:lang w:eastAsia="en-GB"/>
          <w14:ligatures w14:val="none"/>
        </w:rPr>
        <w:t xml:space="preserve"> to categorise studies according to themes, with colour coding to </w:t>
      </w:r>
      <w:bookmarkStart w:id="129" w:name="_Int_Abf3XyiF"/>
      <w:r w:rsidRPr="000F52BE">
        <w:rPr>
          <w:rFonts w:ascii="Arial" w:hAnsi="Arial" w:cs="Arial"/>
          <w:kern w:val="0"/>
          <w:lang w:eastAsia="en-GB"/>
          <w14:ligatures w14:val="none"/>
        </w:rPr>
        <w:t>identify</w:t>
      </w:r>
      <w:bookmarkEnd w:id="129"/>
      <w:r w:rsidRPr="000F52BE">
        <w:rPr>
          <w:rFonts w:ascii="Arial" w:hAnsi="Arial" w:cs="Arial"/>
          <w:kern w:val="0"/>
          <w:lang w:eastAsia="en-GB"/>
          <w14:ligatures w14:val="none"/>
        </w:rPr>
        <w:t xml:space="preserve"> conceptual overlap. Combining thematic coding with this structured organisation </w:t>
      </w:r>
      <w:bookmarkStart w:id="130" w:name="_Int_TXEWpqFy"/>
      <w:r w:rsidRPr="000F52BE">
        <w:rPr>
          <w:rFonts w:ascii="Arial" w:hAnsi="Arial" w:cs="Arial"/>
          <w:kern w:val="0"/>
          <w:lang w:eastAsia="en-GB"/>
          <w14:ligatures w14:val="none"/>
        </w:rPr>
        <w:t>facilitated</w:t>
      </w:r>
      <w:bookmarkEnd w:id="130"/>
      <w:r w:rsidRPr="000F52BE">
        <w:rPr>
          <w:rFonts w:ascii="Arial" w:hAnsi="Arial" w:cs="Arial"/>
          <w:kern w:val="0"/>
          <w:lang w:eastAsia="en-GB"/>
          <w14:ligatures w14:val="none"/>
        </w:rPr>
        <w:t xml:space="preserve"> the identification of recurring patterns across the literature and ensured that the analysis remained focused on answering the research question. This structured process enhanced analytical clarity and directly informed the thematic structure presented in Chapter 4.</w:t>
      </w:r>
    </w:p>
    <w:p w14:paraId="32428B33" w14:textId="77777777" w:rsidR="000F52BE" w:rsidRPr="009B04A8" w:rsidRDefault="000F52BE" w:rsidP="005F0FF3">
      <w:pPr>
        <w:pStyle w:val="Heading2"/>
        <w:divId w:val="1775636624"/>
        <w:rPr>
          <w:rFonts w:ascii="Times New Roman" w:eastAsia="Times New Roman" w:hAnsi="Times New Roman" w:cs="Times New Roman"/>
          <w:b/>
          <w:bCs/>
          <w:kern w:val="0"/>
          <w:szCs w:val="24"/>
          <w:lang w:eastAsia="en-GB"/>
          <w14:ligatures w14:val="none"/>
        </w:rPr>
      </w:pPr>
      <w:r w:rsidRPr="009B04A8">
        <w:rPr>
          <w:rFonts w:ascii="Arial" w:hAnsi="Arial" w:cs="Arial"/>
          <w:b/>
          <w:bCs/>
          <w:sz w:val="32"/>
          <w:szCs w:val="32"/>
          <w:lang w:eastAsia="en-GB"/>
        </w:rPr>
        <w:t>Organisation:</w:t>
      </w:r>
    </w:p>
    <w:p w14:paraId="3DE2FBB8" w14:textId="77777777" w:rsidR="000F52BE" w:rsidRPr="000F52BE" w:rsidRDefault="000F52BE" w:rsidP="00CD29F8">
      <w:pPr>
        <w:spacing w:before="100" w:beforeAutospacing="1" w:after="100" w:afterAutospacing="1"/>
        <w:jc w:val="left"/>
        <w:divId w:val="1775636624"/>
        <w:rPr>
          <w:rFonts w:ascii="Arial" w:hAnsi="Arial" w:cs="Arial"/>
          <w:kern w:val="0"/>
          <w:lang w:eastAsia="en-GB"/>
          <w14:ligatures w14:val="none"/>
        </w:rPr>
      </w:pPr>
      <w:r w:rsidRPr="000F52BE">
        <w:rPr>
          <w:rFonts w:ascii="Arial" w:hAnsi="Arial" w:cs="Arial"/>
          <w:kern w:val="0"/>
          <w:lang w:eastAsia="en-GB"/>
          <w14:ligatures w14:val="none"/>
        </w:rPr>
        <w:t xml:space="preserve">To organise and manage the analysis, a spreadsheet-based system </w:t>
      </w:r>
      <w:bookmarkStart w:id="131" w:name="_Int_jB7y1Ztc"/>
      <w:r w:rsidRPr="000F52BE">
        <w:rPr>
          <w:rFonts w:ascii="Arial" w:hAnsi="Arial" w:cs="Arial"/>
          <w:kern w:val="0"/>
          <w:lang w:eastAsia="en-GB"/>
          <w14:ligatures w14:val="none"/>
        </w:rPr>
        <w:t>was used</w:t>
      </w:r>
      <w:bookmarkEnd w:id="131"/>
      <w:r w:rsidRPr="000F52BE">
        <w:rPr>
          <w:rFonts w:ascii="Arial" w:hAnsi="Arial" w:cs="Arial"/>
          <w:kern w:val="0"/>
          <w:lang w:eastAsia="en-GB"/>
          <w14:ligatures w14:val="none"/>
        </w:rPr>
        <w:t>, with colour-coded codes and themes, enabling clear tracking of patterns and overlaps. Used alongside the inclusion and exclusion criteria and thematic coding process, this approach improved transparency, consistency, and traceability throughout the literature review. This structured approach ensured transparency and directly informed the thematic discussion presented in Chapter 4.</w:t>
      </w:r>
    </w:p>
    <w:p w14:paraId="3217323A" w14:textId="77777777" w:rsidR="00106486" w:rsidRDefault="00106486" w:rsidP="009C0B43">
      <w:pPr>
        <w:pStyle w:val="Heading2"/>
        <w:rPr>
          <w:rFonts w:ascii="Arial" w:hAnsi="Arial" w:cs="Arial"/>
          <w:b/>
          <w:bCs/>
          <w:sz w:val="36"/>
          <w:szCs w:val="36"/>
        </w:rPr>
      </w:pPr>
    </w:p>
    <w:p w14:paraId="34D844F4" w14:textId="5B97E375" w:rsidR="00B01396" w:rsidRPr="00404F85" w:rsidRDefault="00A16B6E" w:rsidP="009C0B43">
      <w:pPr>
        <w:pStyle w:val="Heading2"/>
        <w:rPr>
          <w:rFonts w:ascii="Arial" w:hAnsi="Arial" w:cs="Arial"/>
          <w:sz w:val="22"/>
          <w:szCs w:val="22"/>
        </w:rPr>
      </w:pPr>
      <w:r>
        <w:rPr>
          <w:rFonts w:ascii="Arial" w:hAnsi="Arial" w:cs="Arial"/>
          <w:b/>
          <w:bCs/>
          <w:sz w:val="36"/>
          <w:szCs w:val="36"/>
        </w:rPr>
        <w:t>3.</w:t>
      </w:r>
      <w:r w:rsidR="00313ADC">
        <w:rPr>
          <w:rFonts w:ascii="Arial" w:hAnsi="Arial" w:cs="Arial"/>
          <w:b/>
          <w:bCs/>
          <w:sz w:val="36"/>
          <w:szCs w:val="36"/>
        </w:rPr>
        <w:t>7</w:t>
      </w:r>
      <w:r w:rsidR="001B2934">
        <w:rPr>
          <w:rFonts w:ascii="Arial" w:hAnsi="Arial" w:cs="Arial"/>
          <w:b/>
          <w:bCs/>
          <w:sz w:val="36"/>
          <w:szCs w:val="36"/>
        </w:rPr>
        <w:t xml:space="preserve"> </w:t>
      </w:r>
      <w:r w:rsidR="00292A36" w:rsidRPr="00DD1B9E">
        <w:rPr>
          <w:rFonts w:ascii="Arial" w:hAnsi="Arial" w:cs="Arial"/>
          <w:b/>
          <w:bCs/>
          <w:sz w:val="36"/>
          <w:szCs w:val="36"/>
        </w:rPr>
        <w:t>Ethical</w:t>
      </w:r>
      <w:r w:rsidR="007D1E57">
        <w:rPr>
          <w:rFonts w:ascii="Arial" w:hAnsi="Arial" w:cs="Arial"/>
          <w:b/>
          <w:bCs/>
          <w:sz w:val="36"/>
          <w:szCs w:val="36"/>
        </w:rPr>
        <w:t xml:space="preserve"> </w:t>
      </w:r>
      <w:r w:rsidR="00292A36" w:rsidRPr="00DD1B9E">
        <w:rPr>
          <w:rFonts w:ascii="Arial" w:hAnsi="Arial" w:cs="Arial"/>
          <w:b/>
          <w:bCs/>
          <w:sz w:val="36"/>
          <w:szCs w:val="36"/>
        </w:rPr>
        <w:t>Considerations</w:t>
      </w:r>
      <w:r w:rsidR="00292A36" w:rsidRPr="00404F85">
        <w:rPr>
          <w:rFonts w:ascii="Arial" w:hAnsi="Arial" w:cs="Arial"/>
          <w:sz w:val="22"/>
          <w:szCs w:val="22"/>
        </w:rPr>
        <w:t xml:space="preserve"> </w:t>
      </w:r>
    </w:p>
    <w:p w14:paraId="073EA88D" w14:textId="77777777" w:rsidR="00C17A49" w:rsidRPr="00404F85" w:rsidRDefault="00C17A49" w:rsidP="00404F85">
      <w:pPr>
        <w:rPr>
          <w:rFonts w:ascii="Arial" w:hAnsi="Arial" w:cs="Arial"/>
        </w:rPr>
      </w:pPr>
    </w:p>
    <w:p w14:paraId="79326193" w14:textId="1E58BCF0" w:rsidR="00C17A49" w:rsidRPr="009C0B43" w:rsidRDefault="00F14910" w:rsidP="009C0B43">
      <w:pPr>
        <w:pStyle w:val="Heading2"/>
        <w:rPr>
          <w:rFonts w:ascii="Arial" w:hAnsi="Arial" w:cs="Arial"/>
          <w:b/>
          <w:bCs/>
          <w:sz w:val="36"/>
          <w:szCs w:val="36"/>
        </w:rPr>
      </w:pPr>
      <w:r w:rsidRPr="009C0B43">
        <w:rPr>
          <w:rFonts w:ascii="Arial" w:hAnsi="Arial" w:cs="Arial"/>
          <w:b/>
          <w:bCs/>
          <w:sz w:val="36"/>
          <w:szCs w:val="36"/>
        </w:rPr>
        <w:t>Secondary</w:t>
      </w:r>
      <w:r w:rsidR="00C17A49" w:rsidRPr="009C0B43">
        <w:rPr>
          <w:rFonts w:ascii="Arial" w:hAnsi="Arial" w:cs="Arial"/>
          <w:b/>
          <w:bCs/>
          <w:sz w:val="36"/>
          <w:szCs w:val="36"/>
        </w:rPr>
        <w:t xml:space="preserve"> Research Ethics:</w:t>
      </w:r>
    </w:p>
    <w:p w14:paraId="5330F381" w14:textId="77777777" w:rsidR="006E47E0" w:rsidRPr="00404F85" w:rsidRDefault="006E47E0" w:rsidP="00404F85">
      <w:pPr>
        <w:pStyle w:val="p1"/>
        <w:spacing w:line="360" w:lineRule="auto"/>
        <w:divId w:val="260071710"/>
        <w:rPr>
          <w:rFonts w:ascii="Arial" w:hAnsi="Arial" w:cs="Arial"/>
          <w:sz w:val="22"/>
          <w:szCs w:val="22"/>
        </w:rPr>
      </w:pPr>
      <w:r w:rsidRPr="00404F85">
        <w:rPr>
          <w:rStyle w:val="s1"/>
          <w:rFonts w:ascii="Arial" w:hAnsi="Arial" w:cs="Arial"/>
          <w:sz w:val="22"/>
          <w:szCs w:val="22"/>
        </w:rPr>
        <w:t xml:space="preserve">This study relied exclusively on </w:t>
      </w:r>
      <w:r w:rsidRPr="00404F85">
        <w:rPr>
          <w:rStyle w:val="s2"/>
          <w:rFonts w:ascii="Arial" w:hAnsi="Arial" w:cs="Arial"/>
          <w:sz w:val="22"/>
          <w:szCs w:val="22"/>
        </w:rPr>
        <w:t>secondary research</w:t>
      </w:r>
      <w:r w:rsidRPr="00404F85">
        <w:rPr>
          <w:rStyle w:val="s1"/>
          <w:rFonts w:ascii="Arial" w:hAnsi="Arial" w:cs="Arial"/>
          <w:sz w:val="22"/>
          <w:szCs w:val="22"/>
        </w:rPr>
        <w:t xml:space="preserve">, analysing existing peer-reviewed literature; no new data collection from participants occurred, </w:t>
      </w:r>
      <w:bookmarkStart w:id="132" w:name="_Int_58DMtfoQ"/>
      <w:r w:rsidRPr="00404F85">
        <w:rPr>
          <w:rStyle w:val="s1"/>
          <w:rFonts w:ascii="Arial" w:hAnsi="Arial" w:cs="Arial"/>
          <w:sz w:val="22"/>
          <w:szCs w:val="22"/>
        </w:rPr>
        <w:t>eliminating</w:t>
      </w:r>
      <w:bookmarkEnd w:id="132"/>
      <w:r w:rsidRPr="00404F85">
        <w:rPr>
          <w:rStyle w:val="s1"/>
          <w:rFonts w:ascii="Arial" w:hAnsi="Arial" w:cs="Arial"/>
          <w:sz w:val="22"/>
          <w:szCs w:val="22"/>
        </w:rPr>
        <w:t xml:space="preserve"> direct ethical risks (Snyder, 2019).</w:t>
      </w:r>
      <w:r w:rsidRPr="00404F85">
        <w:rPr>
          <w:rStyle w:val="apple-converted-space"/>
          <w:rFonts w:ascii="Arial" w:hAnsi="Arial" w:cs="Arial"/>
          <w:sz w:val="22"/>
          <w:szCs w:val="22"/>
        </w:rPr>
        <w:t> </w:t>
      </w:r>
    </w:p>
    <w:p w14:paraId="5B60C4E2" w14:textId="77777777" w:rsidR="000944F1" w:rsidRPr="00404F85" w:rsidRDefault="000944F1" w:rsidP="00404F85">
      <w:pPr>
        <w:rPr>
          <w:rFonts w:ascii="Arial" w:hAnsi="Arial" w:cs="Arial"/>
        </w:rPr>
      </w:pPr>
    </w:p>
    <w:p w14:paraId="62B3E465" w14:textId="1DA95408" w:rsidR="00C17A49" w:rsidRPr="00EF077D" w:rsidRDefault="00F14910" w:rsidP="00106486">
      <w:pPr>
        <w:pStyle w:val="Heading2"/>
        <w:rPr>
          <w:rFonts w:ascii="Arial" w:hAnsi="Arial" w:cs="Arial"/>
          <w:b/>
          <w:bCs/>
          <w:sz w:val="36"/>
          <w:szCs w:val="36"/>
        </w:rPr>
      </w:pPr>
      <w:r w:rsidRPr="00EF077D">
        <w:rPr>
          <w:rFonts w:ascii="Arial" w:hAnsi="Arial" w:cs="Arial"/>
          <w:b/>
          <w:bCs/>
          <w:sz w:val="36"/>
          <w:szCs w:val="36"/>
        </w:rPr>
        <w:t>Academic</w:t>
      </w:r>
      <w:r w:rsidR="00C17A49" w:rsidRPr="00EF077D">
        <w:rPr>
          <w:rFonts w:ascii="Arial" w:hAnsi="Arial" w:cs="Arial"/>
          <w:b/>
          <w:bCs/>
          <w:sz w:val="36"/>
          <w:szCs w:val="36"/>
        </w:rPr>
        <w:t xml:space="preserve"> Integrity:</w:t>
      </w:r>
    </w:p>
    <w:p w14:paraId="7004B66C" w14:textId="61A21E27" w:rsidR="006E47E0" w:rsidRPr="00404F85" w:rsidRDefault="00493765" w:rsidP="00404F85">
      <w:pPr>
        <w:pStyle w:val="p1"/>
        <w:spacing w:line="360" w:lineRule="auto"/>
        <w:divId w:val="1876194378"/>
        <w:rPr>
          <w:rFonts w:ascii="Arial" w:hAnsi="Arial" w:cs="Arial"/>
          <w:sz w:val="22"/>
          <w:szCs w:val="22"/>
        </w:rPr>
      </w:pPr>
      <w:r w:rsidRPr="00404F85">
        <w:rPr>
          <w:rStyle w:val="s1"/>
          <w:rFonts w:ascii="Arial" w:hAnsi="Arial" w:cs="Arial"/>
          <w:sz w:val="22"/>
          <w:szCs w:val="22"/>
        </w:rPr>
        <w:t>Academic integrity</w:t>
      </w:r>
      <w:r w:rsidRPr="00404F85">
        <w:rPr>
          <w:rStyle w:val="s2"/>
          <w:rFonts w:ascii="Arial" w:hAnsi="Arial" w:cs="Arial"/>
          <w:sz w:val="22"/>
          <w:szCs w:val="22"/>
        </w:rPr>
        <w:t xml:space="preserve"> was </w:t>
      </w:r>
      <w:bookmarkStart w:id="133" w:name="_Int_dhYyJc2J"/>
      <w:r w:rsidRPr="00404F85">
        <w:rPr>
          <w:rStyle w:val="s2"/>
          <w:rFonts w:ascii="Arial" w:hAnsi="Arial" w:cs="Arial"/>
          <w:sz w:val="22"/>
          <w:szCs w:val="22"/>
        </w:rPr>
        <w:t>maintained</w:t>
      </w:r>
      <w:bookmarkEnd w:id="133"/>
      <w:r w:rsidRPr="00404F85">
        <w:rPr>
          <w:rStyle w:val="s2"/>
          <w:rFonts w:ascii="Arial" w:hAnsi="Arial" w:cs="Arial"/>
          <w:sz w:val="22"/>
          <w:szCs w:val="22"/>
        </w:rPr>
        <w:t xml:space="preserve"> by accurately citing all sources using the Harvard referencing system, ensuring that authors’ work </w:t>
      </w:r>
      <w:bookmarkStart w:id="134" w:name="_Int_Fa6AY2C9"/>
      <w:r w:rsidRPr="00404F85">
        <w:rPr>
          <w:rStyle w:val="s2"/>
          <w:rFonts w:ascii="Arial" w:hAnsi="Arial" w:cs="Arial"/>
          <w:sz w:val="22"/>
          <w:szCs w:val="22"/>
        </w:rPr>
        <w:t>was properly acknowledged</w:t>
      </w:r>
      <w:bookmarkEnd w:id="134"/>
      <w:r w:rsidRPr="00404F85">
        <w:rPr>
          <w:rStyle w:val="s2"/>
          <w:rFonts w:ascii="Arial" w:hAnsi="Arial" w:cs="Arial"/>
          <w:sz w:val="22"/>
          <w:szCs w:val="22"/>
        </w:rPr>
        <w:t xml:space="preserve"> and avoiding misrepresentation of findings.</w:t>
      </w:r>
      <w:r w:rsidRPr="00404F85">
        <w:rPr>
          <w:rStyle w:val="apple-converted-space"/>
          <w:rFonts w:ascii="Arial" w:hAnsi="Arial" w:cs="Arial"/>
          <w:sz w:val="22"/>
          <w:szCs w:val="22"/>
        </w:rPr>
        <w:t> </w:t>
      </w:r>
    </w:p>
    <w:p w14:paraId="18595468" w14:textId="6D401918" w:rsidR="00AE33B2" w:rsidRPr="00404F85" w:rsidRDefault="00C17A49" w:rsidP="00404F85">
      <w:pPr>
        <w:rPr>
          <w:rFonts w:ascii="Arial" w:hAnsi="Arial" w:cs="Arial"/>
        </w:rPr>
      </w:pPr>
      <w:r w:rsidRPr="00404F85">
        <w:rPr>
          <w:rFonts w:ascii="Arial" w:hAnsi="Arial" w:cs="Arial"/>
        </w:rPr>
        <w:t xml:space="preserve"> </w:t>
      </w:r>
    </w:p>
    <w:p w14:paraId="736FE64D" w14:textId="0F10F37A" w:rsidR="00AE33B2" w:rsidRDefault="00C17A49" w:rsidP="00EF077D">
      <w:pPr>
        <w:pStyle w:val="Heading2"/>
        <w:rPr>
          <w:rFonts w:ascii="Arial" w:hAnsi="Arial" w:cs="Arial"/>
          <w:b/>
          <w:bCs/>
          <w:sz w:val="36"/>
          <w:szCs w:val="36"/>
        </w:rPr>
      </w:pPr>
      <w:r w:rsidRPr="00EF077D">
        <w:rPr>
          <w:rFonts w:ascii="Arial" w:hAnsi="Arial" w:cs="Arial"/>
          <w:b/>
          <w:bCs/>
          <w:sz w:val="36"/>
          <w:szCs w:val="36"/>
        </w:rPr>
        <w:t>Transparency and Credibility:</w:t>
      </w:r>
    </w:p>
    <w:p w14:paraId="33B7A617" w14:textId="77777777" w:rsidR="00EF077D" w:rsidRPr="00EF077D" w:rsidRDefault="00EF077D" w:rsidP="00EF077D"/>
    <w:p w14:paraId="0158A256" w14:textId="163167AD" w:rsidR="0089473A" w:rsidRPr="0089473A" w:rsidRDefault="000D6199" w:rsidP="0089473A">
      <w:pPr>
        <w:rPr>
          <w:rFonts w:ascii="Arial" w:hAnsi="Arial" w:cs="Arial"/>
        </w:rPr>
      </w:pPr>
      <w:r w:rsidRPr="00404F85">
        <w:rPr>
          <w:rStyle w:val="s1"/>
          <w:rFonts w:ascii="Arial" w:hAnsi="Arial" w:cs="Arial"/>
        </w:rPr>
        <w:t xml:space="preserve">Transparency was prioritised through systematic documentation of the search strategy, inclusion and exclusion criteria, and analytical methods. Literature </w:t>
      </w:r>
      <w:bookmarkStart w:id="135" w:name="_Int_AKp9i2eB"/>
      <w:r w:rsidRPr="00404F85">
        <w:rPr>
          <w:rStyle w:val="s1"/>
          <w:rFonts w:ascii="Arial" w:hAnsi="Arial" w:cs="Arial"/>
        </w:rPr>
        <w:t>was selected</w:t>
      </w:r>
      <w:bookmarkEnd w:id="135"/>
      <w:r w:rsidRPr="00404F85">
        <w:rPr>
          <w:rStyle w:val="s1"/>
          <w:rFonts w:ascii="Arial" w:hAnsi="Arial" w:cs="Arial"/>
        </w:rPr>
        <w:t xml:space="preserve"> and presented objectively, reflecting diverse evidence without bias, thereby upholding the credibility and trustworthiness of the research, and ensuring that the study </w:t>
      </w:r>
      <w:r w:rsidR="00B51EC4" w:rsidRPr="00404F85">
        <w:rPr>
          <w:rStyle w:val="s1"/>
          <w:rFonts w:ascii="Arial" w:hAnsi="Arial" w:cs="Arial"/>
        </w:rPr>
        <w:t>me</w:t>
      </w:r>
      <w:r w:rsidR="00B51EC4">
        <w:rPr>
          <w:rStyle w:val="s1"/>
          <w:rFonts w:ascii="Arial" w:hAnsi="Arial" w:cs="Arial"/>
        </w:rPr>
        <w:t xml:space="preserve">t recognised </w:t>
      </w:r>
      <w:r w:rsidR="00B51EC4" w:rsidRPr="00404F85">
        <w:rPr>
          <w:rStyle w:val="s1"/>
          <w:rFonts w:ascii="Arial" w:hAnsi="Arial" w:cs="Arial"/>
        </w:rPr>
        <w:t>ethical</w:t>
      </w:r>
      <w:r w:rsidRPr="00404F85">
        <w:rPr>
          <w:rStyle w:val="s1"/>
          <w:rFonts w:ascii="Arial" w:hAnsi="Arial" w:cs="Arial"/>
        </w:rPr>
        <w:t xml:space="preserve"> standards for desk-based academic research.</w:t>
      </w:r>
    </w:p>
    <w:p w14:paraId="19CCACD5" w14:textId="77777777" w:rsidR="0089473A" w:rsidRDefault="0089473A" w:rsidP="00404F85">
      <w:pPr>
        <w:pStyle w:val="Heading2"/>
        <w:rPr>
          <w:rFonts w:ascii="Arial" w:hAnsi="Arial" w:cs="Arial"/>
          <w:b/>
          <w:bCs/>
          <w:sz w:val="36"/>
          <w:szCs w:val="36"/>
        </w:rPr>
      </w:pPr>
    </w:p>
    <w:p w14:paraId="7F51675F" w14:textId="0EC4BA2C" w:rsidR="00292A36" w:rsidRPr="00507731" w:rsidRDefault="00507731" w:rsidP="00404F85">
      <w:pPr>
        <w:pStyle w:val="Heading2"/>
        <w:rPr>
          <w:rFonts w:ascii="Arial" w:hAnsi="Arial" w:cs="Arial"/>
          <w:b/>
          <w:bCs/>
          <w:sz w:val="36"/>
          <w:szCs w:val="36"/>
        </w:rPr>
      </w:pPr>
      <w:r w:rsidRPr="00507731">
        <w:rPr>
          <w:rFonts w:ascii="Arial" w:hAnsi="Arial" w:cs="Arial"/>
          <w:b/>
          <w:bCs/>
          <w:sz w:val="36"/>
          <w:szCs w:val="36"/>
        </w:rPr>
        <w:t>3.</w:t>
      </w:r>
      <w:r w:rsidR="001D1C47">
        <w:rPr>
          <w:rFonts w:ascii="Arial" w:hAnsi="Arial" w:cs="Arial"/>
          <w:b/>
          <w:bCs/>
          <w:sz w:val="36"/>
          <w:szCs w:val="36"/>
        </w:rPr>
        <w:t>8</w:t>
      </w:r>
      <w:r w:rsidRPr="00507731">
        <w:rPr>
          <w:rFonts w:ascii="Arial" w:hAnsi="Arial" w:cs="Arial"/>
          <w:b/>
          <w:bCs/>
          <w:sz w:val="36"/>
          <w:szCs w:val="36"/>
        </w:rPr>
        <w:t>-</w:t>
      </w:r>
      <w:r w:rsidR="00292A36" w:rsidRPr="00507731">
        <w:rPr>
          <w:rFonts w:ascii="Arial" w:hAnsi="Arial" w:cs="Arial"/>
          <w:b/>
          <w:bCs/>
          <w:sz w:val="36"/>
          <w:szCs w:val="36"/>
        </w:rPr>
        <w:t xml:space="preserve">Chapter Conclusion </w:t>
      </w:r>
    </w:p>
    <w:p w14:paraId="4823FCA9" w14:textId="00631E96" w:rsidR="00C17A49" w:rsidRPr="00507731" w:rsidRDefault="00C17A49" w:rsidP="00507731">
      <w:pPr>
        <w:pStyle w:val="Heading2"/>
        <w:rPr>
          <w:rFonts w:ascii="Arial" w:hAnsi="Arial" w:cs="Arial"/>
          <w:b/>
          <w:bCs/>
          <w:sz w:val="36"/>
          <w:szCs w:val="36"/>
        </w:rPr>
      </w:pPr>
      <w:r w:rsidRPr="00507731">
        <w:rPr>
          <w:rFonts w:ascii="Arial" w:hAnsi="Arial" w:cs="Arial"/>
          <w:b/>
          <w:bCs/>
          <w:sz w:val="36"/>
          <w:szCs w:val="36"/>
        </w:rPr>
        <w:t>Summary:</w:t>
      </w:r>
    </w:p>
    <w:p w14:paraId="6DC34CC0" w14:textId="4E196613" w:rsidR="00125621" w:rsidRPr="00404F85" w:rsidRDefault="00125621" w:rsidP="00404F85">
      <w:pPr>
        <w:pStyle w:val="p1"/>
        <w:spacing w:line="360" w:lineRule="auto"/>
        <w:rPr>
          <w:rFonts w:ascii="Arial" w:hAnsi="Arial" w:cs="Arial"/>
          <w:sz w:val="22"/>
          <w:szCs w:val="22"/>
        </w:rPr>
      </w:pPr>
      <w:r w:rsidRPr="00404F85">
        <w:rPr>
          <w:rStyle w:val="s1"/>
          <w:rFonts w:ascii="Arial" w:hAnsi="Arial" w:cs="Arial"/>
          <w:sz w:val="22"/>
          <w:szCs w:val="22"/>
        </w:rPr>
        <w:t xml:space="preserve">This chapter has outlined a systematic and transparent </w:t>
      </w:r>
      <w:bookmarkStart w:id="136" w:name="_Int_4jssQMat"/>
      <w:r w:rsidRPr="00404F85">
        <w:rPr>
          <w:rStyle w:val="s1"/>
          <w:rFonts w:ascii="Arial" w:hAnsi="Arial" w:cs="Arial"/>
          <w:sz w:val="22"/>
          <w:szCs w:val="22"/>
        </w:rPr>
        <w:t>methodology</w:t>
      </w:r>
      <w:bookmarkEnd w:id="136"/>
      <w:r w:rsidRPr="00404F85">
        <w:rPr>
          <w:rStyle w:val="s1"/>
          <w:rFonts w:ascii="Arial" w:hAnsi="Arial" w:cs="Arial"/>
          <w:sz w:val="22"/>
          <w:szCs w:val="22"/>
        </w:rPr>
        <w:t xml:space="preserve"> for </w:t>
      </w:r>
      <w:bookmarkStart w:id="137" w:name="_Int_Kwd4nKcF"/>
      <w:r w:rsidRPr="00404F85">
        <w:rPr>
          <w:rStyle w:val="s1"/>
          <w:rFonts w:ascii="Arial" w:hAnsi="Arial" w:cs="Arial"/>
          <w:sz w:val="22"/>
          <w:szCs w:val="22"/>
        </w:rPr>
        <w:t>identifying</w:t>
      </w:r>
      <w:bookmarkEnd w:id="137"/>
      <w:r w:rsidRPr="00404F85">
        <w:rPr>
          <w:rStyle w:val="s1"/>
          <w:rFonts w:ascii="Arial" w:hAnsi="Arial" w:cs="Arial"/>
          <w:sz w:val="22"/>
          <w:szCs w:val="22"/>
        </w:rPr>
        <w:t xml:space="preserve">, evaluating, and synthesising literature related to T2DM in older adults. By implementing a structured Boolean search strategy, applying clearly defined inclusion and exclusion criteria, using the CRAAP test to </w:t>
      </w:r>
      <w:bookmarkStart w:id="138" w:name="_Int_5mFQAWhd"/>
      <w:r w:rsidRPr="00404F85">
        <w:rPr>
          <w:rStyle w:val="s1"/>
          <w:rFonts w:ascii="Arial" w:hAnsi="Arial" w:cs="Arial"/>
          <w:sz w:val="22"/>
          <w:szCs w:val="22"/>
        </w:rPr>
        <w:t>validate</w:t>
      </w:r>
      <w:bookmarkEnd w:id="138"/>
      <w:r w:rsidRPr="00404F85">
        <w:rPr>
          <w:rStyle w:val="s1"/>
          <w:rFonts w:ascii="Arial" w:hAnsi="Arial" w:cs="Arial"/>
          <w:sz w:val="22"/>
          <w:szCs w:val="22"/>
        </w:rPr>
        <w:t xml:space="preserve"> sources, and employing thematic coding to organise findings, high-quality and contextually relevant evidence </w:t>
      </w:r>
      <w:bookmarkStart w:id="139" w:name="_Int_bdoFvMlj"/>
      <w:r w:rsidRPr="00404F85">
        <w:rPr>
          <w:rStyle w:val="s1"/>
          <w:rFonts w:ascii="Arial" w:hAnsi="Arial" w:cs="Arial"/>
          <w:sz w:val="22"/>
          <w:szCs w:val="22"/>
        </w:rPr>
        <w:t>was selected</w:t>
      </w:r>
      <w:bookmarkEnd w:id="139"/>
      <w:r w:rsidRPr="00404F85">
        <w:rPr>
          <w:rStyle w:val="s1"/>
          <w:rFonts w:ascii="Arial" w:hAnsi="Arial" w:cs="Arial"/>
          <w:sz w:val="22"/>
          <w:szCs w:val="22"/>
        </w:rPr>
        <w:t>.</w:t>
      </w:r>
      <w:r w:rsidRPr="00404F85">
        <w:rPr>
          <w:rStyle w:val="apple-converted-space"/>
          <w:rFonts w:ascii="Arial" w:hAnsi="Arial" w:cs="Arial"/>
          <w:sz w:val="22"/>
          <w:szCs w:val="22"/>
        </w:rPr>
        <w:t> </w:t>
      </w:r>
    </w:p>
    <w:p w14:paraId="3BAD3ACE" w14:textId="77777777" w:rsidR="00125621" w:rsidRPr="00404F85" w:rsidRDefault="00125621" w:rsidP="00404F85">
      <w:pPr>
        <w:ind w:left="720"/>
        <w:rPr>
          <w:rFonts w:ascii="Arial" w:hAnsi="Arial" w:cs="Arial"/>
        </w:rPr>
      </w:pPr>
    </w:p>
    <w:p w14:paraId="5E78A73D" w14:textId="2CD38FFB" w:rsidR="00C17A49" w:rsidRPr="00507731" w:rsidRDefault="00C17A49" w:rsidP="00507731">
      <w:pPr>
        <w:pStyle w:val="Heading2"/>
        <w:rPr>
          <w:rFonts w:ascii="Arial" w:hAnsi="Arial" w:cs="Arial"/>
          <w:b/>
          <w:bCs/>
          <w:sz w:val="36"/>
          <w:szCs w:val="36"/>
        </w:rPr>
      </w:pPr>
      <w:r w:rsidRPr="00507731">
        <w:rPr>
          <w:rFonts w:ascii="Arial" w:hAnsi="Arial" w:cs="Arial"/>
          <w:b/>
          <w:bCs/>
          <w:sz w:val="36"/>
          <w:szCs w:val="36"/>
        </w:rPr>
        <w:t>Link to Next Chapter:</w:t>
      </w:r>
    </w:p>
    <w:p w14:paraId="77965AAD" w14:textId="168A81C9" w:rsidR="00DB6EDD" w:rsidRPr="00984453" w:rsidRDefault="00AF7DBD" w:rsidP="00984453">
      <w:pPr>
        <w:pStyle w:val="p1"/>
        <w:spacing w:line="360" w:lineRule="auto"/>
        <w:rPr>
          <w:rFonts w:ascii="Arial" w:hAnsi="Arial" w:cs="Arial"/>
          <w:sz w:val="22"/>
          <w:szCs w:val="22"/>
        </w:rPr>
      </w:pPr>
      <w:r w:rsidRPr="00404F85">
        <w:rPr>
          <w:rStyle w:val="s1"/>
          <w:rFonts w:ascii="Arial" w:hAnsi="Arial" w:cs="Arial"/>
          <w:sz w:val="22"/>
          <w:szCs w:val="22"/>
        </w:rPr>
        <w:t xml:space="preserve">The rigorous methodological framework </w:t>
      </w:r>
      <w:bookmarkStart w:id="140" w:name="_Int_QTfv9iVW"/>
      <w:r w:rsidRPr="00404F85">
        <w:rPr>
          <w:rStyle w:val="s1"/>
          <w:rFonts w:ascii="Arial" w:hAnsi="Arial" w:cs="Arial"/>
          <w:sz w:val="22"/>
          <w:szCs w:val="22"/>
        </w:rPr>
        <w:t>established</w:t>
      </w:r>
      <w:bookmarkEnd w:id="140"/>
      <w:r w:rsidRPr="00404F85">
        <w:rPr>
          <w:rStyle w:val="s1"/>
          <w:rFonts w:ascii="Arial" w:hAnsi="Arial" w:cs="Arial"/>
          <w:sz w:val="22"/>
          <w:szCs w:val="22"/>
        </w:rPr>
        <w:t xml:space="preserve"> in this chapter underpins the credibility of the study and provides a strong evidential base for Chapter 4, where physiological mechanisms and long-term health impacts will </w:t>
      </w:r>
      <w:bookmarkStart w:id="141" w:name="_Int_aBb3WMPr"/>
      <w:r w:rsidRPr="00404F85">
        <w:rPr>
          <w:rStyle w:val="s1"/>
          <w:rFonts w:ascii="Arial" w:hAnsi="Arial" w:cs="Arial"/>
          <w:sz w:val="22"/>
          <w:szCs w:val="22"/>
        </w:rPr>
        <w:t>be critically analysed</w:t>
      </w:r>
      <w:bookmarkEnd w:id="141"/>
      <w:r w:rsidRPr="00404F85">
        <w:rPr>
          <w:rStyle w:val="s1"/>
          <w:rFonts w:ascii="Arial" w:hAnsi="Arial" w:cs="Arial"/>
          <w:sz w:val="22"/>
          <w:szCs w:val="22"/>
        </w:rPr>
        <w:t xml:space="preserve"> in relation to older adults living in Birmingham.</w:t>
      </w:r>
    </w:p>
    <w:p w14:paraId="567C21C8" w14:textId="77777777" w:rsidR="00E4096A" w:rsidRPr="00404F85" w:rsidRDefault="00E4096A" w:rsidP="00404F85">
      <w:pPr>
        <w:pStyle w:val="Heading1"/>
        <w:spacing w:line="360" w:lineRule="auto"/>
        <w:ind w:left="0"/>
        <w:rPr>
          <w:rFonts w:cs="Arial"/>
          <w:sz w:val="22"/>
          <w:szCs w:val="22"/>
        </w:rPr>
      </w:pPr>
    </w:p>
    <w:p w14:paraId="0068FBED" w14:textId="77777777" w:rsidR="002A136E" w:rsidRPr="008C2450" w:rsidRDefault="002A136E" w:rsidP="00404F85">
      <w:pPr>
        <w:pStyle w:val="Heading1"/>
        <w:spacing w:line="360" w:lineRule="auto"/>
        <w:ind w:left="0"/>
        <w:rPr>
          <w:rStyle w:val="Heading2Char"/>
          <w:rFonts w:ascii="Arial" w:hAnsi="Arial" w:cs="Arial"/>
          <w:sz w:val="36"/>
          <w:szCs w:val="36"/>
        </w:rPr>
      </w:pPr>
    </w:p>
    <w:p w14:paraId="3BCC4FBE" w14:textId="77777777" w:rsidR="002A136E" w:rsidRPr="008C2450" w:rsidRDefault="002A136E" w:rsidP="00404F85">
      <w:pPr>
        <w:pStyle w:val="Heading1"/>
        <w:spacing w:line="360" w:lineRule="auto"/>
        <w:ind w:left="0"/>
        <w:rPr>
          <w:rStyle w:val="Heading2Char"/>
          <w:rFonts w:ascii="Arial" w:hAnsi="Arial" w:cs="Arial"/>
          <w:sz w:val="36"/>
          <w:szCs w:val="36"/>
        </w:rPr>
      </w:pPr>
    </w:p>
    <w:p w14:paraId="5392FE0E" w14:textId="77777777" w:rsidR="002A136E" w:rsidRPr="008C2450" w:rsidRDefault="002A136E" w:rsidP="00404F85">
      <w:pPr>
        <w:pStyle w:val="Heading1"/>
        <w:spacing w:line="360" w:lineRule="auto"/>
        <w:ind w:left="0"/>
        <w:rPr>
          <w:rStyle w:val="Heading2Char"/>
          <w:rFonts w:ascii="Arial" w:hAnsi="Arial" w:cs="Arial"/>
          <w:sz w:val="36"/>
          <w:szCs w:val="36"/>
        </w:rPr>
      </w:pPr>
    </w:p>
    <w:p w14:paraId="4E62834B" w14:textId="77777777" w:rsidR="002A136E" w:rsidRPr="008C2450" w:rsidRDefault="002A136E" w:rsidP="00404F85">
      <w:pPr>
        <w:pStyle w:val="Heading1"/>
        <w:spacing w:line="360" w:lineRule="auto"/>
        <w:ind w:left="0"/>
        <w:rPr>
          <w:rStyle w:val="Heading2Char"/>
          <w:rFonts w:ascii="Arial" w:hAnsi="Arial" w:cs="Arial"/>
          <w:sz w:val="36"/>
          <w:szCs w:val="36"/>
        </w:rPr>
      </w:pPr>
    </w:p>
    <w:p w14:paraId="0AF0E0A8" w14:textId="77777777" w:rsidR="002A136E" w:rsidRPr="008C2450" w:rsidRDefault="002A136E" w:rsidP="00404F85">
      <w:pPr>
        <w:pStyle w:val="Heading1"/>
        <w:spacing w:line="360" w:lineRule="auto"/>
        <w:ind w:left="0"/>
        <w:rPr>
          <w:rStyle w:val="Heading2Char"/>
          <w:rFonts w:ascii="Arial" w:hAnsi="Arial" w:cs="Arial"/>
          <w:sz w:val="36"/>
          <w:szCs w:val="36"/>
        </w:rPr>
      </w:pPr>
    </w:p>
    <w:p w14:paraId="24C4DFD7" w14:textId="77777777" w:rsidR="002A136E" w:rsidRPr="008C2450" w:rsidRDefault="002A136E" w:rsidP="00404F85">
      <w:pPr>
        <w:pStyle w:val="Heading1"/>
        <w:spacing w:line="360" w:lineRule="auto"/>
        <w:ind w:left="0"/>
        <w:rPr>
          <w:rStyle w:val="Heading2Char"/>
          <w:rFonts w:ascii="Arial" w:hAnsi="Arial" w:cs="Arial"/>
          <w:sz w:val="36"/>
          <w:szCs w:val="36"/>
        </w:rPr>
      </w:pPr>
    </w:p>
    <w:p w14:paraId="3E58B29E" w14:textId="77777777" w:rsidR="002A136E" w:rsidRPr="008C2450" w:rsidRDefault="002A136E" w:rsidP="00404F85">
      <w:pPr>
        <w:pStyle w:val="Heading1"/>
        <w:spacing w:line="360" w:lineRule="auto"/>
        <w:ind w:left="0"/>
        <w:rPr>
          <w:rStyle w:val="Heading2Char"/>
          <w:rFonts w:ascii="Arial" w:hAnsi="Arial" w:cs="Arial"/>
          <w:sz w:val="36"/>
          <w:szCs w:val="36"/>
        </w:rPr>
      </w:pPr>
    </w:p>
    <w:p w14:paraId="22868AE9" w14:textId="77777777" w:rsidR="002A136E" w:rsidRPr="008C2450" w:rsidRDefault="002A136E" w:rsidP="00404F85">
      <w:pPr>
        <w:pStyle w:val="Heading1"/>
        <w:spacing w:line="360" w:lineRule="auto"/>
        <w:ind w:left="0"/>
        <w:rPr>
          <w:rStyle w:val="Heading2Char"/>
          <w:rFonts w:ascii="Arial" w:hAnsi="Arial" w:cs="Arial"/>
          <w:sz w:val="36"/>
          <w:szCs w:val="36"/>
        </w:rPr>
      </w:pPr>
    </w:p>
    <w:p w14:paraId="7302AF2C" w14:textId="77777777" w:rsidR="002A136E" w:rsidRPr="008C2450" w:rsidRDefault="002A136E" w:rsidP="00404F85">
      <w:pPr>
        <w:pStyle w:val="Heading1"/>
        <w:spacing w:line="360" w:lineRule="auto"/>
        <w:ind w:left="0"/>
        <w:rPr>
          <w:rStyle w:val="Heading2Char"/>
          <w:rFonts w:ascii="Arial" w:hAnsi="Arial" w:cs="Arial"/>
          <w:sz w:val="36"/>
          <w:szCs w:val="36"/>
        </w:rPr>
      </w:pPr>
    </w:p>
    <w:p w14:paraId="30700073" w14:textId="77777777" w:rsidR="002A136E" w:rsidRPr="008C2450" w:rsidRDefault="002A136E" w:rsidP="00404F85">
      <w:pPr>
        <w:pStyle w:val="Heading1"/>
        <w:spacing w:line="360" w:lineRule="auto"/>
        <w:ind w:left="0"/>
        <w:rPr>
          <w:rStyle w:val="Heading2Char"/>
          <w:rFonts w:ascii="Arial" w:hAnsi="Arial" w:cs="Arial"/>
          <w:sz w:val="36"/>
          <w:szCs w:val="36"/>
        </w:rPr>
      </w:pPr>
    </w:p>
    <w:p w14:paraId="2023ADFC" w14:textId="77777777" w:rsidR="002A136E" w:rsidRPr="008C2450" w:rsidRDefault="002A136E" w:rsidP="00404F85">
      <w:pPr>
        <w:pStyle w:val="Heading1"/>
        <w:spacing w:line="360" w:lineRule="auto"/>
        <w:ind w:left="0"/>
        <w:rPr>
          <w:rStyle w:val="Heading2Char"/>
          <w:rFonts w:ascii="Arial" w:hAnsi="Arial" w:cs="Arial"/>
          <w:sz w:val="36"/>
          <w:szCs w:val="36"/>
        </w:rPr>
      </w:pPr>
    </w:p>
    <w:p w14:paraId="207DDFB5" w14:textId="77777777" w:rsidR="002A136E" w:rsidRPr="008C2450" w:rsidRDefault="002A136E" w:rsidP="00404F85">
      <w:pPr>
        <w:pStyle w:val="Heading1"/>
        <w:spacing w:line="360" w:lineRule="auto"/>
        <w:ind w:left="0"/>
        <w:rPr>
          <w:rStyle w:val="Heading2Char"/>
          <w:rFonts w:ascii="Arial" w:hAnsi="Arial" w:cs="Arial"/>
          <w:sz w:val="36"/>
          <w:szCs w:val="36"/>
        </w:rPr>
      </w:pPr>
    </w:p>
    <w:p w14:paraId="349B387E" w14:textId="77777777" w:rsidR="002A136E" w:rsidRPr="008C2450" w:rsidRDefault="002A136E" w:rsidP="00404F85">
      <w:pPr>
        <w:pStyle w:val="Heading1"/>
        <w:spacing w:line="360" w:lineRule="auto"/>
        <w:ind w:left="0"/>
        <w:rPr>
          <w:rStyle w:val="Heading2Char"/>
          <w:rFonts w:ascii="Arial" w:hAnsi="Arial" w:cs="Arial"/>
          <w:sz w:val="36"/>
          <w:szCs w:val="36"/>
        </w:rPr>
      </w:pPr>
    </w:p>
    <w:p w14:paraId="58C6E9AA" w14:textId="77777777" w:rsidR="002A136E" w:rsidRPr="008C2450" w:rsidRDefault="002A136E" w:rsidP="00404F85">
      <w:pPr>
        <w:pStyle w:val="Heading1"/>
        <w:spacing w:line="360" w:lineRule="auto"/>
        <w:ind w:left="0"/>
        <w:rPr>
          <w:rStyle w:val="Heading2Char"/>
          <w:rFonts w:ascii="Arial" w:hAnsi="Arial" w:cs="Arial"/>
          <w:sz w:val="36"/>
          <w:szCs w:val="36"/>
        </w:rPr>
      </w:pPr>
    </w:p>
    <w:p w14:paraId="0F12260F" w14:textId="77777777" w:rsidR="002A136E" w:rsidRPr="008C2450" w:rsidRDefault="002A136E" w:rsidP="00404F85">
      <w:pPr>
        <w:pStyle w:val="Heading1"/>
        <w:spacing w:line="360" w:lineRule="auto"/>
        <w:ind w:left="0"/>
        <w:rPr>
          <w:rStyle w:val="Heading2Char"/>
          <w:rFonts w:ascii="Arial" w:hAnsi="Arial" w:cs="Arial"/>
          <w:sz w:val="36"/>
          <w:szCs w:val="36"/>
        </w:rPr>
      </w:pPr>
    </w:p>
    <w:p w14:paraId="3E27A013" w14:textId="45B1FCC5" w:rsidR="001C3AF6" w:rsidRPr="00404F85" w:rsidRDefault="001C3AF6" w:rsidP="00404F85">
      <w:pPr>
        <w:pStyle w:val="Heading1"/>
        <w:spacing w:line="360" w:lineRule="auto"/>
        <w:ind w:left="0"/>
        <w:rPr>
          <w:rFonts w:cs="Arial"/>
          <w:sz w:val="22"/>
          <w:szCs w:val="22"/>
        </w:rPr>
      </w:pPr>
      <w:r w:rsidRPr="00DB0636">
        <w:rPr>
          <w:rStyle w:val="Heading2Char"/>
          <w:rFonts w:ascii="Arial" w:hAnsi="Arial" w:cs="Arial"/>
          <w:sz w:val="36"/>
          <w:szCs w:val="36"/>
        </w:rPr>
        <w:t>C</w:t>
      </w:r>
      <w:r w:rsidR="00636D9A" w:rsidRPr="00DB0636">
        <w:rPr>
          <w:rStyle w:val="Heading2Char"/>
          <w:rFonts w:ascii="Arial" w:hAnsi="Arial" w:cs="Arial"/>
          <w:sz w:val="36"/>
          <w:szCs w:val="36"/>
        </w:rPr>
        <w:t>HAPTER</w:t>
      </w:r>
      <w:r w:rsidRPr="00DB0636">
        <w:rPr>
          <w:rStyle w:val="Heading2Char"/>
          <w:rFonts w:ascii="Arial" w:hAnsi="Arial" w:cs="Arial"/>
          <w:sz w:val="36"/>
          <w:szCs w:val="36"/>
        </w:rPr>
        <w:t xml:space="preserve"> 4 – Findings and Discussion</w:t>
      </w:r>
      <w:r w:rsidRPr="00404F85">
        <w:rPr>
          <w:rFonts w:cs="Arial"/>
          <w:sz w:val="22"/>
          <w:szCs w:val="22"/>
        </w:rPr>
        <w:t xml:space="preserve"> </w:t>
      </w:r>
    </w:p>
    <w:p w14:paraId="1134D897" w14:textId="77777777" w:rsidR="001C3AF6" w:rsidRPr="00404F85" w:rsidRDefault="001C3AF6" w:rsidP="00404F85">
      <w:pPr>
        <w:rPr>
          <w:rFonts w:ascii="Arial" w:hAnsi="Arial" w:cs="Arial"/>
        </w:rPr>
      </w:pPr>
    </w:p>
    <w:p w14:paraId="5DD6D10B" w14:textId="12B154E0" w:rsidR="002325B1" w:rsidRPr="00E13724" w:rsidRDefault="001C3AF6" w:rsidP="00E13724">
      <w:pPr>
        <w:pStyle w:val="Heading2"/>
        <w:rPr>
          <w:rFonts w:ascii="Arial" w:hAnsi="Arial" w:cs="Arial"/>
          <w:b/>
          <w:bCs/>
          <w:sz w:val="36"/>
          <w:szCs w:val="36"/>
        </w:rPr>
      </w:pPr>
      <w:r w:rsidRPr="00DB0636">
        <w:rPr>
          <w:rFonts w:ascii="Arial" w:hAnsi="Arial" w:cs="Arial"/>
          <w:b/>
          <w:bCs/>
          <w:sz w:val="36"/>
          <w:szCs w:val="36"/>
        </w:rPr>
        <w:t>4.1 –</w:t>
      </w:r>
      <w:r w:rsidR="00636D9A" w:rsidRPr="00DB0636">
        <w:rPr>
          <w:rFonts w:ascii="Arial" w:hAnsi="Arial" w:cs="Arial"/>
          <w:b/>
          <w:bCs/>
          <w:sz w:val="36"/>
          <w:szCs w:val="36"/>
        </w:rPr>
        <w:t xml:space="preserve"> </w:t>
      </w:r>
      <w:r w:rsidRPr="00DB0636">
        <w:rPr>
          <w:rFonts w:ascii="Arial" w:hAnsi="Arial" w:cs="Arial"/>
          <w:b/>
          <w:bCs/>
          <w:sz w:val="36"/>
          <w:szCs w:val="36"/>
        </w:rPr>
        <w:t xml:space="preserve">Introduction </w:t>
      </w:r>
    </w:p>
    <w:p w14:paraId="649EB1FD" w14:textId="6D81B808" w:rsidR="0090470B" w:rsidRDefault="00E05EAD" w:rsidP="0090470B">
      <w:pPr>
        <w:pStyle w:val="p1"/>
        <w:spacing w:line="360" w:lineRule="auto"/>
        <w:divId w:val="456458997"/>
        <w:rPr>
          <w:rFonts w:ascii="Arial" w:hAnsi="Arial" w:cs="Arial"/>
          <w:sz w:val="22"/>
          <w:szCs w:val="22"/>
        </w:rPr>
      </w:pPr>
      <w:r w:rsidRPr="00933BFF">
        <w:rPr>
          <w:rFonts w:ascii="Arial" w:hAnsi="Arial" w:cs="Arial"/>
          <w:sz w:val="22"/>
          <w:szCs w:val="22"/>
        </w:rPr>
        <w:t xml:space="preserve">This chapter presents and discusses findings from a thematic analysis of secondary literature on Type 2 Diabetes Mellitus (T2DM) in older adults living in Birmingham. Two key themes </w:t>
      </w:r>
      <w:r w:rsidR="009A78F3" w:rsidRPr="00933BFF">
        <w:rPr>
          <w:rFonts w:ascii="Arial" w:hAnsi="Arial" w:cs="Arial"/>
          <w:sz w:val="22"/>
          <w:szCs w:val="22"/>
        </w:rPr>
        <w:t>appeared</w:t>
      </w:r>
      <w:r w:rsidRPr="00933BFF">
        <w:rPr>
          <w:rFonts w:ascii="Arial" w:hAnsi="Arial" w:cs="Arial"/>
          <w:sz w:val="22"/>
          <w:szCs w:val="22"/>
        </w:rPr>
        <w:t xml:space="preserve"> from the analysis (Braun and Clarke, 2006). The first examines the physiological mechanisms of T2DM, including insulin resistance, beta-cell dysfunction</w:t>
      </w:r>
      <w:r w:rsidR="00BD7D0D" w:rsidRPr="00933BFF">
        <w:rPr>
          <w:rFonts w:ascii="Arial" w:hAnsi="Arial" w:cs="Arial"/>
          <w:sz w:val="22"/>
          <w:szCs w:val="22"/>
        </w:rPr>
        <w:t>,</w:t>
      </w:r>
      <w:r w:rsidRPr="00933BFF">
        <w:rPr>
          <w:rFonts w:ascii="Arial" w:hAnsi="Arial" w:cs="Arial"/>
          <w:sz w:val="22"/>
          <w:szCs w:val="22"/>
        </w:rPr>
        <w:t xml:space="preserve"> and chronic inflammation, which contribute to disease progression (DeFronzo et al., 2015; Sinclair et al., 2020). The second explores long-term health impacts such as cardiovascular disease, neuropathy, reduced mobility</w:t>
      </w:r>
      <w:r w:rsidR="009A78F3" w:rsidRPr="00933BFF">
        <w:rPr>
          <w:rFonts w:ascii="Arial" w:hAnsi="Arial" w:cs="Arial"/>
          <w:sz w:val="22"/>
          <w:szCs w:val="22"/>
        </w:rPr>
        <w:t>,</w:t>
      </w:r>
      <w:r w:rsidRPr="00933BFF">
        <w:rPr>
          <w:rFonts w:ascii="Arial" w:hAnsi="Arial" w:cs="Arial"/>
          <w:sz w:val="22"/>
          <w:szCs w:val="22"/>
        </w:rPr>
        <w:t xml:space="preserve"> and poorer quality of life (Rawshani et al., 2018; Zheng et al., 2018). The chapter also considers healthcare policies and prevention strategies that support diabetes management in older adults.</w:t>
      </w:r>
    </w:p>
    <w:p w14:paraId="6933A86B" w14:textId="77777777" w:rsidR="0090470B" w:rsidRPr="0090470B" w:rsidRDefault="0090470B" w:rsidP="0090470B">
      <w:pPr>
        <w:pStyle w:val="p1"/>
        <w:spacing w:line="360" w:lineRule="auto"/>
        <w:divId w:val="456458997"/>
        <w:rPr>
          <w:rFonts w:ascii="Arial" w:hAnsi="Arial" w:cs="Arial"/>
          <w:sz w:val="22"/>
          <w:szCs w:val="22"/>
        </w:rPr>
      </w:pPr>
    </w:p>
    <w:p w14:paraId="49AC5888" w14:textId="2402A3B5" w:rsidR="001C3AF6" w:rsidRPr="00DB0636" w:rsidRDefault="0090470B" w:rsidP="00DB0636">
      <w:pPr>
        <w:pStyle w:val="Heading2"/>
        <w:rPr>
          <w:rFonts w:ascii="Arial" w:hAnsi="Arial" w:cs="Arial"/>
          <w:b/>
          <w:bCs/>
          <w:sz w:val="36"/>
          <w:szCs w:val="36"/>
        </w:rPr>
      </w:pPr>
      <w:r w:rsidRPr="00DB0636">
        <w:rPr>
          <w:rFonts w:ascii="Arial" w:hAnsi="Arial" w:cs="Arial"/>
          <w:b/>
          <w:bCs/>
          <w:sz w:val="36"/>
          <w:szCs w:val="36"/>
        </w:rPr>
        <w:t>4</w:t>
      </w:r>
      <w:r w:rsidR="001C3AF6" w:rsidRPr="00DB0636">
        <w:rPr>
          <w:rFonts w:ascii="Arial" w:hAnsi="Arial" w:cs="Arial"/>
          <w:b/>
          <w:bCs/>
          <w:sz w:val="36"/>
          <w:szCs w:val="36"/>
        </w:rPr>
        <w:t xml:space="preserve">.2 – Thematic Analysis </w:t>
      </w:r>
    </w:p>
    <w:p w14:paraId="2739E815" w14:textId="77777777" w:rsidR="00636D9A" w:rsidRPr="00404F85" w:rsidRDefault="00636D9A" w:rsidP="00404F85">
      <w:pPr>
        <w:pStyle w:val="Heading1"/>
        <w:spacing w:line="360" w:lineRule="auto"/>
        <w:rPr>
          <w:rFonts w:cs="Arial"/>
          <w:sz w:val="22"/>
          <w:szCs w:val="22"/>
        </w:rPr>
      </w:pPr>
    </w:p>
    <w:p w14:paraId="5EDA0379" w14:textId="5B77B91D" w:rsidR="00750B5B" w:rsidRPr="00DB0636" w:rsidRDefault="00750B5B" w:rsidP="00DB0636">
      <w:pPr>
        <w:pStyle w:val="Heading2"/>
        <w:rPr>
          <w:rFonts w:ascii="Arial" w:hAnsi="Arial" w:cs="Arial"/>
          <w:b/>
          <w:bCs/>
          <w:sz w:val="36"/>
          <w:szCs w:val="36"/>
        </w:rPr>
      </w:pPr>
      <w:r w:rsidRPr="00DB0636">
        <w:rPr>
          <w:rFonts w:ascii="Arial" w:hAnsi="Arial" w:cs="Arial"/>
          <w:b/>
          <w:bCs/>
          <w:sz w:val="36"/>
          <w:szCs w:val="36"/>
        </w:rPr>
        <w:t>Definition of Thematic Analysis:</w:t>
      </w:r>
    </w:p>
    <w:p w14:paraId="11172460" w14:textId="45E0D4A3" w:rsidR="00872D4D" w:rsidRPr="00404F85" w:rsidRDefault="00872D4D" w:rsidP="00404F85">
      <w:pPr>
        <w:pStyle w:val="p1"/>
        <w:spacing w:line="360" w:lineRule="auto"/>
        <w:divId w:val="1884907146"/>
        <w:rPr>
          <w:rFonts w:ascii="Arial" w:hAnsi="Arial" w:cs="Arial"/>
          <w:sz w:val="22"/>
          <w:szCs w:val="22"/>
        </w:rPr>
      </w:pPr>
      <w:r w:rsidRPr="00404F85">
        <w:rPr>
          <w:rStyle w:val="s1"/>
          <w:rFonts w:ascii="Arial" w:hAnsi="Arial" w:cs="Arial"/>
          <w:sz w:val="22"/>
          <w:szCs w:val="22"/>
        </w:rPr>
        <w:t xml:space="preserve">This chapter presents the findings and discussion derived from the thematic analysis of secondary literature relating to Type 2 Diabetes Mellitus (T2DM) in older adults living in Birmingham. The chapter explores the key physiological mechanisms associated with T2DM and evaluates the long-term health impacts experienced by older adults. A thematic approach </w:t>
      </w:r>
      <w:bookmarkStart w:id="142" w:name="_Int_KbjvKLkc"/>
      <w:r w:rsidRPr="00404F85">
        <w:rPr>
          <w:rStyle w:val="s1"/>
          <w:rFonts w:ascii="Arial" w:hAnsi="Arial" w:cs="Arial"/>
          <w:sz w:val="22"/>
          <w:szCs w:val="22"/>
        </w:rPr>
        <w:t>was used</w:t>
      </w:r>
      <w:bookmarkEnd w:id="142"/>
      <w:r w:rsidRPr="00404F85">
        <w:rPr>
          <w:rStyle w:val="s1"/>
          <w:rFonts w:ascii="Arial" w:hAnsi="Arial" w:cs="Arial"/>
          <w:sz w:val="22"/>
          <w:szCs w:val="22"/>
        </w:rPr>
        <w:t xml:space="preserve"> to </w:t>
      </w:r>
      <w:bookmarkStart w:id="143" w:name="_Int_MNnGLd48"/>
      <w:r w:rsidRPr="00404F85">
        <w:rPr>
          <w:rStyle w:val="s1"/>
          <w:rFonts w:ascii="Arial" w:hAnsi="Arial" w:cs="Arial"/>
          <w:sz w:val="22"/>
          <w:szCs w:val="22"/>
        </w:rPr>
        <w:t>identify</w:t>
      </w:r>
      <w:bookmarkEnd w:id="143"/>
      <w:r w:rsidRPr="00404F85">
        <w:rPr>
          <w:rStyle w:val="s1"/>
          <w:rFonts w:ascii="Arial" w:hAnsi="Arial" w:cs="Arial"/>
          <w:sz w:val="22"/>
          <w:szCs w:val="22"/>
        </w:rPr>
        <w:t xml:space="preserve"> recurring patterns across the selected studies, allowing the findings to be organised into two central themes (Braun and Clarke, 2006). Theme One focuses on the physiological mechanisms of T2DM, including insulin resistance, beta-cell dysfunction, and chronic inflammation, which </w:t>
      </w:r>
      <w:bookmarkStart w:id="144" w:name="_Int_fHu2RKnA"/>
      <w:r w:rsidRPr="00404F85">
        <w:rPr>
          <w:rStyle w:val="s1"/>
          <w:rFonts w:ascii="Arial" w:hAnsi="Arial" w:cs="Arial"/>
          <w:sz w:val="22"/>
          <w:szCs w:val="22"/>
        </w:rPr>
        <w:t>are recognised</w:t>
      </w:r>
      <w:bookmarkEnd w:id="144"/>
      <w:r w:rsidRPr="00404F85">
        <w:rPr>
          <w:rStyle w:val="s1"/>
          <w:rFonts w:ascii="Arial" w:hAnsi="Arial" w:cs="Arial"/>
          <w:sz w:val="22"/>
          <w:szCs w:val="22"/>
        </w:rPr>
        <w:t xml:space="preserve"> as major contributors to metabolic dysfunction and disease progression in older adults (Sinclair et al., 2020; DeFronzo et al., 2015). Theme Two explores the long-term health impacts of T2DM, including cardiovascular complications, neuropathy, nephropathy, reduced mobility, and decreased quality of life, all of which can significantly affect independence and increase healthcare demands among ageing populations (Zheng et al., 2018; Rawshani et al., 2018). The discussion critically evaluates current literature, compares findings across studies, and links the evidence to the research </w:t>
      </w:r>
      <w:bookmarkStart w:id="145" w:name="_Int_niNxjFx8"/>
      <w:r w:rsidRPr="00404F85">
        <w:rPr>
          <w:rStyle w:val="s1"/>
          <w:rFonts w:ascii="Arial" w:hAnsi="Arial" w:cs="Arial"/>
          <w:sz w:val="22"/>
          <w:szCs w:val="22"/>
        </w:rPr>
        <w:t>objectives</w:t>
      </w:r>
      <w:bookmarkEnd w:id="145"/>
      <w:r w:rsidRPr="00404F85">
        <w:rPr>
          <w:rStyle w:val="s1"/>
          <w:rFonts w:ascii="Arial" w:hAnsi="Arial" w:cs="Arial"/>
          <w:sz w:val="22"/>
          <w:szCs w:val="22"/>
        </w:rPr>
        <w:t xml:space="preserve"> and wider health and social care implications within Birmingham. Furthermore, this chapter considers the role of healthcare policies and preventative strategies in improving diabetes management and reducing long-term complications in older adults (NICE, 2022; NHS England, 2019).</w:t>
      </w:r>
    </w:p>
    <w:p w14:paraId="26966E3B" w14:textId="77777777" w:rsidR="00B06341" w:rsidRDefault="00B06341" w:rsidP="00404F85">
      <w:pPr>
        <w:rPr>
          <w:rFonts w:ascii="Arial" w:hAnsi="Arial" w:cs="Arial"/>
          <w:b/>
          <w:sz w:val="32"/>
          <w:szCs w:val="32"/>
        </w:rPr>
      </w:pPr>
    </w:p>
    <w:p w14:paraId="3D3C5DCD" w14:textId="781DB42F" w:rsidR="00750B5B" w:rsidRPr="00DB0636" w:rsidRDefault="00750B5B" w:rsidP="00DB0636">
      <w:pPr>
        <w:pStyle w:val="Heading2"/>
        <w:rPr>
          <w:rFonts w:ascii="Arial" w:hAnsi="Arial" w:cs="Arial"/>
          <w:b/>
          <w:bCs/>
          <w:sz w:val="36"/>
          <w:szCs w:val="36"/>
        </w:rPr>
      </w:pPr>
      <w:r w:rsidRPr="00DB0636">
        <w:rPr>
          <w:rFonts w:ascii="Arial" w:hAnsi="Arial" w:cs="Arial"/>
          <w:b/>
          <w:bCs/>
          <w:sz w:val="36"/>
          <w:szCs w:val="36"/>
        </w:rPr>
        <w:t>Link to Coding/Results Table:</w:t>
      </w:r>
    </w:p>
    <w:p w14:paraId="3EE8CC92" w14:textId="77777777" w:rsidR="0032548F" w:rsidRPr="00404F85" w:rsidRDefault="0032548F" w:rsidP="00E82185">
      <w:pPr>
        <w:pStyle w:val="p1"/>
        <w:spacing w:line="360" w:lineRule="auto"/>
        <w:divId w:val="1141340619"/>
        <w:rPr>
          <w:rFonts w:ascii="Arial" w:hAnsi="Arial" w:cs="Arial"/>
          <w:sz w:val="22"/>
          <w:szCs w:val="22"/>
        </w:rPr>
      </w:pPr>
      <w:r w:rsidRPr="00404F85">
        <w:rPr>
          <w:rStyle w:val="s1"/>
          <w:rFonts w:ascii="Arial" w:hAnsi="Arial" w:cs="Arial"/>
          <w:sz w:val="22"/>
          <w:szCs w:val="22"/>
        </w:rPr>
        <w:t xml:space="preserve">In this study, thematic analysis </w:t>
      </w:r>
      <w:bookmarkStart w:id="146" w:name="_Int_OdvgN5SB"/>
      <w:r w:rsidRPr="00404F85">
        <w:rPr>
          <w:rStyle w:val="s1"/>
          <w:rFonts w:ascii="Arial" w:hAnsi="Arial" w:cs="Arial"/>
          <w:sz w:val="22"/>
          <w:szCs w:val="22"/>
        </w:rPr>
        <w:t>was applied</w:t>
      </w:r>
      <w:bookmarkEnd w:id="146"/>
      <w:r w:rsidRPr="00404F85">
        <w:rPr>
          <w:rStyle w:val="s1"/>
          <w:rFonts w:ascii="Arial" w:hAnsi="Arial" w:cs="Arial"/>
          <w:sz w:val="22"/>
          <w:szCs w:val="22"/>
        </w:rPr>
        <w:t xml:space="preserve"> to the selected literature concerning Type 2 Diabetes Mellitus in older adults. A thematic coding approach </w:t>
      </w:r>
      <w:bookmarkStart w:id="147" w:name="_Int_ySGk2Vbd"/>
      <w:r w:rsidRPr="00404F85">
        <w:rPr>
          <w:rStyle w:val="s1"/>
          <w:rFonts w:ascii="Arial" w:hAnsi="Arial" w:cs="Arial"/>
          <w:sz w:val="22"/>
          <w:szCs w:val="22"/>
        </w:rPr>
        <w:t>was adopted</w:t>
      </w:r>
      <w:bookmarkEnd w:id="147"/>
      <w:r w:rsidRPr="00404F85">
        <w:rPr>
          <w:rStyle w:val="s1"/>
          <w:rFonts w:ascii="Arial" w:hAnsi="Arial" w:cs="Arial"/>
          <w:sz w:val="22"/>
          <w:szCs w:val="22"/>
        </w:rPr>
        <w:t xml:space="preserve"> to systematically examine recurring issues within the literature. Articles </w:t>
      </w:r>
      <w:bookmarkStart w:id="148" w:name="_Int_i3oLarb6"/>
      <w:r w:rsidRPr="00404F85">
        <w:rPr>
          <w:rStyle w:val="s1"/>
          <w:rFonts w:ascii="Arial" w:hAnsi="Arial" w:cs="Arial"/>
          <w:sz w:val="22"/>
          <w:szCs w:val="22"/>
        </w:rPr>
        <w:t>were reviewed</w:t>
      </w:r>
      <w:bookmarkEnd w:id="148"/>
      <w:r w:rsidRPr="00404F85">
        <w:rPr>
          <w:rStyle w:val="s1"/>
          <w:rFonts w:ascii="Arial" w:hAnsi="Arial" w:cs="Arial"/>
          <w:sz w:val="22"/>
          <w:szCs w:val="22"/>
        </w:rPr>
        <w:t xml:space="preserve"> in detail, and initial codes such as insulin resistance, beta-cell dysfunction, chronic hyperglycaemia, cardiovascular disease, neuropathy, and renal impairment were </w:t>
      </w:r>
      <w:bookmarkStart w:id="149" w:name="_Int_FDyMBdqC"/>
      <w:r w:rsidRPr="00404F85">
        <w:rPr>
          <w:rStyle w:val="s1"/>
          <w:rFonts w:ascii="Arial" w:hAnsi="Arial" w:cs="Arial"/>
          <w:sz w:val="22"/>
          <w:szCs w:val="22"/>
        </w:rPr>
        <w:t>identified</w:t>
      </w:r>
      <w:bookmarkEnd w:id="149"/>
      <w:r w:rsidRPr="00404F85">
        <w:rPr>
          <w:rStyle w:val="s1"/>
          <w:rFonts w:ascii="Arial" w:hAnsi="Arial" w:cs="Arial"/>
          <w:sz w:val="22"/>
          <w:szCs w:val="22"/>
        </w:rPr>
        <w:t xml:space="preserve">. These codes </w:t>
      </w:r>
      <w:bookmarkStart w:id="150" w:name="_Int_3LN19UWq"/>
      <w:r w:rsidRPr="00404F85">
        <w:rPr>
          <w:rStyle w:val="s1"/>
          <w:rFonts w:ascii="Arial" w:hAnsi="Arial" w:cs="Arial"/>
          <w:sz w:val="22"/>
          <w:szCs w:val="22"/>
        </w:rPr>
        <w:t>were grouped</w:t>
      </w:r>
      <w:bookmarkEnd w:id="150"/>
      <w:r w:rsidRPr="00404F85">
        <w:rPr>
          <w:rStyle w:val="s1"/>
          <w:rFonts w:ascii="Arial" w:hAnsi="Arial" w:cs="Arial"/>
          <w:sz w:val="22"/>
          <w:szCs w:val="22"/>
        </w:rPr>
        <w:t xml:space="preserve"> into broader themes using a coding spreadsheet and colour-coded categorisation process to improve analytical clarity.</w:t>
      </w:r>
    </w:p>
    <w:p w14:paraId="150E8FF3" w14:textId="61C0B9F8" w:rsidR="0032548F" w:rsidRPr="00404F85" w:rsidRDefault="0032548F" w:rsidP="00E82185">
      <w:pPr>
        <w:pStyle w:val="p1"/>
        <w:spacing w:line="360" w:lineRule="auto"/>
        <w:divId w:val="1141340619"/>
        <w:rPr>
          <w:rFonts w:ascii="Arial" w:hAnsi="Arial" w:cs="Arial"/>
          <w:sz w:val="22"/>
          <w:szCs w:val="22"/>
        </w:rPr>
      </w:pPr>
      <w:r w:rsidRPr="00404F85">
        <w:rPr>
          <w:rStyle w:val="s1"/>
          <w:rFonts w:ascii="Arial" w:hAnsi="Arial" w:cs="Arial"/>
          <w:sz w:val="22"/>
          <w:szCs w:val="22"/>
        </w:rPr>
        <w:t xml:space="preserve">Two major themes </w:t>
      </w:r>
      <w:bookmarkStart w:id="151" w:name="_Int_6Pk9aSvf"/>
      <w:r w:rsidRPr="00404F85">
        <w:rPr>
          <w:rStyle w:val="s1"/>
          <w:rFonts w:ascii="Arial" w:hAnsi="Arial" w:cs="Arial"/>
          <w:sz w:val="22"/>
          <w:szCs w:val="22"/>
        </w:rPr>
        <w:t>emerged</w:t>
      </w:r>
      <w:bookmarkEnd w:id="151"/>
      <w:r w:rsidRPr="00404F85">
        <w:rPr>
          <w:rStyle w:val="s1"/>
          <w:rFonts w:ascii="Arial" w:hAnsi="Arial" w:cs="Arial"/>
          <w:sz w:val="22"/>
          <w:szCs w:val="22"/>
        </w:rPr>
        <w:t xml:space="preserve"> from the analysis. The first theme focused on the physiological mechanisms underlying T2DM in older adults, while the second theme explored the long-term health impacts associated with the condition. These themes form the basis of the discussion presented in the following sections.</w:t>
      </w:r>
    </w:p>
    <w:p w14:paraId="3B39D7B4" w14:textId="77777777" w:rsidR="00636D9A" w:rsidRPr="00404F85" w:rsidRDefault="00636D9A" w:rsidP="00404F85">
      <w:pPr>
        <w:rPr>
          <w:rFonts w:ascii="Arial" w:hAnsi="Arial" w:cs="Arial"/>
        </w:rPr>
      </w:pPr>
    </w:p>
    <w:p w14:paraId="1E614ABD" w14:textId="31A12BFB" w:rsidR="001C3AF6" w:rsidRPr="00404F85" w:rsidRDefault="001C3AF6" w:rsidP="00404F85">
      <w:pPr>
        <w:pStyle w:val="Heading2"/>
        <w:rPr>
          <w:rFonts w:ascii="Arial" w:hAnsi="Arial" w:cs="Arial"/>
          <w:sz w:val="22"/>
          <w:szCs w:val="22"/>
        </w:rPr>
      </w:pPr>
      <w:r w:rsidRPr="008F4A2B">
        <w:rPr>
          <w:rFonts w:ascii="Arial" w:hAnsi="Arial" w:cs="Arial"/>
          <w:b/>
          <w:bCs/>
          <w:sz w:val="32"/>
          <w:szCs w:val="32"/>
        </w:rPr>
        <w:t xml:space="preserve">4.3 – </w:t>
      </w:r>
      <w:r w:rsidRPr="00777151">
        <w:rPr>
          <w:rFonts w:ascii="Arial" w:hAnsi="Arial" w:cs="Arial"/>
          <w:b/>
          <w:bCs/>
          <w:sz w:val="36"/>
          <w:szCs w:val="36"/>
        </w:rPr>
        <w:t>Theme 1 (</w:t>
      </w:r>
      <w:r w:rsidR="00D14FD8" w:rsidRPr="00777151">
        <w:rPr>
          <w:rFonts w:ascii="Arial" w:hAnsi="Arial" w:cs="Arial"/>
          <w:b/>
          <w:bCs/>
          <w:sz w:val="36"/>
          <w:szCs w:val="36"/>
        </w:rPr>
        <w:t>Phy</w:t>
      </w:r>
      <w:r w:rsidR="0097728B" w:rsidRPr="00777151">
        <w:rPr>
          <w:rFonts w:ascii="Arial" w:hAnsi="Arial" w:cs="Arial"/>
          <w:b/>
          <w:bCs/>
          <w:sz w:val="36"/>
          <w:szCs w:val="36"/>
        </w:rPr>
        <w:t>siological Mechanisms of Type 2 Diabetes m</w:t>
      </w:r>
      <w:r w:rsidR="0074225A" w:rsidRPr="00777151">
        <w:rPr>
          <w:rFonts w:ascii="Arial" w:hAnsi="Arial" w:cs="Arial"/>
          <w:b/>
          <w:bCs/>
          <w:sz w:val="36"/>
          <w:szCs w:val="36"/>
        </w:rPr>
        <w:t>ellitus</w:t>
      </w:r>
      <w:r w:rsidRPr="00777151">
        <w:rPr>
          <w:rFonts w:ascii="Arial" w:hAnsi="Arial" w:cs="Arial"/>
          <w:b/>
          <w:bCs/>
          <w:sz w:val="36"/>
          <w:szCs w:val="36"/>
        </w:rPr>
        <w:t>)</w:t>
      </w:r>
      <w:r w:rsidRPr="00404F85">
        <w:rPr>
          <w:rFonts w:ascii="Arial" w:hAnsi="Arial" w:cs="Arial"/>
          <w:sz w:val="22"/>
          <w:szCs w:val="22"/>
        </w:rPr>
        <w:t xml:space="preserve"> </w:t>
      </w:r>
    </w:p>
    <w:p w14:paraId="7F885927" w14:textId="77777777" w:rsidR="00636D9A" w:rsidRPr="00404F85" w:rsidRDefault="00636D9A" w:rsidP="00404F85">
      <w:pPr>
        <w:pStyle w:val="Heading1"/>
        <w:spacing w:line="360" w:lineRule="auto"/>
        <w:rPr>
          <w:rFonts w:cs="Arial"/>
          <w:sz w:val="22"/>
          <w:szCs w:val="22"/>
        </w:rPr>
      </w:pPr>
    </w:p>
    <w:p w14:paraId="37162A03" w14:textId="09C4AB5A" w:rsidR="007063BA" w:rsidRPr="008F4A2B" w:rsidRDefault="007063BA" w:rsidP="00404F85">
      <w:pPr>
        <w:pStyle w:val="Heading4"/>
        <w:rPr>
          <w:rFonts w:ascii="Arial" w:hAnsi="Arial" w:cs="Arial"/>
          <w:b/>
          <w:bCs/>
          <w:i w:val="0"/>
          <w:iCs w:val="0"/>
          <w:sz w:val="32"/>
          <w:szCs w:val="32"/>
        </w:rPr>
      </w:pPr>
      <w:r w:rsidRPr="008F4A2B">
        <w:rPr>
          <w:rFonts w:ascii="Arial" w:hAnsi="Arial" w:cs="Arial"/>
          <w:b/>
          <w:bCs/>
          <w:i w:val="0"/>
          <w:iCs w:val="0"/>
          <w:sz w:val="32"/>
          <w:szCs w:val="32"/>
        </w:rPr>
        <w:t xml:space="preserve">Definition </w:t>
      </w:r>
    </w:p>
    <w:p w14:paraId="0C89AE32" w14:textId="6107F565" w:rsidR="00A544D1" w:rsidRPr="00404F85" w:rsidRDefault="00A544D1" w:rsidP="00404F85">
      <w:pPr>
        <w:pStyle w:val="p1"/>
        <w:spacing w:line="360" w:lineRule="auto"/>
        <w:divId w:val="1188836553"/>
        <w:rPr>
          <w:rFonts w:ascii="Arial" w:hAnsi="Arial" w:cs="Arial"/>
          <w:sz w:val="22"/>
          <w:szCs w:val="22"/>
        </w:rPr>
      </w:pPr>
      <w:r w:rsidRPr="00404F85">
        <w:rPr>
          <w:rStyle w:val="s1"/>
          <w:rFonts w:ascii="Arial" w:hAnsi="Arial" w:cs="Arial"/>
          <w:sz w:val="22"/>
          <w:szCs w:val="22"/>
        </w:rPr>
        <w:t>Type 2 Diabetes Mellitus (T2DM) is a long-term metabolic disorder characterised by insulin resistance, impaired insulin secretion, and chronic hyperglycaemia (Sinclair et al., 2020). Insulin is a hormone produced by pancreatic beta cells which helps regulate blood glucose levels. In individuals with T2DM, the body becomes resistant to insulin, meaning glucose cannot effectively enter cells to produce energy. As a result, glucose accumulates in the bloodstream, leading to persistent hyperglycaemia and long-term physiological damage (DeFronzo et al., 2015).</w:t>
      </w:r>
    </w:p>
    <w:p w14:paraId="18EC5F40" w14:textId="77777777" w:rsidR="00A544D1" w:rsidRPr="00404F85" w:rsidRDefault="00A544D1" w:rsidP="00404F85">
      <w:pPr>
        <w:pStyle w:val="p1"/>
        <w:spacing w:line="360" w:lineRule="auto"/>
        <w:divId w:val="1188836553"/>
        <w:rPr>
          <w:rFonts w:ascii="Arial" w:hAnsi="Arial" w:cs="Arial"/>
          <w:sz w:val="22"/>
          <w:szCs w:val="22"/>
        </w:rPr>
      </w:pPr>
      <w:r w:rsidRPr="00404F85">
        <w:rPr>
          <w:rStyle w:val="s1"/>
          <w:rFonts w:ascii="Arial" w:hAnsi="Arial" w:cs="Arial"/>
          <w:sz w:val="22"/>
          <w:szCs w:val="22"/>
        </w:rPr>
        <w:t xml:space="preserve">The physiological mechanisms of T2DM refer to the biological and metabolic processes that contribute to the development and progression of the condition. These mechanisms include insulin resistance, beta-cell dysfunction, chronic inflammation, obesity-related metabolic changes, and impaired glucose regulation. In older adults, these mechanisms </w:t>
      </w:r>
      <w:bookmarkStart w:id="152" w:name="_Int_XimqqpY5"/>
      <w:r w:rsidRPr="00404F85">
        <w:rPr>
          <w:rStyle w:val="s1"/>
          <w:rFonts w:ascii="Arial" w:hAnsi="Arial" w:cs="Arial"/>
          <w:sz w:val="22"/>
          <w:szCs w:val="22"/>
        </w:rPr>
        <w:t>are often worsened</w:t>
      </w:r>
      <w:bookmarkEnd w:id="152"/>
      <w:r w:rsidRPr="00404F85">
        <w:rPr>
          <w:rStyle w:val="s1"/>
          <w:rFonts w:ascii="Arial" w:hAnsi="Arial" w:cs="Arial"/>
          <w:sz w:val="22"/>
          <w:szCs w:val="22"/>
        </w:rPr>
        <w:t xml:space="preserve"> by age-related physiological decline, increasing the risk of complications and long-term health problems (Reimann, 2023).</w:t>
      </w:r>
    </w:p>
    <w:p w14:paraId="3F0EDEBC" w14:textId="77777777" w:rsidR="00A544D1" w:rsidRPr="00404F85" w:rsidRDefault="00A544D1" w:rsidP="00404F85">
      <w:pPr>
        <w:pStyle w:val="p2"/>
        <w:spacing w:line="360" w:lineRule="auto"/>
        <w:divId w:val="1188836553"/>
        <w:rPr>
          <w:rFonts w:ascii="Arial" w:hAnsi="Arial" w:cs="Arial"/>
          <w:sz w:val="22"/>
          <w:szCs w:val="22"/>
        </w:rPr>
      </w:pPr>
    </w:p>
    <w:p w14:paraId="725A94D0" w14:textId="0177C3A7" w:rsidR="00C872AC" w:rsidRPr="00404F85" w:rsidRDefault="00A544D1" w:rsidP="00404F85">
      <w:pPr>
        <w:pStyle w:val="p1"/>
        <w:spacing w:line="360" w:lineRule="auto"/>
        <w:divId w:val="1188836553"/>
        <w:rPr>
          <w:rFonts w:ascii="Arial" w:hAnsi="Arial" w:cs="Arial"/>
          <w:sz w:val="22"/>
          <w:szCs w:val="22"/>
        </w:rPr>
      </w:pPr>
      <w:r w:rsidRPr="00404F85">
        <w:rPr>
          <w:rStyle w:val="s1"/>
          <w:rFonts w:ascii="Arial" w:hAnsi="Arial" w:cs="Arial"/>
          <w:sz w:val="22"/>
          <w:szCs w:val="22"/>
        </w:rPr>
        <w:t xml:space="preserve">Understanding the physiological mechanisms of T2DM is </w:t>
      </w:r>
      <w:r w:rsidR="00BC1234" w:rsidRPr="00404F85">
        <w:rPr>
          <w:rStyle w:val="s1"/>
          <w:rFonts w:ascii="Arial" w:hAnsi="Arial" w:cs="Arial"/>
          <w:sz w:val="22"/>
          <w:szCs w:val="22"/>
        </w:rPr>
        <w:t>important</w:t>
      </w:r>
      <w:r w:rsidRPr="00404F85">
        <w:rPr>
          <w:rStyle w:val="s1"/>
          <w:rFonts w:ascii="Arial" w:hAnsi="Arial" w:cs="Arial"/>
          <w:sz w:val="22"/>
          <w:szCs w:val="22"/>
        </w:rPr>
        <w:t xml:space="preserve"> because they form the foundation of disease progression and directly influence treatment strategies, patient outcomes, and health and social care needs. This theme therefore plays </w:t>
      </w:r>
      <w:r w:rsidR="00BC1234" w:rsidRPr="00404F85">
        <w:rPr>
          <w:rStyle w:val="s1"/>
          <w:rFonts w:ascii="Arial" w:hAnsi="Arial" w:cs="Arial"/>
          <w:sz w:val="22"/>
          <w:szCs w:val="22"/>
        </w:rPr>
        <w:t>a significant role</w:t>
      </w:r>
      <w:r w:rsidRPr="00404F85">
        <w:rPr>
          <w:rStyle w:val="s1"/>
          <w:rFonts w:ascii="Arial" w:hAnsi="Arial" w:cs="Arial"/>
          <w:sz w:val="22"/>
          <w:szCs w:val="22"/>
        </w:rPr>
        <w:t xml:space="preserve"> in addressing the research aim, which is to explore the physiological mechanisms and long-term health impacts of T2DM in older adults living in Birmingham.</w:t>
      </w:r>
    </w:p>
    <w:p w14:paraId="54EB6321" w14:textId="77777777" w:rsidR="008122E2" w:rsidRDefault="008122E2" w:rsidP="008122E2">
      <w:pPr>
        <w:spacing w:before="100" w:beforeAutospacing="1" w:after="100" w:afterAutospacing="1"/>
        <w:jc w:val="left"/>
        <w:rPr>
          <w:rStyle w:val="Heading5Char"/>
          <w:rFonts w:ascii="Arial" w:hAnsi="Arial" w:cs="Arial"/>
          <w:b/>
          <w:bCs/>
          <w:sz w:val="32"/>
          <w:szCs w:val="32"/>
        </w:rPr>
      </w:pPr>
    </w:p>
    <w:p w14:paraId="2F3E32EB" w14:textId="77777777" w:rsidR="007063BA" w:rsidRDefault="007063BA" w:rsidP="008122E2">
      <w:pPr>
        <w:spacing w:before="100" w:beforeAutospacing="1" w:after="100" w:afterAutospacing="1"/>
        <w:jc w:val="left"/>
        <w:rPr>
          <w:rStyle w:val="Strong"/>
          <w:rFonts w:ascii="Arial" w:hAnsi="Arial" w:cs="Arial"/>
        </w:rPr>
      </w:pPr>
      <w:r w:rsidRPr="008122E2">
        <w:rPr>
          <w:rStyle w:val="Heading5Char"/>
          <w:rFonts w:ascii="Arial" w:hAnsi="Arial" w:cs="Arial"/>
          <w:b/>
          <w:bCs/>
          <w:sz w:val="32"/>
          <w:szCs w:val="32"/>
        </w:rPr>
        <w:t>Historical/Contextual Background</w:t>
      </w:r>
      <w:r w:rsidRPr="00404F85">
        <w:rPr>
          <w:rStyle w:val="Strong"/>
          <w:rFonts w:ascii="Arial" w:hAnsi="Arial" w:cs="Arial"/>
        </w:rPr>
        <w:t>:</w:t>
      </w:r>
    </w:p>
    <w:p w14:paraId="593542D2" w14:textId="6D578B67" w:rsidR="00DA7FA1" w:rsidRPr="00134A87" w:rsidRDefault="00DA7FA1" w:rsidP="00134A87">
      <w:pPr>
        <w:pStyle w:val="p1"/>
        <w:spacing w:line="360" w:lineRule="auto"/>
        <w:divId w:val="1700888227"/>
        <w:rPr>
          <w:rFonts w:ascii="Arial" w:hAnsi="Arial" w:cs="Arial"/>
          <w:sz w:val="22"/>
          <w:szCs w:val="22"/>
        </w:rPr>
      </w:pPr>
      <w:r w:rsidRPr="00134A87">
        <w:rPr>
          <w:rFonts w:ascii="Arial" w:hAnsi="Arial" w:cs="Arial"/>
          <w:sz w:val="22"/>
          <w:szCs w:val="22"/>
        </w:rPr>
        <w:t xml:space="preserve">Historically, Type 2 Diabetes Mellitus (T2DM) was </w:t>
      </w:r>
      <w:r w:rsidR="00970EFC" w:rsidRPr="00134A87">
        <w:rPr>
          <w:rFonts w:ascii="Arial" w:hAnsi="Arial" w:cs="Arial"/>
          <w:sz w:val="22"/>
          <w:szCs w:val="22"/>
        </w:rPr>
        <w:t>associated</w:t>
      </w:r>
      <w:r w:rsidRPr="00134A87">
        <w:rPr>
          <w:rFonts w:ascii="Arial" w:hAnsi="Arial" w:cs="Arial"/>
          <w:sz w:val="22"/>
          <w:szCs w:val="22"/>
        </w:rPr>
        <w:t xml:space="preserve"> with insulin deficiency and ageing. However, advances in medical research have </w:t>
      </w:r>
      <w:bookmarkStart w:id="153" w:name="_Int_sheyqNbd"/>
      <w:r w:rsidRPr="00134A87">
        <w:rPr>
          <w:rFonts w:ascii="Arial" w:hAnsi="Arial" w:cs="Arial"/>
          <w:sz w:val="22"/>
          <w:szCs w:val="22"/>
        </w:rPr>
        <w:t>demonstrated</w:t>
      </w:r>
      <w:bookmarkEnd w:id="153"/>
      <w:r w:rsidRPr="00134A87">
        <w:rPr>
          <w:rFonts w:ascii="Arial" w:hAnsi="Arial" w:cs="Arial"/>
          <w:sz w:val="22"/>
          <w:szCs w:val="22"/>
        </w:rPr>
        <w:t xml:space="preserve"> that T2DM is a complex condition influenced by insulin resistance, chronic inflammation, obesity, sedentary lifestyles, and genetic factors (Cerf, 2013; Hotamisligil, 2017).</w:t>
      </w:r>
    </w:p>
    <w:p w14:paraId="6B51460E" w14:textId="77777777" w:rsidR="00DA7FA1" w:rsidRPr="00134A87" w:rsidRDefault="00DA7FA1" w:rsidP="00134A87">
      <w:pPr>
        <w:pStyle w:val="p1"/>
        <w:spacing w:line="360" w:lineRule="auto"/>
        <w:divId w:val="1700888227"/>
        <w:rPr>
          <w:rFonts w:ascii="Arial" w:hAnsi="Arial" w:cs="Arial"/>
          <w:sz w:val="22"/>
          <w:szCs w:val="22"/>
        </w:rPr>
      </w:pPr>
      <w:r w:rsidRPr="00134A87">
        <w:rPr>
          <w:rFonts w:ascii="Arial" w:hAnsi="Arial" w:cs="Arial"/>
          <w:sz w:val="22"/>
          <w:szCs w:val="22"/>
        </w:rPr>
        <w:t>The prevalence of T2DM has increased significantly in recent decades. Diabetes UK (2023) reports that approximately 4.3 million people in the UK are living with diabetes, with T2DM accounting for around 90% of cases. Older adults are particularly vulnerable due to age-related metabolic changes, reduced physical activity, and increased obesity rates.</w:t>
      </w:r>
    </w:p>
    <w:p w14:paraId="3D1AD348" w14:textId="07CB1C2B" w:rsidR="00BA1784" w:rsidRPr="000D609B" w:rsidRDefault="00DA7FA1" w:rsidP="000D609B">
      <w:pPr>
        <w:pStyle w:val="p2"/>
        <w:spacing w:line="360" w:lineRule="auto"/>
        <w:rPr>
          <w:rFonts w:ascii="Arial" w:hAnsi="Arial" w:cs="Arial"/>
          <w:sz w:val="22"/>
          <w:szCs w:val="22"/>
        </w:rPr>
      </w:pPr>
      <w:r w:rsidRPr="00134A87">
        <w:rPr>
          <w:rFonts w:ascii="Arial" w:hAnsi="Arial" w:cs="Arial"/>
          <w:sz w:val="22"/>
          <w:szCs w:val="22"/>
        </w:rPr>
        <w:t>Within Birmingham, health inequalities and socioeconomic deprivation may further increase diabetes prevalence and negatively affect disease management. Additionally, ageing contributes to reduced muscle mass and increased visceral fat, both of which impair insulin sensitivity and glucose metabolism (Reimann, 2023).</w:t>
      </w:r>
    </w:p>
    <w:p w14:paraId="7749FD3C" w14:textId="77777777" w:rsidR="007063BA" w:rsidRPr="009421C0" w:rsidRDefault="007063BA" w:rsidP="00404F85">
      <w:pPr>
        <w:pStyle w:val="Heading4"/>
        <w:rPr>
          <w:rFonts w:ascii="Arial" w:hAnsi="Arial" w:cs="Arial"/>
          <w:b/>
          <w:bCs/>
          <w:i w:val="0"/>
          <w:iCs w:val="0"/>
          <w:sz w:val="32"/>
          <w:szCs w:val="32"/>
        </w:rPr>
      </w:pPr>
      <w:r w:rsidRPr="009421C0">
        <w:rPr>
          <w:rFonts w:ascii="Arial" w:hAnsi="Arial" w:cs="Arial"/>
          <w:b/>
          <w:bCs/>
          <w:i w:val="0"/>
          <w:iCs w:val="0"/>
          <w:sz w:val="32"/>
          <w:szCs w:val="32"/>
        </w:rPr>
        <w:t>Impact on Research Question</w:t>
      </w:r>
    </w:p>
    <w:p w14:paraId="657826BC" w14:textId="29B074BB" w:rsidR="002F30A0" w:rsidRPr="00404F85" w:rsidRDefault="002F30A0" w:rsidP="00404F85">
      <w:pPr>
        <w:pStyle w:val="p1"/>
        <w:spacing w:line="360" w:lineRule="auto"/>
        <w:divId w:val="966087544"/>
        <w:rPr>
          <w:rFonts w:ascii="Arial" w:hAnsi="Arial" w:cs="Arial"/>
          <w:sz w:val="22"/>
          <w:szCs w:val="22"/>
        </w:rPr>
      </w:pPr>
      <w:r w:rsidRPr="00404F85">
        <w:rPr>
          <w:rStyle w:val="s1"/>
          <w:rFonts w:ascii="Arial" w:hAnsi="Arial" w:cs="Arial"/>
          <w:sz w:val="22"/>
          <w:szCs w:val="22"/>
        </w:rPr>
        <w:t xml:space="preserve">This theme </w:t>
      </w:r>
      <w:bookmarkStart w:id="154" w:name="_Int_G1xADH5z"/>
      <w:r w:rsidRPr="00404F85">
        <w:rPr>
          <w:rStyle w:val="s1"/>
          <w:rFonts w:ascii="Arial" w:hAnsi="Arial" w:cs="Arial"/>
          <w:sz w:val="22"/>
          <w:szCs w:val="22"/>
        </w:rPr>
        <w:t xml:space="preserve">is </w:t>
      </w:r>
      <w:r w:rsidR="00BC1234" w:rsidRPr="00404F85">
        <w:rPr>
          <w:rStyle w:val="s1"/>
          <w:rFonts w:ascii="Arial" w:hAnsi="Arial" w:cs="Arial"/>
          <w:sz w:val="22"/>
          <w:szCs w:val="22"/>
        </w:rPr>
        <w:t>linked</w:t>
      </w:r>
      <w:bookmarkEnd w:id="154"/>
      <w:r w:rsidRPr="00404F85">
        <w:rPr>
          <w:rStyle w:val="s1"/>
          <w:rFonts w:ascii="Arial" w:hAnsi="Arial" w:cs="Arial"/>
          <w:sz w:val="22"/>
          <w:szCs w:val="22"/>
        </w:rPr>
        <w:t xml:space="preserve"> to the dissertation title and research </w:t>
      </w:r>
      <w:r w:rsidR="00141D27" w:rsidRPr="00404F85">
        <w:rPr>
          <w:rStyle w:val="s1"/>
          <w:rFonts w:ascii="Arial" w:hAnsi="Arial" w:cs="Arial"/>
          <w:sz w:val="22"/>
          <w:szCs w:val="22"/>
        </w:rPr>
        <w:t>goals</w:t>
      </w:r>
      <w:r w:rsidRPr="00404F85">
        <w:rPr>
          <w:rStyle w:val="s1"/>
          <w:rFonts w:ascii="Arial" w:hAnsi="Arial" w:cs="Arial"/>
          <w:sz w:val="22"/>
          <w:szCs w:val="22"/>
        </w:rPr>
        <w:t xml:space="preserve"> because it explores the underlying physiological mechanisms responsible for the development and progression of T2DM in older adults. Understanding these mechanisms is essential for </w:t>
      </w:r>
      <w:r w:rsidR="00141D27" w:rsidRPr="00404F85">
        <w:rPr>
          <w:rStyle w:val="s1"/>
          <w:rFonts w:ascii="Arial" w:hAnsi="Arial" w:cs="Arial"/>
          <w:sz w:val="22"/>
          <w:szCs w:val="22"/>
        </w:rPr>
        <w:t>finding</w:t>
      </w:r>
      <w:r w:rsidRPr="00404F85">
        <w:rPr>
          <w:rStyle w:val="s1"/>
          <w:rFonts w:ascii="Arial" w:hAnsi="Arial" w:cs="Arial"/>
          <w:sz w:val="22"/>
          <w:szCs w:val="22"/>
        </w:rPr>
        <w:t xml:space="preserve"> why older adults are more susceptible to diabetes-related complications and increased care needs.</w:t>
      </w:r>
    </w:p>
    <w:p w14:paraId="4D72F0FC" w14:textId="77777777" w:rsidR="002F30A0" w:rsidRPr="00404F85" w:rsidRDefault="002F30A0" w:rsidP="00404F85">
      <w:pPr>
        <w:pStyle w:val="p2"/>
        <w:spacing w:line="360" w:lineRule="auto"/>
        <w:divId w:val="966087544"/>
        <w:rPr>
          <w:rFonts w:ascii="Arial" w:hAnsi="Arial" w:cs="Arial"/>
          <w:sz w:val="22"/>
          <w:szCs w:val="22"/>
        </w:rPr>
      </w:pPr>
    </w:p>
    <w:p w14:paraId="4D93C299" w14:textId="77777777" w:rsidR="002F30A0" w:rsidRPr="00404F85" w:rsidRDefault="002F30A0" w:rsidP="00404F85">
      <w:pPr>
        <w:pStyle w:val="p1"/>
        <w:spacing w:line="360" w:lineRule="auto"/>
        <w:divId w:val="966087544"/>
        <w:rPr>
          <w:rFonts w:ascii="Arial" w:hAnsi="Arial" w:cs="Arial"/>
          <w:sz w:val="22"/>
          <w:szCs w:val="22"/>
        </w:rPr>
      </w:pPr>
      <w:r w:rsidRPr="00404F85">
        <w:rPr>
          <w:rStyle w:val="s1"/>
          <w:rFonts w:ascii="Arial" w:hAnsi="Arial" w:cs="Arial"/>
          <w:sz w:val="22"/>
          <w:szCs w:val="22"/>
        </w:rPr>
        <w:t xml:space="preserve">Objective One aimed to examine how age-related physiological changes affect glucose regulation and insulin sensitivity in older adults. The literature strongly </w:t>
      </w:r>
      <w:bookmarkStart w:id="155" w:name="_Int_Fskdu4K4"/>
      <w:r w:rsidRPr="00404F85">
        <w:rPr>
          <w:rStyle w:val="s1"/>
          <w:rFonts w:ascii="Arial" w:hAnsi="Arial" w:cs="Arial"/>
          <w:sz w:val="22"/>
          <w:szCs w:val="22"/>
        </w:rPr>
        <w:t>demonstrates</w:t>
      </w:r>
      <w:bookmarkEnd w:id="155"/>
      <w:r w:rsidRPr="00404F85">
        <w:rPr>
          <w:rStyle w:val="s1"/>
          <w:rFonts w:ascii="Arial" w:hAnsi="Arial" w:cs="Arial"/>
          <w:sz w:val="22"/>
          <w:szCs w:val="22"/>
        </w:rPr>
        <w:t xml:space="preserve"> that ageing contributes to reduced insulin sensitivity, increased adiposity, and impaired metabolic function (Reimann, 2023). These physiological changes increase the likelihood of chronic hyperglycaemia and disease progression.</w:t>
      </w:r>
    </w:p>
    <w:p w14:paraId="389D3343" w14:textId="77777777" w:rsidR="002F30A0" w:rsidRPr="00404F85" w:rsidRDefault="002F30A0" w:rsidP="00404F85">
      <w:pPr>
        <w:pStyle w:val="p2"/>
        <w:spacing w:line="360" w:lineRule="auto"/>
        <w:divId w:val="966087544"/>
        <w:rPr>
          <w:rFonts w:ascii="Arial" w:hAnsi="Arial" w:cs="Arial"/>
          <w:sz w:val="22"/>
          <w:szCs w:val="22"/>
        </w:rPr>
      </w:pPr>
    </w:p>
    <w:p w14:paraId="64317955" w14:textId="14B0610C" w:rsidR="002F30A0" w:rsidRPr="00404F85" w:rsidRDefault="002F30A0" w:rsidP="00404F85">
      <w:pPr>
        <w:pStyle w:val="p1"/>
        <w:spacing w:line="360" w:lineRule="auto"/>
        <w:divId w:val="966087544"/>
        <w:rPr>
          <w:rFonts w:ascii="Arial" w:hAnsi="Arial" w:cs="Arial"/>
          <w:sz w:val="22"/>
          <w:szCs w:val="22"/>
        </w:rPr>
      </w:pPr>
      <w:r w:rsidRPr="00404F85">
        <w:rPr>
          <w:rStyle w:val="s1"/>
          <w:rFonts w:ascii="Arial" w:hAnsi="Arial" w:cs="Arial"/>
          <w:sz w:val="22"/>
          <w:szCs w:val="22"/>
        </w:rPr>
        <w:t xml:space="preserve">Objective Two focused on analysing the key physiological characteristics of T2DM, including insulin resistance and chronic hyperglycaemia. The evidence reviewed within this theme clearly supports this </w:t>
      </w:r>
      <w:bookmarkStart w:id="156" w:name="_Int_857ru0J5"/>
      <w:r w:rsidRPr="00404F85">
        <w:rPr>
          <w:rStyle w:val="s1"/>
          <w:rFonts w:ascii="Arial" w:hAnsi="Arial" w:cs="Arial"/>
          <w:sz w:val="22"/>
          <w:szCs w:val="22"/>
        </w:rPr>
        <w:t>objective</w:t>
      </w:r>
      <w:bookmarkEnd w:id="156"/>
      <w:r w:rsidRPr="00404F85">
        <w:rPr>
          <w:rStyle w:val="s1"/>
          <w:rFonts w:ascii="Arial" w:hAnsi="Arial" w:cs="Arial"/>
          <w:sz w:val="22"/>
          <w:szCs w:val="22"/>
        </w:rPr>
        <w:t xml:space="preserve"> by </w:t>
      </w:r>
      <w:bookmarkStart w:id="157" w:name="_Int_XjJFAi2z"/>
      <w:r w:rsidRPr="00404F85">
        <w:rPr>
          <w:rStyle w:val="s1"/>
          <w:rFonts w:ascii="Arial" w:hAnsi="Arial" w:cs="Arial"/>
          <w:sz w:val="22"/>
          <w:szCs w:val="22"/>
        </w:rPr>
        <w:t>demonstrating</w:t>
      </w:r>
      <w:bookmarkEnd w:id="157"/>
      <w:r w:rsidRPr="00404F85">
        <w:rPr>
          <w:rStyle w:val="s1"/>
          <w:rFonts w:ascii="Arial" w:hAnsi="Arial" w:cs="Arial"/>
          <w:sz w:val="22"/>
          <w:szCs w:val="22"/>
        </w:rPr>
        <w:t xml:space="preserve"> how insulin resistance and beta-cell dysfunction interact to impair glucose regulation (Sinclair et al., 2020).</w:t>
      </w:r>
    </w:p>
    <w:p w14:paraId="030F8934" w14:textId="1D63BD35" w:rsidR="00B86E2E" w:rsidRPr="00404F85" w:rsidRDefault="002F30A0" w:rsidP="00404F85">
      <w:pPr>
        <w:pStyle w:val="p1"/>
        <w:spacing w:line="360" w:lineRule="auto"/>
        <w:divId w:val="966087544"/>
        <w:rPr>
          <w:rFonts w:ascii="Arial" w:hAnsi="Arial" w:cs="Arial"/>
          <w:sz w:val="22"/>
          <w:szCs w:val="22"/>
        </w:rPr>
      </w:pPr>
      <w:r w:rsidRPr="00404F85">
        <w:rPr>
          <w:rStyle w:val="s1"/>
          <w:rFonts w:ascii="Arial" w:hAnsi="Arial" w:cs="Arial"/>
          <w:sz w:val="22"/>
          <w:szCs w:val="22"/>
        </w:rPr>
        <w:t>This theme is also important because understanding physiological dysfunction can help healthcare professionals develop more effective interventions and preventative strategies. Early identification of insulin resistance and metabolic dysfunction may reduce long-term complications and improve quality of life for older adults.</w:t>
      </w:r>
    </w:p>
    <w:p w14:paraId="6A42E4BF" w14:textId="269B2616" w:rsidR="007063BA" w:rsidRPr="00404F85" w:rsidRDefault="007063BA" w:rsidP="00404F85">
      <w:pPr>
        <w:pStyle w:val="Heading4"/>
        <w:rPr>
          <w:rFonts w:ascii="Arial" w:hAnsi="Arial" w:cs="Arial"/>
        </w:rPr>
      </w:pPr>
    </w:p>
    <w:p w14:paraId="234E6774" w14:textId="77777777" w:rsidR="007063BA" w:rsidRDefault="007063BA" w:rsidP="009421C0">
      <w:pPr>
        <w:pStyle w:val="Heading5"/>
        <w:rPr>
          <w:rStyle w:val="Strong"/>
          <w:rFonts w:ascii="Arial" w:hAnsi="Arial" w:cs="Arial"/>
          <w:sz w:val="32"/>
          <w:szCs w:val="32"/>
        </w:rPr>
      </w:pPr>
      <w:r w:rsidRPr="009421C0">
        <w:rPr>
          <w:rStyle w:val="Strong"/>
          <w:rFonts w:ascii="Arial" w:hAnsi="Arial" w:cs="Arial"/>
          <w:sz w:val="32"/>
          <w:szCs w:val="32"/>
        </w:rPr>
        <w:t>Data and Statistics:</w:t>
      </w:r>
    </w:p>
    <w:p w14:paraId="4D500A6B" w14:textId="77777777" w:rsidR="00813199" w:rsidRDefault="00813199" w:rsidP="00813199"/>
    <w:p w14:paraId="1AE91E71" w14:textId="77777777" w:rsidR="002B3D38" w:rsidRPr="0048118F" w:rsidRDefault="002B3D38" w:rsidP="0048118F">
      <w:pPr>
        <w:pStyle w:val="p1"/>
        <w:spacing w:line="360" w:lineRule="auto"/>
        <w:divId w:val="1273439264"/>
        <w:rPr>
          <w:rFonts w:ascii="Arial" w:hAnsi="Arial" w:cs="Arial"/>
          <w:sz w:val="22"/>
          <w:szCs w:val="22"/>
        </w:rPr>
      </w:pPr>
      <w:r w:rsidRPr="0048118F">
        <w:rPr>
          <w:rFonts w:ascii="Arial" w:hAnsi="Arial" w:cs="Arial"/>
          <w:sz w:val="22"/>
          <w:szCs w:val="22"/>
        </w:rPr>
        <w:t>Statistical evidence highlights the growing burden of T2DM. The International Diabetes Federation (2021) estimated that 537 million adults worldwide are living with diabetes. In the UK, prevalence is particularly high among individuals aged over 65 years (Diabetes UK, 2023).</w:t>
      </w:r>
    </w:p>
    <w:p w14:paraId="7C418F57" w14:textId="0DEA6B94" w:rsidR="002B3D38" w:rsidRPr="0048118F" w:rsidRDefault="002B3D38" w:rsidP="0048118F">
      <w:pPr>
        <w:pStyle w:val="p1"/>
        <w:spacing w:line="360" w:lineRule="auto"/>
        <w:divId w:val="1273439264"/>
        <w:rPr>
          <w:rFonts w:ascii="Arial" w:hAnsi="Arial" w:cs="Arial"/>
          <w:sz w:val="22"/>
          <w:szCs w:val="22"/>
        </w:rPr>
      </w:pPr>
      <w:r w:rsidRPr="0048118F">
        <w:rPr>
          <w:rFonts w:ascii="Arial" w:hAnsi="Arial" w:cs="Arial"/>
          <w:sz w:val="22"/>
          <w:szCs w:val="22"/>
        </w:rPr>
        <w:t xml:space="preserve">Obesity </w:t>
      </w:r>
      <w:r w:rsidR="00141D27" w:rsidRPr="0048118F">
        <w:rPr>
          <w:rFonts w:ascii="Arial" w:hAnsi="Arial" w:cs="Arial"/>
          <w:sz w:val="22"/>
          <w:szCs w:val="22"/>
        </w:rPr>
        <w:t>is still</w:t>
      </w:r>
      <w:r w:rsidRPr="0048118F">
        <w:rPr>
          <w:rFonts w:ascii="Arial" w:hAnsi="Arial" w:cs="Arial"/>
          <w:sz w:val="22"/>
          <w:szCs w:val="22"/>
        </w:rPr>
        <w:t xml:space="preserve"> one of the strongest risk factors for T2DM, with overweight individuals being significantly more likely to develop the condition. Furthermore, NHS England (2019) estimates that more than one million people in the UK may have undiagnosed diabetes, increasing the risk of complications due to delayed treatment.</w:t>
      </w:r>
    </w:p>
    <w:p w14:paraId="7A2508F1" w14:textId="59BED1D9" w:rsidR="002B3D38" w:rsidRPr="0048118F" w:rsidRDefault="002B3D38" w:rsidP="0048118F">
      <w:pPr>
        <w:pStyle w:val="p2"/>
        <w:spacing w:line="360" w:lineRule="auto"/>
        <w:divId w:val="1273439264"/>
        <w:rPr>
          <w:rFonts w:ascii="Arial" w:hAnsi="Arial" w:cs="Arial"/>
          <w:sz w:val="22"/>
          <w:szCs w:val="22"/>
        </w:rPr>
      </w:pPr>
      <w:r w:rsidRPr="0048118F">
        <w:rPr>
          <w:rFonts w:ascii="Arial" w:hAnsi="Arial" w:cs="Arial"/>
          <w:sz w:val="22"/>
          <w:szCs w:val="22"/>
        </w:rPr>
        <w:t xml:space="preserve">While lifestyle factors play </w:t>
      </w:r>
      <w:r w:rsidR="000A2CEE" w:rsidRPr="0048118F">
        <w:rPr>
          <w:rFonts w:ascii="Arial" w:hAnsi="Arial" w:cs="Arial"/>
          <w:sz w:val="22"/>
          <w:szCs w:val="22"/>
        </w:rPr>
        <w:t>a key</w:t>
      </w:r>
      <w:r w:rsidRPr="0048118F">
        <w:rPr>
          <w:rFonts w:ascii="Arial" w:hAnsi="Arial" w:cs="Arial"/>
          <w:sz w:val="22"/>
          <w:szCs w:val="22"/>
        </w:rPr>
        <w:t xml:space="preserve"> role, researchers increasingly recognise the influence of ageing, chronic inflammation, and biological factors on disease development (Hotamisligil, 2017).</w:t>
      </w:r>
    </w:p>
    <w:p w14:paraId="28B51A34" w14:textId="77777777" w:rsidR="00B86E2E" w:rsidRPr="00404F85" w:rsidRDefault="00B86E2E" w:rsidP="00404F85">
      <w:pPr>
        <w:spacing w:before="100" w:beforeAutospacing="1" w:after="100" w:afterAutospacing="1"/>
        <w:jc w:val="left"/>
        <w:rPr>
          <w:rFonts w:ascii="Arial" w:hAnsi="Arial" w:cs="Arial"/>
        </w:rPr>
      </w:pPr>
    </w:p>
    <w:p w14:paraId="142DB4B4" w14:textId="77777777" w:rsidR="007063BA" w:rsidRPr="008D1FA1" w:rsidRDefault="007063BA" w:rsidP="00404F85">
      <w:pPr>
        <w:pStyle w:val="Heading4"/>
        <w:rPr>
          <w:rFonts w:ascii="Arial" w:hAnsi="Arial" w:cs="Arial"/>
          <w:b/>
          <w:bCs/>
          <w:i w:val="0"/>
          <w:iCs w:val="0"/>
          <w:sz w:val="32"/>
          <w:szCs w:val="32"/>
        </w:rPr>
      </w:pPr>
      <w:r w:rsidRPr="008D1FA1">
        <w:rPr>
          <w:rFonts w:ascii="Arial" w:hAnsi="Arial" w:cs="Arial"/>
          <w:b/>
          <w:bCs/>
          <w:i w:val="0"/>
          <w:iCs w:val="0"/>
          <w:sz w:val="32"/>
          <w:szCs w:val="32"/>
        </w:rPr>
        <w:t>Theories, Policies, and Legislation</w:t>
      </w:r>
    </w:p>
    <w:p w14:paraId="7428B0F2" w14:textId="77777777" w:rsidR="00EA14E7" w:rsidRPr="00404F85" w:rsidRDefault="00EA14E7" w:rsidP="00404F85">
      <w:pPr>
        <w:pStyle w:val="p1"/>
        <w:spacing w:line="360" w:lineRule="auto"/>
        <w:divId w:val="133373048"/>
        <w:rPr>
          <w:rFonts w:ascii="Arial" w:hAnsi="Arial" w:cs="Arial"/>
          <w:sz w:val="22"/>
          <w:szCs w:val="22"/>
        </w:rPr>
      </w:pPr>
      <w:r w:rsidRPr="00404F85">
        <w:rPr>
          <w:rStyle w:val="s1"/>
          <w:rFonts w:ascii="Arial" w:hAnsi="Arial" w:cs="Arial"/>
          <w:sz w:val="22"/>
          <w:szCs w:val="22"/>
        </w:rPr>
        <w:t>The biomedical model is one of the main theoretical frameworks used to explain T2DM. This model focuses on biological dysfunction, disease pathology, and physiological abnormalities (Engel, 1977). From this perspective, T2DM develops due to impaired insulin function, pancreatic beta-cell damage, and metabolic imbalance.</w:t>
      </w:r>
    </w:p>
    <w:p w14:paraId="581921E8" w14:textId="77777777" w:rsidR="00EA14E7" w:rsidRPr="00404F85" w:rsidRDefault="00EA14E7" w:rsidP="00404F85">
      <w:pPr>
        <w:pStyle w:val="p2"/>
        <w:spacing w:line="360" w:lineRule="auto"/>
        <w:divId w:val="133373048"/>
        <w:rPr>
          <w:rFonts w:ascii="Arial" w:hAnsi="Arial" w:cs="Arial"/>
          <w:sz w:val="22"/>
          <w:szCs w:val="22"/>
        </w:rPr>
      </w:pPr>
    </w:p>
    <w:p w14:paraId="58A1D106" w14:textId="0384C3E7" w:rsidR="00D80F74" w:rsidRPr="00404F85" w:rsidRDefault="00EA14E7" w:rsidP="00404F85">
      <w:pPr>
        <w:pStyle w:val="p1"/>
        <w:spacing w:line="360" w:lineRule="auto"/>
        <w:divId w:val="133373048"/>
        <w:rPr>
          <w:rFonts w:ascii="Arial" w:hAnsi="Arial" w:cs="Arial"/>
          <w:sz w:val="22"/>
          <w:szCs w:val="22"/>
        </w:rPr>
      </w:pPr>
      <w:r w:rsidRPr="00404F85">
        <w:rPr>
          <w:rStyle w:val="s1"/>
          <w:rFonts w:ascii="Arial" w:hAnsi="Arial" w:cs="Arial"/>
          <w:sz w:val="22"/>
          <w:szCs w:val="22"/>
        </w:rPr>
        <w:t xml:space="preserve">Although the biomedical model helps explain the physiological basis of T2DM, critics argue that it overlooks social and environmental influences on health. Engel (1977) proposed the biopsychosocial model, which considers the interaction between biological, psychological, and social factors. This approach may be more </w:t>
      </w:r>
      <w:bookmarkStart w:id="158" w:name="_Int_z8RVcPog"/>
      <w:r w:rsidRPr="00404F85">
        <w:rPr>
          <w:rStyle w:val="s1"/>
          <w:rFonts w:ascii="Arial" w:hAnsi="Arial" w:cs="Arial"/>
          <w:sz w:val="22"/>
          <w:szCs w:val="22"/>
        </w:rPr>
        <w:t>appropriate when</w:t>
      </w:r>
      <w:bookmarkEnd w:id="158"/>
      <w:r w:rsidRPr="00404F85">
        <w:rPr>
          <w:rStyle w:val="s1"/>
          <w:rFonts w:ascii="Arial" w:hAnsi="Arial" w:cs="Arial"/>
          <w:sz w:val="22"/>
          <w:szCs w:val="22"/>
        </w:rPr>
        <w:t xml:space="preserve"> examining diabetes among older adults living in Birmingham because social deprivation, ethnicity, healthcare access, and lifestyle behaviours also influence disease outcomes.</w:t>
      </w:r>
    </w:p>
    <w:p w14:paraId="766DAFEB" w14:textId="77777777" w:rsidR="00D80F74" w:rsidRPr="00404F85" w:rsidRDefault="00D80F74" w:rsidP="00404F85">
      <w:pPr>
        <w:spacing w:before="100" w:beforeAutospacing="1" w:after="100" w:afterAutospacing="1"/>
        <w:jc w:val="left"/>
        <w:rPr>
          <w:rFonts w:ascii="Arial" w:hAnsi="Arial" w:cs="Arial"/>
        </w:rPr>
      </w:pPr>
    </w:p>
    <w:p w14:paraId="6F9FD43F" w14:textId="77777777" w:rsidR="007063BA" w:rsidRPr="000D609B" w:rsidRDefault="007063BA" w:rsidP="000D609B">
      <w:pPr>
        <w:pStyle w:val="Heading2"/>
      </w:pPr>
      <w:r w:rsidRPr="000D609B">
        <w:rPr>
          <w:rStyle w:val="Strong"/>
          <w:rFonts w:ascii="Arial" w:eastAsia="Calibri Light" w:hAnsi="Arial" w:cs="Arial"/>
          <w:sz w:val="32"/>
          <w:szCs w:val="32"/>
        </w:rPr>
        <w:t>Policy and Legislation:</w:t>
      </w:r>
    </w:p>
    <w:p w14:paraId="4CF387F7" w14:textId="77777777" w:rsidR="00C8734A" w:rsidRPr="00404F85" w:rsidRDefault="00CB5C6B" w:rsidP="00404F85">
      <w:pPr>
        <w:pStyle w:val="p1"/>
        <w:spacing w:line="360" w:lineRule="auto"/>
        <w:divId w:val="896939892"/>
        <w:rPr>
          <w:rFonts w:ascii="Arial" w:hAnsi="Arial" w:cs="Arial"/>
          <w:sz w:val="22"/>
          <w:szCs w:val="22"/>
        </w:rPr>
      </w:pPr>
      <w:r w:rsidRPr="00404F85">
        <w:rPr>
          <w:rStyle w:val="s1"/>
          <w:rFonts w:ascii="Arial" w:hAnsi="Arial" w:cs="Arial"/>
          <w:sz w:val="22"/>
          <w:szCs w:val="22"/>
        </w:rPr>
        <w:t>Several healthcare policies and guidelines support the management of T2DM in the UK. The NHS Long Term Plan (NHS England, 2019) prioritises diabetes prevention, early diagnosis, and personalised care pathways. Similarly, NICE guidelines recommend regular blood glucose monitoring, lifestyle interventions, and individualised treatment plans for older adults with T2DM (NICE, 2022).</w:t>
      </w:r>
    </w:p>
    <w:p w14:paraId="44FD626A" w14:textId="1A6C6F38" w:rsidR="00D80F74" w:rsidRPr="00404F85" w:rsidRDefault="00CB5C6B" w:rsidP="00404F85">
      <w:pPr>
        <w:pStyle w:val="p1"/>
        <w:spacing w:line="360" w:lineRule="auto"/>
        <w:divId w:val="896939892"/>
        <w:rPr>
          <w:rStyle w:val="s1"/>
          <w:rFonts w:ascii="Arial" w:hAnsi="Arial" w:cs="Arial"/>
          <w:sz w:val="22"/>
          <w:szCs w:val="22"/>
        </w:rPr>
      </w:pPr>
      <w:r w:rsidRPr="00404F85">
        <w:rPr>
          <w:rStyle w:val="s1"/>
          <w:rFonts w:ascii="Arial" w:hAnsi="Arial" w:cs="Arial"/>
          <w:sz w:val="22"/>
          <w:szCs w:val="22"/>
        </w:rPr>
        <w:t xml:space="preserve">These policies aim to reduce hospital admissions, improve patient outcomes, and decrease the financial burden of diabetes-related complications on healthcare systems. However, despite these policies, inequalities in healthcare access still exist, particularly within deprived communities. Therefore, healthcare providers in Birmingham must ensure that diabetes services are inclusive, accessible, and culturally </w:t>
      </w:r>
      <w:bookmarkStart w:id="159" w:name="_Int_Tf65aEs7"/>
      <w:r w:rsidRPr="00404F85">
        <w:rPr>
          <w:rStyle w:val="s1"/>
          <w:rFonts w:ascii="Arial" w:hAnsi="Arial" w:cs="Arial"/>
          <w:sz w:val="22"/>
          <w:szCs w:val="22"/>
        </w:rPr>
        <w:t>appropriate</w:t>
      </w:r>
      <w:bookmarkEnd w:id="159"/>
      <w:r w:rsidR="00CA22B2" w:rsidRPr="00404F85">
        <w:rPr>
          <w:rStyle w:val="s1"/>
          <w:rFonts w:ascii="Arial" w:hAnsi="Arial" w:cs="Arial"/>
          <w:sz w:val="22"/>
          <w:szCs w:val="22"/>
        </w:rPr>
        <w:t xml:space="preserve">. </w:t>
      </w:r>
    </w:p>
    <w:p w14:paraId="13B595A6" w14:textId="3F69B3AC" w:rsidR="007063BA" w:rsidRPr="00404F85" w:rsidRDefault="007063BA" w:rsidP="00404F85">
      <w:pPr>
        <w:pStyle w:val="Heading4"/>
        <w:rPr>
          <w:rFonts w:ascii="Arial" w:hAnsi="Arial" w:cs="Arial"/>
        </w:rPr>
      </w:pPr>
    </w:p>
    <w:p w14:paraId="7F05FA48" w14:textId="6D713325" w:rsidR="0035721A" w:rsidRPr="003301D7" w:rsidRDefault="007063BA" w:rsidP="003301D7">
      <w:pPr>
        <w:pStyle w:val="Heading5"/>
      </w:pPr>
      <w:r w:rsidRPr="003301D7">
        <w:rPr>
          <w:rStyle w:val="Strong"/>
          <w:rFonts w:ascii="Arial" w:hAnsi="Arial" w:cs="Arial"/>
          <w:sz w:val="32"/>
          <w:szCs w:val="32"/>
        </w:rPr>
        <w:t>Positive and Negative Implications:</w:t>
      </w:r>
    </w:p>
    <w:p w14:paraId="20D641BD" w14:textId="77777777" w:rsidR="001B3513" w:rsidRPr="00404F85" w:rsidRDefault="001B3513" w:rsidP="00404F85">
      <w:pPr>
        <w:pStyle w:val="p1"/>
        <w:spacing w:line="360" w:lineRule="auto"/>
        <w:divId w:val="1157070720"/>
        <w:rPr>
          <w:rFonts w:ascii="Arial" w:hAnsi="Arial" w:cs="Arial"/>
          <w:sz w:val="22"/>
          <w:szCs w:val="22"/>
        </w:rPr>
      </w:pPr>
      <w:r w:rsidRPr="00404F85">
        <w:rPr>
          <w:rStyle w:val="s1"/>
          <w:rFonts w:ascii="Arial" w:hAnsi="Arial" w:cs="Arial"/>
          <w:sz w:val="22"/>
          <w:szCs w:val="22"/>
        </w:rPr>
        <w:t>The physiological mechanisms associated with T2DM have significant implications for both individuals and healthcare systems. One major implication is the increased risk of long-term complications resulting from persistent hyperglycaemia. Poor glucose regulation can damage blood vessels, nerves, kidneys, and the cardiovascular system, leading to severe health problems and reduced life expectancy (Zheng et al., 2018).</w:t>
      </w:r>
    </w:p>
    <w:p w14:paraId="56A4AE39" w14:textId="77777777" w:rsidR="001B3513" w:rsidRPr="00404F85" w:rsidRDefault="001B3513" w:rsidP="00404F85">
      <w:pPr>
        <w:pStyle w:val="p2"/>
        <w:spacing w:line="360" w:lineRule="auto"/>
        <w:divId w:val="1157070720"/>
        <w:rPr>
          <w:rFonts w:ascii="Arial" w:hAnsi="Arial" w:cs="Arial"/>
          <w:sz w:val="22"/>
          <w:szCs w:val="22"/>
        </w:rPr>
      </w:pPr>
    </w:p>
    <w:p w14:paraId="06BCB440" w14:textId="77777777" w:rsidR="001B3513" w:rsidRPr="00404F85" w:rsidRDefault="001B3513" w:rsidP="00404F85">
      <w:pPr>
        <w:pStyle w:val="p1"/>
        <w:spacing w:line="360" w:lineRule="auto"/>
        <w:divId w:val="1157070720"/>
        <w:rPr>
          <w:rFonts w:ascii="Arial" w:hAnsi="Arial" w:cs="Arial"/>
          <w:sz w:val="22"/>
          <w:szCs w:val="22"/>
        </w:rPr>
      </w:pPr>
      <w:r w:rsidRPr="00404F85">
        <w:rPr>
          <w:rStyle w:val="s1"/>
          <w:rFonts w:ascii="Arial" w:hAnsi="Arial" w:cs="Arial"/>
          <w:sz w:val="22"/>
          <w:szCs w:val="22"/>
        </w:rPr>
        <w:t xml:space="preserve">Another implication is the increasing demand placed on health and social care services. Older adults with T2DM often require ongoing monitoring, medication management, dietary support, and </w:t>
      </w:r>
      <w:bookmarkStart w:id="160" w:name="_Int_YtakioV7"/>
      <w:r w:rsidRPr="00404F85">
        <w:rPr>
          <w:rStyle w:val="s1"/>
          <w:rFonts w:ascii="Arial" w:hAnsi="Arial" w:cs="Arial"/>
          <w:sz w:val="22"/>
          <w:szCs w:val="22"/>
        </w:rPr>
        <w:t>assistance</w:t>
      </w:r>
      <w:bookmarkEnd w:id="160"/>
      <w:r w:rsidRPr="00404F85">
        <w:rPr>
          <w:rStyle w:val="s1"/>
          <w:rFonts w:ascii="Arial" w:hAnsi="Arial" w:cs="Arial"/>
          <w:sz w:val="22"/>
          <w:szCs w:val="22"/>
        </w:rPr>
        <w:t xml:space="preserve"> with mobility or daily activities. This creates </w:t>
      </w:r>
      <w:bookmarkStart w:id="161" w:name="_Int_Ck9LpWoH"/>
      <w:r w:rsidRPr="00404F85">
        <w:rPr>
          <w:rStyle w:val="s1"/>
          <w:rFonts w:ascii="Arial" w:hAnsi="Arial" w:cs="Arial"/>
          <w:sz w:val="22"/>
          <w:szCs w:val="22"/>
        </w:rPr>
        <w:t>additional</w:t>
      </w:r>
      <w:bookmarkEnd w:id="161"/>
      <w:r w:rsidRPr="00404F85">
        <w:rPr>
          <w:rStyle w:val="s1"/>
          <w:rFonts w:ascii="Arial" w:hAnsi="Arial" w:cs="Arial"/>
          <w:sz w:val="22"/>
          <w:szCs w:val="22"/>
        </w:rPr>
        <w:t xml:space="preserve"> financial and workforce pressures for local healthcare services within Birmingham.</w:t>
      </w:r>
    </w:p>
    <w:p w14:paraId="105BB22D" w14:textId="77777777" w:rsidR="001B3513" w:rsidRPr="00404F85" w:rsidRDefault="001B3513" w:rsidP="00404F85">
      <w:pPr>
        <w:pStyle w:val="p2"/>
        <w:spacing w:line="360" w:lineRule="auto"/>
        <w:divId w:val="1157070720"/>
        <w:rPr>
          <w:rFonts w:ascii="Arial" w:hAnsi="Arial" w:cs="Arial"/>
          <w:sz w:val="22"/>
          <w:szCs w:val="22"/>
        </w:rPr>
      </w:pPr>
    </w:p>
    <w:p w14:paraId="28CF214B" w14:textId="77777777" w:rsidR="001B3513" w:rsidRPr="00404F85" w:rsidRDefault="001B3513" w:rsidP="00404F85">
      <w:pPr>
        <w:pStyle w:val="p1"/>
        <w:spacing w:line="360" w:lineRule="auto"/>
        <w:divId w:val="1157070720"/>
        <w:rPr>
          <w:rFonts w:ascii="Arial" w:hAnsi="Arial" w:cs="Arial"/>
          <w:sz w:val="22"/>
          <w:szCs w:val="22"/>
        </w:rPr>
      </w:pPr>
      <w:r w:rsidRPr="00404F85">
        <w:rPr>
          <w:rStyle w:val="s1"/>
          <w:rFonts w:ascii="Arial" w:hAnsi="Arial" w:cs="Arial"/>
          <w:sz w:val="22"/>
          <w:szCs w:val="22"/>
        </w:rPr>
        <w:t>There are also positive implications associated with increased understanding of physiological mechanisms. Advancements in medical research have improved diabetes treatments, early screening programmes, and preventative healthcare initiatives. Better understanding of insulin resistance and inflammation has contributed to the development of medications that target multiple physiological pathways rather than focusing solely on blood glucose reduction.</w:t>
      </w:r>
    </w:p>
    <w:p w14:paraId="2D3D15E3" w14:textId="77777777" w:rsidR="001B3513" w:rsidRPr="00404F85" w:rsidRDefault="001B3513" w:rsidP="00404F85">
      <w:pPr>
        <w:pStyle w:val="p2"/>
        <w:spacing w:line="360" w:lineRule="auto"/>
        <w:divId w:val="1157070720"/>
        <w:rPr>
          <w:rFonts w:ascii="Arial" w:hAnsi="Arial" w:cs="Arial"/>
          <w:sz w:val="22"/>
          <w:szCs w:val="22"/>
        </w:rPr>
      </w:pPr>
    </w:p>
    <w:p w14:paraId="43173935" w14:textId="02950DFD" w:rsidR="004A3B1F" w:rsidRPr="008C2450" w:rsidRDefault="001B3513" w:rsidP="00E86461">
      <w:pPr>
        <w:pStyle w:val="p1"/>
        <w:spacing w:line="360" w:lineRule="auto"/>
        <w:divId w:val="1157070720"/>
        <w:rPr>
          <w:rFonts w:ascii="Arial" w:hAnsi="Arial" w:cs="Arial"/>
          <w:sz w:val="22"/>
          <w:szCs w:val="22"/>
        </w:rPr>
      </w:pPr>
      <w:r w:rsidRPr="00404F85">
        <w:rPr>
          <w:rStyle w:val="s1"/>
          <w:rFonts w:ascii="Arial" w:hAnsi="Arial" w:cs="Arial"/>
          <w:sz w:val="22"/>
          <w:szCs w:val="22"/>
        </w:rPr>
        <w:t xml:space="preserve">However, some negative implications </w:t>
      </w:r>
      <w:bookmarkStart w:id="162" w:name="_Int_cf3x4B7I"/>
      <w:r w:rsidRPr="00404F85">
        <w:rPr>
          <w:rStyle w:val="s1"/>
          <w:rFonts w:ascii="Arial" w:hAnsi="Arial" w:cs="Arial"/>
          <w:sz w:val="22"/>
          <w:szCs w:val="22"/>
        </w:rPr>
        <w:t>remain</w:t>
      </w:r>
      <w:bookmarkEnd w:id="162"/>
      <w:r w:rsidRPr="00404F85">
        <w:rPr>
          <w:rStyle w:val="s1"/>
          <w:rFonts w:ascii="Arial" w:hAnsi="Arial" w:cs="Arial"/>
          <w:sz w:val="22"/>
          <w:szCs w:val="22"/>
        </w:rPr>
        <w:t xml:space="preserve">. Many older adults struggle to </w:t>
      </w:r>
      <w:r w:rsidR="00A865B1" w:rsidRPr="00404F85">
        <w:rPr>
          <w:rStyle w:val="s1"/>
          <w:rFonts w:ascii="Arial" w:hAnsi="Arial" w:cs="Arial"/>
          <w:sz w:val="22"/>
          <w:szCs w:val="22"/>
        </w:rPr>
        <w:t>support</w:t>
      </w:r>
      <w:r w:rsidRPr="00404F85">
        <w:rPr>
          <w:rStyle w:val="s1"/>
          <w:rFonts w:ascii="Arial" w:hAnsi="Arial" w:cs="Arial"/>
          <w:sz w:val="22"/>
          <w:szCs w:val="22"/>
        </w:rPr>
        <w:t xml:space="preserve"> lifestyle changes due to mobility limitations, cognitive decline, or financial barriers. Additionally, delayed diagnosis and health inequalities may worsen disease outcomes among vulnerable populations.</w:t>
      </w:r>
    </w:p>
    <w:p w14:paraId="5F369FBA" w14:textId="77777777" w:rsidR="004A3B1F" w:rsidRPr="008C2450" w:rsidRDefault="004A3B1F" w:rsidP="00E86461">
      <w:pPr>
        <w:pStyle w:val="p1"/>
        <w:spacing w:line="360" w:lineRule="auto"/>
        <w:divId w:val="1157070720"/>
        <w:rPr>
          <w:rFonts w:ascii="Arial" w:hAnsi="Arial" w:cs="Arial"/>
          <w:sz w:val="22"/>
          <w:szCs w:val="22"/>
        </w:rPr>
      </w:pPr>
    </w:p>
    <w:p w14:paraId="538020D2" w14:textId="77777777" w:rsidR="0082760D" w:rsidRDefault="0082760D" w:rsidP="00404F85">
      <w:pPr>
        <w:pStyle w:val="Heading4"/>
        <w:rPr>
          <w:rFonts w:ascii="Arial" w:hAnsi="Arial" w:cs="Arial"/>
          <w:b/>
          <w:bCs/>
          <w:i w:val="0"/>
          <w:iCs w:val="0"/>
          <w:sz w:val="32"/>
          <w:szCs w:val="32"/>
        </w:rPr>
      </w:pPr>
      <w:r w:rsidRPr="005D418E">
        <w:rPr>
          <w:rFonts w:ascii="Arial" w:hAnsi="Arial" w:cs="Arial"/>
          <w:b/>
          <w:bCs/>
          <w:i w:val="0"/>
          <w:iCs w:val="0"/>
          <w:sz w:val="32"/>
          <w:szCs w:val="32"/>
        </w:rPr>
        <w:t>Examples from Your Articles</w:t>
      </w:r>
    </w:p>
    <w:p w14:paraId="3F7C0543" w14:textId="77777777" w:rsidR="00C21BBE" w:rsidRPr="00C21BBE" w:rsidRDefault="00C21BBE" w:rsidP="00C21BBE"/>
    <w:p w14:paraId="10F98468" w14:textId="77777777" w:rsidR="00956084" w:rsidRPr="009336A5" w:rsidRDefault="00956084" w:rsidP="009336A5">
      <w:pPr>
        <w:pStyle w:val="p1"/>
        <w:spacing w:line="360" w:lineRule="auto"/>
        <w:divId w:val="1672104691"/>
        <w:rPr>
          <w:rFonts w:ascii="Arial" w:hAnsi="Arial" w:cs="Arial"/>
          <w:sz w:val="22"/>
          <w:szCs w:val="22"/>
        </w:rPr>
      </w:pPr>
      <w:r w:rsidRPr="009336A5">
        <w:rPr>
          <w:rFonts w:ascii="Arial" w:hAnsi="Arial" w:cs="Arial"/>
          <w:sz w:val="22"/>
          <w:szCs w:val="22"/>
        </w:rPr>
        <w:t>Several studies strongly support this theme. Reimann (2023) found that age-related reductions in muscle mass and increases in body fat significantly impair insulin sensitivity, increasing the risk of T2DM among older adults.</w:t>
      </w:r>
    </w:p>
    <w:p w14:paraId="4F593790" w14:textId="77777777" w:rsidR="00956084" w:rsidRPr="009336A5" w:rsidRDefault="00956084" w:rsidP="009336A5">
      <w:pPr>
        <w:pStyle w:val="p1"/>
        <w:spacing w:line="360" w:lineRule="auto"/>
        <w:divId w:val="1672104691"/>
        <w:rPr>
          <w:rFonts w:ascii="Arial" w:hAnsi="Arial" w:cs="Arial"/>
          <w:sz w:val="22"/>
          <w:szCs w:val="22"/>
        </w:rPr>
      </w:pPr>
      <w:r w:rsidRPr="009336A5">
        <w:rPr>
          <w:rFonts w:ascii="Arial" w:hAnsi="Arial" w:cs="Arial"/>
          <w:sz w:val="22"/>
          <w:szCs w:val="22"/>
        </w:rPr>
        <w:t xml:space="preserve">Similarly, Sinclair et al. (2020) </w:t>
      </w:r>
      <w:bookmarkStart w:id="163" w:name="_Int_HLDogWby"/>
      <w:r w:rsidRPr="009336A5">
        <w:rPr>
          <w:rFonts w:ascii="Arial" w:hAnsi="Arial" w:cs="Arial"/>
          <w:sz w:val="22"/>
          <w:szCs w:val="22"/>
        </w:rPr>
        <w:t>identified</w:t>
      </w:r>
      <w:bookmarkEnd w:id="163"/>
      <w:r w:rsidRPr="009336A5">
        <w:rPr>
          <w:rFonts w:ascii="Arial" w:hAnsi="Arial" w:cs="Arial"/>
          <w:sz w:val="22"/>
          <w:szCs w:val="22"/>
        </w:rPr>
        <w:t xml:space="preserve"> insulin resistance and chronic hyperglycaemia as key physiological characteristics of T2DM and highlighted the challenges of diagnosing diabetes in older populations.</w:t>
      </w:r>
    </w:p>
    <w:p w14:paraId="2CB5687B" w14:textId="77777777" w:rsidR="00956084" w:rsidRPr="009336A5" w:rsidRDefault="00956084" w:rsidP="009336A5">
      <w:pPr>
        <w:pStyle w:val="p1"/>
        <w:spacing w:line="360" w:lineRule="auto"/>
        <w:divId w:val="1672104691"/>
        <w:rPr>
          <w:rFonts w:ascii="Arial" w:hAnsi="Arial" w:cs="Arial"/>
          <w:sz w:val="22"/>
          <w:szCs w:val="22"/>
        </w:rPr>
      </w:pPr>
      <w:r w:rsidRPr="009336A5">
        <w:rPr>
          <w:rFonts w:ascii="Arial" w:hAnsi="Arial" w:cs="Arial"/>
          <w:sz w:val="22"/>
          <w:szCs w:val="22"/>
        </w:rPr>
        <w:t>DeFronzo et al. (2015) concluded that insulin resistance and beta-cell dysfunction are interconnected processes that gradually worsen over time. The authors emphasised the importance of early intervention to delay disease progression.</w:t>
      </w:r>
    </w:p>
    <w:p w14:paraId="4675F001" w14:textId="77777777" w:rsidR="00956084" w:rsidRPr="009336A5" w:rsidRDefault="00956084" w:rsidP="009336A5">
      <w:pPr>
        <w:pStyle w:val="p2"/>
        <w:spacing w:line="360" w:lineRule="auto"/>
        <w:divId w:val="1672104691"/>
        <w:rPr>
          <w:rFonts w:ascii="Arial" w:hAnsi="Arial" w:cs="Arial"/>
          <w:sz w:val="22"/>
          <w:szCs w:val="22"/>
        </w:rPr>
      </w:pPr>
      <w:r w:rsidRPr="009336A5">
        <w:rPr>
          <w:rFonts w:ascii="Arial" w:hAnsi="Arial" w:cs="Arial"/>
          <w:sz w:val="22"/>
          <w:szCs w:val="22"/>
        </w:rPr>
        <w:t xml:space="preserve">Together, these studies </w:t>
      </w:r>
      <w:bookmarkStart w:id="164" w:name="_Int_tim16ErC"/>
      <w:r w:rsidRPr="009336A5">
        <w:rPr>
          <w:rFonts w:ascii="Arial" w:hAnsi="Arial" w:cs="Arial"/>
          <w:sz w:val="22"/>
          <w:szCs w:val="22"/>
        </w:rPr>
        <w:t>demonstrate</w:t>
      </w:r>
      <w:bookmarkEnd w:id="164"/>
      <w:r w:rsidRPr="009336A5">
        <w:rPr>
          <w:rFonts w:ascii="Arial" w:hAnsi="Arial" w:cs="Arial"/>
          <w:sz w:val="22"/>
          <w:szCs w:val="22"/>
        </w:rPr>
        <w:t xml:space="preserve"> that ageing, metabolic dysfunction, and impaired insulin action are central mechanisms underlying T2DM.</w:t>
      </w:r>
    </w:p>
    <w:p w14:paraId="7577EE4E" w14:textId="77777777" w:rsidR="009B04A8" w:rsidRDefault="009B04A8" w:rsidP="00755D56">
      <w:pPr>
        <w:pStyle w:val="Heading4"/>
        <w:rPr>
          <w:rFonts w:ascii="Arial" w:hAnsi="Arial" w:cs="Arial"/>
        </w:rPr>
      </w:pPr>
    </w:p>
    <w:p w14:paraId="577E4262" w14:textId="4A051A0D" w:rsidR="00C8734A" w:rsidRPr="00755D56" w:rsidRDefault="007063BA" w:rsidP="00755D56">
      <w:pPr>
        <w:pStyle w:val="Heading4"/>
        <w:rPr>
          <w:rStyle w:val="s1"/>
          <w:rFonts w:ascii="Arial" w:hAnsi="Arial" w:cs="Arial"/>
          <w:b/>
          <w:bCs/>
          <w:i w:val="0"/>
          <w:iCs w:val="0"/>
          <w:sz w:val="32"/>
          <w:szCs w:val="32"/>
        </w:rPr>
      </w:pPr>
      <w:r w:rsidRPr="005D418E">
        <w:rPr>
          <w:rFonts w:ascii="Arial" w:hAnsi="Arial" w:cs="Arial"/>
          <w:b/>
          <w:bCs/>
          <w:i w:val="0"/>
          <w:iCs w:val="0"/>
          <w:sz w:val="32"/>
          <w:szCs w:val="32"/>
        </w:rPr>
        <w:t>Connections to Other Themes</w:t>
      </w:r>
    </w:p>
    <w:p w14:paraId="0531BAB3" w14:textId="0292E81E" w:rsidR="00E86461" w:rsidRPr="00D11869" w:rsidRDefault="00A84E73" w:rsidP="00D11869">
      <w:pPr>
        <w:pStyle w:val="p1"/>
        <w:spacing w:line="360" w:lineRule="auto"/>
        <w:divId w:val="1386099404"/>
        <w:rPr>
          <w:rFonts w:ascii="Arial" w:hAnsi="Arial" w:cs="Arial"/>
          <w:sz w:val="22"/>
          <w:szCs w:val="22"/>
        </w:rPr>
      </w:pPr>
      <w:r w:rsidRPr="00FE7263">
        <w:rPr>
          <w:rFonts w:ascii="Arial" w:hAnsi="Arial" w:cs="Arial"/>
          <w:sz w:val="22"/>
          <w:szCs w:val="22"/>
        </w:rPr>
        <w:t>This theme links directly to Theme Two, which explores the long-term health impacts of T2DM. Insulin resistance, beta-cell dysfunction, and chronic hyperglycaemia contribute to cardiovascular disease, neuropathy, nephropathy, and reduced functional independence. Therefore, understanding these physiological mechanisms is essential for preventing complications and improving outcomes for older adults living in Birmingham.</w:t>
      </w:r>
    </w:p>
    <w:p w14:paraId="67E7D115" w14:textId="77777777" w:rsidR="00E86461" w:rsidRDefault="00E86461" w:rsidP="00404F85">
      <w:pPr>
        <w:pStyle w:val="Heading2"/>
        <w:rPr>
          <w:rFonts w:ascii="Arial" w:hAnsi="Arial" w:cs="Arial"/>
          <w:b/>
          <w:bCs/>
          <w:sz w:val="32"/>
          <w:szCs w:val="32"/>
        </w:rPr>
      </w:pPr>
    </w:p>
    <w:p w14:paraId="54666D52" w14:textId="77777777" w:rsidR="00C46565" w:rsidRDefault="00C46565" w:rsidP="00C46565"/>
    <w:p w14:paraId="63DBEF71" w14:textId="77777777" w:rsidR="00C46565" w:rsidRDefault="00C46565" w:rsidP="00C46565"/>
    <w:p w14:paraId="7C5EA2A1" w14:textId="77777777" w:rsidR="00C46565" w:rsidRPr="00C46565" w:rsidRDefault="00C46565" w:rsidP="00C46565"/>
    <w:p w14:paraId="620F671D" w14:textId="22CBD15C" w:rsidR="001C3AF6" w:rsidRPr="00404F85" w:rsidRDefault="001C3AF6" w:rsidP="00404F85">
      <w:pPr>
        <w:pStyle w:val="Heading2"/>
        <w:rPr>
          <w:rFonts w:ascii="Arial" w:hAnsi="Arial" w:cs="Arial"/>
          <w:sz w:val="22"/>
          <w:szCs w:val="22"/>
        </w:rPr>
      </w:pPr>
      <w:r w:rsidRPr="00755D56">
        <w:rPr>
          <w:rFonts w:ascii="Arial" w:hAnsi="Arial" w:cs="Arial"/>
          <w:b/>
          <w:bCs/>
          <w:sz w:val="32"/>
          <w:szCs w:val="32"/>
        </w:rPr>
        <w:t>4.4 – Theme 2 (</w:t>
      </w:r>
      <w:r w:rsidR="00AB689B">
        <w:rPr>
          <w:rFonts w:ascii="Arial" w:hAnsi="Arial" w:cs="Arial"/>
          <w:b/>
          <w:bCs/>
          <w:sz w:val="32"/>
          <w:szCs w:val="32"/>
        </w:rPr>
        <w:t xml:space="preserve">Long-Term Health </w:t>
      </w:r>
      <w:r w:rsidR="00D24BDD">
        <w:rPr>
          <w:rFonts w:ascii="Arial" w:hAnsi="Arial" w:cs="Arial"/>
          <w:b/>
          <w:bCs/>
          <w:sz w:val="32"/>
          <w:szCs w:val="32"/>
        </w:rPr>
        <w:t>Impact</w:t>
      </w:r>
      <w:r w:rsidR="00AB689B">
        <w:rPr>
          <w:rFonts w:ascii="Arial" w:hAnsi="Arial" w:cs="Arial"/>
          <w:b/>
          <w:bCs/>
          <w:sz w:val="32"/>
          <w:szCs w:val="32"/>
        </w:rPr>
        <w:t xml:space="preserve"> of</w:t>
      </w:r>
      <w:r w:rsidR="00D24BDD">
        <w:rPr>
          <w:rFonts w:ascii="Arial" w:hAnsi="Arial" w:cs="Arial"/>
          <w:b/>
          <w:bCs/>
          <w:sz w:val="32"/>
          <w:szCs w:val="32"/>
        </w:rPr>
        <w:t xml:space="preserve"> Type</w:t>
      </w:r>
      <w:r w:rsidR="004E6E8C">
        <w:rPr>
          <w:rFonts w:ascii="Arial" w:hAnsi="Arial" w:cs="Arial"/>
          <w:b/>
          <w:bCs/>
          <w:sz w:val="32"/>
          <w:szCs w:val="32"/>
        </w:rPr>
        <w:t xml:space="preserve"> 2 Diabetes Mellitus</w:t>
      </w:r>
      <w:r w:rsidRPr="00755D56">
        <w:rPr>
          <w:rFonts w:ascii="Arial" w:hAnsi="Arial" w:cs="Arial"/>
          <w:b/>
          <w:bCs/>
          <w:sz w:val="32"/>
          <w:szCs w:val="32"/>
        </w:rPr>
        <w:t>)</w:t>
      </w:r>
      <w:r w:rsidRPr="00404F85">
        <w:rPr>
          <w:rFonts w:ascii="Arial" w:hAnsi="Arial" w:cs="Arial"/>
          <w:sz w:val="22"/>
          <w:szCs w:val="22"/>
        </w:rPr>
        <w:t xml:space="preserve"> </w:t>
      </w:r>
    </w:p>
    <w:p w14:paraId="35C7BB28" w14:textId="77777777" w:rsidR="00636D9A" w:rsidRPr="00404F85" w:rsidRDefault="00636D9A" w:rsidP="00404F85">
      <w:pPr>
        <w:pStyle w:val="Heading1"/>
        <w:spacing w:line="360" w:lineRule="auto"/>
        <w:rPr>
          <w:rFonts w:cs="Arial"/>
          <w:sz w:val="22"/>
          <w:szCs w:val="22"/>
        </w:rPr>
      </w:pPr>
    </w:p>
    <w:p w14:paraId="7B5AC907" w14:textId="76595FF5" w:rsidR="00B71669" w:rsidRPr="007479DA" w:rsidRDefault="002865F5" w:rsidP="00E539CB">
      <w:pPr>
        <w:pStyle w:val="Heading4"/>
        <w:rPr>
          <w:rStyle w:val="s1"/>
          <w:rFonts w:ascii="Arial" w:hAnsi="Arial" w:cs="Arial"/>
          <w:b/>
          <w:bCs/>
          <w:i w:val="0"/>
          <w:iCs w:val="0"/>
          <w:sz w:val="32"/>
          <w:szCs w:val="32"/>
        </w:rPr>
      </w:pPr>
      <w:r w:rsidRPr="007479DA">
        <w:rPr>
          <w:rFonts w:ascii="Arial" w:hAnsi="Arial" w:cs="Arial"/>
          <w:b/>
          <w:bCs/>
          <w:i w:val="0"/>
          <w:iCs w:val="0"/>
          <w:sz w:val="32"/>
          <w:szCs w:val="32"/>
        </w:rPr>
        <w:t xml:space="preserve">Definition </w:t>
      </w:r>
      <w:r w:rsidR="00E539CB" w:rsidRPr="007479DA">
        <w:rPr>
          <w:rFonts w:ascii="Arial" w:hAnsi="Arial" w:cs="Arial"/>
          <w:b/>
          <w:bCs/>
          <w:i w:val="0"/>
          <w:iCs w:val="0"/>
          <w:sz w:val="32"/>
          <w:szCs w:val="32"/>
        </w:rPr>
        <w:t>of th</w:t>
      </w:r>
      <w:r w:rsidR="007479DA" w:rsidRPr="007479DA">
        <w:rPr>
          <w:rFonts w:ascii="Arial" w:hAnsi="Arial" w:cs="Arial"/>
          <w:b/>
          <w:bCs/>
          <w:i w:val="0"/>
          <w:iCs w:val="0"/>
          <w:sz w:val="32"/>
          <w:szCs w:val="32"/>
        </w:rPr>
        <w:t>eme</w:t>
      </w:r>
    </w:p>
    <w:p w14:paraId="401791F6" w14:textId="695BA1CB" w:rsidR="00815201" w:rsidRPr="00404F85" w:rsidRDefault="00815201" w:rsidP="00404F85">
      <w:pPr>
        <w:pStyle w:val="p1"/>
        <w:spacing w:line="360" w:lineRule="auto"/>
        <w:divId w:val="672756014"/>
        <w:rPr>
          <w:rFonts w:ascii="Arial" w:hAnsi="Arial" w:cs="Arial"/>
          <w:sz w:val="22"/>
          <w:szCs w:val="22"/>
        </w:rPr>
      </w:pPr>
      <w:r w:rsidRPr="00404F85">
        <w:rPr>
          <w:rStyle w:val="s1"/>
          <w:rFonts w:ascii="Arial" w:hAnsi="Arial" w:cs="Arial"/>
          <w:sz w:val="22"/>
          <w:szCs w:val="22"/>
        </w:rPr>
        <w:t>The long-term health impacts of Type 2 Diabetes Mellitus (T2DM) refer to the chronic physical, psychological, and social complications that develop due to prolonged hyperglycaemia and metabolic dysfunction. T2DM is associated with progressive damage to major organs and body systems, including the cardiovascular system, kidneys, nerves, and eyes (Zheng et al., 2018). These complications can significantly reduce quality of life, increase dependency, and contribute to premature mortality among older adults.</w:t>
      </w:r>
    </w:p>
    <w:p w14:paraId="634760E9" w14:textId="77777777" w:rsidR="00815201" w:rsidRPr="00404F85" w:rsidRDefault="00815201" w:rsidP="00404F85">
      <w:pPr>
        <w:pStyle w:val="p2"/>
        <w:spacing w:line="360" w:lineRule="auto"/>
        <w:ind w:left="360"/>
        <w:divId w:val="672756014"/>
        <w:rPr>
          <w:rFonts w:ascii="Arial" w:hAnsi="Arial" w:cs="Arial"/>
          <w:sz w:val="22"/>
          <w:szCs w:val="22"/>
        </w:rPr>
      </w:pPr>
    </w:p>
    <w:p w14:paraId="445DB39E" w14:textId="40F6D8F5" w:rsidR="00815201" w:rsidRPr="00404F85" w:rsidRDefault="00815201" w:rsidP="00404F85">
      <w:pPr>
        <w:pStyle w:val="p1"/>
        <w:spacing w:line="360" w:lineRule="auto"/>
        <w:divId w:val="672756014"/>
        <w:rPr>
          <w:rFonts w:ascii="Arial" w:hAnsi="Arial" w:cs="Arial"/>
          <w:sz w:val="22"/>
          <w:szCs w:val="22"/>
        </w:rPr>
      </w:pPr>
      <w:r w:rsidRPr="00404F85">
        <w:rPr>
          <w:rStyle w:val="s1"/>
          <w:rFonts w:ascii="Arial" w:hAnsi="Arial" w:cs="Arial"/>
          <w:sz w:val="22"/>
          <w:szCs w:val="22"/>
        </w:rPr>
        <w:t xml:space="preserve">Long-term complications </w:t>
      </w:r>
      <w:bookmarkStart w:id="165" w:name="_Int_t3I2JbD4"/>
      <w:r w:rsidRPr="00404F85">
        <w:rPr>
          <w:rStyle w:val="s1"/>
          <w:rFonts w:ascii="Arial" w:hAnsi="Arial" w:cs="Arial"/>
          <w:sz w:val="22"/>
          <w:szCs w:val="22"/>
        </w:rPr>
        <w:t>are commonly divided</w:t>
      </w:r>
      <w:bookmarkEnd w:id="165"/>
      <w:r w:rsidRPr="00404F85">
        <w:rPr>
          <w:rStyle w:val="s1"/>
          <w:rFonts w:ascii="Arial" w:hAnsi="Arial" w:cs="Arial"/>
          <w:sz w:val="22"/>
          <w:szCs w:val="22"/>
        </w:rPr>
        <w:t xml:space="preserve"> into microvascular and </w:t>
      </w:r>
      <w:r w:rsidR="00DC60AB" w:rsidRPr="00404F85">
        <w:rPr>
          <w:rStyle w:val="s1"/>
          <w:rFonts w:ascii="Arial" w:hAnsi="Arial" w:cs="Arial"/>
          <w:sz w:val="22"/>
          <w:szCs w:val="22"/>
        </w:rPr>
        <w:t>microvascular</w:t>
      </w:r>
      <w:r w:rsidRPr="00404F85">
        <w:rPr>
          <w:rStyle w:val="s1"/>
          <w:rFonts w:ascii="Arial" w:hAnsi="Arial" w:cs="Arial"/>
          <w:sz w:val="22"/>
          <w:szCs w:val="22"/>
        </w:rPr>
        <w:t xml:space="preserve"> complications. Microvascular complications include neuropathy, nephropathy, and retinopathy, while </w:t>
      </w:r>
      <w:r w:rsidR="00DC60AB" w:rsidRPr="00404F85">
        <w:rPr>
          <w:rStyle w:val="s1"/>
          <w:rFonts w:ascii="Arial" w:hAnsi="Arial" w:cs="Arial"/>
          <w:sz w:val="22"/>
          <w:szCs w:val="22"/>
        </w:rPr>
        <w:t>microvascular</w:t>
      </w:r>
      <w:r w:rsidRPr="00404F85">
        <w:rPr>
          <w:rStyle w:val="s1"/>
          <w:rFonts w:ascii="Arial" w:hAnsi="Arial" w:cs="Arial"/>
          <w:sz w:val="22"/>
          <w:szCs w:val="22"/>
        </w:rPr>
        <w:t xml:space="preserve"> complications include cardiovascular disease, stroke, and peripheral vascular disease (Stratton et al., 2000). Older adults are particularly vulnerable to these complications because ageing itself is associated with reduced organ function, weakened immunity, and increased frailty.</w:t>
      </w:r>
    </w:p>
    <w:p w14:paraId="59C0A098" w14:textId="77777777" w:rsidR="00815201" w:rsidRPr="00404F85" w:rsidRDefault="00815201" w:rsidP="00404F85">
      <w:pPr>
        <w:pStyle w:val="p2"/>
        <w:spacing w:line="360" w:lineRule="auto"/>
        <w:ind w:left="360"/>
        <w:divId w:val="672756014"/>
        <w:rPr>
          <w:rFonts w:ascii="Arial" w:hAnsi="Arial" w:cs="Arial"/>
          <w:sz w:val="22"/>
          <w:szCs w:val="22"/>
        </w:rPr>
      </w:pPr>
    </w:p>
    <w:p w14:paraId="40F7A552" w14:textId="6E0B1D4F" w:rsidR="00DF306A" w:rsidRPr="00404F85" w:rsidRDefault="00815201" w:rsidP="00404F85">
      <w:pPr>
        <w:pStyle w:val="p1"/>
        <w:spacing w:line="360" w:lineRule="auto"/>
        <w:divId w:val="672756014"/>
        <w:rPr>
          <w:rFonts w:ascii="Arial" w:hAnsi="Arial" w:cs="Arial"/>
          <w:sz w:val="22"/>
          <w:szCs w:val="22"/>
        </w:rPr>
      </w:pPr>
      <w:r w:rsidRPr="00404F85">
        <w:rPr>
          <w:rStyle w:val="s1"/>
          <w:rFonts w:ascii="Arial" w:hAnsi="Arial" w:cs="Arial"/>
          <w:sz w:val="22"/>
          <w:szCs w:val="22"/>
        </w:rPr>
        <w:t>This theme is important because it explores how the long-term consequences of T2DM affect older adults living in Birmingham, particularly in relation to independence, healthcare needs, and quality of life. Understanding these complications is essential for improving prevention strategies, healthcare interventions, and long-term patient outcomes.</w:t>
      </w:r>
    </w:p>
    <w:p w14:paraId="20E2745A" w14:textId="77777777" w:rsidR="00DF306A" w:rsidRPr="00404F85" w:rsidRDefault="00DF306A" w:rsidP="00404F85">
      <w:pPr>
        <w:spacing w:before="100" w:beforeAutospacing="1" w:after="100" w:afterAutospacing="1"/>
        <w:jc w:val="left"/>
        <w:rPr>
          <w:rFonts w:ascii="Arial" w:hAnsi="Arial" w:cs="Arial"/>
        </w:rPr>
      </w:pPr>
    </w:p>
    <w:p w14:paraId="523E2B70" w14:textId="77777777" w:rsidR="002865F5" w:rsidRPr="00417602" w:rsidRDefault="002865F5" w:rsidP="00417602">
      <w:pPr>
        <w:pStyle w:val="Heading5"/>
      </w:pPr>
      <w:r w:rsidRPr="00417602">
        <w:rPr>
          <w:rStyle w:val="Strong"/>
          <w:rFonts w:ascii="Arial" w:hAnsi="Arial" w:cs="Arial"/>
          <w:sz w:val="32"/>
          <w:szCs w:val="32"/>
        </w:rPr>
        <w:t>Historical/Contextual Background:</w:t>
      </w:r>
    </w:p>
    <w:p w14:paraId="6B4DCE65" w14:textId="4486C47A" w:rsidR="00FE3EC2" w:rsidRPr="00694545" w:rsidRDefault="00FE3EC2" w:rsidP="00694545">
      <w:pPr>
        <w:pStyle w:val="p1"/>
        <w:spacing w:line="360" w:lineRule="auto"/>
        <w:divId w:val="1328094385"/>
        <w:rPr>
          <w:rFonts w:ascii="Arial" w:hAnsi="Arial" w:cs="Arial"/>
          <w:sz w:val="22"/>
          <w:szCs w:val="22"/>
        </w:rPr>
      </w:pPr>
      <w:r w:rsidRPr="00694545">
        <w:rPr>
          <w:rFonts w:ascii="Arial" w:hAnsi="Arial" w:cs="Arial"/>
          <w:sz w:val="22"/>
          <w:szCs w:val="22"/>
        </w:rPr>
        <w:t xml:space="preserve">Historically, diabetes management focused </w:t>
      </w:r>
      <w:r w:rsidR="00A865B1" w:rsidRPr="00694545">
        <w:rPr>
          <w:rFonts w:ascii="Arial" w:hAnsi="Arial" w:cs="Arial"/>
          <w:sz w:val="22"/>
          <w:szCs w:val="22"/>
        </w:rPr>
        <w:t>on</w:t>
      </w:r>
      <w:r w:rsidRPr="00694545">
        <w:rPr>
          <w:rFonts w:ascii="Arial" w:hAnsi="Arial" w:cs="Arial"/>
          <w:sz w:val="22"/>
          <w:szCs w:val="22"/>
        </w:rPr>
        <w:t xml:space="preserve"> controlling blood glucose levels. However, research has since shown that poorly managed T2DM can lead to serious long-term complications affecting multiple organs and body systems (Rawshani et al., 2018). Consequently, healthcare services now place greater emphasis on prevention, early intervention, and complication management.</w:t>
      </w:r>
    </w:p>
    <w:p w14:paraId="22F3E304" w14:textId="77777777" w:rsidR="00FE3EC2" w:rsidRPr="00694545" w:rsidRDefault="00FE3EC2" w:rsidP="00694545">
      <w:pPr>
        <w:pStyle w:val="p1"/>
        <w:spacing w:line="360" w:lineRule="auto"/>
        <w:divId w:val="1328094385"/>
        <w:rPr>
          <w:rFonts w:ascii="Arial" w:hAnsi="Arial" w:cs="Arial"/>
          <w:sz w:val="22"/>
          <w:szCs w:val="22"/>
        </w:rPr>
      </w:pPr>
      <w:r w:rsidRPr="00694545">
        <w:rPr>
          <w:rFonts w:ascii="Arial" w:hAnsi="Arial" w:cs="Arial"/>
          <w:sz w:val="22"/>
          <w:szCs w:val="22"/>
        </w:rPr>
        <w:t>According to the World Health Organization (2022), diabetes is a leading cause of cardiovascular disease, kidney failure, blindness, and lower limb amputations worldwide. In the UK, diabetes-related complications continue to place significant pressure on NHS services, particularly among older adults (NHS Digital, 2022).</w:t>
      </w:r>
    </w:p>
    <w:p w14:paraId="7A2F41FA" w14:textId="6ECE0DE0" w:rsidR="00E75317" w:rsidRPr="00404F85" w:rsidRDefault="00FE3EC2" w:rsidP="007468C6">
      <w:pPr>
        <w:pStyle w:val="p2"/>
        <w:spacing w:line="360" w:lineRule="auto"/>
        <w:divId w:val="1328094385"/>
        <w:rPr>
          <w:rFonts w:ascii="Arial" w:hAnsi="Arial" w:cs="Arial"/>
          <w:sz w:val="22"/>
          <w:szCs w:val="22"/>
        </w:rPr>
      </w:pPr>
      <w:r w:rsidRPr="00694545">
        <w:rPr>
          <w:rFonts w:ascii="Arial" w:hAnsi="Arial" w:cs="Arial"/>
          <w:sz w:val="22"/>
          <w:szCs w:val="22"/>
        </w:rPr>
        <w:t xml:space="preserve">Older adults are at increased risk because ageing naturally reduces organ function and resilience. Furthermore, factors such as obesity, physical inactivity, poor diet, and delayed diagnosis can accelerate disease progression and increase the likelihood of complications (Diabetes UK, 2023). Although advances in treatment and monitoring have improved outcomes, diabetes complications </w:t>
      </w:r>
      <w:r w:rsidR="00353042" w:rsidRPr="00694545">
        <w:rPr>
          <w:rFonts w:ascii="Arial" w:hAnsi="Arial" w:cs="Arial"/>
          <w:sz w:val="22"/>
          <w:szCs w:val="22"/>
        </w:rPr>
        <w:t>are still</w:t>
      </w:r>
      <w:r w:rsidRPr="00694545">
        <w:rPr>
          <w:rFonts w:ascii="Arial" w:hAnsi="Arial" w:cs="Arial"/>
          <w:sz w:val="22"/>
          <w:szCs w:val="22"/>
        </w:rPr>
        <w:t xml:space="preserve"> a major public health concern.</w:t>
      </w:r>
    </w:p>
    <w:p w14:paraId="2CE607FF" w14:textId="77777777" w:rsidR="007468C6" w:rsidRPr="00404F85" w:rsidRDefault="007468C6" w:rsidP="007468C6">
      <w:pPr>
        <w:pStyle w:val="p2"/>
        <w:spacing w:line="360" w:lineRule="auto"/>
        <w:divId w:val="1328094385"/>
        <w:rPr>
          <w:rFonts w:ascii="Arial" w:hAnsi="Arial" w:cs="Arial"/>
          <w:sz w:val="22"/>
          <w:szCs w:val="22"/>
        </w:rPr>
      </w:pPr>
    </w:p>
    <w:p w14:paraId="763DACB1" w14:textId="77777777" w:rsidR="002865F5" w:rsidRPr="00F66E2A" w:rsidRDefault="002865F5" w:rsidP="00F66E2A">
      <w:pPr>
        <w:pStyle w:val="Heading5"/>
      </w:pPr>
      <w:r w:rsidRPr="00F66E2A">
        <w:rPr>
          <w:rStyle w:val="Strong"/>
          <w:rFonts w:ascii="Arial" w:hAnsi="Arial" w:cs="Arial"/>
          <w:sz w:val="32"/>
          <w:szCs w:val="32"/>
        </w:rPr>
        <w:t>Relevance to Title/Research Question:</w:t>
      </w:r>
    </w:p>
    <w:p w14:paraId="3197C926" w14:textId="77777777" w:rsidR="00351AC8" w:rsidRPr="000F7C94" w:rsidRDefault="00351AC8" w:rsidP="000F7C94">
      <w:pPr>
        <w:pStyle w:val="p1"/>
        <w:spacing w:line="360" w:lineRule="auto"/>
        <w:divId w:val="836187799"/>
        <w:rPr>
          <w:rFonts w:ascii="Arial" w:hAnsi="Arial" w:cs="Arial"/>
          <w:sz w:val="22"/>
          <w:szCs w:val="22"/>
        </w:rPr>
      </w:pPr>
      <w:r w:rsidRPr="000F7C94">
        <w:rPr>
          <w:rFonts w:ascii="Arial" w:hAnsi="Arial" w:cs="Arial"/>
          <w:sz w:val="22"/>
          <w:szCs w:val="22"/>
        </w:rPr>
        <w:t>This theme directly addresses the dissertation aim by evaluating the long-term health impacts of T2DM among older adults living in Birmingham. It particularly supports Objective Three, which focused on assessing complications such as cardiovascular disease, neuropathy, and renal impairment and their effects on functional independence.</w:t>
      </w:r>
    </w:p>
    <w:p w14:paraId="53B5D3A3" w14:textId="0B9C3D4D" w:rsidR="00F46F1B" w:rsidRPr="009B04A8" w:rsidRDefault="00351AC8" w:rsidP="009B04A8">
      <w:pPr>
        <w:pStyle w:val="p2"/>
        <w:spacing w:line="360" w:lineRule="auto"/>
        <w:divId w:val="836187799"/>
        <w:rPr>
          <w:rStyle w:val="Strong"/>
          <w:rFonts w:ascii="Arial" w:hAnsi="Arial" w:cs="Arial"/>
          <w:b w:val="0"/>
          <w:bCs w:val="0"/>
          <w:sz w:val="22"/>
          <w:szCs w:val="22"/>
        </w:rPr>
      </w:pPr>
      <w:r w:rsidRPr="000F7C94">
        <w:rPr>
          <w:rFonts w:ascii="Arial" w:hAnsi="Arial" w:cs="Arial"/>
          <w:sz w:val="22"/>
          <w:szCs w:val="22"/>
        </w:rPr>
        <w:t xml:space="preserve">The literature </w:t>
      </w:r>
      <w:bookmarkStart w:id="166" w:name="_Int_0xtQrlCY"/>
      <w:r w:rsidRPr="000F7C94">
        <w:rPr>
          <w:rFonts w:ascii="Arial" w:hAnsi="Arial" w:cs="Arial"/>
          <w:sz w:val="22"/>
          <w:szCs w:val="22"/>
        </w:rPr>
        <w:t>demonstrates</w:t>
      </w:r>
      <w:bookmarkEnd w:id="166"/>
      <w:r w:rsidRPr="000F7C94">
        <w:rPr>
          <w:rFonts w:ascii="Arial" w:hAnsi="Arial" w:cs="Arial"/>
          <w:sz w:val="22"/>
          <w:szCs w:val="22"/>
        </w:rPr>
        <w:t xml:space="preserve"> that these complications can reduce mobility, increase dependence on health and social care services, and negatively affect quality of life. The findings also support Objective Four by highlighting the need for early intervention, personalised care, and improved support services to reduce complications and improve outcomes.</w:t>
      </w:r>
    </w:p>
    <w:p w14:paraId="1C81AACB" w14:textId="77777777" w:rsidR="002865F5" w:rsidRPr="00F66E2A" w:rsidRDefault="002865F5" w:rsidP="00F66E2A">
      <w:pPr>
        <w:pStyle w:val="Heading5"/>
      </w:pPr>
      <w:r w:rsidRPr="00F66E2A">
        <w:rPr>
          <w:rStyle w:val="Strong"/>
          <w:rFonts w:ascii="Arial" w:hAnsi="Arial" w:cs="Arial"/>
          <w:sz w:val="32"/>
          <w:szCs w:val="32"/>
        </w:rPr>
        <w:t>Data and Statistics:</w:t>
      </w:r>
    </w:p>
    <w:p w14:paraId="0A3B1632" w14:textId="77777777" w:rsidR="00AC5C52" w:rsidRPr="001C3E26" w:rsidRDefault="00AC5C52" w:rsidP="001C3E26">
      <w:pPr>
        <w:pStyle w:val="p1"/>
        <w:spacing w:line="360" w:lineRule="auto"/>
        <w:divId w:val="200213234"/>
        <w:rPr>
          <w:rFonts w:ascii="Arial" w:hAnsi="Arial" w:cs="Arial"/>
          <w:sz w:val="22"/>
          <w:szCs w:val="22"/>
        </w:rPr>
      </w:pPr>
      <w:r w:rsidRPr="001C3E26">
        <w:rPr>
          <w:rFonts w:ascii="Arial" w:hAnsi="Arial" w:cs="Arial"/>
          <w:sz w:val="22"/>
          <w:szCs w:val="22"/>
        </w:rPr>
        <w:t xml:space="preserve">Statistical evidence </w:t>
      </w:r>
      <w:bookmarkStart w:id="167" w:name="_Int_VgDnorVD"/>
      <w:r w:rsidRPr="001C3E26">
        <w:rPr>
          <w:rFonts w:ascii="Arial" w:hAnsi="Arial" w:cs="Arial"/>
          <w:sz w:val="22"/>
          <w:szCs w:val="22"/>
        </w:rPr>
        <w:t>demonstrates</w:t>
      </w:r>
      <w:bookmarkEnd w:id="167"/>
      <w:r w:rsidRPr="001C3E26">
        <w:rPr>
          <w:rFonts w:ascii="Arial" w:hAnsi="Arial" w:cs="Arial"/>
          <w:sz w:val="22"/>
          <w:szCs w:val="22"/>
        </w:rPr>
        <w:t xml:space="preserve"> the significant burden of T2DM complications. Diabetes UK (2023) reports that people with diabetes are </w:t>
      </w:r>
      <w:bookmarkStart w:id="168" w:name="_Int_8W4G1Ojx"/>
      <w:r w:rsidRPr="001C3E26">
        <w:rPr>
          <w:rFonts w:ascii="Arial" w:hAnsi="Arial" w:cs="Arial"/>
          <w:sz w:val="22"/>
          <w:szCs w:val="22"/>
        </w:rPr>
        <w:t>approximately twice</w:t>
      </w:r>
      <w:bookmarkEnd w:id="168"/>
      <w:r w:rsidRPr="001C3E26">
        <w:rPr>
          <w:rFonts w:ascii="Arial" w:hAnsi="Arial" w:cs="Arial"/>
          <w:sz w:val="22"/>
          <w:szCs w:val="22"/>
        </w:rPr>
        <w:t xml:space="preserve"> as likely to develop cardiovascular disease compared with those without diabetes.</w:t>
      </w:r>
    </w:p>
    <w:p w14:paraId="17CF37BC" w14:textId="77777777" w:rsidR="00AC5C52" w:rsidRPr="001C3E26" w:rsidRDefault="00AC5C52" w:rsidP="001C3E26">
      <w:pPr>
        <w:pStyle w:val="p1"/>
        <w:spacing w:line="360" w:lineRule="auto"/>
        <w:divId w:val="200213234"/>
        <w:rPr>
          <w:rFonts w:ascii="Arial" w:hAnsi="Arial" w:cs="Arial"/>
          <w:sz w:val="22"/>
          <w:szCs w:val="22"/>
        </w:rPr>
      </w:pPr>
      <w:r w:rsidRPr="001C3E26">
        <w:rPr>
          <w:rFonts w:ascii="Arial" w:hAnsi="Arial" w:cs="Arial"/>
          <w:sz w:val="22"/>
          <w:szCs w:val="22"/>
        </w:rPr>
        <w:t>Rawshani et al. (2018) found that poor glycaemic control was associated with increased mortality and reduced life expectancy. In addition, diabetic neuropathy affects around half of people with diabetes and is a major cause of lower limb amputations (Pop-Busui et al., 2017).</w:t>
      </w:r>
    </w:p>
    <w:p w14:paraId="0399EA49" w14:textId="77777777" w:rsidR="00AC5C52" w:rsidRPr="001C3E26" w:rsidRDefault="00AC5C52" w:rsidP="001C3E26">
      <w:pPr>
        <w:pStyle w:val="p2"/>
        <w:spacing w:line="360" w:lineRule="auto"/>
        <w:divId w:val="200213234"/>
        <w:rPr>
          <w:rFonts w:ascii="Arial" w:hAnsi="Arial" w:cs="Arial"/>
          <w:sz w:val="22"/>
          <w:szCs w:val="22"/>
        </w:rPr>
      </w:pPr>
      <w:r w:rsidRPr="001C3E26">
        <w:rPr>
          <w:rFonts w:ascii="Arial" w:hAnsi="Arial" w:cs="Arial"/>
          <w:sz w:val="22"/>
          <w:szCs w:val="22"/>
        </w:rPr>
        <w:t>Diabetes is also a leading cause of chronic kidney disease and renal failure worldwide (Thomas et al., 2015). While strict glucose control may reduce complications, some evidence suggests that intensive treatment may increase the risk of hypoglycaemia in frail older adults, highlighting the importance of personalised care (Sinclair et al., 2020).</w:t>
      </w:r>
    </w:p>
    <w:p w14:paraId="72086B36" w14:textId="77777777" w:rsidR="00ED593A" w:rsidRDefault="00ED593A" w:rsidP="00404F85">
      <w:pPr>
        <w:spacing w:before="100" w:beforeAutospacing="1" w:after="100" w:afterAutospacing="1"/>
        <w:jc w:val="left"/>
        <w:rPr>
          <w:rFonts w:ascii="Arial" w:hAnsi="Arial" w:cs="Arial"/>
        </w:rPr>
      </w:pPr>
    </w:p>
    <w:p w14:paraId="44FE8A36" w14:textId="77777777" w:rsidR="002865F5" w:rsidRDefault="002865F5" w:rsidP="00F66E2A">
      <w:pPr>
        <w:pStyle w:val="Heading5"/>
        <w:rPr>
          <w:rStyle w:val="Strong"/>
          <w:rFonts w:ascii="Arial" w:eastAsia="Calibri Light" w:hAnsi="Arial" w:cs="Arial"/>
          <w:sz w:val="32"/>
          <w:szCs w:val="32"/>
        </w:rPr>
      </w:pPr>
      <w:r w:rsidRPr="00F66E2A">
        <w:rPr>
          <w:rStyle w:val="Strong"/>
          <w:rFonts w:ascii="Arial" w:eastAsia="Calibri Light" w:hAnsi="Arial" w:cs="Arial"/>
          <w:sz w:val="32"/>
          <w:szCs w:val="32"/>
        </w:rPr>
        <w:t>Theoretical Framework:</w:t>
      </w:r>
    </w:p>
    <w:p w14:paraId="35DAD1D2" w14:textId="077DACC4" w:rsidR="005B7A60" w:rsidRDefault="005B7A60" w:rsidP="005B7A60"/>
    <w:p w14:paraId="4F732931" w14:textId="638EDD3A" w:rsidR="005B7A60" w:rsidRDefault="00E243B8" w:rsidP="005B7A60">
      <w:r w:rsidRPr="008C2450">
        <w:rPr>
          <w:noProof/>
        </w:rPr>
        <w:drawing>
          <wp:anchor distT="0" distB="0" distL="114300" distR="114300" simplePos="0" relativeHeight="251658247" behindDoc="0" locked="0" layoutInCell="1" allowOverlap="1" wp14:anchorId="4B92F386" wp14:editId="03AD6F35">
            <wp:simplePos x="0" y="0"/>
            <wp:positionH relativeFrom="margin">
              <wp:posOffset>67945</wp:posOffset>
            </wp:positionH>
            <wp:positionV relativeFrom="paragraph">
              <wp:posOffset>315595</wp:posOffset>
            </wp:positionV>
            <wp:extent cx="4510405" cy="2878455"/>
            <wp:effectExtent l="0" t="0" r="4445" b="0"/>
            <wp:wrapTopAndBottom/>
            <wp:docPr id="1871709153"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09153" name="Picture 1">
                      <a:extLst>
                        <a:ext uri="{C183D7F6-B498-43B3-948B-1728B52AA6E4}">
                          <adec:decorative xmlns:adec="http://schemas.microsoft.com/office/drawing/2017/decorative" val="1"/>
                        </a:ext>
                      </a:extLst>
                    </pic:cNvPr>
                    <pic:cNvPicPr/>
                  </pic:nvPicPr>
                  <pic:blipFill>
                    <a:blip r:embed="rId21"/>
                    <a:stretch>
                      <a:fillRect/>
                    </a:stretch>
                  </pic:blipFill>
                  <pic:spPr>
                    <a:xfrm>
                      <a:off x="0" y="0"/>
                      <a:ext cx="4510405" cy="2878455"/>
                    </a:xfrm>
                    <a:prstGeom prst="rect">
                      <a:avLst/>
                    </a:prstGeom>
                  </pic:spPr>
                </pic:pic>
              </a:graphicData>
            </a:graphic>
            <wp14:sizeRelH relativeFrom="margin">
              <wp14:pctWidth>0</wp14:pctWidth>
            </wp14:sizeRelH>
            <wp14:sizeRelV relativeFrom="margin">
              <wp14:pctHeight>0</wp14:pctHeight>
            </wp14:sizeRelV>
          </wp:anchor>
        </w:drawing>
      </w:r>
    </w:p>
    <w:p w14:paraId="6C8B991B" w14:textId="77777777" w:rsidR="005B7A60" w:rsidRDefault="005B7A60" w:rsidP="005B7A60"/>
    <w:p w14:paraId="63A8DA89" w14:textId="77777777" w:rsidR="005B7A60" w:rsidRDefault="005B7A60" w:rsidP="005B7A60"/>
    <w:p w14:paraId="7A072FA4" w14:textId="77777777" w:rsidR="005B7A60" w:rsidRDefault="005B7A60" w:rsidP="005B7A60"/>
    <w:tbl>
      <w:tblPr>
        <w:tblStyle w:val="TableGrid"/>
        <w:tblW w:w="0" w:type="auto"/>
        <w:tblLook w:val="04A0" w:firstRow="1" w:lastRow="0" w:firstColumn="1" w:lastColumn="0" w:noHBand="0" w:noVBand="1"/>
      </w:tblPr>
      <w:tblGrid>
        <w:gridCol w:w="9016"/>
      </w:tblGrid>
      <w:tr w:rsidR="00CB2E13" w14:paraId="56EFF53B" w14:textId="77777777" w:rsidTr="009B04A8">
        <w:trPr>
          <w:trHeight w:val="1274"/>
        </w:trPr>
        <w:tc>
          <w:tcPr>
            <w:tcW w:w="9016" w:type="dxa"/>
          </w:tcPr>
          <w:p w14:paraId="042AF297" w14:textId="70886972" w:rsidR="00ED6FB8" w:rsidRPr="00ED6FB8" w:rsidRDefault="00ED6FB8" w:rsidP="005D044E">
            <w:pPr>
              <w:spacing w:before="100" w:beforeAutospacing="1" w:after="100" w:afterAutospacing="1"/>
              <w:jc w:val="left"/>
              <w:outlineLvl w:val="0"/>
              <w:divId w:val="298995730"/>
              <w:rPr>
                <w:rFonts w:ascii="Arial" w:eastAsia="Times New Roman" w:hAnsi="Arial" w:cs="Arial"/>
                <w:kern w:val="36"/>
                <w:lang w:eastAsia="en-GB"/>
              </w:rPr>
            </w:pPr>
            <w:r w:rsidRPr="00BD20B4">
              <w:rPr>
                <w:rFonts w:ascii="Arial" w:eastAsia="Times New Roman" w:hAnsi="Arial" w:cs="Arial"/>
                <w:b/>
                <w:kern w:val="36"/>
                <w:lang w:eastAsia="en-GB"/>
              </w:rPr>
              <w:t>Figure</w:t>
            </w:r>
            <w:r w:rsidR="00BD20B4" w:rsidRPr="00BD20B4">
              <w:rPr>
                <w:rFonts w:ascii="Arial" w:eastAsia="Times New Roman" w:hAnsi="Arial" w:cs="Arial"/>
                <w:b/>
                <w:bCs/>
                <w:kern w:val="36"/>
                <w:lang w:eastAsia="en-GB"/>
              </w:rPr>
              <w:t xml:space="preserve"> 7</w:t>
            </w:r>
            <w:r w:rsidRPr="00BD20B4">
              <w:rPr>
                <w:rFonts w:ascii="Arial" w:eastAsia="Times New Roman" w:hAnsi="Arial" w:cs="Arial"/>
                <w:b/>
                <w:kern w:val="36"/>
                <w:lang w:eastAsia="en-GB"/>
              </w:rPr>
              <w:t>:</w:t>
            </w:r>
            <w:r w:rsidRPr="00ED6FB8">
              <w:rPr>
                <w:rFonts w:ascii="Arial" w:eastAsia="Times New Roman" w:hAnsi="Arial" w:cs="Arial"/>
                <w:kern w:val="36"/>
                <w:lang w:eastAsia="en-GB"/>
              </w:rPr>
              <w:t xml:space="preserve"> Social and contextual challenges influencing self-management in people with Type 2 Diabetes Mellitus (T2DM)</w:t>
            </w:r>
          </w:p>
          <w:p w14:paraId="33DA0904" w14:textId="13006940" w:rsidR="007014FB" w:rsidRDefault="007014FB">
            <w:pPr>
              <w:pStyle w:val="p1"/>
              <w:divId w:val="642660078"/>
            </w:pPr>
          </w:p>
          <w:p w14:paraId="1E9FDA69" w14:textId="4E98A7CF" w:rsidR="00AD21FE" w:rsidRDefault="00AD21FE">
            <w:pPr>
              <w:pStyle w:val="p1"/>
              <w:divId w:val="888687555"/>
            </w:pPr>
          </w:p>
          <w:p w14:paraId="4CE3B6FD" w14:textId="77777777" w:rsidR="00CB2E13" w:rsidRDefault="00CB2E13" w:rsidP="005B7A60"/>
        </w:tc>
      </w:tr>
    </w:tbl>
    <w:p w14:paraId="385863CF" w14:textId="47DD3DAF" w:rsidR="00BD5336" w:rsidRDefault="00BD5336" w:rsidP="00BD5336">
      <w:pPr>
        <w:divId w:val="2024162893"/>
      </w:pPr>
    </w:p>
    <w:p w14:paraId="60152C0C" w14:textId="77777777" w:rsidR="006A5CBD" w:rsidRPr="00CD0375" w:rsidRDefault="006A5CBD" w:rsidP="00CD0375">
      <w:pPr>
        <w:pStyle w:val="p1"/>
        <w:spacing w:line="360" w:lineRule="auto"/>
        <w:divId w:val="1994216332"/>
        <w:rPr>
          <w:rFonts w:ascii="Arial" w:hAnsi="Arial" w:cs="Arial"/>
          <w:sz w:val="22"/>
          <w:szCs w:val="22"/>
        </w:rPr>
      </w:pPr>
      <w:r w:rsidRPr="00CD0375">
        <w:rPr>
          <w:rFonts w:ascii="Arial" w:hAnsi="Arial" w:cs="Arial"/>
          <w:sz w:val="22"/>
          <w:szCs w:val="22"/>
        </w:rPr>
        <w:t>The self-management theory emphasises the role of individuals in managing chronic conditions through healthy lifestyles, medication adherence, and blood glucose monitoring (Barlow et al., 2002). Effective self-management can reduce complications and improve quality of life.</w:t>
      </w:r>
    </w:p>
    <w:p w14:paraId="2747ADBD" w14:textId="173B8734" w:rsidR="006A5CBD" w:rsidRPr="00CD0375" w:rsidRDefault="006A5CBD" w:rsidP="00CD0375">
      <w:pPr>
        <w:pStyle w:val="p1"/>
        <w:spacing w:line="360" w:lineRule="auto"/>
        <w:divId w:val="1994216332"/>
        <w:rPr>
          <w:rFonts w:ascii="Arial" w:hAnsi="Arial" w:cs="Arial"/>
          <w:sz w:val="22"/>
          <w:szCs w:val="22"/>
        </w:rPr>
      </w:pPr>
      <w:r w:rsidRPr="00CD0375">
        <w:rPr>
          <w:rFonts w:ascii="Arial" w:hAnsi="Arial" w:cs="Arial"/>
          <w:sz w:val="22"/>
          <w:szCs w:val="22"/>
        </w:rPr>
        <w:t xml:space="preserve">The biopsychosocial model (Engel, 1977) is also relevant because it recognises that health outcomes </w:t>
      </w:r>
      <w:bookmarkStart w:id="169" w:name="_Int_iPb55ZEY"/>
      <w:r w:rsidRPr="00CD0375">
        <w:rPr>
          <w:rFonts w:ascii="Arial" w:hAnsi="Arial" w:cs="Arial"/>
          <w:sz w:val="22"/>
          <w:szCs w:val="22"/>
        </w:rPr>
        <w:t>are influenced</w:t>
      </w:r>
      <w:bookmarkEnd w:id="169"/>
      <w:r w:rsidRPr="00CD0375">
        <w:rPr>
          <w:rFonts w:ascii="Arial" w:hAnsi="Arial" w:cs="Arial"/>
          <w:sz w:val="22"/>
          <w:szCs w:val="22"/>
        </w:rPr>
        <w:t xml:space="preserve"> by biological, psychological, and social factors. This is particularly important in Birmingham, where health inequalities and social circumstances may affect diabetes management.</w:t>
      </w:r>
    </w:p>
    <w:p w14:paraId="03E0FC49" w14:textId="77777777" w:rsidR="006A5CBD" w:rsidRPr="00CD0375" w:rsidRDefault="006A5CBD" w:rsidP="00CD0375">
      <w:pPr>
        <w:pStyle w:val="p2"/>
        <w:spacing w:line="360" w:lineRule="auto"/>
        <w:divId w:val="1994216332"/>
        <w:rPr>
          <w:rFonts w:ascii="Arial" w:hAnsi="Arial" w:cs="Arial"/>
          <w:sz w:val="22"/>
          <w:szCs w:val="22"/>
        </w:rPr>
      </w:pPr>
      <w:r w:rsidRPr="00CD0375">
        <w:rPr>
          <w:rFonts w:ascii="Arial" w:hAnsi="Arial" w:cs="Arial"/>
          <w:sz w:val="22"/>
          <w:szCs w:val="22"/>
        </w:rPr>
        <w:t>The chronic care model further supports coordinated and patient-centred care for individuals living with long-term conditions (Wagner et al., 2001).</w:t>
      </w:r>
    </w:p>
    <w:p w14:paraId="4E737E2B" w14:textId="77777777" w:rsidR="00672CA7" w:rsidRDefault="00672CA7" w:rsidP="00672CA7">
      <w:pPr>
        <w:pStyle w:val="Heading2"/>
        <w:divId w:val="1801801640"/>
        <w:rPr>
          <w:rStyle w:val="Strong"/>
          <w:rFonts w:ascii="Arial" w:hAnsi="Arial" w:cs="Arial"/>
          <w:sz w:val="32"/>
          <w:szCs w:val="32"/>
        </w:rPr>
      </w:pPr>
    </w:p>
    <w:p w14:paraId="0E478EBE" w14:textId="4DC229FD" w:rsidR="00AF23BE" w:rsidRPr="00672CA7" w:rsidRDefault="002865F5" w:rsidP="00672CA7">
      <w:pPr>
        <w:pStyle w:val="Heading2"/>
        <w:divId w:val="1801801640"/>
        <w:rPr>
          <w:rStyle w:val="s1"/>
          <w:rFonts w:ascii="Arial" w:hAnsi="Arial" w:cs="Arial"/>
          <w:sz w:val="32"/>
          <w:szCs w:val="32"/>
        </w:rPr>
      </w:pPr>
      <w:r w:rsidRPr="000A1674">
        <w:rPr>
          <w:rStyle w:val="Strong"/>
          <w:rFonts w:ascii="Arial" w:eastAsia="Calibri Light" w:hAnsi="Arial" w:cs="Arial"/>
          <w:sz w:val="32"/>
          <w:szCs w:val="32"/>
        </w:rPr>
        <w:t>Policy and Legislation:</w:t>
      </w:r>
    </w:p>
    <w:p w14:paraId="3715C2B9" w14:textId="76021D1A" w:rsidR="004E617B" w:rsidRPr="00404F85" w:rsidRDefault="004E617B" w:rsidP="00CC3F45">
      <w:pPr>
        <w:pStyle w:val="p1"/>
        <w:spacing w:line="360" w:lineRule="auto"/>
        <w:divId w:val="1801801640"/>
        <w:rPr>
          <w:rFonts w:ascii="Arial" w:hAnsi="Arial" w:cs="Arial"/>
          <w:sz w:val="22"/>
          <w:szCs w:val="22"/>
        </w:rPr>
      </w:pPr>
      <w:r w:rsidRPr="00404F85">
        <w:rPr>
          <w:rStyle w:val="s1"/>
          <w:rFonts w:ascii="Arial" w:hAnsi="Arial" w:cs="Arial"/>
          <w:sz w:val="22"/>
          <w:szCs w:val="22"/>
        </w:rPr>
        <w:t>The NHS Long Term Plan (NHS England, 2019) focuses on early intervention, prevention, and personalised care for chronic conditions such as T2DM. This policy aims to reduce hospital admissions and improve long-term outcomes for older adults.</w:t>
      </w:r>
    </w:p>
    <w:p w14:paraId="0B88E712" w14:textId="0BC57A76" w:rsidR="004E617B" w:rsidRPr="00404F85" w:rsidRDefault="004E617B" w:rsidP="00D25D50">
      <w:pPr>
        <w:pStyle w:val="p1"/>
        <w:spacing w:line="360" w:lineRule="auto"/>
        <w:divId w:val="1801801640"/>
        <w:rPr>
          <w:rFonts w:ascii="Arial" w:hAnsi="Arial" w:cs="Arial"/>
          <w:sz w:val="22"/>
          <w:szCs w:val="22"/>
        </w:rPr>
      </w:pPr>
      <w:r w:rsidRPr="00404F85">
        <w:rPr>
          <w:rStyle w:val="s1"/>
          <w:rFonts w:ascii="Arial" w:hAnsi="Arial" w:cs="Arial"/>
          <w:sz w:val="22"/>
          <w:szCs w:val="22"/>
        </w:rPr>
        <w:t xml:space="preserve">NICE guidelines (2022) recommend regular monitoring for complications including cardiovascular disease, neuropathy, kidney disease, and retinopathy. These guidelines help healthcare professionals </w:t>
      </w:r>
      <w:bookmarkStart w:id="170" w:name="_Int_vxyiZ3k3"/>
      <w:r w:rsidRPr="00404F85">
        <w:rPr>
          <w:rStyle w:val="s1"/>
          <w:rFonts w:ascii="Arial" w:hAnsi="Arial" w:cs="Arial"/>
          <w:sz w:val="22"/>
          <w:szCs w:val="22"/>
        </w:rPr>
        <w:t>identify</w:t>
      </w:r>
      <w:bookmarkEnd w:id="170"/>
      <w:r w:rsidRPr="00404F85">
        <w:rPr>
          <w:rStyle w:val="s1"/>
          <w:rFonts w:ascii="Arial" w:hAnsi="Arial" w:cs="Arial"/>
          <w:sz w:val="22"/>
          <w:szCs w:val="22"/>
        </w:rPr>
        <w:t xml:space="preserve"> complications early and improve patient care.</w:t>
      </w:r>
    </w:p>
    <w:p w14:paraId="349803B1" w14:textId="157FD53A" w:rsidR="004E617B" w:rsidRPr="00404F85" w:rsidRDefault="004E617B" w:rsidP="00D25D50">
      <w:pPr>
        <w:pStyle w:val="p1"/>
        <w:spacing w:line="360" w:lineRule="auto"/>
        <w:divId w:val="1801801640"/>
        <w:rPr>
          <w:rFonts w:ascii="Arial" w:hAnsi="Arial" w:cs="Arial"/>
          <w:sz w:val="22"/>
          <w:szCs w:val="22"/>
        </w:rPr>
      </w:pPr>
      <w:r w:rsidRPr="00404F85">
        <w:rPr>
          <w:rStyle w:val="s1"/>
          <w:rFonts w:ascii="Arial" w:hAnsi="Arial" w:cs="Arial"/>
          <w:sz w:val="22"/>
          <w:szCs w:val="22"/>
        </w:rPr>
        <w:t>The Equality Act 2010 is also relevant because it protects individuals with chronic conditions from discrimination and promotes equal access to healthcare services.</w:t>
      </w:r>
    </w:p>
    <w:p w14:paraId="549E8E86" w14:textId="424E3D79" w:rsidR="002865F5" w:rsidRDefault="004E617B" w:rsidP="000620F8">
      <w:pPr>
        <w:pStyle w:val="p1"/>
        <w:spacing w:line="360" w:lineRule="auto"/>
        <w:divId w:val="1801801640"/>
        <w:rPr>
          <w:rStyle w:val="s1"/>
          <w:rFonts w:ascii="Arial" w:hAnsi="Arial" w:cs="Arial"/>
          <w:sz w:val="22"/>
          <w:szCs w:val="22"/>
        </w:rPr>
      </w:pPr>
      <w:r w:rsidRPr="00404F85">
        <w:rPr>
          <w:rStyle w:val="s1"/>
          <w:rFonts w:ascii="Arial" w:hAnsi="Arial" w:cs="Arial"/>
          <w:sz w:val="22"/>
          <w:szCs w:val="22"/>
        </w:rPr>
        <w:t>Although these policies have improved diabetes care, health inequalities still exist within Birmingham. Some older adults may face barriers such as poor access to healthcare, financial difficulties, or limited health education, which can negatively affect diabetes management and long-term outcomes.</w:t>
      </w:r>
    </w:p>
    <w:p w14:paraId="63847F06" w14:textId="77777777" w:rsidR="000620F8" w:rsidRPr="00404F85" w:rsidRDefault="000620F8" w:rsidP="000620F8">
      <w:pPr>
        <w:pStyle w:val="p1"/>
        <w:spacing w:line="360" w:lineRule="auto"/>
        <w:divId w:val="1801801640"/>
        <w:rPr>
          <w:rFonts w:ascii="Arial" w:hAnsi="Arial" w:cs="Arial"/>
          <w:sz w:val="22"/>
          <w:szCs w:val="22"/>
        </w:rPr>
      </w:pPr>
    </w:p>
    <w:p w14:paraId="56D40A57" w14:textId="787BA801" w:rsidR="008366CE" w:rsidRPr="00D777F5" w:rsidRDefault="002865F5" w:rsidP="00D777F5">
      <w:pPr>
        <w:pStyle w:val="Heading5"/>
        <w:rPr>
          <w:rFonts w:ascii="Arial" w:hAnsi="Arial" w:cs="Arial"/>
          <w:b/>
          <w:bCs/>
          <w:sz w:val="32"/>
          <w:szCs w:val="32"/>
        </w:rPr>
      </w:pPr>
      <w:r w:rsidRPr="00FB7C3E">
        <w:rPr>
          <w:rStyle w:val="Strong"/>
          <w:rFonts w:ascii="Arial" w:hAnsi="Arial" w:cs="Arial"/>
          <w:sz w:val="32"/>
          <w:szCs w:val="32"/>
        </w:rPr>
        <w:t>Positive and Negative Implications:</w:t>
      </w:r>
    </w:p>
    <w:p w14:paraId="0FD35B30" w14:textId="77777777" w:rsidR="00CF7527" w:rsidRPr="00D068A7" w:rsidRDefault="00CF7527" w:rsidP="00D068A7">
      <w:pPr>
        <w:pStyle w:val="p1"/>
        <w:spacing w:line="360" w:lineRule="auto"/>
        <w:divId w:val="776216740"/>
        <w:rPr>
          <w:rFonts w:ascii="Arial" w:hAnsi="Arial" w:cs="Arial"/>
          <w:sz w:val="22"/>
          <w:szCs w:val="22"/>
        </w:rPr>
      </w:pPr>
      <w:r w:rsidRPr="00D068A7">
        <w:rPr>
          <w:rFonts w:ascii="Arial" w:hAnsi="Arial" w:cs="Arial"/>
          <w:sz w:val="22"/>
          <w:szCs w:val="22"/>
        </w:rPr>
        <w:t xml:space="preserve">The long-term impacts of T2DM have significant implications for older adults and healthcare services. Complications such as cardiovascular disease, neuropathy, and kidney impairment can reduce independence, increase frailty, and lower quality of life (Zheng et al., 2018). These complications also increase healthcare costs and place </w:t>
      </w:r>
      <w:bookmarkStart w:id="171" w:name="_Int_aYcku7ME"/>
      <w:r w:rsidRPr="00D068A7">
        <w:rPr>
          <w:rFonts w:ascii="Arial" w:hAnsi="Arial" w:cs="Arial"/>
          <w:sz w:val="22"/>
          <w:szCs w:val="22"/>
        </w:rPr>
        <w:t>additional</w:t>
      </w:r>
      <w:bookmarkEnd w:id="171"/>
      <w:r w:rsidRPr="00D068A7">
        <w:rPr>
          <w:rFonts w:ascii="Arial" w:hAnsi="Arial" w:cs="Arial"/>
          <w:sz w:val="22"/>
          <w:szCs w:val="22"/>
        </w:rPr>
        <w:t xml:space="preserve"> demands on NHS services (NHS Digital, 2022).</w:t>
      </w:r>
    </w:p>
    <w:p w14:paraId="7948F5C1" w14:textId="4A13F0DF" w:rsidR="008366CE" w:rsidRPr="004346CE" w:rsidRDefault="00CF7527" w:rsidP="004346CE">
      <w:pPr>
        <w:pStyle w:val="p2"/>
        <w:spacing w:line="360" w:lineRule="auto"/>
        <w:rPr>
          <w:rFonts w:ascii="Arial" w:hAnsi="Arial" w:cs="Arial"/>
          <w:sz w:val="22"/>
          <w:szCs w:val="22"/>
        </w:rPr>
      </w:pPr>
      <w:r w:rsidRPr="00D068A7">
        <w:rPr>
          <w:rFonts w:ascii="Arial" w:hAnsi="Arial" w:cs="Arial"/>
          <w:sz w:val="22"/>
          <w:szCs w:val="22"/>
        </w:rPr>
        <w:t>However, improvements in medication, screening, and integrated care have enhanced diabetes management and reduced complication rates for many individuals (Diabetes UK, 2023). These developments highlight the importance of preventative healthcare and personalised treatment approaches.</w:t>
      </w:r>
    </w:p>
    <w:p w14:paraId="14D58A8E" w14:textId="77777777" w:rsidR="008366CE" w:rsidRDefault="008366CE" w:rsidP="008366CE"/>
    <w:p w14:paraId="6CF88D51" w14:textId="295D0D2C" w:rsidR="003703C6" w:rsidRPr="003E15CB" w:rsidRDefault="0082760D" w:rsidP="003E15CB">
      <w:pPr>
        <w:pStyle w:val="Heading4"/>
        <w:rPr>
          <w:rFonts w:ascii="Arial" w:hAnsi="Arial" w:cs="Arial"/>
          <w:b/>
          <w:i w:val="0"/>
          <w:sz w:val="32"/>
          <w:szCs w:val="32"/>
        </w:rPr>
      </w:pPr>
      <w:r w:rsidRPr="00E86461">
        <w:rPr>
          <w:rFonts w:ascii="Arial" w:hAnsi="Arial" w:cs="Arial"/>
          <w:b/>
          <w:i w:val="0"/>
          <w:sz w:val="32"/>
          <w:szCs w:val="32"/>
        </w:rPr>
        <w:t>Examples from Your Articles</w:t>
      </w:r>
    </w:p>
    <w:p w14:paraId="035851FB" w14:textId="77777777" w:rsidR="00526846" w:rsidRPr="003E15CB" w:rsidRDefault="00526846" w:rsidP="003E15CB">
      <w:pPr>
        <w:pStyle w:val="p1"/>
        <w:spacing w:line="360" w:lineRule="auto"/>
        <w:divId w:val="338627112"/>
        <w:rPr>
          <w:rStyle w:val="s1"/>
          <w:rFonts w:ascii="Arial" w:hAnsi="Arial" w:cs="Arial"/>
          <w:sz w:val="22"/>
          <w:szCs w:val="22"/>
        </w:rPr>
      </w:pPr>
      <w:r w:rsidRPr="003E15CB">
        <w:rPr>
          <w:rFonts w:ascii="Arial" w:hAnsi="Arial" w:cs="Arial"/>
          <w:sz w:val="22"/>
          <w:szCs w:val="22"/>
        </w:rPr>
        <w:t xml:space="preserve">Several studies support the long-term health impacts of T2DM among older adults. </w:t>
      </w:r>
      <w:r w:rsidRPr="003E15CB">
        <w:rPr>
          <w:rStyle w:val="s2"/>
          <w:rFonts w:ascii="Arial" w:hAnsi="Arial" w:cs="Arial"/>
          <w:b/>
          <w:bCs/>
          <w:sz w:val="22"/>
          <w:szCs w:val="22"/>
        </w:rPr>
        <w:t>Rawshani et al. (2018)</w:t>
      </w:r>
      <w:r w:rsidRPr="003E15CB">
        <w:rPr>
          <w:rStyle w:val="s1"/>
          <w:rFonts w:ascii="Arial" w:hAnsi="Arial" w:cs="Arial"/>
          <w:sz w:val="22"/>
          <w:szCs w:val="22"/>
        </w:rPr>
        <w:t xml:space="preserve"> found that poor glycaemic control was associated with increased cardiovascular disease risk and higher mortality rates, highlighting the importance of effective diabetes management.</w:t>
      </w:r>
    </w:p>
    <w:p w14:paraId="6E4DCE37" w14:textId="69284319" w:rsidR="00526846" w:rsidRPr="003E15CB" w:rsidRDefault="00526846" w:rsidP="003E15CB">
      <w:pPr>
        <w:pStyle w:val="p1"/>
        <w:spacing w:line="360" w:lineRule="auto"/>
        <w:divId w:val="338627112"/>
        <w:rPr>
          <w:rStyle w:val="s1"/>
          <w:rFonts w:ascii="Arial" w:hAnsi="Arial" w:cs="Arial"/>
          <w:sz w:val="22"/>
          <w:szCs w:val="22"/>
        </w:rPr>
      </w:pPr>
      <w:r w:rsidRPr="003E15CB">
        <w:rPr>
          <w:rFonts w:ascii="Arial" w:hAnsi="Arial" w:cs="Arial"/>
          <w:b/>
          <w:bCs/>
          <w:sz w:val="22"/>
          <w:szCs w:val="22"/>
        </w:rPr>
        <w:t>Zheng et al. (2018)</w:t>
      </w:r>
      <w:r w:rsidRPr="003E15CB">
        <w:rPr>
          <w:rStyle w:val="s1"/>
          <w:rFonts w:ascii="Arial" w:hAnsi="Arial" w:cs="Arial"/>
          <w:sz w:val="22"/>
          <w:szCs w:val="22"/>
        </w:rPr>
        <w:t xml:space="preserve"> </w:t>
      </w:r>
      <w:bookmarkStart w:id="172" w:name="_Int_beCDqHzI"/>
      <w:r w:rsidRPr="003E15CB">
        <w:rPr>
          <w:rStyle w:val="s1"/>
          <w:rFonts w:ascii="Arial" w:hAnsi="Arial" w:cs="Arial"/>
          <w:sz w:val="22"/>
          <w:szCs w:val="22"/>
        </w:rPr>
        <w:t>demonstrated</w:t>
      </w:r>
      <w:bookmarkEnd w:id="172"/>
      <w:r w:rsidRPr="003E15CB">
        <w:rPr>
          <w:rStyle w:val="s1"/>
          <w:rFonts w:ascii="Arial" w:hAnsi="Arial" w:cs="Arial"/>
          <w:sz w:val="22"/>
          <w:szCs w:val="22"/>
        </w:rPr>
        <w:t xml:space="preserve"> that prolonged hyperglycaemia contributes to microvascular complications, including neuropathy, </w:t>
      </w:r>
      <w:r w:rsidR="00417635" w:rsidRPr="003E15CB">
        <w:rPr>
          <w:rStyle w:val="s1"/>
          <w:rFonts w:ascii="Arial" w:hAnsi="Arial" w:cs="Arial"/>
          <w:sz w:val="22"/>
          <w:szCs w:val="22"/>
        </w:rPr>
        <w:t>nephropathy,</w:t>
      </w:r>
      <w:r w:rsidRPr="003E15CB">
        <w:rPr>
          <w:rStyle w:val="s1"/>
          <w:rFonts w:ascii="Arial" w:hAnsi="Arial" w:cs="Arial"/>
          <w:sz w:val="22"/>
          <w:szCs w:val="22"/>
        </w:rPr>
        <w:t xml:space="preserve"> and retinopathy, as well as </w:t>
      </w:r>
      <w:r w:rsidR="00417635" w:rsidRPr="003E15CB">
        <w:rPr>
          <w:rStyle w:val="s1"/>
          <w:rFonts w:ascii="Arial" w:hAnsi="Arial" w:cs="Arial"/>
          <w:sz w:val="22"/>
          <w:szCs w:val="22"/>
        </w:rPr>
        <w:t>microvascular</w:t>
      </w:r>
      <w:r w:rsidRPr="003E15CB">
        <w:rPr>
          <w:rStyle w:val="s1"/>
          <w:rFonts w:ascii="Arial" w:hAnsi="Arial" w:cs="Arial"/>
          <w:sz w:val="22"/>
          <w:szCs w:val="22"/>
        </w:rPr>
        <w:t xml:space="preserve"> complications such as cardiovascular disease.</w:t>
      </w:r>
    </w:p>
    <w:p w14:paraId="39ED117C" w14:textId="77777777" w:rsidR="00526846" w:rsidRPr="003E15CB" w:rsidRDefault="00526846" w:rsidP="003E15CB">
      <w:pPr>
        <w:pStyle w:val="p1"/>
        <w:spacing w:line="360" w:lineRule="auto"/>
        <w:divId w:val="338627112"/>
        <w:rPr>
          <w:rStyle w:val="s1"/>
          <w:rFonts w:ascii="Arial" w:hAnsi="Arial" w:cs="Arial"/>
          <w:sz w:val="22"/>
          <w:szCs w:val="22"/>
        </w:rPr>
      </w:pPr>
      <w:r w:rsidRPr="003E15CB">
        <w:rPr>
          <w:rFonts w:ascii="Arial" w:hAnsi="Arial" w:cs="Arial"/>
          <w:sz w:val="22"/>
          <w:szCs w:val="22"/>
        </w:rPr>
        <w:t xml:space="preserve">Furthermore, </w:t>
      </w:r>
      <w:r w:rsidRPr="003E15CB">
        <w:rPr>
          <w:rStyle w:val="s2"/>
          <w:rFonts w:ascii="Arial" w:hAnsi="Arial" w:cs="Arial"/>
          <w:b/>
          <w:bCs/>
          <w:sz w:val="22"/>
          <w:szCs w:val="22"/>
        </w:rPr>
        <w:t>Biessels and Despa (2018)</w:t>
      </w:r>
      <w:r w:rsidRPr="003E15CB">
        <w:rPr>
          <w:rStyle w:val="s1"/>
          <w:rFonts w:ascii="Arial" w:hAnsi="Arial" w:cs="Arial"/>
          <w:sz w:val="22"/>
          <w:szCs w:val="22"/>
        </w:rPr>
        <w:t xml:space="preserve"> </w:t>
      </w:r>
      <w:bookmarkStart w:id="173" w:name="_Int_1gC06mX6"/>
      <w:r w:rsidRPr="003E15CB">
        <w:rPr>
          <w:rStyle w:val="s1"/>
          <w:rFonts w:ascii="Arial" w:hAnsi="Arial" w:cs="Arial"/>
          <w:sz w:val="22"/>
          <w:szCs w:val="22"/>
        </w:rPr>
        <w:t>identified</w:t>
      </w:r>
      <w:bookmarkEnd w:id="173"/>
      <w:r w:rsidRPr="003E15CB">
        <w:rPr>
          <w:rStyle w:val="s1"/>
          <w:rFonts w:ascii="Arial" w:hAnsi="Arial" w:cs="Arial"/>
          <w:sz w:val="22"/>
          <w:szCs w:val="22"/>
        </w:rPr>
        <w:t xml:space="preserve"> an association between T2DM and cognitive decline, showing that diabetes can affect both physical health and independence in older adults.</w:t>
      </w:r>
    </w:p>
    <w:p w14:paraId="6F6E56E8" w14:textId="0EB455C1" w:rsidR="00F65CB7" w:rsidRPr="00C97F78" w:rsidRDefault="00526846" w:rsidP="00C97F78">
      <w:pPr>
        <w:pStyle w:val="p1"/>
        <w:spacing w:line="360" w:lineRule="auto"/>
        <w:divId w:val="338627112"/>
        <w:rPr>
          <w:rFonts w:ascii="Arial" w:hAnsi="Arial" w:cs="Arial"/>
          <w:sz w:val="22"/>
          <w:szCs w:val="22"/>
        </w:rPr>
      </w:pPr>
      <w:r w:rsidRPr="003E15CB">
        <w:rPr>
          <w:rFonts w:ascii="Arial" w:hAnsi="Arial" w:cs="Arial"/>
          <w:sz w:val="22"/>
          <w:szCs w:val="22"/>
        </w:rPr>
        <w:t>Overall, these studies highlight that T2DM complications are multi-system conditions requiring early intervention, personalised care, and ongoing monitoring.</w:t>
      </w:r>
      <w:r w:rsidR="009B069C">
        <w:rPr>
          <w:rFonts w:ascii="Arial" w:hAnsi="Arial" w:cs="Arial"/>
        </w:rPr>
        <w:tab/>
      </w:r>
    </w:p>
    <w:p w14:paraId="21082B4D" w14:textId="3259C411" w:rsidR="00534B8E" w:rsidRPr="00E86461" w:rsidRDefault="002865F5" w:rsidP="008A191C">
      <w:pPr>
        <w:pStyle w:val="Heading4"/>
        <w:rPr>
          <w:rStyle w:val="s1"/>
          <w:rFonts w:ascii="Arial" w:hAnsi="Arial" w:cs="Arial"/>
          <w:b/>
          <w:i w:val="0"/>
          <w:sz w:val="32"/>
          <w:szCs w:val="32"/>
        </w:rPr>
      </w:pPr>
      <w:r w:rsidRPr="00E86461">
        <w:rPr>
          <w:rFonts w:ascii="Arial" w:hAnsi="Arial" w:cs="Arial"/>
          <w:b/>
          <w:i w:val="0"/>
          <w:sz w:val="32"/>
          <w:szCs w:val="32"/>
        </w:rPr>
        <w:t>Connections to Other Themes</w:t>
      </w:r>
    </w:p>
    <w:p w14:paraId="13F59DE3" w14:textId="5252991D" w:rsidR="00127E79" w:rsidRPr="00404F85" w:rsidRDefault="00127E79" w:rsidP="00D60C29">
      <w:pPr>
        <w:pStyle w:val="p1"/>
        <w:spacing w:line="360" w:lineRule="auto"/>
        <w:divId w:val="1272275829"/>
        <w:rPr>
          <w:rFonts w:ascii="Arial" w:hAnsi="Arial" w:cs="Arial"/>
          <w:sz w:val="22"/>
          <w:szCs w:val="22"/>
        </w:rPr>
      </w:pPr>
      <w:r w:rsidRPr="00404F85">
        <w:rPr>
          <w:rStyle w:val="s1"/>
          <w:rFonts w:ascii="Arial" w:hAnsi="Arial" w:cs="Arial"/>
          <w:sz w:val="22"/>
          <w:szCs w:val="22"/>
        </w:rPr>
        <w:t>This theme strongly connects with Theme One concerning the physiological mechanisms of T2DM. The long-term complications discussed within this section develop as a direct result of insulin resistance, chronic inflammation, and prolonged hyperglycaemia. Persistent metabolic dysfunction damages blood vessels, nerves, kidneys, and cardiovascular tissues over time.</w:t>
      </w:r>
    </w:p>
    <w:p w14:paraId="419586AF" w14:textId="606347DC" w:rsidR="00A33009" w:rsidRPr="00402670" w:rsidRDefault="00127E79" w:rsidP="00402670">
      <w:pPr>
        <w:pStyle w:val="p1"/>
        <w:spacing w:line="360" w:lineRule="auto"/>
        <w:divId w:val="1272275829"/>
        <w:rPr>
          <w:rFonts w:ascii="Arial" w:hAnsi="Arial" w:cs="Arial"/>
          <w:sz w:val="22"/>
          <w:szCs w:val="22"/>
        </w:rPr>
      </w:pPr>
      <w:r w:rsidRPr="00404F85">
        <w:rPr>
          <w:rStyle w:val="s1"/>
          <w:rFonts w:ascii="Arial" w:hAnsi="Arial" w:cs="Arial"/>
          <w:sz w:val="22"/>
          <w:szCs w:val="22"/>
        </w:rPr>
        <w:t>Therefore, understanding the physiological basis of T2DM is essential for preventing complications and improving long-term outcomes. Both themes highlight the importance of early intervention, preventative healthcare, and personalised treatment strategies for older adults living with diabetes in Birmingham.</w:t>
      </w:r>
    </w:p>
    <w:p w14:paraId="3D6D76E5" w14:textId="462474EB" w:rsidR="003B2571" w:rsidRPr="00420DB4" w:rsidRDefault="001C3AF6" w:rsidP="00420DB4">
      <w:pPr>
        <w:pStyle w:val="Heading2"/>
        <w:rPr>
          <w:rFonts w:ascii="Arial" w:hAnsi="Arial" w:cs="Arial"/>
          <w:sz w:val="22"/>
          <w:szCs w:val="22"/>
        </w:rPr>
      </w:pPr>
      <w:r w:rsidRPr="008A191C">
        <w:rPr>
          <w:rFonts w:ascii="Arial" w:hAnsi="Arial" w:cs="Arial"/>
          <w:sz w:val="32"/>
          <w:szCs w:val="32"/>
        </w:rPr>
        <w:t>4.5 – Theme 3 (</w:t>
      </w:r>
      <w:r w:rsidR="00664565">
        <w:rPr>
          <w:rFonts w:ascii="Arial" w:hAnsi="Arial" w:cs="Arial"/>
          <w:sz w:val="32"/>
          <w:szCs w:val="32"/>
        </w:rPr>
        <w:t xml:space="preserve">Management </w:t>
      </w:r>
      <w:r w:rsidR="004C7A04">
        <w:rPr>
          <w:rFonts w:ascii="Arial" w:hAnsi="Arial" w:cs="Arial"/>
          <w:sz w:val="32"/>
          <w:szCs w:val="32"/>
        </w:rPr>
        <w:t xml:space="preserve">and Support Strategies </w:t>
      </w:r>
      <w:r w:rsidR="00735E60">
        <w:rPr>
          <w:rFonts w:ascii="Arial" w:hAnsi="Arial" w:cs="Arial"/>
          <w:sz w:val="32"/>
          <w:szCs w:val="32"/>
        </w:rPr>
        <w:t>for</w:t>
      </w:r>
      <w:r w:rsidR="004C7A04">
        <w:rPr>
          <w:rFonts w:ascii="Arial" w:hAnsi="Arial" w:cs="Arial"/>
          <w:sz w:val="32"/>
          <w:szCs w:val="32"/>
        </w:rPr>
        <w:t xml:space="preserve"> </w:t>
      </w:r>
      <w:r w:rsidR="00735E60">
        <w:rPr>
          <w:rFonts w:ascii="Arial" w:hAnsi="Arial" w:cs="Arial"/>
          <w:sz w:val="32"/>
          <w:szCs w:val="32"/>
        </w:rPr>
        <w:t>Older</w:t>
      </w:r>
      <w:r w:rsidR="004C7A04">
        <w:rPr>
          <w:rFonts w:ascii="Arial" w:hAnsi="Arial" w:cs="Arial"/>
          <w:sz w:val="32"/>
          <w:szCs w:val="32"/>
        </w:rPr>
        <w:t xml:space="preserve"> Ad</w:t>
      </w:r>
      <w:r w:rsidR="00941A27">
        <w:rPr>
          <w:rFonts w:ascii="Arial" w:hAnsi="Arial" w:cs="Arial"/>
          <w:sz w:val="32"/>
          <w:szCs w:val="32"/>
        </w:rPr>
        <w:t>ults with Type 2 Di</w:t>
      </w:r>
      <w:r w:rsidR="00420DB4">
        <w:rPr>
          <w:rFonts w:ascii="Arial" w:hAnsi="Arial" w:cs="Arial"/>
          <w:sz w:val="32"/>
          <w:szCs w:val="32"/>
        </w:rPr>
        <w:t>abetes Mellitus</w:t>
      </w:r>
      <w:r w:rsidRPr="008A191C">
        <w:rPr>
          <w:rFonts w:ascii="Arial" w:hAnsi="Arial" w:cs="Arial"/>
          <w:sz w:val="32"/>
          <w:szCs w:val="32"/>
        </w:rPr>
        <w:t>)</w:t>
      </w:r>
    </w:p>
    <w:p w14:paraId="2B76F241" w14:textId="77777777" w:rsidR="003B2571" w:rsidRDefault="003B2571" w:rsidP="00420DB4">
      <w:pPr>
        <w:pStyle w:val="Heading5"/>
        <w:divId w:val="1235579693"/>
        <w:rPr>
          <w:rFonts w:ascii="Arial" w:hAnsi="Arial" w:cs="Arial"/>
          <w:sz w:val="32"/>
          <w:szCs w:val="32"/>
        </w:rPr>
      </w:pPr>
      <w:r w:rsidRPr="00420DB4">
        <w:rPr>
          <w:rFonts w:ascii="Arial" w:hAnsi="Arial" w:cs="Arial"/>
          <w:sz w:val="32"/>
          <w:szCs w:val="32"/>
        </w:rPr>
        <w:t>Definition of the Theme</w:t>
      </w:r>
    </w:p>
    <w:p w14:paraId="494FCD65" w14:textId="77777777" w:rsidR="003B2571" w:rsidRPr="00404F85" w:rsidRDefault="003B2571" w:rsidP="00404F85">
      <w:pPr>
        <w:spacing w:before="100" w:beforeAutospacing="1" w:after="100" w:afterAutospacing="1"/>
        <w:divId w:val="1235579693"/>
        <w:rPr>
          <w:rFonts w:ascii="Arial" w:hAnsi="Arial" w:cs="Arial"/>
        </w:rPr>
      </w:pPr>
      <w:r w:rsidRPr="00404F85">
        <w:rPr>
          <w:rFonts w:ascii="Arial" w:hAnsi="Arial" w:cs="Arial"/>
        </w:rPr>
        <w:t>Management and support strategies for Type 2 Diabetes Mellitus (T2DM) refer to the medical, lifestyle, and social care interventions used to control blood glucose levels, reduce complications, and improve quality of life among individuals living with diabetes. These strategies include medication management, dietary support, physical activity, blood glucose monitoring, patient education, and integrated healthcare services (NICE, 2022).</w:t>
      </w:r>
    </w:p>
    <w:p w14:paraId="15876B1E" w14:textId="77777777" w:rsidR="003B2571" w:rsidRPr="00420DB4" w:rsidRDefault="003B2571" w:rsidP="00420DB4">
      <w:pPr>
        <w:spacing w:before="100" w:beforeAutospacing="1" w:after="100" w:afterAutospacing="1"/>
        <w:divId w:val="1235579693"/>
        <w:rPr>
          <w:rFonts w:ascii="Arial" w:hAnsi="Arial" w:cs="Arial"/>
        </w:rPr>
      </w:pPr>
    </w:p>
    <w:p w14:paraId="0725260F" w14:textId="77777777" w:rsidR="003B2571" w:rsidRPr="00420DB4" w:rsidRDefault="003B2571" w:rsidP="00420DB4">
      <w:pPr>
        <w:spacing w:before="100" w:beforeAutospacing="1" w:after="100" w:afterAutospacing="1"/>
        <w:divId w:val="1235579693"/>
        <w:rPr>
          <w:rFonts w:ascii="Arial" w:hAnsi="Arial" w:cs="Arial"/>
        </w:rPr>
      </w:pPr>
      <w:r w:rsidRPr="00420DB4">
        <w:rPr>
          <w:rFonts w:ascii="Arial" w:hAnsi="Arial" w:cs="Arial"/>
        </w:rPr>
        <w:t xml:space="preserve">In older adults, diabetes management often </w:t>
      </w:r>
      <w:bookmarkStart w:id="174" w:name="_Int_v6fj2qZW"/>
      <w:r w:rsidRPr="00420DB4">
        <w:rPr>
          <w:rFonts w:ascii="Arial" w:hAnsi="Arial" w:cs="Arial"/>
        </w:rPr>
        <w:t>requires</w:t>
      </w:r>
      <w:bookmarkEnd w:id="174"/>
      <w:r w:rsidRPr="00420DB4">
        <w:rPr>
          <w:rFonts w:ascii="Arial" w:hAnsi="Arial" w:cs="Arial"/>
        </w:rPr>
        <w:t xml:space="preserve"> a personalised approach because ageing is associated with frailty, multiple health conditions, and reduced functional ability. Effective support strategies are essential for preventing complications, </w:t>
      </w:r>
      <w:bookmarkStart w:id="175" w:name="_Int_Rod7ltde"/>
      <w:r w:rsidRPr="00420DB4">
        <w:rPr>
          <w:rFonts w:ascii="Arial" w:hAnsi="Arial" w:cs="Arial"/>
        </w:rPr>
        <w:t>maintaining</w:t>
      </w:r>
      <w:bookmarkEnd w:id="175"/>
      <w:r w:rsidRPr="00420DB4">
        <w:rPr>
          <w:rFonts w:ascii="Arial" w:hAnsi="Arial" w:cs="Arial"/>
        </w:rPr>
        <w:t xml:space="preserve"> independence, and improving long-term wellbeing.</w:t>
      </w:r>
    </w:p>
    <w:p w14:paraId="1ABEFD2C" w14:textId="77777777" w:rsidR="00534B8E" w:rsidRPr="00404F85" w:rsidRDefault="00534B8E" w:rsidP="00404F85">
      <w:pPr>
        <w:spacing w:before="100" w:beforeAutospacing="1" w:after="100" w:afterAutospacing="1"/>
        <w:jc w:val="left"/>
        <w:rPr>
          <w:rFonts w:ascii="Arial" w:hAnsi="Arial" w:cs="Arial"/>
        </w:rPr>
      </w:pPr>
    </w:p>
    <w:p w14:paraId="2FB465ED" w14:textId="77777777" w:rsidR="002865F5" w:rsidRPr="00420DB4" w:rsidRDefault="002865F5" w:rsidP="00420DB4">
      <w:pPr>
        <w:pStyle w:val="Heading5"/>
      </w:pPr>
      <w:r w:rsidRPr="00420DB4">
        <w:rPr>
          <w:rStyle w:val="Strong"/>
          <w:rFonts w:ascii="Arial" w:hAnsi="Arial" w:cs="Arial"/>
          <w:sz w:val="32"/>
          <w:szCs w:val="32"/>
        </w:rPr>
        <w:t>Historical/Contextual Background:</w:t>
      </w:r>
    </w:p>
    <w:p w14:paraId="23A30E74" w14:textId="230C5008" w:rsidR="002865F5" w:rsidRPr="00404F85" w:rsidRDefault="002865F5" w:rsidP="00420DB4">
      <w:pPr>
        <w:spacing w:before="100" w:beforeAutospacing="1" w:after="100" w:afterAutospacing="1"/>
        <w:ind w:left="1080"/>
        <w:jc w:val="left"/>
        <w:rPr>
          <w:rFonts w:ascii="Arial" w:hAnsi="Arial" w:cs="Arial"/>
        </w:rPr>
      </w:pPr>
    </w:p>
    <w:p w14:paraId="067294C4" w14:textId="4797BBA9" w:rsidR="00CB1D7A" w:rsidRPr="00404F85" w:rsidRDefault="00CB1D7A" w:rsidP="00420DB4">
      <w:pPr>
        <w:pStyle w:val="p1"/>
        <w:spacing w:line="360" w:lineRule="auto"/>
        <w:divId w:val="248775944"/>
        <w:rPr>
          <w:rFonts w:ascii="Arial" w:hAnsi="Arial" w:cs="Arial"/>
          <w:sz w:val="22"/>
          <w:szCs w:val="22"/>
        </w:rPr>
      </w:pPr>
      <w:r w:rsidRPr="00404F85">
        <w:rPr>
          <w:rStyle w:val="s1"/>
          <w:rFonts w:ascii="Arial" w:hAnsi="Arial" w:cs="Arial"/>
          <w:sz w:val="22"/>
          <w:szCs w:val="22"/>
        </w:rPr>
        <w:t xml:space="preserve">Historically, diabetes management </w:t>
      </w:r>
      <w:r w:rsidR="00BC577A" w:rsidRPr="00404F85">
        <w:rPr>
          <w:rStyle w:val="s1"/>
          <w:rFonts w:ascii="Arial" w:hAnsi="Arial" w:cs="Arial"/>
          <w:sz w:val="22"/>
          <w:szCs w:val="22"/>
        </w:rPr>
        <w:t>focused</w:t>
      </w:r>
      <w:r w:rsidRPr="00404F85">
        <w:rPr>
          <w:rStyle w:val="s1"/>
          <w:rFonts w:ascii="Arial" w:hAnsi="Arial" w:cs="Arial"/>
          <w:sz w:val="22"/>
          <w:szCs w:val="22"/>
        </w:rPr>
        <w:t xml:space="preserve"> on controlling blood glucose levels through medication. However, healthcare approaches have gradually become more holistic, recognising the importance of lifestyle modification, prevention, and patient-centred care (Diabetes UK, 2023).</w:t>
      </w:r>
    </w:p>
    <w:p w14:paraId="74C1D75A" w14:textId="77777777" w:rsidR="00CB1D7A" w:rsidRPr="00404F85" w:rsidRDefault="00CB1D7A" w:rsidP="00420DB4">
      <w:pPr>
        <w:pStyle w:val="p2"/>
        <w:spacing w:line="360" w:lineRule="auto"/>
        <w:divId w:val="248775944"/>
        <w:rPr>
          <w:rFonts w:ascii="Arial" w:hAnsi="Arial" w:cs="Arial"/>
          <w:sz w:val="22"/>
          <w:szCs w:val="22"/>
        </w:rPr>
      </w:pPr>
    </w:p>
    <w:p w14:paraId="4B6F81B8" w14:textId="77777777" w:rsidR="00CB1D7A" w:rsidRPr="00404F85" w:rsidRDefault="00CB1D7A" w:rsidP="00420DB4">
      <w:pPr>
        <w:pStyle w:val="p1"/>
        <w:spacing w:line="360" w:lineRule="auto"/>
        <w:divId w:val="248775944"/>
        <w:rPr>
          <w:rFonts w:ascii="Arial" w:hAnsi="Arial" w:cs="Arial"/>
          <w:sz w:val="22"/>
          <w:szCs w:val="22"/>
        </w:rPr>
      </w:pPr>
      <w:r w:rsidRPr="00404F85">
        <w:rPr>
          <w:rStyle w:val="s1"/>
          <w:rFonts w:ascii="Arial" w:hAnsi="Arial" w:cs="Arial"/>
          <w:sz w:val="22"/>
          <w:szCs w:val="22"/>
        </w:rPr>
        <w:t>In the UK, the number of older adults living with T2DM has increased significantly due to population ageing, obesity, and sedentary lifestyles. As a result, healthcare providers now place greater emphasis on early intervention, self-management, and integrated care services.</w:t>
      </w:r>
    </w:p>
    <w:p w14:paraId="0FD04A96" w14:textId="77777777" w:rsidR="00CB1D7A" w:rsidRPr="00404F85" w:rsidRDefault="00CB1D7A" w:rsidP="00420DB4">
      <w:pPr>
        <w:pStyle w:val="p2"/>
        <w:spacing w:line="360" w:lineRule="auto"/>
        <w:divId w:val="248775944"/>
        <w:rPr>
          <w:rFonts w:ascii="Arial" w:hAnsi="Arial" w:cs="Arial"/>
          <w:sz w:val="22"/>
          <w:szCs w:val="22"/>
        </w:rPr>
      </w:pPr>
    </w:p>
    <w:p w14:paraId="3DC74AF6" w14:textId="256E3587" w:rsidR="00534B8E" w:rsidRPr="00404F85" w:rsidRDefault="00CB1D7A" w:rsidP="00420DB4">
      <w:pPr>
        <w:pStyle w:val="p1"/>
        <w:spacing w:line="360" w:lineRule="auto"/>
        <w:divId w:val="248775944"/>
        <w:rPr>
          <w:rFonts w:ascii="Arial" w:hAnsi="Arial" w:cs="Arial"/>
          <w:sz w:val="22"/>
          <w:szCs w:val="22"/>
        </w:rPr>
      </w:pPr>
      <w:r w:rsidRPr="00404F85">
        <w:rPr>
          <w:rStyle w:val="s1"/>
          <w:rFonts w:ascii="Arial" w:hAnsi="Arial" w:cs="Arial"/>
          <w:sz w:val="22"/>
          <w:szCs w:val="22"/>
        </w:rPr>
        <w:t xml:space="preserve">In Birmingham, diabetes management is particularly important because the city has </w:t>
      </w:r>
      <w:r w:rsidR="002A0893" w:rsidRPr="00404F85">
        <w:rPr>
          <w:rStyle w:val="s1"/>
          <w:rFonts w:ascii="Arial" w:hAnsi="Arial" w:cs="Arial"/>
          <w:sz w:val="22"/>
          <w:szCs w:val="22"/>
        </w:rPr>
        <w:t>important levels</w:t>
      </w:r>
      <w:r w:rsidRPr="00404F85">
        <w:rPr>
          <w:rStyle w:val="s1"/>
          <w:rFonts w:ascii="Arial" w:hAnsi="Arial" w:cs="Arial"/>
          <w:sz w:val="22"/>
          <w:szCs w:val="22"/>
        </w:rPr>
        <w:t xml:space="preserve"> of deprivation and health inequalities. Some older adults may face barriers such as poor access to healthcare, language differences, financial difficulties, and limited health education. These factors may negatively affect diabetes management and increase complication risks.</w:t>
      </w:r>
    </w:p>
    <w:p w14:paraId="6903DFA1" w14:textId="77777777" w:rsidR="00A1092A" w:rsidRDefault="00A1092A" w:rsidP="00A1092A">
      <w:pPr>
        <w:pStyle w:val="Heading5"/>
        <w:rPr>
          <w:rStyle w:val="Strong"/>
          <w:rFonts w:ascii="Arial" w:hAnsi="Arial" w:cs="Arial"/>
          <w:sz w:val="32"/>
          <w:szCs w:val="32"/>
        </w:rPr>
      </w:pPr>
    </w:p>
    <w:p w14:paraId="40FF9ACE" w14:textId="101946EE" w:rsidR="002865F5" w:rsidRPr="00A1092A" w:rsidRDefault="002865F5" w:rsidP="00A1092A">
      <w:pPr>
        <w:pStyle w:val="Heading5"/>
      </w:pPr>
      <w:r w:rsidRPr="00A1092A">
        <w:rPr>
          <w:rStyle w:val="Strong"/>
          <w:rFonts w:ascii="Arial" w:hAnsi="Arial" w:cs="Arial"/>
          <w:sz w:val="32"/>
          <w:szCs w:val="32"/>
        </w:rPr>
        <w:t>Data and Statistics:</w:t>
      </w:r>
    </w:p>
    <w:p w14:paraId="0A64987B" w14:textId="77777777" w:rsidR="001B61ED" w:rsidRPr="00404F85" w:rsidRDefault="001B61ED" w:rsidP="00404F85">
      <w:pPr>
        <w:pStyle w:val="p1"/>
        <w:spacing w:line="360" w:lineRule="auto"/>
        <w:divId w:val="257912996"/>
        <w:rPr>
          <w:rFonts w:ascii="Arial" w:hAnsi="Arial" w:cs="Arial"/>
          <w:sz w:val="22"/>
          <w:szCs w:val="22"/>
        </w:rPr>
      </w:pPr>
      <w:r w:rsidRPr="00404F85">
        <w:rPr>
          <w:rStyle w:val="s1"/>
          <w:rFonts w:ascii="Arial" w:hAnsi="Arial" w:cs="Arial"/>
          <w:sz w:val="22"/>
          <w:szCs w:val="22"/>
        </w:rPr>
        <w:t xml:space="preserve">According to Diabetes UK (2023), more than 4.3 million people in the UK are currently living with diabetes, with older adults </w:t>
      </w:r>
      <w:bookmarkStart w:id="176" w:name="_Int_muwhxOVf"/>
      <w:r w:rsidRPr="00404F85">
        <w:rPr>
          <w:rStyle w:val="s1"/>
          <w:rFonts w:ascii="Arial" w:hAnsi="Arial" w:cs="Arial"/>
          <w:sz w:val="22"/>
          <w:szCs w:val="22"/>
        </w:rPr>
        <w:t>representing</w:t>
      </w:r>
      <w:bookmarkEnd w:id="176"/>
      <w:r w:rsidRPr="00404F85">
        <w:rPr>
          <w:rStyle w:val="s1"/>
          <w:rFonts w:ascii="Arial" w:hAnsi="Arial" w:cs="Arial"/>
          <w:sz w:val="22"/>
          <w:szCs w:val="22"/>
        </w:rPr>
        <w:t xml:space="preserve"> one of the highest-risk groups. Research suggests that structured diabetes education programmes can significantly improve blood glucose control and reduce complications.</w:t>
      </w:r>
    </w:p>
    <w:p w14:paraId="503A4FE5" w14:textId="77777777" w:rsidR="001B61ED" w:rsidRPr="00404F85" w:rsidRDefault="001B61ED" w:rsidP="00404F85">
      <w:pPr>
        <w:pStyle w:val="p2"/>
        <w:spacing w:line="360" w:lineRule="auto"/>
        <w:divId w:val="257912996"/>
        <w:rPr>
          <w:rFonts w:ascii="Arial" w:hAnsi="Arial" w:cs="Arial"/>
          <w:sz w:val="22"/>
          <w:szCs w:val="22"/>
        </w:rPr>
      </w:pPr>
    </w:p>
    <w:p w14:paraId="6817DA48" w14:textId="77777777" w:rsidR="001B61ED" w:rsidRPr="00404F85" w:rsidRDefault="001B61ED" w:rsidP="00404F85">
      <w:pPr>
        <w:pStyle w:val="p1"/>
        <w:spacing w:line="360" w:lineRule="auto"/>
        <w:divId w:val="257912996"/>
        <w:rPr>
          <w:rFonts w:ascii="Arial" w:hAnsi="Arial" w:cs="Arial"/>
          <w:sz w:val="22"/>
          <w:szCs w:val="22"/>
        </w:rPr>
      </w:pPr>
      <w:r w:rsidRPr="00404F85">
        <w:rPr>
          <w:rStyle w:val="s1"/>
          <w:rFonts w:ascii="Arial" w:hAnsi="Arial" w:cs="Arial"/>
          <w:sz w:val="22"/>
          <w:szCs w:val="22"/>
        </w:rPr>
        <w:t xml:space="preserve">NHS England (2019) reported that early intervention and lifestyle management programmes have reduced diabetes-related hospital admissions in some areas. However, complications </w:t>
      </w:r>
      <w:bookmarkStart w:id="177" w:name="_Int_15RlGIUu"/>
      <w:r w:rsidRPr="00404F85">
        <w:rPr>
          <w:rStyle w:val="s1"/>
          <w:rFonts w:ascii="Arial" w:hAnsi="Arial" w:cs="Arial"/>
          <w:sz w:val="22"/>
          <w:szCs w:val="22"/>
        </w:rPr>
        <w:t>remain</w:t>
      </w:r>
      <w:bookmarkEnd w:id="177"/>
      <w:r w:rsidRPr="00404F85">
        <w:rPr>
          <w:rStyle w:val="s1"/>
          <w:rFonts w:ascii="Arial" w:hAnsi="Arial" w:cs="Arial"/>
          <w:sz w:val="22"/>
          <w:szCs w:val="22"/>
        </w:rPr>
        <w:t xml:space="preserve"> common among older adults with poor glycaemic control.</w:t>
      </w:r>
    </w:p>
    <w:p w14:paraId="761DF10B" w14:textId="77777777" w:rsidR="001B61ED" w:rsidRPr="00404F85" w:rsidRDefault="001B61ED" w:rsidP="00404F85">
      <w:pPr>
        <w:pStyle w:val="p2"/>
        <w:spacing w:line="360" w:lineRule="auto"/>
        <w:divId w:val="257912996"/>
        <w:rPr>
          <w:rFonts w:ascii="Arial" w:hAnsi="Arial" w:cs="Arial"/>
          <w:sz w:val="22"/>
          <w:szCs w:val="22"/>
        </w:rPr>
      </w:pPr>
    </w:p>
    <w:p w14:paraId="65F3C621" w14:textId="77B3D524" w:rsidR="00534B8E" w:rsidRPr="00404F85" w:rsidRDefault="001B61ED" w:rsidP="00404F85">
      <w:pPr>
        <w:pStyle w:val="p1"/>
        <w:spacing w:line="360" w:lineRule="auto"/>
        <w:divId w:val="257912996"/>
        <w:rPr>
          <w:rFonts w:ascii="Arial" w:hAnsi="Arial" w:cs="Arial"/>
          <w:sz w:val="22"/>
          <w:szCs w:val="22"/>
        </w:rPr>
      </w:pPr>
      <w:r w:rsidRPr="00404F85">
        <w:rPr>
          <w:rStyle w:val="s1"/>
          <w:rFonts w:ascii="Arial" w:hAnsi="Arial" w:cs="Arial"/>
          <w:sz w:val="22"/>
          <w:szCs w:val="22"/>
        </w:rPr>
        <w:t xml:space="preserve">Statistics also show that individuals who </w:t>
      </w:r>
      <w:bookmarkStart w:id="178" w:name="_Int_ZPpw5ofe"/>
      <w:r w:rsidRPr="00404F85">
        <w:rPr>
          <w:rStyle w:val="s1"/>
          <w:rFonts w:ascii="Arial" w:hAnsi="Arial" w:cs="Arial"/>
          <w:sz w:val="22"/>
          <w:szCs w:val="22"/>
        </w:rPr>
        <w:t>maintain</w:t>
      </w:r>
      <w:bookmarkEnd w:id="178"/>
      <w:r w:rsidRPr="00404F85">
        <w:rPr>
          <w:rStyle w:val="s1"/>
          <w:rFonts w:ascii="Arial" w:hAnsi="Arial" w:cs="Arial"/>
          <w:sz w:val="22"/>
          <w:szCs w:val="22"/>
        </w:rPr>
        <w:t xml:space="preserve"> healthy body weight, balanced diets, and regular physical activity are less likely to experience severe complications (WHO, 2022). Despite this, many older adults face challenges </w:t>
      </w:r>
      <w:bookmarkStart w:id="179" w:name="_Int_aXBM84Rd"/>
      <w:r w:rsidRPr="00404F85">
        <w:rPr>
          <w:rStyle w:val="s1"/>
          <w:rFonts w:ascii="Arial" w:hAnsi="Arial" w:cs="Arial"/>
          <w:sz w:val="22"/>
          <w:szCs w:val="22"/>
        </w:rPr>
        <w:t>maintaining</w:t>
      </w:r>
      <w:bookmarkEnd w:id="179"/>
      <w:r w:rsidRPr="00404F85">
        <w:rPr>
          <w:rStyle w:val="s1"/>
          <w:rFonts w:ascii="Arial" w:hAnsi="Arial" w:cs="Arial"/>
          <w:sz w:val="22"/>
          <w:szCs w:val="22"/>
        </w:rPr>
        <w:t xml:space="preserve"> lifestyle changes due to reduced mobility, chronic illness, or social isolation.</w:t>
      </w:r>
    </w:p>
    <w:p w14:paraId="46A735EF" w14:textId="77777777" w:rsidR="0061064A" w:rsidRDefault="0061064A" w:rsidP="0061064A">
      <w:pPr>
        <w:pStyle w:val="Heading5"/>
        <w:rPr>
          <w:rStyle w:val="Strong"/>
          <w:rFonts w:ascii="Arial" w:eastAsia="Calibri Light" w:hAnsi="Arial" w:cs="Arial"/>
          <w:sz w:val="32"/>
          <w:szCs w:val="32"/>
        </w:rPr>
      </w:pPr>
    </w:p>
    <w:p w14:paraId="2A33A2CF" w14:textId="650D3495" w:rsidR="00D02AA9" w:rsidRPr="0061064A" w:rsidRDefault="002865F5" w:rsidP="0061064A">
      <w:pPr>
        <w:pStyle w:val="Heading5"/>
      </w:pPr>
      <w:r w:rsidRPr="0061064A">
        <w:rPr>
          <w:rStyle w:val="Strong"/>
          <w:rFonts w:ascii="Arial" w:eastAsia="Calibri Light" w:hAnsi="Arial" w:cs="Arial"/>
          <w:sz w:val="32"/>
          <w:szCs w:val="32"/>
        </w:rPr>
        <w:t>Theoretical Framework:</w:t>
      </w:r>
    </w:p>
    <w:p w14:paraId="19F99A05" w14:textId="77777777" w:rsidR="00D02AA9" w:rsidRPr="00404F85" w:rsidRDefault="00D02AA9" w:rsidP="00404F85">
      <w:pPr>
        <w:spacing w:before="100" w:beforeAutospacing="1" w:after="100" w:afterAutospacing="1"/>
        <w:jc w:val="left"/>
        <w:divId w:val="1355157608"/>
        <w:rPr>
          <w:rFonts w:ascii="Arial" w:hAnsi="Arial" w:cs="Arial"/>
          <w:kern w:val="0"/>
          <w:lang w:eastAsia="en-GB"/>
          <w14:ligatures w14:val="none"/>
        </w:rPr>
      </w:pPr>
      <w:r w:rsidRPr="00404F85">
        <w:rPr>
          <w:rFonts w:ascii="Arial" w:hAnsi="Arial" w:cs="Arial"/>
          <w:kern w:val="0"/>
          <w:lang w:eastAsia="en-GB"/>
          <w14:ligatures w14:val="none"/>
        </w:rPr>
        <w:t>The self-management theory is highly relevant to this theme because it focuses on patient involvement in managing chronic conditions (Barlow et al., 2002). Effective self-management includes medication adherence, healthy eating, physical activity, and regular monitoring of blood glucose levels.</w:t>
      </w:r>
    </w:p>
    <w:p w14:paraId="17967BD9" w14:textId="77777777" w:rsidR="00D02AA9" w:rsidRPr="00404F85" w:rsidRDefault="00D02AA9" w:rsidP="00404F85">
      <w:pPr>
        <w:spacing w:before="100" w:beforeAutospacing="1" w:after="100" w:afterAutospacing="1"/>
        <w:jc w:val="left"/>
        <w:divId w:val="1355157608"/>
        <w:rPr>
          <w:rFonts w:ascii="Arial" w:hAnsi="Arial" w:cs="Arial"/>
          <w:kern w:val="0"/>
          <w:lang w:eastAsia="en-GB"/>
          <w14:ligatures w14:val="none"/>
        </w:rPr>
      </w:pPr>
    </w:p>
    <w:p w14:paraId="1DE81D31" w14:textId="5AA580D5" w:rsidR="00534B8E" w:rsidRPr="00404F85" w:rsidRDefault="00D02AA9" w:rsidP="00404F85">
      <w:pPr>
        <w:spacing w:before="100" w:beforeAutospacing="1" w:after="100" w:afterAutospacing="1"/>
        <w:jc w:val="left"/>
        <w:divId w:val="1355157608"/>
        <w:rPr>
          <w:rFonts w:ascii="Arial" w:hAnsi="Arial" w:cs="Arial"/>
          <w:kern w:val="0"/>
          <w:lang w:eastAsia="en-GB"/>
          <w14:ligatures w14:val="none"/>
        </w:rPr>
      </w:pPr>
      <w:r w:rsidRPr="00404F85">
        <w:rPr>
          <w:rFonts w:ascii="Arial" w:hAnsi="Arial" w:cs="Arial"/>
          <w:kern w:val="0"/>
          <w:lang w:eastAsia="en-GB"/>
          <w14:ligatures w14:val="none"/>
        </w:rPr>
        <w:t xml:space="preserve">The biopsychosocial model is also important because diabetes management </w:t>
      </w:r>
      <w:bookmarkStart w:id="180" w:name="_Int_iKxr0z11"/>
      <w:r w:rsidRPr="00404F85">
        <w:rPr>
          <w:rFonts w:ascii="Arial" w:hAnsi="Arial" w:cs="Arial"/>
          <w:kern w:val="0"/>
          <w:lang w:eastAsia="en-GB"/>
          <w14:ligatures w14:val="none"/>
        </w:rPr>
        <w:t>is influenced</w:t>
      </w:r>
      <w:bookmarkEnd w:id="180"/>
      <w:r w:rsidRPr="00404F85">
        <w:rPr>
          <w:rFonts w:ascii="Arial" w:hAnsi="Arial" w:cs="Arial"/>
          <w:kern w:val="0"/>
          <w:lang w:eastAsia="en-GB"/>
          <w14:ligatures w14:val="none"/>
        </w:rPr>
        <w:t xml:space="preserve"> by biological, psychological, and social factors (Engel, 1977). Older adults may </w:t>
      </w:r>
      <w:bookmarkStart w:id="181" w:name="_Int_amr4o1wf"/>
      <w:r w:rsidRPr="00404F85">
        <w:rPr>
          <w:rFonts w:ascii="Arial" w:hAnsi="Arial" w:cs="Arial"/>
          <w:kern w:val="0"/>
          <w:lang w:eastAsia="en-GB"/>
          <w14:ligatures w14:val="none"/>
        </w:rPr>
        <w:t>require</w:t>
      </w:r>
      <w:bookmarkEnd w:id="181"/>
      <w:r w:rsidRPr="00404F85">
        <w:rPr>
          <w:rFonts w:ascii="Arial" w:hAnsi="Arial" w:cs="Arial"/>
          <w:kern w:val="0"/>
          <w:lang w:eastAsia="en-GB"/>
          <w14:ligatures w14:val="none"/>
        </w:rPr>
        <w:t xml:space="preserve"> emotional support, social care </w:t>
      </w:r>
      <w:bookmarkStart w:id="182" w:name="_Int_qNQV4nX5"/>
      <w:r w:rsidRPr="00404F85">
        <w:rPr>
          <w:rFonts w:ascii="Arial" w:hAnsi="Arial" w:cs="Arial"/>
          <w:kern w:val="0"/>
          <w:lang w:eastAsia="en-GB"/>
          <w14:ligatures w14:val="none"/>
        </w:rPr>
        <w:t>assistance</w:t>
      </w:r>
      <w:bookmarkEnd w:id="182"/>
      <w:r w:rsidRPr="00404F85">
        <w:rPr>
          <w:rFonts w:ascii="Arial" w:hAnsi="Arial" w:cs="Arial"/>
          <w:kern w:val="0"/>
          <w:lang w:eastAsia="en-GB"/>
          <w14:ligatures w14:val="none"/>
        </w:rPr>
        <w:t xml:space="preserve">, and culturally </w:t>
      </w:r>
      <w:bookmarkStart w:id="183" w:name="_Int_q1iVERch"/>
      <w:r w:rsidRPr="00404F85">
        <w:rPr>
          <w:rFonts w:ascii="Arial" w:hAnsi="Arial" w:cs="Arial"/>
          <w:kern w:val="0"/>
          <w:lang w:eastAsia="en-GB"/>
          <w14:ligatures w14:val="none"/>
        </w:rPr>
        <w:t>appropriate healthcare</w:t>
      </w:r>
      <w:bookmarkEnd w:id="183"/>
      <w:r w:rsidRPr="00404F85">
        <w:rPr>
          <w:rFonts w:ascii="Arial" w:hAnsi="Arial" w:cs="Arial"/>
          <w:kern w:val="0"/>
          <w:lang w:eastAsia="en-GB"/>
          <w14:ligatures w14:val="none"/>
        </w:rPr>
        <w:t xml:space="preserve"> services in addition to medical </w:t>
      </w:r>
      <w:r w:rsidR="00F14910" w:rsidRPr="00404F85">
        <w:rPr>
          <w:rFonts w:ascii="Arial" w:hAnsi="Arial" w:cs="Arial"/>
          <w:kern w:val="0"/>
          <w:lang w:eastAsia="en-GB"/>
          <w14:ligatures w14:val="none"/>
        </w:rPr>
        <w:t>treatment.</w:t>
      </w:r>
    </w:p>
    <w:p w14:paraId="66712BFC" w14:textId="77777777" w:rsidR="00534B8E" w:rsidRPr="00404F85" w:rsidRDefault="00534B8E" w:rsidP="00404F85">
      <w:pPr>
        <w:spacing w:before="100" w:beforeAutospacing="1" w:after="100" w:afterAutospacing="1"/>
        <w:jc w:val="left"/>
        <w:rPr>
          <w:rFonts w:ascii="Arial" w:hAnsi="Arial" w:cs="Arial"/>
        </w:rPr>
      </w:pPr>
    </w:p>
    <w:p w14:paraId="0FC93BF7" w14:textId="77777777" w:rsidR="002865F5" w:rsidRPr="00023BC9" w:rsidRDefault="002865F5" w:rsidP="0061064A">
      <w:pPr>
        <w:pStyle w:val="Heading5"/>
        <w:rPr>
          <w:rFonts w:ascii="Arial" w:hAnsi="Arial" w:cs="Arial"/>
        </w:rPr>
      </w:pPr>
      <w:r w:rsidRPr="0061064A">
        <w:rPr>
          <w:rStyle w:val="Strong"/>
          <w:rFonts w:ascii="Arial" w:eastAsia="Calibri Light" w:hAnsi="Arial" w:cs="Arial"/>
          <w:sz w:val="36"/>
          <w:szCs w:val="36"/>
        </w:rPr>
        <w:t>Policy and Legislation:</w:t>
      </w:r>
    </w:p>
    <w:p w14:paraId="565C4C04" w14:textId="77777777" w:rsidR="00C07F1B" w:rsidRPr="00404F85" w:rsidRDefault="00C07F1B" w:rsidP="00404F85">
      <w:pPr>
        <w:pStyle w:val="p1"/>
        <w:spacing w:line="360" w:lineRule="auto"/>
        <w:divId w:val="4944072"/>
        <w:rPr>
          <w:rFonts w:ascii="Arial" w:hAnsi="Arial" w:cs="Arial"/>
          <w:sz w:val="22"/>
          <w:szCs w:val="22"/>
        </w:rPr>
      </w:pPr>
      <w:r w:rsidRPr="00404F85">
        <w:rPr>
          <w:rStyle w:val="s1"/>
          <w:rFonts w:ascii="Arial" w:hAnsi="Arial" w:cs="Arial"/>
          <w:sz w:val="22"/>
          <w:szCs w:val="22"/>
        </w:rPr>
        <w:t>Several policies support diabetes management in the UK. NICE guidelines (2022) recommend personalised care plans, annual health checks, and structured education for individuals with T2DM. The NHS Long Term Plan (NHS England, 2019) also promotes prevention, integrated healthcare services, and community support programmes for chronic illnesses.</w:t>
      </w:r>
    </w:p>
    <w:p w14:paraId="2DDD15D0" w14:textId="77777777" w:rsidR="00C07F1B" w:rsidRPr="00404F85" w:rsidRDefault="00C07F1B" w:rsidP="00404F85">
      <w:pPr>
        <w:pStyle w:val="p2"/>
        <w:spacing w:line="360" w:lineRule="auto"/>
        <w:divId w:val="4944072"/>
        <w:rPr>
          <w:rFonts w:ascii="Arial" w:hAnsi="Arial" w:cs="Arial"/>
          <w:sz w:val="22"/>
          <w:szCs w:val="22"/>
        </w:rPr>
      </w:pPr>
    </w:p>
    <w:p w14:paraId="637B0DED" w14:textId="17308AFC" w:rsidR="002865F5" w:rsidRDefault="00C07F1B" w:rsidP="00FE1B50">
      <w:pPr>
        <w:pStyle w:val="p1"/>
        <w:spacing w:line="360" w:lineRule="auto"/>
        <w:divId w:val="4944072"/>
        <w:rPr>
          <w:rStyle w:val="s1"/>
          <w:rFonts w:ascii="Arial" w:hAnsi="Arial" w:cs="Arial"/>
          <w:sz w:val="22"/>
          <w:szCs w:val="22"/>
        </w:rPr>
      </w:pPr>
      <w:r w:rsidRPr="00404F85">
        <w:rPr>
          <w:rStyle w:val="s1"/>
          <w:rFonts w:ascii="Arial" w:hAnsi="Arial" w:cs="Arial"/>
          <w:sz w:val="22"/>
          <w:szCs w:val="22"/>
        </w:rPr>
        <w:t>The Equality Act 2010 supports equal access to healthcare services and protects individuals with chronic conditions from discrimination. These policies aim to improve healthcare outcomes and reduce inequalities among vulnerable populations.</w:t>
      </w:r>
    </w:p>
    <w:p w14:paraId="7EFC3F74" w14:textId="77777777" w:rsidR="00FE1B50" w:rsidRPr="00404F85" w:rsidRDefault="00FE1B50" w:rsidP="00FE1B50">
      <w:pPr>
        <w:pStyle w:val="p1"/>
        <w:spacing w:line="360" w:lineRule="auto"/>
        <w:divId w:val="4944072"/>
        <w:rPr>
          <w:rFonts w:ascii="Arial" w:hAnsi="Arial" w:cs="Arial"/>
          <w:sz w:val="22"/>
          <w:szCs w:val="22"/>
        </w:rPr>
      </w:pPr>
    </w:p>
    <w:p w14:paraId="02D216F1" w14:textId="77777777" w:rsidR="00515E65" w:rsidRPr="00FE1B50" w:rsidRDefault="002865F5" w:rsidP="00FE1B50">
      <w:pPr>
        <w:pStyle w:val="Heading5"/>
      </w:pPr>
      <w:r w:rsidRPr="00FE1B50">
        <w:rPr>
          <w:rStyle w:val="Strong"/>
          <w:rFonts w:ascii="Arial" w:hAnsi="Arial" w:cs="Arial"/>
          <w:sz w:val="32"/>
          <w:szCs w:val="32"/>
        </w:rPr>
        <w:t>Positive and Negative Implications:</w:t>
      </w:r>
    </w:p>
    <w:p w14:paraId="5E1D0C86" w14:textId="77777777" w:rsidR="006116D8" w:rsidRPr="00404F85" w:rsidRDefault="006116D8" w:rsidP="00404F85">
      <w:pPr>
        <w:pStyle w:val="p1"/>
        <w:spacing w:line="360" w:lineRule="auto"/>
        <w:divId w:val="182325698"/>
        <w:rPr>
          <w:rFonts w:ascii="Arial" w:hAnsi="Arial" w:cs="Arial"/>
          <w:sz w:val="22"/>
          <w:szCs w:val="22"/>
        </w:rPr>
      </w:pPr>
      <w:r w:rsidRPr="00404F85">
        <w:rPr>
          <w:rStyle w:val="s1"/>
          <w:rFonts w:ascii="Arial" w:hAnsi="Arial" w:cs="Arial"/>
          <w:sz w:val="22"/>
          <w:szCs w:val="22"/>
        </w:rPr>
        <w:t xml:space="preserve">There are several positive implications associated with effective management of Type 2 Diabetes Mellitus (T2DM) among older adults. Early intervention, regular blood glucose monitoring, healthy lifestyle changes, and personalised care plans can reduce the risk of complications such as cardiovascular disease, neuropathy, and kidney damage (NICE, 2022). Effective diabetes management may also improve quality of life, </w:t>
      </w:r>
      <w:bookmarkStart w:id="184" w:name="_Int_FkoWKxd6"/>
      <w:r w:rsidRPr="00404F85">
        <w:rPr>
          <w:rStyle w:val="s1"/>
          <w:rFonts w:ascii="Arial" w:hAnsi="Arial" w:cs="Arial"/>
          <w:sz w:val="22"/>
          <w:szCs w:val="22"/>
        </w:rPr>
        <w:t>maintain</w:t>
      </w:r>
      <w:bookmarkEnd w:id="184"/>
      <w:r w:rsidRPr="00404F85">
        <w:rPr>
          <w:rStyle w:val="s1"/>
          <w:rFonts w:ascii="Arial" w:hAnsi="Arial" w:cs="Arial"/>
          <w:sz w:val="22"/>
          <w:szCs w:val="22"/>
        </w:rPr>
        <w:t xml:space="preserve"> independence, and reduce hospital admissions. In addition, patient education and community support programmes can help older adults better understand their condition and improve self-management skills.</w:t>
      </w:r>
    </w:p>
    <w:p w14:paraId="1B76644C" w14:textId="77777777" w:rsidR="006116D8" w:rsidRPr="00404F85" w:rsidRDefault="006116D8" w:rsidP="00404F85">
      <w:pPr>
        <w:pStyle w:val="p2"/>
        <w:spacing w:line="360" w:lineRule="auto"/>
        <w:divId w:val="182325698"/>
        <w:rPr>
          <w:rFonts w:ascii="Arial" w:hAnsi="Arial" w:cs="Arial"/>
          <w:sz w:val="22"/>
          <w:szCs w:val="22"/>
        </w:rPr>
      </w:pPr>
    </w:p>
    <w:p w14:paraId="27F27580" w14:textId="77777777" w:rsidR="006116D8" w:rsidRPr="00404F85" w:rsidRDefault="006116D8" w:rsidP="00404F85">
      <w:pPr>
        <w:pStyle w:val="p1"/>
        <w:spacing w:line="360" w:lineRule="auto"/>
        <w:divId w:val="182325698"/>
        <w:rPr>
          <w:rFonts w:ascii="Arial" w:hAnsi="Arial" w:cs="Arial"/>
          <w:sz w:val="22"/>
          <w:szCs w:val="22"/>
        </w:rPr>
      </w:pPr>
      <w:r w:rsidRPr="00404F85">
        <w:rPr>
          <w:rStyle w:val="s1"/>
          <w:rFonts w:ascii="Arial" w:hAnsi="Arial" w:cs="Arial"/>
          <w:sz w:val="22"/>
          <w:szCs w:val="22"/>
        </w:rPr>
        <w:t xml:space="preserve">However, there are also negative implications. Many older adults experience difficulties managing diabetes due to frailty, cognitive decline, poor mobility, or multiple long-term health conditions (Sinclair et al., 2020). Some individuals may struggle with medication adherence, </w:t>
      </w:r>
      <w:bookmarkStart w:id="185" w:name="_Int_WiqAoEYn"/>
      <w:r w:rsidRPr="00404F85">
        <w:rPr>
          <w:rStyle w:val="s1"/>
          <w:rFonts w:ascii="Arial" w:hAnsi="Arial" w:cs="Arial"/>
          <w:sz w:val="22"/>
          <w:szCs w:val="22"/>
        </w:rPr>
        <w:t>maintaining</w:t>
      </w:r>
      <w:bookmarkEnd w:id="185"/>
      <w:r w:rsidRPr="00404F85">
        <w:rPr>
          <w:rStyle w:val="s1"/>
          <w:rFonts w:ascii="Arial" w:hAnsi="Arial" w:cs="Arial"/>
          <w:sz w:val="22"/>
          <w:szCs w:val="22"/>
        </w:rPr>
        <w:t xml:space="preserve"> healthy diets, or participating in regular physical activity. Financial difficulties and health inequalities within Birmingham may also limit access to healthcare services, diabetes education, and support programmes. Furthermore, poor diabetes management can increase pressure on NHS and social care services through rising hospital admissions and long-term care needs.</w:t>
      </w:r>
    </w:p>
    <w:p w14:paraId="1B928AB1" w14:textId="77777777" w:rsidR="006116D8" w:rsidRPr="00404F85" w:rsidRDefault="006116D8" w:rsidP="00404F85">
      <w:pPr>
        <w:pStyle w:val="p2"/>
        <w:spacing w:line="360" w:lineRule="auto"/>
        <w:divId w:val="182325698"/>
        <w:rPr>
          <w:rFonts w:ascii="Arial" w:hAnsi="Arial" w:cs="Arial"/>
          <w:sz w:val="22"/>
          <w:szCs w:val="22"/>
        </w:rPr>
      </w:pPr>
    </w:p>
    <w:p w14:paraId="6E90B55A" w14:textId="3DB70E6C" w:rsidR="00FF26D2" w:rsidRDefault="006116D8" w:rsidP="00FE1B50">
      <w:pPr>
        <w:pStyle w:val="p1"/>
        <w:spacing w:line="360" w:lineRule="auto"/>
        <w:divId w:val="182325698"/>
        <w:rPr>
          <w:rStyle w:val="s1"/>
          <w:rFonts w:ascii="Arial" w:hAnsi="Arial" w:cs="Arial"/>
          <w:sz w:val="22"/>
          <w:szCs w:val="22"/>
        </w:rPr>
      </w:pPr>
      <w:r w:rsidRPr="00404F85">
        <w:rPr>
          <w:rStyle w:val="s1"/>
          <w:rFonts w:ascii="Arial" w:hAnsi="Arial" w:cs="Arial"/>
          <w:sz w:val="22"/>
          <w:szCs w:val="22"/>
        </w:rPr>
        <w:t xml:space="preserve">Overall, these positive and negative implications </w:t>
      </w:r>
      <w:bookmarkStart w:id="186" w:name="_Int_uNBMZH4X"/>
      <w:r w:rsidRPr="00404F85">
        <w:rPr>
          <w:rStyle w:val="s1"/>
          <w:rFonts w:ascii="Arial" w:hAnsi="Arial" w:cs="Arial"/>
          <w:sz w:val="22"/>
          <w:szCs w:val="22"/>
        </w:rPr>
        <w:t>demonstrate</w:t>
      </w:r>
      <w:bookmarkEnd w:id="186"/>
      <w:r w:rsidRPr="00404F85">
        <w:rPr>
          <w:rStyle w:val="s1"/>
          <w:rFonts w:ascii="Arial" w:hAnsi="Arial" w:cs="Arial"/>
          <w:sz w:val="22"/>
          <w:szCs w:val="22"/>
        </w:rPr>
        <w:t xml:space="preserve"> the importance of accessible, personalised, and integrated diabetes care for older adults living in Birmingham.</w:t>
      </w:r>
    </w:p>
    <w:p w14:paraId="1D75B169" w14:textId="77777777" w:rsidR="00ED3FA4" w:rsidRDefault="00ED3FA4" w:rsidP="00ED3FA4">
      <w:pPr>
        <w:pStyle w:val="Heading2"/>
        <w:divId w:val="182325698"/>
        <w:rPr>
          <w:rStyle w:val="s1"/>
          <w:rFonts w:ascii="Arial" w:hAnsi="Arial" w:cs="Arial"/>
          <w:b/>
          <w:bCs/>
          <w:sz w:val="32"/>
          <w:szCs w:val="32"/>
        </w:rPr>
      </w:pPr>
    </w:p>
    <w:p w14:paraId="5CF3D175" w14:textId="5EB06C1C" w:rsidR="005F334C" w:rsidRPr="00ED3FA4" w:rsidRDefault="00B76387" w:rsidP="00ED3FA4">
      <w:pPr>
        <w:pStyle w:val="Heading2"/>
        <w:divId w:val="182325698"/>
        <w:rPr>
          <w:rFonts w:ascii="Arial" w:hAnsi="Arial" w:cs="Arial"/>
          <w:b/>
          <w:sz w:val="32"/>
          <w:szCs w:val="32"/>
        </w:rPr>
      </w:pPr>
      <w:r w:rsidRPr="00ED3FA4">
        <w:rPr>
          <w:rStyle w:val="s1"/>
          <w:rFonts w:ascii="Arial" w:hAnsi="Arial" w:cs="Arial"/>
          <w:b/>
          <w:sz w:val="32"/>
          <w:szCs w:val="32"/>
        </w:rPr>
        <w:t xml:space="preserve">Example from your </w:t>
      </w:r>
      <w:r w:rsidR="0027360F" w:rsidRPr="00ED3FA4">
        <w:rPr>
          <w:rStyle w:val="s1"/>
          <w:rFonts w:ascii="Arial" w:hAnsi="Arial" w:cs="Arial"/>
          <w:b/>
          <w:sz w:val="32"/>
          <w:szCs w:val="32"/>
        </w:rPr>
        <w:t>Articles</w:t>
      </w:r>
    </w:p>
    <w:p w14:paraId="0215EBDA" w14:textId="77777777" w:rsidR="003001FF" w:rsidRPr="00590056" w:rsidRDefault="003001FF" w:rsidP="00590056">
      <w:pPr>
        <w:pStyle w:val="p1"/>
        <w:spacing w:line="360" w:lineRule="auto"/>
        <w:divId w:val="1233200861"/>
        <w:rPr>
          <w:rFonts w:ascii="Arial" w:hAnsi="Arial" w:cs="Arial"/>
          <w:sz w:val="22"/>
          <w:szCs w:val="22"/>
        </w:rPr>
      </w:pPr>
      <w:r w:rsidRPr="00590056">
        <w:rPr>
          <w:rFonts w:ascii="Arial" w:hAnsi="Arial" w:cs="Arial"/>
          <w:sz w:val="22"/>
          <w:szCs w:val="22"/>
        </w:rPr>
        <w:t xml:space="preserve">Several studies included in the literature review provide </w:t>
      </w:r>
      <w:bookmarkStart w:id="187" w:name="_Int_rDP8cGHH"/>
      <w:r w:rsidRPr="00590056">
        <w:rPr>
          <w:rFonts w:ascii="Arial" w:hAnsi="Arial" w:cs="Arial"/>
          <w:sz w:val="22"/>
          <w:szCs w:val="22"/>
        </w:rPr>
        <w:t>strong evidence</w:t>
      </w:r>
      <w:bookmarkEnd w:id="187"/>
      <w:r w:rsidRPr="00590056">
        <w:rPr>
          <w:rFonts w:ascii="Arial" w:hAnsi="Arial" w:cs="Arial"/>
          <w:sz w:val="22"/>
          <w:szCs w:val="22"/>
        </w:rPr>
        <w:t xml:space="preserve"> supporting the importance of effective diabetes management among older adults.</w:t>
      </w:r>
    </w:p>
    <w:p w14:paraId="1E05CAF0" w14:textId="77777777" w:rsidR="003001FF" w:rsidRPr="00590056" w:rsidRDefault="003001FF" w:rsidP="00590056">
      <w:pPr>
        <w:pStyle w:val="p1"/>
        <w:spacing w:line="360" w:lineRule="auto"/>
        <w:divId w:val="1233200861"/>
        <w:rPr>
          <w:rFonts w:ascii="Arial" w:hAnsi="Arial" w:cs="Arial"/>
          <w:sz w:val="22"/>
          <w:szCs w:val="22"/>
        </w:rPr>
      </w:pPr>
      <w:r w:rsidRPr="00590056">
        <w:rPr>
          <w:rFonts w:ascii="Arial" w:hAnsi="Arial" w:cs="Arial"/>
          <w:sz w:val="22"/>
          <w:szCs w:val="22"/>
        </w:rPr>
        <w:t>Sinclair et al. (2020) found that personalised diabetes care plans improved glycaemic control and reduced the risk of complications. The authors argued that treatment goals should be adapted according to the individual’s age, health status, and level of independence. This finding supports the need for patient-centred care within Birmingham’s ageing population.</w:t>
      </w:r>
    </w:p>
    <w:p w14:paraId="5F470A44" w14:textId="77777777" w:rsidR="003001FF" w:rsidRPr="00590056" w:rsidRDefault="003001FF" w:rsidP="00590056">
      <w:pPr>
        <w:pStyle w:val="p1"/>
        <w:spacing w:line="360" w:lineRule="auto"/>
        <w:divId w:val="1233200861"/>
        <w:rPr>
          <w:rFonts w:ascii="Arial" w:hAnsi="Arial" w:cs="Arial"/>
          <w:sz w:val="22"/>
          <w:szCs w:val="22"/>
        </w:rPr>
      </w:pPr>
      <w:r w:rsidRPr="00590056">
        <w:rPr>
          <w:rFonts w:ascii="Arial" w:hAnsi="Arial" w:cs="Arial"/>
          <w:sz w:val="22"/>
          <w:szCs w:val="22"/>
        </w:rPr>
        <w:t>Similarly, Diabetes UK (2023) highlighted the benefits of lifestyle interventions, including healthy eating, weight management, and regular physical activity. The report suggested that individuals who actively engage in self-management are more likely to achieve improved blood glucose control and experience fewer diabetes-related complications.</w:t>
      </w:r>
    </w:p>
    <w:p w14:paraId="4361C292" w14:textId="0412E55A" w:rsidR="003001FF" w:rsidRPr="00590056" w:rsidRDefault="003001FF" w:rsidP="00590056">
      <w:pPr>
        <w:pStyle w:val="p1"/>
        <w:spacing w:line="360" w:lineRule="auto"/>
        <w:divId w:val="1233200861"/>
        <w:rPr>
          <w:rFonts w:ascii="Arial" w:hAnsi="Arial" w:cs="Arial"/>
          <w:sz w:val="22"/>
          <w:szCs w:val="22"/>
        </w:rPr>
      </w:pPr>
      <w:r w:rsidRPr="00590056">
        <w:rPr>
          <w:rFonts w:ascii="Arial" w:hAnsi="Arial" w:cs="Arial"/>
          <w:sz w:val="22"/>
          <w:szCs w:val="22"/>
        </w:rPr>
        <w:t xml:space="preserve">NHS England (2019) also emphasised the value of integrated healthcare services. The NHS Long Term Plan promotes collaboration between healthcare professionals, social care providers, and community organisations to support people living with long-term conditions. The report concluded that coordinated care </w:t>
      </w:r>
      <w:r w:rsidR="000608DE" w:rsidRPr="00590056">
        <w:rPr>
          <w:rFonts w:ascii="Arial" w:hAnsi="Arial" w:cs="Arial"/>
          <w:sz w:val="22"/>
          <w:szCs w:val="22"/>
        </w:rPr>
        <w:t>could</w:t>
      </w:r>
      <w:r w:rsidRPr="00590056">
        <w:rPr>
          <w:rFonts w:ascii="Arial" w:hAnsi="Arial" w:cs="Arial"/>
          <w:sz w:val="22"/>
          <w:szCs w:val="22"/>
        </w:rPr>
        <w:t xml:space="preserve"> reduce hospital admissions and improve patient experiences.</w:t>
      </w:r>
    </w:p>
    <w:p w14:paraId="18723C26" w14:textId="77777777" w:rsidR="003001FF" w:rsidRPr="00590056" w:rsidRDefault="003001FF" w:rsidP="00590056">
      <w:pPr>
        <w:pStyle w:val="p1"/>
        <w:spacing w:line="360" w:lineRule="auto"/>
        <w:divId w:val="1233200861"/>
        <w:rPr>
          <w:rFonts w:ascii="Arial" w:hAnsi="Arial" w:cs="Arial"/>
          <w:sz w:val="22"/>
          <w:szCs w:val="22"/>
        </w:rPr>
      </w:pPr>
      <w:r w:rsidRPr="00590056">
        <w:rPr>
          <w:rFonts w:ascii="Arial" w:hAnsi="Arial" w:cs="Arial"/>
          <w:sz w:val="22"/>
          <w:szCs w:val="22"/>
        </w:rPr>
        <w:t xml:space="preserve">Although these sources </w:t>
      </w:r>
      <w:bookmarkStart w:id="188" w:name="_Int_sDgPRkfx"/>
      <w:r w:rsidRPr="00590056">
        <w:rPr>
          <w:rFonts w:ascii="Arial" w:hAnsi="Arial" w:cs="Arial"/>
          <w:sz w:val="22"/>
          <w:szCs w:val="22"/>
        </w:rPr>
        <w:t>generally agree</w:t>
      </w:r>
      <w:bookmarkEnd w:id="188"/>
      <w:r w:rsidRPr="00590056">
        <w:rPr>
          <w:rFonts w:ascii="Arial" w:hAnsi="Arial" w:cs="Arial"/>
          <w:sz w:val="22"/>
          <w:szCs w:val="22"/>
        </w:rPr>
        <w:t xml:space="preserve"> on the importance of early intervention and self-management, some differences exist </w:t>
      </w:r>
      <w:bookmarkStart w:id="189" w:name="_Int_ybk8Jtj5"/>
      <w:r w:rsidRPr="00590056">
        <w:rPr>
          <w:rFonts w:ascii="Arial" w:hAnsi="Arial" w:cs="Arial"/>
          <w:sz w:val="22"/>
          <w:szCs w:val="22"/>
        </w:rPr>
        <w:t>regarding</w:t>
      </w:r>
      <w:bookmarkEnd w:id="189"/>
      <w:r w:rsidRPr="00590056">
        <w:rPr>
          <w:rFonts w:ascii="Arial" w:hAnsi="Arial" w:cs="Arial"/>
          <w:sz w:val="22"/>
          <w:szCs w:val="22"/>
        </w:rPr>
        <w:t xml:space="preserve"> implementation. While lifestyle modification </w:t>
      </w:r>
      <w:bookmarkStart w:id="190" w:name="_Int_TasyTSNQ"/>
      <w:r w:rsidRPr="00590056">
        <w:rPr>
          <w:rFonts w:ascii="Arial" w:hAnsi="Arial" w:cs="Arial"/>
          <w:sz w:val="22"/>
          <w:szCs w:val="22"/>
        </w:rPr>
        <w:t>is widely recognised</w:t>
      </w:r>
      <w:bookmarkEnd w:id="190"/>
      <w:r w:rsidRPr="00590056">
        <w:rPr>
          <w:rFonts w:ascii="Arial" w:hAnsi="Arial" w:cs="Arial"/>
          <w:sz w:val="22"/>
          <w:szCs w:val="22"/>
        </w:rPr>
        <w:t xml:space="preserve"> as effective, some researchers acknowledge that older adults may face barriers such as mobility limitations, cognitive decline, and social isolation. Therefore, management strategies must be flexible and adapted to individual circumstances.</w:t>
      </w:r>
    </w:p>
    <w:p w14:paraId="0E95BEFF" w14:textId="46E46AC9" w:rsidR="00FF26D2" w:rsidRPr="00ED3FA4" w:rsidRDefault="003001FF" w:rsidP="00ED3FA4">
      <w:pPr>
        <w:pStyle w:val="p2"/>
        <w:spacing w:line="360" w:lineRule="auto"/>
        <w:rPr>
          <w:rFonts w:ascii="Arial" w:hAnsi="Arial" w:cs="Arial"/>
          <w:sz w:val="22"/>
          <w:szCs w:val="22"/>
        </w:rPr>
      </w:pPr>
      <w:r w:rsidRPr="00590056">
        <w:rPr>
          <w:rFonts w:ascii="Arial" w:hAnsi="Arial" w:cs="Arial"/>
          <w:sz w:val="22"/>
          <w:szCs w:val="22"/>
        </w:rPr>
        <w:t xml:space="preserve">Together, these studies </w:t>
      </w:r>
      <w:bookmarkStart w:id="191" w:name="_Int_oD3tAN3H"/>
      <w:r w:rsidRPr="00590056">
        <w:rPr>
          <w:rFonts w:ascii="Arial" w:hAnsi="Arial" w:cs="Arial"/>
          <w:sz w:val="22"/>
          <w:szCs w:val="22"/>
        </w:rPr>
        <w:t>demonstrate</w:t>
      </w:r>
      <w:bookmarkEnd w:id="191"/>
      <w:r w:rsidRPr="00590056">
        <w:rPr>
          <w:rFonts w:ascii="Arial" w:hAnsi="Arial" w:cs="Arial"/>
          <w:sz w:val="22"/>
          <w:szCs w:val="22"/>
        </w:rPr>
        <w:t xml:space="preserve"> that successful diabetes management </w:t>
      </w:r>
      <w:r w:rsidR="00D95474" w:rsidRPr="00590056">
        <w:rPr>
          <w:rFonts w:ascii="Arial" w:hAnsi="Arial" w:cs="Arial"/>
          <w:sz w:val="22"/>
          <w:szCs w:val="22"/>
        </w:rPr>
        <w:t>needs</w:t>
      </w:r>
      <w:r w:rsidRPr="00590056">
        <w:rPr>
          <w:rFonts w:ascii="Arial" w:hAnsi="Arial" w:cs="Arial"/>
          <w:sz w:val="22"/>
          <w:szCs w:val="22"/>
        </w:rPr>
        <w:t xml:space="preserve"> both medical intervention and wider social support. These findings help answer the research question by showing how </w:t>
      </w:r>
      <w:bookmarkStart w:id="192" w:name="_Int_uU926MbV"/>
      <w:r w:rsidRPr="00590056">
        <w:rPr>
          <w:rFonts w:ascii="Arial" w:hAnsi="Arial" w:cs="Arial"/>
          <w:sz w:val="22"/>
          <w:szCs w:val="22"/>
        </w:rPr>
        <w:t>appropriate management</w:t>
      </w:r>
      <w:bookmarkEnd w:id="192"/>
      <w:r w:rsidRPr="00590056">
        <w:rPr>
          <w:rFonts w:ascii="Arial" w:hAnsi="Arial" w:cs="Arial"/>
          <w:sz w:val="22"/>
          <w:szCs w:val="22"/>
        </w:rPr>
        <w:t xml:space="preserve"> strategies can reduce the long-term health impacts of T2DM among older adults.</w:t>
      </w:r>
    </w:p>
    <w:p w14:paraId="0AD9FEAE" w14:textId="23D2DF01" w:rsidR="00FE5C58" w:rsidRPr="00404F85" w:rsidRDefault="00FE5C58" w:rsidP="00404F85">
      <w:pPr>
        <w:pStyle w:val="Heading4"/>
        <w:rPr>
          <w:rFonts w:ascii="Arial" w:hAnsi="Arial" w:cs="Arial"/>
        </w:rPr>
      </w:pPr>
    </w:p>
    <w:p w14:paraId="0EC9D0CD" w14:textId="77777777" w:rsidR="00FE5C58" w:rsidRPr="00404F85" w:rsidRDefault="00FE5C58" w:rsidP="00404F85">
      <w:pPr>
        <w:rPr>
          <w:rFonts w:ascii="Arial" w:hAnsi="Arial" w:cs="Arial"/>
        </w:rPr>
      </w:pPr>
    </w:p>
    <w:p w14:paraId="5A38C502" w14:textId="29C110E0" w:rsidR="001C6F5F" w:rsidRPr="00BE4BB6" w:rsidRDefault="001C6F5F" w:rsidP="00FC5E80">
      <w:pPr>
        <w:pStyle w:val="Heading4"/>
        <w:divId w:val="1830246984"/>
        <w:rPr>
          <w:rFonts w:ascii="Arial" w:hAnsi="Arial" w:cs="Arial"/>
          <w:b/>
          <w:i w:val="0"/>
          <w:sz w:val="32"/>
          <w:szCs w:val="32"/>
        </w:rPr>
      </w:pPr>
      <w:r w:rsidRPr="00BE4BB6">
        <w:rPr>
          <w:rFonts w:ascii="Arial" w:hAnsi="Arial" w:cs="Arial"/>
          <w:b/>
          <w:i w:val="0"/>
          <w:sz w:val="32"/>
          <w:szCs w:val="32"/>
        </w:rPr>
        <w:t>Connections to Other Themes</w:t>
      </w:r>
    </w:p>
    <w:p w14:paraId="3B96A905" w14:textId="32AE7110" w:rsidR="009545B6" w:rsidRPr="00395CD1" w:rsidRDefault="009545B6" w:rsidP="00395CD1">
      <w:pPr>
        <w:pStyle w:val="p1"/>
        <w:spacing w:line="360" w:lineRule="auto"/>
        <w:divId w:val="570962829"/>
        <w:rPr>
          <w:rFonts w:ascii="Arial" w:hAnsi="Arial" w:cs="Arial"/>
          <w:sz w:val="22"/>
          <w:szCs w:val="22"/>
        </w:rPr>
      </w:pPr>
      <w:r w:rsidRPr="00395CD1">
        <w:rPr>
          <w:rFonts w:ascii="Arial" w:hAnsi="Arial" w:cs="Arial"/>
          <w:sz w:val="22"/>
          <w:szCs w:val="22"/>
        </w:rPr>
        <w:t xml:space="preserve">This theme has strong links with both </w:t>
      </w:r>
      <w:bookmarkStart w:id="193" w:name="_Int_L9PlqXaU"/>
      <w:r w:rsidRPr="00395CD1">
        <w:rPr>
          <w:rFonts w:ascii="Arial" w:hAnsi="Arial" w:cs="Arial"/>
          <w:sz w:val="22"/>
          <w:szCs w:val="22"/>
        </w:rPr>
        <w:t>previous</w:t>
      </w:r>
      <w:bookmarkEnd w:id="193"/>
      <w:r w:rsidRPr="00395CD1">
        <w:rPr>
          <w:rFonts w:ascii="Arial" w:hAnsi="Arial" w:cs="Arial"/>
          <w:sz w:val="22"/>
          <w:szCs w:val="22"/>
        </w:rPr>
        <w:t xml:space="preserve"> themes </w:t>
      </w:r>
      <w:bookmarkStart w:id="194" w:name="_Int_X0gux2uL"/>
      <w:r w:rsidRPr="00395CD1">
        <w:rPr>
          <w:rFonts w:ascii="Arial" w:hAnsi="Arial" w:cs="Arial"/>
          <w:sz w:val="22"/>
          <w:szCs w:val="22"/>
        </w:rPr>
        <w:t>identified</w:t>
      </w:r>
      <w:bookmarkEnd w:id="194"/>
      <w:r w:rsidRPr="00395CD1">
        <w:rPr>
          <w:rFonts w:ascii="Arial" w:hAnsi="Arial" w:cs="Arial"/>
          <w:sz w:val="22"/>
          <w:szCs w:val="22"/>
        </w:rPr>
        <w:t xml:space="preserve"> within the study. Theme One </w:t>
      </w:r>
      <w:bookmarkStart w:id="195" w:name="_Int_nQHMEojW"/>
      <w:r w:rsidRPr="00395CD1">
        <w:rPr>
          <w:rFonts w:ascii="Arial" w:hAnsi="Arial" w:cs="Arial"/>
          <w:sz w:val="22"/>
          <w:szCs w:val="22"/>
        </w:rPr>
        <w:t>demonstrated</w:t>
      </w:r>
      <w:bookmarkEnd w:id="195"/>
      <w:r w:rsidRPr="00395CD1">
        <w:rPr>
          <w:rFonts w:ascii="Arial" w:hAnsi="Arial" w:cs="Arial"/>
          <w:sz w:val="22"/>
          <w:szCs w:val="22"/>
        </w:rPr>
        <w:t xml:space="preserve"> how physiological mechanisms such as insulin resistance, beta-cell dysfunction, and chronic inflammation contribute to the development of T2DM. Understanding these biological processes allows healthcare professionals to select </w:t>
      </w:r>
      <w:r w:rsidR="0042267F" w:rsidRPr="00395CD1">
        <w:rPr>
          <w:rFonts w:ascii="Arial" w:hAnsi="Arial" w:cs="Arial"/>
          <w:sz w:val="22"/>
          <w:szCs w:val="22"/>
        </w:rPr>
        <w:t>proper treatment</w:t>
      </w:r>
      <w:r w:rsidRPr="00395CD1">
        <w:rPr>
          <w:rFonts w:ascii="Arial" w:hAnsi="Arial" w:cs="Arial"/>
          <w:sz w:val="22"/>
          <w:szCs w:val="22"/>
        </w:rPr>
        <w:t xml:space="preserve"> and management strategies.</w:t>
      </w:r>
    </w:p>
    <w:p w14:paraId="1DDEF00C" w14:textId="77777777" w:rsidR="009545B6" w:rsidRPr="00395CD1" w:rsidRDefault="009545B6" w:rsidP="00395CD1">
      <w:pPr>
        <w:pStyle w:val="p1"/>
        <w:spacing w:line="360" w:lineRule="auto"/>
        <w:divId w:val="570962829"/>
        <w:rPr>
          <w:rFonts w:ascii="Arial" w:hAnsi="Arial" w:cs="Arial"/>
          <w:sz w:val="22"/>
          <w:szCs w:val="22"/>
        </w:rPr>
      </w:pPr>
      <w:r w:rsidRPr="00395CD1">
        <w:rPr>
          <w:rFonts w:ascii="Arial" w:hAnsi="Arial" w:cs="Arial"/>
          <w:sz w:val="22"/>
          <w:szCs w:val="22"/>
        </w:rPr>
        <w:t xml:space="preserve">Theme Two explored the long-term complications associated with T2DM, including cardiovascular disease, neuropathy, nephropathy, and reduced functional independence. The management approaches discussed within this theme </w:t>
      </w:r>
      <w:bookmarkStart w:id="196" w:name="_Int_IrDCinnW"/>
      <w:r w:rsidRPr="00395CD1">
        <w:rPr>
          <w:rFonts w:ascii="Arial" w:hAnsi="Arial" w:cs="Arial"/>
          <w:sz w:val="22"/>
          <w:szCs w:val="22"/>
        </w:rPr>
        <w:t>are designed</w:t>
      </w:r>
      <w:bookmarkEnd w:id="196"/>
      <w:r w:rsidRPr="00395CD1">
        <w:rPr>
          <w:rFonts w:ascii="Arial" w:hAnsi="Arial" w:cs="Arial"/>
          <w:sz w:val="22"/>
          <w:szCs w:val="22"/>
        </w:rPr>
        <w:t xml:space="preserve"> to prevent or delay the development of these complications.</w:t>
      </w:r>
    </w:p>
    <w:p w14:paraId="36B1F7EB" w14:textId="6C47CAA4" w:rsidR="00BD0949" w:rsidRPr="00C77DB2" w:rsidRDefault="009545B6" w:rsidP="00C77DB2">
      <w:pPr>
        <w:pStyle w:val="p2"/>
        <w:spacing w:line="360" w:lineRule="auto"/>
        <w:rPr>
          <w:rFonts w:ascii="Arial" w:hAnsi="Arial" w:cs="Arial"/>
          <w:sz w:val="22"/>
          <w:szCs w:val="22"/>
        </w:rPr>
      </w:pPr>
      <w:r w:rsidRPr="00395CD1">
        <w:rPr>
          <w:rFonts w:ascii="Arial" w:hAnsi="Arial" w:cs="Arial"/>
          <w:sz w:val="22"/>
          <w:szCs w:val="22"/>
        </w:rPr>
        <w:t xml:space="preserve">Therefore, all three themes </w:t>
      </w:r>
      <w:bookmarkStart w:id="197" w:name="_Int_Blcbkrd4"/>
      <w:r w:rsidRPr="00395CD1">
        <w:rPr>
          <w:rFonts w:ascii="Arial" w:hAnsi="Arial" w:cs="Arial"/>
          <w:sz w:val="22"/>
          <w:szCs w:val="22"/>
        </w:rPr>
        <w:t>are interconnected</w:t>
      </w:r>
      <w:bookmarkEnd w:id="197"/>
      <w:r w:rsidRPr="00395CD1">
        <w:rPr>
          <w:rFonts w:ascii="Arial" w:hAnsi="Arial" w:cs="Arial"/>
          <w:sz w:val="22"/>
          <w:szCs w:val="22"/>
        </w:rPr>
        <w:t>. The physiological mechanisms lead to disease progression, long-term complications result from poor metabolic control, and effective management strategies help reduce these negative outcomes. Collectively, the findings highlight the importance of early diagnosis, personalised care, patient education, and integrated health and social care services in improving the health and wellbeing of older adults living with T2DM in Birmingham.</w:t>
      </w:r>
    </w:p>
    <w:p w14:paraId="2FD27192" w14:textId="77777777" w:rsidR="00BD0949" w:rsidRPr="00BD0949" w:rsidRDefault="00BD0949" w:rsidP="00BD0949"/>
    <w:p w14:paraId="0B7345EE" w14:textId="3D037C6A" w:rsidR="001C3AF6" w:rsidRPr="00404F85" w:rsidRDefault="001C3AF6" w:rsidP="00404F85">
      <w:pPr>
        <w:pStyle w:val="Heading2"/>
        <w:rPr>
          <w:rFonts w:ascii="Arial" w:hAnsi="Arial" w:cs="Arial"/>
          <w:sz w:val="22"/>
          <w:szCs w:val="22"/>
        </w:rPr>
      </w:pPr>
      <w:r w:rsidRPr="001B6CA8">
        <w:rPr>
          <w:rFonts w:ascii="Arial" w:hAnsi="Arial" w:cs="Arial"/>
          <w:sz w:val="32"/>
          <w:szCs w:val="32"/>
        </w:rPr>
        <w:t>4.6 – Chapter Conclusion</w:t>
      </w:r>
      <w:r w:rsidRPr="00404F85">
        <w:rPr>
          <w:rFonts w:ascii="Arial" w:hAnsi="Arial" w:cs="Arial"/>
          <w:sz w:val="22"/>
          <w:szCs w:val="22"/>
        </w:rPr>
        <w:t xml:space="preserve"> </w:t>
      </w:r>
    </w:p>
    <w:p w14:paraId="35820398" w14:textId="77777777" w:rsidR="00F2691E" w:rsidRPr="00404F85" w:rsidRDefault="00F2691E" w:rsidP="00404F85">
      <w:pPr>
        <w:rPr>
          <w:rFonts w:ascii="Arial" w:hAnsi="Arial" w:cs="Arial"/>
        </w:rPr>
      </w:pPr>
    </w:p>
    <w:p w14:paraId="35BB77A9" w14:textId="364818B2" w:rsidR="00447EB4" w:rsidRPr="00404F85" w:rsidRDefault="00447EB4" w:rsidP="00404F85">
      <w:pPr>
        <w:pStyle w:val="p1"/>
        <w:spacing w:line="360" w:lineRule="auto"/>
        <w:divId w:val="197353639"/>
        <w:rPr>
          <w:rFonts w:ascii="Arial" w:hAnsi="Arial" w:cs="Arial"/>
          <w:sz w:val="22"/>
          <w:szCs w:val="22"/>
        </w:rPr>
      </w:pPr>
      <w:r w:rsidRPr="00404F85">
        <w:rPr>
          <w:rStyle w:val="s1"/>
          <w:rFonts w:ascii="Arial" w:hAnsi="Arial" w:cs="Arial"/>
          <w:sz w:val="22"/>
          <w:szCs w:val="22"/>
        </w:rPr>
        <w:t xml:space="preserve">This chapter has critically discussed the findings obtained from the thematic analysis of literature relating to Type 2 Diabetes Mellitus (T2DM) in older adults living in Birmingham. Three main themes </w:t>
      </w:r>
      <w:bookmarkStart w:id="198" w:name="_Int_nds7UrSf"/>
      <w:r w:rsidRPr="00404F85">
        <w:rPr>
          <w:rStyle w:val="s1"/>
          <w:rFonts w:ascii="Arial" w:hAnsi="Arial" w:cs="Arial"/>
          <w:sz w:val="22"/>
          <w:szCs w:val="22"/>
        </w:rPr>
        <w:t xml:space="preserve">were </w:t>
      </w:r>
      <w:r w:rsidR="00C1511C" w:rsidRPr="00404F85">
        <w:rPr>
          <w:rStyle w:val="s1"/>
          <w:rFonts w:ascii="Arial" w:hAnsi="Arial" w:cs="Arial"/>
          <w:sz w:val="22"/>
          <w:szCs w:val="22"/>
        </w:rPr>
        <w:t>found</w:t>
      </w:r>
      <w:bookmarkEnd w:id="198"/>
      <w:r w:rsidRPr="00404F85">
        <w:rPr>
          <w:rStyle w:val="s1"/>
          <w:rFonts w:ascii="Arial" w:hAnsi="Arial" w:cs="Arial"/>
          <w:sz w:val="22"/>
          <w:szCs w:val="22"/>
        </w:rPr>
        <w:t xml:space="preserve"> and explored throughout the chapter. The first theme examined the physiological mechanisms of T2DM, including insulin resistance, beta-cell dysfunction, and chronic inflammation. The second theme evaluated the long-term health impacts of T2DM, such as cardiovascular disease, neuropathy, nephropathy, and reduced functional independence. The final theme explored management and support strategies, highlighting the importance of personalised care, early intervention, patient education, and integrated healthcare services.</w:t>
      </w:r>
    </w:p>
    <w:p w14:paraId="73EA55B9" w14:textId="77777777" w:rsidR="00447EB4" w:rsidRPr="00404F85" w:rsidRDefault="00447EB4" w:rsidP="00404F85">
      <w:pPr>
        <w:pStyle w:val="p2"/>
        <w:spacing w:line="360" w:lineRule="auto"/>
        <w:divId w:val="197353639"/>
        <w:rPr>
          <w:rFonts w:ascii="Arial" w:hAnsi="Arial" w:cs="Arial"/>
          <w:sz w:val="22"/>
          <w:szCs w:val="22"/>
        </w:rPr>
      </w:pPr>
    </w:p>
    <w:p w14:paraId="7FE79769" w14:textId="77777777" w:rsidR="00447EB4" w:rsidRPr="00404F85" w:rsidRDefault="00447EB4" w:rsidP="00404F85">
      <w:pPr>
        <w:pStyle w:val="p1"/>
        <w:spacing w:line="360" w:lineRule="auto"/>
        <w:divId w:val="197353639"/>
        <w:rPr>
          <w:rFonts w:ascii="Arial" w:hAnsi="Arial" w:cs="Arial"/>
          <w:sz w:val="22"/>
          <w:szCs w:val="22"/>
        </w:rPr>
      </w:pPr>
      <w:r w:rsidRPr="00404F85">
        <w:rPr>
          <w:rStyle w:val="s1"/>
          <w:rFonts w:ascii="Arial" w:hAnsi="Arial" w:cs="Arial"/>
          <w:sz w:val="22"/>
          <w:szCs w:val="22"/>
        </w:rPr>
        <w:t xml:space="preserve">The findings </w:t>
      </w:r>
      <w:bookmarkStart w:id="199" w:name="_Int_mrpHGWxJ"/>
      <w:r w:rsidRPr="00404F85">
        <w:rPr>
          <w:rStyle w:val="s1"/>
          <w:rFonts w:ascii="Arial" w:hAnsi="Arial" w:cs="Arial"/>
          <w:sz w:val="22"/>
          <w:szCs w:val="22"/>
        </w:rPr>
        <w:t>demonstrated</w:t>
      </w:r>
      <w:bookmarkEnd w:id="199"/>
      <w:r w:rsidRPr="00404F85">
        <w:rPr>
          <w:rStyle w:val="s1"/>
          <w:rFonts w:ascii="Arial" w:hAnsi="Arial" w:cs="Arial"/>
          <w:sz w:val="22"/>
          <w:szCs w:val="22"/>
        </w:rPr>
        <w:t xml:space="preserve"> that T2DM is a complex chronic condition influenced by biological, social, and environmental factors. The evidence also showed that older adults are particularly vulnerable to complications due to age-related physiological decline and existing health inequalities. Furthermore, the chapter </w:t>
      </w:r>
      <w:bookmarkStart w:id="200" w:name="_Int_8lRjkudu"/>
      <w:r w:rsidRPr="00404F85">
        <w:rPr>
          <w:rStyle w:val="s1"/>
          <w:rFonts w:ascii="Arial" w:hAnsi="Arial" w:cs="Arial"/>
          <w:sz w:val="22"/>
          <w:szCs w:val="22"/>
        </w:rPr>
        <w:t>identified</w:t>
      </w:r>
      <w:bookmarkEnd w:id="200"/>
      <w:r w:rsidRPr="00404F85">
        <w:rPr>
          <w:rStyle w:val="s1"/>
          <w:rFonts w:ascii="Arial" w:hAnsi="Arial" w:cs="Arial"/>
          <w:sz w:val="22"/>
          <w:szCs w:val="22"/>
        </w:rPr>
        <w:t xml:space="preserve"> the importance of effective diabetes management in reducing complications, improving quality of life, and supporting independence among older adults.</w:t>
      </w:r>
    </w:p>
    <w:p w14:paraId="72A88510" w14:textId="77777777" w:rsidR="00447EB4" w:rsidRPr="00404F85" w:rsidRDefault="00447EB4" w:rsidP="00404F85">
      <w:pPr>
        <w:pStyle w:val="p2"/>
        <w:spacing w:line="360" w:lineRule="auto"/>
        <w:divId w:val="197353639"/>
        <w:rPr>
          <w:rFonts w:ascii="Arial" w:hAnsi="Arial" w:cs="Arial"/>
          <w:sz w:val="22"/>
          <w:szCs w:val="22"/>
        </w:rPr>
      </w:pPr>
    </w:p>
    <w:p w14:paraId="61F7E857" w14:textId="578F3E2A" w:rsidR="00512D4F" w:rsidRPr="0094761F" w:rsidRDefault="00447EB4" w:rsidP="0094761F">
      <w:pPr>
        <w:pStyle w:val="p1"/>
        <w:spacing w:line="360" w:lineRule="auto"/>
        <w:divId w:val="197353639"/>
        <w:rPr>
          <w:rStyle w:val="Heading5Char"/>
          <w:rFonts w:ascii="Arial" w:eastAsiaTheme="minorEastAsia" w:hAnsi="Arial" w:cs="Arial"/>
          <w:color w:val="auto"/>
          <w:sz w:val="22"/>
          <w:szCs w:val="22"/>
        </w:rPr>
      </w:pPr>
      <w:r w:rsidRPr="00404F85">
        <w:rPr>
          <w:rStyle w:val="s1"/>
          <w:rFonts w:ascii="Arial" w:hAnsi="Arial" w:cs="Arial"/>
          <w:sz w:val="22"/>
          <w:szCs w:val="22"/>
        </w:rPr>
        <w:t xml:space="preserve">Overall, this chapter addressed the research </w:t>
      </w:r>
      <w:bookmarkStart w:id="201" w:name="_Int_jqHA1rWO"/>
      <w:r w:rsidRPr="00404F85">
        <w:rPr>
          <w:rStyle w:val="s1"/>
          <w:rFonts w:ascii="Arial" w:hAnsi="Arial" w:cs="Arial"/>
          <w:sz w:val="22"/>
          <w:szCs w:val="22"/>
        </w:rPr>
        <w:t>objectives</w:t>
      </w:r>
      <w:bookmarkEnd w:id="201"/>
      <w:r w:rsidRPr="00404F85">
        <w:rPr>
          <w:rStyle w:val="s1"/>
          <w:rFonts w:ascii="Arial" w:hAnsi="Arial" w:cs="Arial"/>
          <w:sz w:val="22"/>
          <w:szCs w:val="22"/>
        </w:rPr>
        <w:t xml:space="preserve"> by linking current literature to the physiological mechanisms and long-term impacts of T2DM. The following chapter will present </w:t>
      </w:r>
      <w:r w:rsidR="00600499" w:rsidRPr="00404F85">
        <w:rPr>
          <w:rStyle w:val="s1"/>
          <w:rFonts w:ascii="Arial" w:hAnsi="Arial" w:cs="Arial"/>
          <w:sz w:val="22"/>
          <w:szCs w:val="22"/>
        </w:rPr>
        <w:t>the conclusion</w:t>
      </w:r>
      <w:r w:rsidRPr="00404F85">
        <w:rPr>
          <w:rStyle w:val="s1"/>
          <w:rFonts w:ascii="Arial" w:hAnsi="Arial" w:cs="Arial"/>
          <w:sz w:val="22"/>
          <w:szCs w:val="22"/>
        </w:rPr>
        <w:t xml:space="preserve"> and recommendations of the study, including suggestions for improving diabetes care and support services for older adults living in Birmingham.</w:t>
      </w:r>
    </w:p>
    <w:p w14:paraId="21B68FF1" w14:textId="77777777" w:rsidR="007F4888" w:rsidRDefault="007F4888" w:rsidP="00404F85">
      <w:pPr>
        <w:pStyle w:val="Heading1"/>
        <w:spacing w:line="360" w:lineRule="auto"/>
        <w:ind w:left="0"/>
        <w:rPr>
          <w:rStyle w:val="Heading5Char"/>
          <w:rFonts w:ascii="Arial" w:hAnsi="Arial" w:cs="Arial"/>
        </w:rPr>
      </w:pPr>
    </w:p>
    <w:p w14:paraId="2FB5844E" w14:textId="77777777" w:rsidR="007F4888" w:rsidRDefault="007F4888" w:rsidP="00404F85">
      <w:pPr>
        <w:pStyle w:val="Heading1"/>
        <w:spacing w:line="360" w:lineRule="auto"/>
        <w:ind w:left="0"/>
        <w:rPr>
          <w:rStyle w:val="Heading5Char"/>
          <w:rFonts w:ascii="Arial" w:hAnsi="Arial" w:cs="Arial"/>
        </w:rPr>
      </w:pPr>
    </w:p>
    <w:p w14:paraId="387D6AEF" w14:textId="77777777" w:rsidR="00D64133" w:rsidRDefault="00D64133" w:rsidP="00404F85">
      <w:pPr>
        <w:pStyle w:val="Heading1"/>
        <w:spacing w:line="360" w:lineRule="auto"/>
        <w:ind w:left="0"/>
        <w:rPr>
          <w:rStyle w:val="Heading5Char"/>
          <w:rFonts w:ascii="Arial" w:hAnsi="Arial" w:cs="Arial"/>
        </w:rPr>
      </w:pPr>
    </w:p>
    <w:p w14:paraId="3B6E7714" w14:textId="77777777" w:rsidR="00D64133" w:rsidRDefault="00D64133" w:rsidP="00404F85">
      <w:pPr>
        <w:pStyle w:val="Heading1"/>
        <w:spacing w:line="360" w:lineRule="auto"/>
        <w:ind w:left="0"/>
        <w:rPr>
          <w:rStyle w:val="Heading5Char"/>
          <w:rFonts w:ascii="Arial" w:hAnsi="Arial" w:cs="Arial"/>
        </w:rPr>
      </w:pPr>
    </w:p>
    <w:p w14:paraId="4A8B0263" w14:textId="77777777" w:rsidR="00D64133" w:rsidRDefault="00D64133" w:rsidP="00404F85">
      <w:pPr>
        <w:pStyle w:val="Heading1"/>
        <w:spacing w:line="360" w:lineRule="auto"/>
        <w:ind w:left="0"/>
        <w:rPr>
          <w:rStyle w:val="Heading5Char"/>
          <w:rFonts w:ascii="Arial" w:hAnsi="Arial" w:cs="Arial"/>
        </w:rPr>
      </w:pPr>
    </w:p>
    <w:p w14:paraId="345486B6" w14:textId="77777777" w:rsidR="00D64133" w:rsidRDefault="00D64133" w:rsidP="00404F85">
      <w:pPr>
        <w:pStyle w:val="Heading1"/>
        <w:spacing w:line="360" w:lineRule="auto"/>
        <w:ind w:left="0"/>
        <w:rPr>
          <w:rStyle w:val="Heading5Char"/>
          <w:rFonts w:ascii="Arial" w:hAnsi="Arial" w:cs="Arial"/>
        </w:rPr>
      </w:pPr>
    </w:p>
    <w:p w14:paraId="607F91A7" w14:textId="77777777" w:rsidR="00D64133" w:rsidRDefault="00D64133" w:rsidP="00404F85">
      <w:pPr>
        <w:pStyle w:val="Heading1"/>
        <w:spacing w:line="360" w:lineRule="auto"/>
        <w:ind w:left="0"/>
        <w:rPr>
          <w:rStyle w:val="Heading5Char"/>
          <w:rFonts w:ascii="Arial" w:hAnsi="Arial" w:cs="Arial"/>
        </w:rPr>
      </w:pPr>
    </w:p>
    <w:p w14:paraId="3D2F6E29" w14:textId="77777777" w:rsidR="00D64133" w:rsidRDefault="00D64133" w:rsidP="00404F85">
      <w:pPr>
        <w:pStyle w:val="Heading1"/>
        <w:spacing w:line="360" w:lineRule="auto"/>
        <w:ind w:left="0"/>
        <w:rPr>
          <w:rStyle w:val="Heading5Char"/>
          <w:rFonts w:ascii="Arial" w:hAnsi="Arial" w:cs="Arial"/>
        </w:rPr>
      </w:pPr>
    </w:p>
    <w:p w14:paraId="616D9688" w14:textId="77777777" w:rsidR="00D64133" w:rsidRDefault="00D64133" w:rsidP="00404F85">
      <w:pPr>
        <w:pStyle w:val="Heading1"/>
        <w:spacing w:line="360" w:lineRule="auto"/>
        <w:ind w:left="0"/>
        <w:rPr>
          <w:rStyle w:val="Heading5Char"/>
          <w:rFonts w:ascii="Arial" w:hAnsi="Arial" w:cs="Arial"/>
        </w:rPr>
      </w:pPr>
    </w:p>
    <w:p w14:paraId="0D9F48AB" w14:textId="77777777" w:rsidR="00D64133" w:rsidRDefault="00D64133" w:rsidP="00404F85">
      <w:pPr>
        <w:pStyle w:val="Heading1"/>
        <w:spacing w:line="360" w:lineRule="auto"/>
        <w:ind w:left="0"/>
        <w:divId w:val="1235579693"/>
        <w:rPr>
          <w:rStyle w:val="Heading5Char"/>
          <w:rFonts w:ascii="Arial" w:hAnsi="Arial" w:cs="Arial"/>
        </w:rPr>
      </w:pPr>
    </w:p>
    <w:p w14:paraId="2A20B3B0" w14:textId="77777777" w:rsidR="00D64133" w:rsidRDefault="00D64133" w:rsidP="00404F85">
      <w:pPr>
        <w:pStyle w:val="Heading1"/>
        <w:spacing w:line="360" w:lineRule="auto"/>
        <w:ind w:left="0"/>
        <w:divId w:val="1235579693"/>
        <w:rPr>
          <w:rStyle w:val="Heading5Char"/>
          <w:rFonts w:ascii="Arial" w:hAnsi="Arial" w:cs="Arial"/>
        </w:rPr>
      </w:pPr>
    </w:p>
    <w:p w14:paraId="519EB35A" w14:textId="2A58D694" w:rsidR="00636D9A" w:rsidRPr="00404F85" w:rsidRDefault="00636D9A" w:rsidP="00404F85">
      <w:pPr>
        <w:pStyle w:val="Heading1"/>
        <w:spacing w:line="360" w:lineRule="auto"/>
        <w:ind w:left="0"/>
        <w:rPr>
          <w:rFonts w:cs="Arial"/>
          <w:sz w:val="22"/>
          <w:szCs w:val="22"/>
        </w:rPr>
      </w:pPr>
      <w:r w:rsidRPr="003B0558">
        <w:rPr>
          <w:rStyle w:val="Heading5Char"/>
          <w:rFonts w:ascii="Arial" w:hAnsi="Arial" w:cs="Arial"/>
        </w:rPr>
        <w:t>CHAPTER 5 – Conclusion and Recommendations</w:t>
      </w:r>
      <w:r w:rsidRPr="00404F85">
        <w:rPr>
          <w:rFonts w:cs="Arial"/>
          <w:sz w:val="22"/>
          <w:szCs w:val="22"/>
        </w:rPr>
        <w:t xml:space="preserve"> </w:t>
      </w:r>
    </w:p>
    <w:p w14:paraId="47562CF5" w14:textId="77777777" w:rsidR="00C66EB3" w:rsidRDefault="00C66EB3" w:rsidP="0094761F">
      <w:pPr>
        <w:pStyle w:val="Heading2"/>
        <w:divId w:val="230233539"/>
        <w:rPr>
          <w:rFonts w:ascii="Arial" w:hAnsi="Arial" w:cs="Arial"/>
          <w:b/>
          <w:bCs/>
          <w:sz w:val="36"/>
          <w:szCs w:val="36"/>
          <w:lang w:eastAsia="en-GB"/>
        </w:rPr>
      </w:pPr>
      <w:r w:rsidRPr="00421010">
        <w:rPr>
          <w:rFonts w:ascii="Arial" w:hAnsi="Arial" w:cs="Arial"/>
          <w:b/>
          <w:bCs/>
          <w:sz w:val="36"/>
          <w:szCs w:val="36"/>
          <w:lang w:eastAsia="en-GB"/>
        </w:rPr>
        <w:t>5.1 Conclusion</w:t>
      </w:r>
    </w:p>
    <w:p w14:paraId="50079BAE" w14:textId="77777777" w:rsidR="00C66EB3" w:rsidRPr="00C66EB3" w:rsidRDefault="00C66EB3" w:rsidP="00E16589">
      <w:pPr>
        <w:spacing w:before="100" w:beforeAutospacing="1" w:after="100" w:afterAutospacing="1"/>
        <w:jc w:val="left"/>
        <w:divId w:val="230233539"/>
        <w:rPr>
          <w:rFonts w:ascii="Arial" w:hAnsi="Arial" w:cs="Arial"/>
          <w:kern w:val="0"/>
          <w:lang w:eastAsia="en-GB"/>
          <w14:ligatures w14:val="none"/>
        </w:rPr>
      </w:pPr>
      <w:r w:rsidRPr="00C66EB3">
        <w:rPr>
          <w:rFonts w:ascii="Arial" w:hAnsi="Arial" w:cs="Arial"/>
          <w:kern w:val="0"/>
          <w:lang w:eastAsia="en-GB"/>
          <w14:ligatures w14:val="none"/>
        </w:rPr>
        <w:t>This dissertation explored the physiological mechanisms and long-term health impacts of Type 2 Diabetes Mellitus (T2DM) among older adults living in Birmingham. Through a systematic review and thematic analysis of contemporary literature, the study examined the biological processes underlying disease development, evaluated the consequences of long-term metabolic dysfunction, and considered strategies to improve management and support within health and social care settings.</w:t>
      </w:r>
    </w:p>
    <w:p w14:paraId="4EEC3289" w14:textId="13EC49B9" w:rsidR="00C66EB3" w:rsidRPr="00C66EB3" w:rsidRDefault="00C66EB3" w:rsidP="00E16589">
      <w:pPr>
        <w:spacing w:before="100" w:beforeAutospacing="1" w:after="100" w:afterAutospacing="1"/>
        <w:jc w:val="left"/>
        <w:divId w:val="230233539"/>
        <w:rPr>
          <w:rFonts w:ascii="Arial" w:hAnsi="Arial" w:cs="Arial"/>
          <w:kern w:val="0"/>
          <w:lang w:eastAsia="en-GB"/>
          <w14:ligatures w14:val="none"/>
        </w:rPr>
      </w:pPr>
      <w:r w:rsidRPr="00C66EB3">
        <w:rPr>
          <w:rFonts w:ascii="Arial" w:hAnsi="Arial" w:cs="Arial"/>
          <w:kern w:val="0"/>
          <w:lang w:eastAsia="en-GB"/>
          <w14:ligatures w14:val="none"/>
        </w:rPr>
        <w:t xml:space="preserve">The findings </w:t>
      </w:r>
      <w:bookmarkStart w:id="202" w:name="_Int_4jgsmL0M"/>
      <w:r w:rsidRPr="00C66EB3">
        <w:rPr>
          <w:rFonts w:ascii="Arial" w:hAnsi="Arial" w:cs="Arial"/>
          <w:kern w:val="0"/>
          <w:lang w:eastAsia="en-GB"/>
          <w14:ligatures w14:val="none"/>
        </w:rPr>
        <w:t>demonstrated</w:t>
      </w:r>
      <w:bookmarkEnd w:id="202"/>
      <w:r w:rsidRPr="00C66EB3">
        <w:rPr>
          <w:rFonts w:ascii="Arial" w:hAnsi="Arial" w:cs="Arial"/>
          <w:kern w:val="0"/>
          <w:lang w:eastAsia="en-GB"/>
          <w14:ligatures w14:val="none"/>
        </w:rPr>
        <w:t xml:space="preserve"> that T2DM is a multifactorial and progressive condition driven by interconnected physiological mechanisms, including insulin resistance, beta-cell dysfunction, chronic inflammation, and age-related metabolic decline. These processes contribute to persistent hyperglycaemia and increase susceptibility to a range of serious complications. The evidence further highlighted that ageing </w:t>
      </w:r>
      <w:r w:rsidR="00610405" w:rsidRPr="00C66EB3">
        <w:rPr>
          <w:rFonts w:ascii="Arial" w:hAnsi="Arial" w:cs="Arial"/>
          <w:kern w:val="0"/>
          <w:lang w:eastAsia="en-GB"/>
          <w14:ligatures w14:val="none"/>
        </w:rPr>
        <w:t>worsens</w:t>
      </w:r>
      <w:r w:rsidRPr="00C66EB3">
        <w:rPr>
          <w:rFonts w:ascii="Arial" w:hAnsi="Arial" w:cs="Arial"/>
          <w:kern w:val="0"/>
          <w:lang w:eastAsia="en-GB"/>
          <w14:ligatures w14:val="none"/>
        </w:rPr>
        <w:t xml:space="preserve"> metabolic dysfunction through reductions in muscle mass, increased visceral adiposity, oxidative stress, and impaired physiological resilience.</w:t>
      </w:r>
    </w:p>
    <w:p w14:paraId="565B80D1" w14:textId="77777777" w:rsidR="00C66EB3" w:rsidRPr="00C66EB3" w:rsidRDefault="00C66EB3" w:rsidP="00E16589">
      <w:pPr>
        <w:spacing w:before="100" w:beforeAutospacing="1" w:after="100" w:afterAutospacing="1"/>
        <w:jc w:val="left"/>
        <w:divId w:val="230233539"/>
        <w:rPr>
          <w:rFonts w:ascii="Arial" w:hAnsi="Arial" w:cs="Arial"/>
          <w:kern w:val="0"/>
          <w:lang w:eastAsia="en-GB"/>
          <w14:ligatures w14:val="none"/>
        </w:rPr>
      </w:pPr>
      <w:r w:rsidRPr="00C66EB3">
        <w:rPr>
          <w:rFonts w:ascii="Arial" w:hAnsi="Arial" w:cs="Arial"/>
          <w:kern w:val="0"/>
          <w:lang w:eastAsia="en-GB"/>
          <w14:ligatures w14:val="none"/>
        </w:rPr>
        <w:t xml:space="preserve">The study also </w:t>
      </w:r>
      <w:bookmarkStart w:id="203" w:name="_Int_SRqh5Oum"/>
      <w:r w:rsidRPr="00C66EB3">
        <w:rPr>
          <w:rFonts w:ascii="Arial" w:hAnsi="Arial" w:cs="Arial"/>
          <w:kern w:val="0"/>
          <w:lang w:eastAsia="en-GB"/>
          <w14:ligatures w14:val="none"/>
        </w:rPr>
        <w:t>demonstrated</w:t>
      </w:r>
      <w:bookmarkEnd w:id="203"/>
      <w:r w:rsidRPr="00C66EB3">
        <w:rPr>
          <w:rFonts w:ascii="Arial" w:hAnsi="Arial" w:cs="Arial"/>
          <w:kern w:val="0"/>
          <w:lang w:eastAsia="en-GB"/>
          <w14:ligatures w14:val="none"/>
        </w:rPr>
        <w:t xml:space="preserve"> that long-term complications of T2DM extend beyond glucose dysregulation and significantly affect overall health and wellbeing. Cardiovascular disease, neuropathy, nephropathy, retinopathy, frailty, cognitive decline, and reduced functional independence </w:t>
      </w:r>
      <w:bookmarkStart w:id="204" w:name="_Int_OlL1n35J"/>
      <w:r w:rsidRPr="00C66EB3">
        <w:rPr>
          <w:rFonts w:ascii="Arial" w:hAnsi="Arial" w:cs="Arial"/>
          <w:kern w:val="0"/>
          <w:lang w:eastAsia="en-GB"/>
          <w14:ligatures w14:val="none"/>
        </w:rPr>
        <w:t>were consistently identified</w:t>
      </w:r>
      <w:bookmarkEnd w:id="204"/>
      <w:r w:rsidRPr="00C66EB3">
        <w:rPr>
          <w:rFonts w:ascii="Arial" w:hAnsi="Arial" w:cs="Arial"/>
          <w:kern w:val="0"/>
          <w:lang w:eastAsia="en-GB"/>
          <w14:ligatures w14:val="none"/>
        </w:rPr>
        <w:t xml:space="preserve"> as major consequences of prolonged hyperglycaemia. These complications can negatively </w:t>
      </w:r>
      <w:bookmarkStart w:id="205" w:name="_Int_h2PdkV3Y"/>
      <w:r w:rsidRPr="00C66EB3">
        <w:rPr>
          <w:rFonts w:ascii="Arial" w:hAnsi="Arial" w:cs="Arial"/>
          <w:kern w:val="0"/>
          <w:lang w:eastAsia="en-GB"/>
          <w14:ligatures w14:val="none"/>
        </w:rPr>
        <w:t>impact</w:t>
      </w:r>
      <w:bookmarkEnd w:id="205"/>
      <w:r w:rsidRPr="00C66EB3">
        <w:rPr>
          <w:rFonts w:ascii="Arial" w:hAnsi="Arial" w:cs="Arial"/>
          <w:kern w:val="0"/>
          <w:lang w:eastAsia="en-GB"/>
          <w14:ligatures w14:val="none"/>
        </w:rPr>
        <w:t xml:space="preserve"> quality of life, increase dependency on health and social care services, and place substantial pressure on healthcare resources.</w:t>
      </w:r>
    </w:p>
    <w:p w14:paraId="0F69C3F8" w14:textId="77777777" w:rsidR="00C66EB3" w:rsidRPr="00C66EB3" w:rsidRDefault="00C66EB3" w:rsidP="00E16589">
      <w:pPr>
        <w:spacing w:before="100" w:beforeAutospacing="1" w:after="100" w:afterAutospacing="1"/>
        <w:jc w:val="left"/>
        <w:divId w:val="230233539"/>
        <w:rPr>
          <w:rFonts w:ascii="Arial" w:hAnsi="Arial" w:cs="Arial"/>
          <w:kern w:val="0"/>
          <w:lang w:eastAsia="en-GB"/>
          <w14:ligatures w14:val="none"/>
        </w:rPr>
      </w:pPr>
      <w:r w:rsidRPr="00C66EB3">
        <w:rPr>
          <w:rFonts w:ascii="Arial" w:hAnsi="Arial" w:cs="Arial"/>
          <w:kern w:val="0"/>
          <w:lang w:eastAsia="en-GB"/>
          <w14:ligatures w14:val="none"/>
        </w:rPr>
        <w:t>Importantly, the research highlighted that biological factors alone do not explain the burden of T2DM. Socioeconomic deprivation, ethnic inequalities, lifestyle factors, and healthcare accessibility all influence disease prevalence, progression, and outcomes. This is particularly relevant within Birmingham, where demographic diversity and health inequalities contribute to increased diabetes risk among older adults.</w:t>
      </w:r>
    </w:p>
    <w:p w14:paraId="678FC61A" w14:textId="59D1BCF6" w:rsidR="00C66EB3" w:rsidRPr="00C66EB3" w:rsidRDefault="00C66EB3" w:rsidP="00E16589">
      <w:pPr>
        <w:spacing w:before="100" w:beforeAutospacing="1" w:after="100" w:afterAutospacing="1"/>
        <w:jc w:val="left"/>
        <w:divId w:val="230233539"/>
        <w:rPr>
          <w:rFonts w:ascii="Arial" w:hAnsi="Arial" w:cs="Arial"/>
          <w:kern w:val="0"/>
          <w:lang w:eastAsia="en-GB"/>
          <w14:ligatures w14:val="none"/>
        </w:rPr>
      </w:pPr>
      <w:r w:rsidRPr="00C66EB3">
        <w:rPr>
          <w:rFonts w:ascii="Arial" w:hAnsi="Arial" w:cs="Arial"/>
          <w:kern w:val="0"/>
          <w:lang w:eastAsia="en-GB"/>
          <w14:ligatures w14:val="none"/>
        </w:rPr>
        <w:t xml:space="preserve">The findings suggest that effective diabetes management </w:t>
      </w:r>
      <w:r w:rsidR="00610405" w:rsidRPr="00C66EB3">
        <w:rPr>
          <w:rFonts w:ascii="Arial" w:hAnsi="Arial" w:cs="Arial"/>
          <w:kern w:val="0"/>
          <w:lang w:eastAsia="en-GB"/>
          <w14:ligatures w14:val="none"/>
        </w:rPr>
        <w:t>needs</w:t>
      </w:r>
      <w:r w:rsidRPr="00C66EB3">
        <w:rPr>
          <w:rFonts w:ascii="Arial" w:hAnsi="Arial" w:cs="Arial"/>
          <w:kern w:val="0"/>
          <w:lang w:eastAsia="en-GB"/>
          <w14:ligatures w14:val="none"/>
        </w:rPr>
        <w:t xml:space="preserve"> </w:t>
      </w:r>
      <w:r w:rsidR="00610405" w:rsidRPr="00C66EB3">
        <w:rPr>
          <w:rFonts w:ascii="Arial" w:hAnsi="Arial" w:cs="Arial"/>
          <w:kern w:val="0"/>
          <w:lang w:eastAsia="en-GB"/>
          <w14:ligatures w14:val="none"/>
        </w:rPr>
        <w:t>a comprehensive approach</w:t>
      </w:r>
      <w:r w:rsidRPr="00C66EB3">
        <w:rPr>
          <w:rFonts w:ascii="Arial" w:hAnsi="Arial" w:cs="Arial"/>
          <w:kern w:val="0"/>
          <w:lang w:eastAsia="en-GB"/>
          <w14:ligatures w14:val="none"/>
        </w:rPr>
        <w:t xml:space="preserve"> integrating medical treatment, patient education, preventative healthcare, and coordinated health and social care services. Early intervention, personalised care planning, and culturally </w:t>
      </w:r>
      <w:r w:rsidR="003673C8" w:rsidRPr="00C66EB3">
        <w:rPr>
          <w:rFonts w:ascii="Arial" w:hAnsi="Arial" w:cs="Arial"/>
          <w:kern w:val="0"/>
          <w:lang w:eastAsia="en-GB"/>
          <w14:ligatures w14:val="none"/>
        </w:rPr>
        <w:t>support</w:t>
      </w:r>
      <w:r w:rsidRPr="00C66EB3">
        <w:rPr>
          <w:rFonts w:ascii="Arial" w:hAnsi="Arial" w:cs="Arial"/>
          <w:kern w:val="0"/>
          <w:lang w:eastAsia="en-GB"/>
          <w14:ligatures w14:val="none"/>
        </w:rPr>
        <w:t xml:space="preserve"> programmes </w:t>
      </w:r>
      <w:bookmarkStart w:id="206" w:name="_Int_80hb9OSv"/>
      <w:r w:rsidRPr="00C66EB3">
        <w:rPr>
          <w:rFonts w:ascii="Arial" w:hAnsi="Arial" w:cs="Arial"/>
          <w:kern w:val="0"/>
          <w:lang w:eastAsia="en-GB"/>
          <w14:ligatures w14:val="none"/>
        </w:rPr>
        <w:t>were identified</w:t>
      </w:r>
      <w:bookmarkEnd w:id="206"/>
      <w:r w:rsidRPr="00C66EB3">
        <w:rPr>
          <w:rFonts w:ascii="Arial" w:hAnsi="Arial" w:cs="Arial"/>
          <w:kern w:val="0"/>
          <w:lang w:eastAsia="en-GB"/>
          <w14:ligatures w14:val="none"/>
        </w:rPr>
        <w:t xml:space="preserve"> as essential components of effective diabetes management.</w:t>
      </w:r>
    </w:p>
    <w:p w14:paraId="11AFB874" w14:textId="77777777" w:rsidR="007940D4" w:rsidRPr="007940D4" w:rsidRDefault="00C66EB3" w:rsidP="007940D4">
      <w:pPr>
        <w:spacing w:before="100" w:beforeAutospacing="1" w:after="100" w:afterAutospacing="1"/>
        <w:jc w:val="left"/>
        <w:divId w:val="230233539"/>
        <w:rPr>
          <w:rFonts w:ascii="Arial" w:hAnsi="Arial" w:cs="Arial"/>
          <w:kern w:val="0"/>
          <w:lang w:eastAsia="en-GB"/>
          <w14:ligatures w14:val="none"/>
        </w:rPr>
      </w:pPr>
      <w:r w:rsidRPr="00C66EB3">
        <w:rPr>
          <w:rFonts w:ascii="Arial" w:hAnsi="Arial" w:cs="Arial"/>
          <w:kern w:val="0"/>
          <w:lang w:eastAsia="en-GB"/>
          <w14:ligatures w14:val="none"/>
        </w:rPr>
        <w:t xml:space="preserve">Although the study </w:t>
      </w:r>
      <w:bookmarkStart w:id="207" w:name="_Int_f4tSBnTB"/>
      <w:r w:rsidRPr="00C66EB3">
        <w:rPr>
          <w:rFonts w:ascii="Arial" w:hAnsi="Arial" w:cs="Arial"/>
          <w:kern w:val="0"/>
          <w:lang w:eastAsia="en-GB"/>
          <w14:ligatures w14:val="none"/>
        </w:rPr>
        <w:t>was limited</w:t>
      </w:r>
      <w:bookmarkEnd w:id="207"/>
      <w:r w:rsidRPr="00C66EB3">
        <w:rPr>
          <w:rFonts w:ascii="Arial" w:hAnsi="Arial" w:cs="Arial"/>
          <w:kern w:val="0"/>
          <w:lang w:eastAsia="en-GB"/>
          <w14:ligatures w14:val="none"/>
        </w:rPr>
        <w:t xml:space="preserve"> by its reliance on secondary literature and the availability of Birmingham-specific evidence, it provides a comprehensive understanding of the complex relationship between physiological mechanisms, ageing, and long-term health outcomes. Overall, the research concludes that improving prevention, early diagnosis, and integrated care pathways is essential for reducing complications and enhancing the health, independence, and quality of life of older adults living with Type 2 Diabetes Mellitus in Birmingham.</w:t>
      </w:r>
    </w:p>
    <w:p w14:paraId="00C34E2B" w14:textId="43512B4C" w:rsidR="007940D4" w:rsidRDefault="007940D4" w:rsidP="00EE3817">
      <w:pPr>
        <w:pStyle w:val="Heading2"/>
        <w:divId w:val="46533659"/>
        <w:rPr>
          <w:rFonts w:ascii="Arial" w:hAnsi="Arial" w:cs="Arial"/>
          <w:b/>
          <w:bCs/>
          <w:sz w:val="36"/>
          <w:szCs w:val="36"/>
        </w:rPr>
      </w:pPr>
    </w:p>
    <w:p w14:paraId="6AFD9B49" w14:textId="3DDCE72D" w:rsidR="001E4C7C" w:rsidRPr="00A96423" w:rsidRDefault="00636D9A" w:rsidP="00EE3817">
      <w:pPr>
        <w:pStyle w:val="Heading2"/>
        <w:divId w:val="46533659"/>
        <w:rPr>
          <w:rFonts w:ascii="Arial" w:hAnsi="Arial" w:cs="Arial"/>
          <w:b/>
          <w:bCs/>
          <w:sz w:val="36"/>
          <w:szCs w:val="36"/>
        </w:rPr>
      </w:pPr>
      <w:r w:rsidRPr="000C7B53">
        <w:rPr>
          <w:rFonts w:ascii="Arial" w:hAnsi="Arial" w:cs="Arial"/>
          <w:b/>
          <w:bCs/>
          <w:sz w:val="36"/>
          <w:szCs w:val="36"/>
        </w:rPr>
        <w:t>5.</w:t>
      </w:r>
      <w:r w:rsidR="005C5E80" w:rsidRPr="000C7B53">
        <w:rPr>
          <w:rFonts w:ascii="Arial" w:hAnsi="Arial" w:cs="Arial"/>
          <w:b/>
          <w:bCs/>
          <w:sz w:val="36"/>
          <w:szCs w:val="36"/>
        </w:rPr>
        <w:t>2</w:t>
      </w:r>
      <w:r w:rsidRPr="000C7B53">
        <w:rPr>
          <w:rFonts w:ascii="Arial" w:hAnsi="Arial" w:cs="Arial"/>
          <w:b/>
          <w:bCs/>
          <w:sz w:val="36"/>
          <w:szCs w:val="36"/>
        </w:rPr>
        <w:t xml:space="preserve"> – </w:t>
      </w:r>
      <w:r w:rsidR="005C5E80" w:rsidRPr="000C7B53">
        <w:rPr>
          <w:rFonts w:ascii="Arial" w:hAnsi="Arial" w:cs="Arial"/>
          <w:b/>
          <w:bCs/>
          <w:sz w:val="36"/>
          <w:szCs w:val="36"/>
        </w:rPr>
        <w:t>Recommendations</w:t>
      </w:r>
      <w:r w:rsidR="004000D4" w:rsidRPr="008C2450">
        <w:rPr>
          <w:noProof/>
        </w:rPr>
        <w:drawing>
          <wp:anchor distT="0" distB="0" distL="114300" distR="114300" simplePos="0" relativeHeight="251658248" behindDoc="0" locked="0" layoutInCell="1" allowOverlap="1" wp14:anchorId="40E44023" wp14:editId="5ED48D17">
            <wp:simplePos x="0" y="0"/>
            <wp:positionH relativeFrom="page">
              <wp:posOffset>649605</wp:posOffset>
            </wp:positionH>
            <wp:positionV relativeFrom="paragraph">
              <wp:posOffset>878205</wp:posOffset>
            </wp:positionV>
            <wp:extent cx="5017770" cy="2311400"/>
            <wp:effectExtent l="0" t="0" r="0" b="0"/>
            <wp:wrapTopAndBottom/>
            <wp:docPr id="480810617" name="Picture 4808106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810617" name="Picture 480810617">
                      <a:extLst>
                        <a:ext uri="{C183D7F6-B498-43B3-948B-1728B52AA6E4}">
                          <adec:decorative xmlns:adec="http://schemas.microsoft.com/office/drawing/2017/decorative" val="1"/>
                        </a:ext>
                      </a:extLst>
                    </pic:cNvPr>
                    <pic:cNvPicPr/>
                  </pic:nvPicPr>
                  <pic:blipFill>
                    <a:blip r:embed="rId22"/>
                    <a:stretch>
                      <a:fillRect/>
                    </a:stretch>
                  </pic:blipFill>
                  <pic:spPr>
                    <a:xfrm>
                      <a:off x="0" y="0"/>
                      <a:ext cx="5017770" cy="2311400"/>
                    </a:xfrm>
                    <a:prstGeom prst="rect">
                      <a:avLst/>
                    </a:prstGeom>
                  </pic:spPr>
                </pic:pic>
              </a:graphicData>
            </a:graphic>
            <wp14:sizeRelH relativeFrom="margin">
              <wp14:pctWidth>0</wp14:pctWidth>
            </wp14:sizeRelH>
            <wp14:sizeRelV relativeFrom="margin">
              <wp14:pctHeight>0</wp14:pctHeight>
            </wp14:sizeRelV>
          </wp:anchor>
        </w:drawing>
      </w:r>
      <w:r w:rsidR="005C5E80" w:rsidRPr="00EE3817">
        <w:rPr>
          <w:b/>
          <w:bCs/>
          <w:sz w:val="32"/>
          <w:szCs w:val="32"/>
        </w:rPr>
        <w:t>5.2.1</w:t>
      </w:r>
      <w:r w:rsidR="005C5E80" w:rsidRPr="008A1F87">
        <w:rPr>
          <w:sz w:val="32"/>
          <w:szCs w:val="32"/>
        </w:rPr>
        <w:t xml:space="preserve"> – </w:t>
      </w:r>
      <w:r w:rsidR="005C5E80" w:rsidRPr="00EE3817">
        <w:rPr>
          <w:rFonts w:ascii="Arial" w:hAnsi="Arial" w:cs="Arial"/>
          <w:b/>
          <w:bCs/>
          <w:sz w:val="36"/>
          <w:szCs w:val="36"/>
        </w:rPr>
        <w:t>Recommendation</w:t>
      </w:r>
      <w:r w:rsidR="00A91528" w:rsidRPr="00EE3817">
        <w:rPr>
          <w:rFonts w:ascii="Arial" w:hAnsi="Arial" w:cs="Arial"/>
          <w:b/>
          <w:bCs/>
          <w:sz w:val="36"/>
          <w:szCs w:val="36"/>
        </w:rPr>
        <w:t xml:space="preserve"> 1 </w:t>
      </w:r>
      <w:r w:rsidR="00A91528" w:rsidRPr="00EE3817">
        <w:rPr>
          <w:rFonts w:ascii="Arial" w:hAnsi="Arial" w:cs="Arial"/>
          <w:b/>
          <w:bCs/>
          <w:sz w:val="36"/>
          <w:szCs w:val="36"/>
          <w:lang w:eastAsia="en-GB"/>
        </w:rPr>
        <w:t>–</w:t>
      </w:r>
      <w:r w:rsidR="001E4C7C" w:rsidRPr="00EE3817">
        <w:rPr>
          <w:rFonts w:ascii="Arial" w:hAnsi="Arial" w:cs="Arial"/>
          <w:b/>
          <w:bCs/>
          <w:sz w:val="36"/>
          <w:szCs w:val="36"/>
          <w:lang w:eastAsia="en-GB"/>
        </w:rPr>
        <w:t xml:space="preserve"> Improve Early Screening and Diagnosis Programmes</w:t>
      </w:r>
    </w:p>
    <w:p w14:paraId="3E8A04A7" w14:textId="238B5737" w:rsidR="00EA3012" w:rsidRDefault="00EA3012" w:rsidP="00EA3012">
      <w:pPr>
        <w:divId w:val="46533659"/>
        <w:rPr>
          <w:lang w:eastAsia="en-GB"/>
        </w:rPr>
      </w:pPr>
    </w:p>
    <w:tbl>
      <w:tblPr>
        <w:tblStyle w:val="TableGrid"/>
        <w:tblpPr w:leftFromText="180" w:rightFromText="180" w:vertAnchor="text" w:horzAnchor="margin" w:tblpY="-498"/>
        <w:tblW w:w="0" w:type="auto"/>
        <w:tblLook w:val="04A0" w:firstRow="1" w:lastRow="0" w:firstColumn="1" w:lastColumn="0" w:noHBand="0" w:noVBand="1"/>
      </w:tblPr>
      <w:tblGrid>
        <w:gridCol w:w="9016"/>
      </w:tblGrid>
      <w:tr w:rsidR="00564894" w14:paraId="29D97FC2" w14:textId="77777777" w:rsidTr="00564894">
        <w:trPr>
          <w:divId w:val="46533659"/>
        </w:trPr>
        <w:tc>
          <w:tcPr>
            <w:tcW w:w="9016" w:type="dxa"/>
          </w:tcPr>
          <w:p w14:paraId="3436257F" w14:textId="5200C60A" w:rsidR="00E9191A" w:rsidRPr="00FB5CCA" w:rsidRDefault="00E9191A" w:rsidP="00FB5CCA">
            <w:pPr>
              <w:pStyle w:val="p1"/>
              <w:spacing w:line="360" w:lineRule="auto"/>
              <w:divId w:val="649873169"/>
              <w:rPr>
                <w:rFonts w:ascii="Arial" w:hAnsi="Arial" w:cs="Arial"/>
                <w:sz w:val="22"/>
                <w:szCs w:val="22"/>
              </w:rPr>
            </w:pPr>
            <w:r w:rsidRPr="00BD20B4">
              <w:rPr>
                <w:rFonts w:ascii="Arial" w:hAnsi="Arial" w:cs="Arial"/>
                <w:b/>
                <w:sz w:val="22"/>
                <w:szCs w:val="22"/>
              </w:rPr>
              <w:t xml:space="preserve">Figure </w:t>
            </w:r>
            <w:r w:rsidR="00BD20B4" w:rsidRPr="00BD20B4">
              <w:rPr>
                <w:rFonts w:ascii="Arial" w:hAnsi="Arial" w:cs="Arial"/>
                <w:b/>
                <w:bCs/>
                <w:sz w:val="22"/>
                <w:szCs w:val="22"/>
              </w:rPr>
              <w:t>8</w:t>
            </w:r>
            <w:r w:rsidR="00357BE6" w:rsidRPr="00BD20B4">
              <w:rPr>
                <w:rFonts w:ascii="Arial" w:hAnsi="Arial" w:cs="Arial"/>
                <w:b/>
                <w:sz w:val="22"/>
                <w:szCs w:val="22"/>
              </w:rPr>
              <w:t>:</w:t>
            </w:r>
            <w:r w:rsidR="00357BE6" w:rsidRPr="00FB5CCA">
              <w:rPr>
                <w:rFonts w:ascii="Arial" w:hAnsi="Arial" w:cs="Arial"/>
                <w:sz w:val="22"/>
                <w:szCs w:val="22"/>
              </w:rPr>
              <w:t xml:space="preserve"> shows</w:t>
            </w:r>
            <w:r w:rsidRPr="00FB5CCA">
              <w:rPr>
                <w:rFonts w:ascii="Arial" w:hAnsi="Arial" w:cs="Arial"/>
                <w:sz w:val="22"/>
                <w:szCs w:val="22"/>
              </w:rPr>
              <w:t xml:space="preserve"> a patient receiving routine health screening from a healthcare professional, illustrating how early detection through regular screening supports preventive healthcare and improves treatment outcomes.</w:t>
            </w:r>
          </w:p>
          <w:p w14:paraId="75ED40BD" w14:textId="77777777" w:rsidR="00564894" w:rsidRDefault="00564894" w:rsidP="00564894">
            <w:pPr>
              <w:rPr>
                <w:lang w:eastAsia="en-GB"/>
              </w:rPr>
            </w:pPr>
          </w:p>
        </w:tc>
      </w:tr>
    </w:tbl>
    <w:p w14:paraId="106A0133" w14:textId="77777777" w:rsidR="005E1130" w:rsidRDefault="005E1130" w:rsidP="00404F85">
      <w:pPr>
        <w:spacing w:before="100" w:beforeAutospacing="1" w:after="100" w:afterAutospacing="1"/>
        <w:jc w:val="left"/>
        <w:divId w:val="46533659"/>
        <w:rPr>
          <w:rFonts w:ascii="Arial" w:hAnsi="Arial" w:cs="Arial"/>
          <w:kern w:val="0"/>
          <w:lang w:eastAsia="en-GB"/>
          <w14:ligatures w14:val="none"/>
        </w:rPr>
      </w:pPr>
    </w:p>
    <w:p w14:paraId="5ED252F0" w14:textId="467D7888" w:rsidR="001E4C7C" w:rsidRPr="00404F85" w:rsidRDefault="001E4C7C" w:rsidP="00404F85">
      <w:pPr>
        <w:spacing w:before="100" w:beforeAutospacing="1" w:after="100" w:afterAutospacing="1"/>
        <w:jc w:val="left"/>
        <w:divId w:val="46533659"/>
        <w:rPr>
          <w:rFonts w:ascii="Arial" w:hAnsi="Arial" w:cs="Arial"/>
          <w:kern w:val="0"/>
          <w:lang w:eastAsia="en-GB"/>
          <w14:ligatures w14:val="none"/>
        </w:rPr>
      </w:pPr>
      <w:r w:rsidRPr="00404F85">
        <w:rPr>
          <w:rFonts w:ascii="Arial" w:hAnsi="Arial" w:cs="Arial"/>
          <w:kern w:val="0"/>
          <w:lang w:eastAsia="en-GB"/>
          <w14:ligatures w14:val="none"/>
        </w:rPr>
        <w:t>One important recommendation is to improve early screening and diagnosis programmes for older adults at risk of Type 2 Diabetes Mellitus within Birmingham. Early d</w:t>
      </w:r>
      <w:r w:rsidR="006D533D">
        <w:rPr>
          <w:rFonts w:ascii="Arial" w:hAnsi="Arial" w:cs="Arial"/>
          <w:kern w:val="0"/>
          <w:lang w:eastAsia="en-GB"/>
          <w14:ligatures w14:val="none"/>
        </w:rPr>
        <w:t xml:space="preserve">etection through </w:t>
      </w:r>
      <w:r w:rsidR="00FE070F">
        <w:rPr>
          <w:rFonts w:ascii="Arial" w:hAnsi="Arial" w:cs="Arial"/>
          <w:kern w:val="0"/>
          <w:lang w:eastAsia="en-GB"/>
          <w14:ligatures w14:val="none"/>
        </w:rPr>
        <w:t xml:space="preserve">screening </w:t>
      </w:r>
      <w:r w:rsidRPr="00404F85">
        <w:rPr>
          <w:rFonts w:ascii="Arial" w:hAnsi="Arial" w:cs="Arial"/>
          <w:kern w:val="0"/>
          <w:lang w:eastAsia="en-GB"/>
          <w14:ligatures w14:val="none"/>
        </w:rPr>
        <w:t xml:space="preserve">can </w:t>
      </w:r>
      <w:r w:rsidR="00804596">
        <w:rPr>
          <w:rFonts w:ascii="Arial" w:hAnsi="Arial" w:cs="Arial"/>
          <w:kern w:val="0"/>
          <w:lang w:eastAsia="en-GB"/>
          <w14:ligatures w14:val="none"/>
        </w:rPr>
        <w:t>improve</w:t>
      </w:r>
      <w:r w:rsidRPr="00404F85">
        <w:rPr>
          <w:rFonts w:ascii="Arial" w:hAnsi="Arial" w:cs="Arial"/>
          <w:kern w:val="0"/>
          <w:lang w:eastAsia="en-GB"/>
          <w14:ligatures w14:val="none"/>
        </w:rPr>
        <w:t xml:space="preserve"> </w:t>
      </w:r>
      <w:r w:rsidR="00804596">
        <w:rPr>
          <w:rFonts w:ascii="Arial" w:hAnsi="Arial" w:cs="Arial"/>
          <w:kern w:val="0"/>
          <w:lang w:eastAsia="en-GB"/>
          <w14:ligatures w14:val="none"/>
        </w:rPr>
        <w:t>tr</w:t>
      </w:r>
      <w:r w:rsidR="00402A05">
        <w:rPr>
          <w:rFonts w:ascii="Arial" w:hAnsi="Arial" w:cs="Arial"/>
          <w:kern w:val="0"/>
          <w:lang w:eastAsia="en-GB"/>
          <w14:ligatures w14:val="none"/>
        </w:rPr>
        <w:t>eatment outcomes</w:t>
      </w:r>
      <w:r w:rsidR="008D47D7">
        <w:rPr>
          <w:rFonts w:ascii="Arial" w:hAnsi="Arial" w:cs="Arial"/>
          <w:kern w:val="0"/>
          <w:lang w:eastAsia="en-GB"/>
          <w14:ligatures w14:val="none"/>
        </w:rPr>
        <w:t xml:space="preserve"> (NHS</w:t>
      </w:r>
      <w:r w:rsidR="00225C9E">
        <w:rPr>
          <w:rFonts w:ascii="Arial" w:hAnsi="Arial" w:cs="Arial"/>
          <w:kern w:val="0"/>
          <w:lang w:eastAsia="en-GB"/>
          <w14:ligatures w14:val="none"/>
        </w:rPr>
        <w:t>, 2024).</w:t>
      </w:r>
      <w:r w:rsidRPr="00404F85">
        <w:rPr>
          <w:rFonts w:ascii="Arial" w:hAnsi="Arial" w:cs="Arial"/>
          <w:kern w:val="0"/>
          <w:lang w:eastAsia="en-GB"/>
          <w14:ligatures w14:val="none"/>
        </w:rPr>
        <w:t xml:space="preserve"> insulin resistance and abnormal glucose regulation before severe complications develop. Healthcare providers should increase routine diabetes screening within GP practices, community health centres, pharmacies, and care homes, particularly for adults aged over 65 years and individuals from high-risk communities (NHS England, 2019).</w:t>
      </w:r>
    </w:p>
    <w:p w14:paraId="45C4BD45" w14:textId="77777777" w:rsidR="001E4C7C" w:rsidRPr="00404F85" w:rsidRDefault="001E4C7C" w:rsidP="00404F85">
      <w:pPr>
        <w:spacing w:before="100" w:beforeAutospacing="1" w:after="100" w:afterAutospacing="1"/>
        <w:jc w:val="left"/>
        <w:divId w:val="46533659"/>
        <w:rPr>
          <w:rFonts w:ascii="Arial" w:hAnsi="Arial" w:cs="Arial"/>
          <w:kern w:val="0"/>
          <w:lang w:eastAsia="en-GB"/>
          <w14:ligatures w14:val="none"/>
        </w:rPr>
      </w:pPr>
    </w:p>
    <w:p w14:paraId="279DD21D" w14:textId="49D503A2" w:rsidR="001E4C7C" w:rsidRPr="00404F85" w:rsidRDefault="001E4C7C" w:rsidP="00404F85">
      <w:pPr>
        <w:spacing w:before="100" w:beforeAutospacing="1" w:after="100" w:afterAutospacing="1"/>
        <w:jc w:val="left"/>
        <w:divId w:val="46533659"/>
        <w:rPr>
          <w:rFonts w:ascii="Arial" w:hAnsi="Arial" w:cs="Arial"/>
          <w:kern w:val="0"/>
          <w:lang w:eastAsia="en-GB"/>
          <w14:ligatures w14:val="none"/>
        </w:rPr>
      </w:pPr>
      <w:r w:rsidRPr="00404F85">
        <w:rPr>
          <w:rFonts w:ascii="Arial" w:hAnsi="Arial" w:cs="Arial"/>
          <w:kern w:val="0"/>
          <w:lang w:eastAsia="en-GB"/>
          <w14:ligatures w14:val="none"/>
        </w:rPr>
        <w:t>Early intervention may reduce the risk of cardiovascular disease, neuropathy, and kidney damage through earlier treatment and lifestyle support (Rawshani et al., 2018). Increased screening can also improve patient education and encourage healthier lifestyle choices before complications become severe.</w:t>
      </w:r>
    </w:p>
    <w:p w14:paraId="6C927867" w14:textId="77777777" w:rsidR="001E4C7C" w:rsidRPr="00404F85" w:rsidRDefault="001E4C7C" w:rsidP="00404F85">
      <w:pPr>
        <w:spacing w:before="100" w:beforeAutospacing="1" w:after="100" w:afterAutospacing="1"/>
        <w:jc w:val="left"/>
        <w:divId w:val="46533659"/>
        <w:rPr>
          <w:rFonts w:ascii="Arial" w:hAnsi="Arial" w:cs="Arial"/>
          <w:kern w:val="0"/>
          <w:lang w:eastAsia="en-GB"/>
          <w14:ligatures w14:val="none"/>
        </w:rPr>
      </w:pPr>
    </w:p>
    <w:p w14:paraId="4A21E767" w14:textId="77777777" w:rsidR="001E4C7C" w:rsidRPr="00404F85" w:rsidRDefault="001E4C7C" w:rsidP="00404F85">
      <w:pPr>
        <w:spacing w:before="100" w:beforeAutospacing="1" w:after="100" w:afterAutospacing="1"/>
        <w:jc w:val="left"/>
        <w:divId w:val="46533659"/>
        <w:rPr>
          <w:rFonts w:ascii="Arial" w:hAnsi="Arial" w:cs="Arial"/>
          <w:kern w:val="0"/>
          <w:lang w:eastAsia="en-GB"/>
          <w14:ligatures w14:val="none"/>
        </w:rPr>
      </w:pPr>
      <w:r w:rsidRPr="00404F85">
        <w:rPr>
          <w:rFonts w:ascii="Arial" w:hAnsi="Arial" w:cs="Arial"/>
          <w:kern w:val="0"/>
          <w:lang w:eastAsia="en-GB"/>
          <w14:ligatures w14:val="none"/>
        </w:rPr>
        <w:t>However, barriers to this recommendation include limited NHS resources, staff shortages, and reduced patient engagement. Some older adults may also avoid screening due to fear, lack of awareness, or cultural barriers. To overcome these challenges, healthcare providers should introduce culturally sensitive awareness campaigns, mobile screening services, and community outreach programmes (Diabetes UK, 2023). Greater collaboration between local councils, GP surgeries, and community organisations may also improve accessibility and participation.</w:t>
      </w:r>
    </w:p>
    <w:p w14:paraId="7EB9657E" w14:textId="1B795B33" w:rsidR="008D7208" w:rsidRPr="00404F85" w:rsidRDefault="008D7208" w:rsidP="00404F85">
      <w:pPr>
        <w:pStyle w:val="Heading1"/>
        <w:spacing w:line="360" w:lineRule="auto"/>
        <w:ind w:left="0"/>
        <w:rPr>
          <w:rFonts w:cs="Arial"/>
          <w:sz w:val="22"/>
          <w:szCs w:val="22"/>
        </w:rPr>
      </w:pPr>
    </w:p>
    <w:p w14:paraId="4263DD9E" w14:textId="77777777" w:rsidR="005C5E80" w:rsidRPr="00404F85" w:rsidRDefault="005C5E80" w:rsidP="00404F85">
      <w:pPr>
        <w:pStyle w:val="Heading1"/>
        <w:spacing w:line="360" w:lineRule="auto"/>
        <w:rPr>
          <w:rFonts w:cs="Arial"/>
          <w:sz w:val="22"/>
          <w:szCs w:val="22"/>
        </w:rPr>
      </w:pPr>
    </w:p>
    <w:p w14:paraId="77F619EF" w14:textId="1457DC95" w:rsidR="00205E0C" w:rsidRPr="007D5F15" w:rsidRDefault="001F5C3E" w:rsidP="00404F85">
      <w:pPr>
        <w:pStyle w:val="Heading2"/>
        <w:divId w:val="978460715"/>
        <w:rPr>
          <w:rStyle w:val="Heading5Char"/>
          <w:rFonts w:ascii="Arial" w:hAnsi="Arial" w:cs="Arial"/>
          <w:sz w:val="32"/>
          <w:szCs w:val="32"/>
          <w:lang w:eastAsia="en-GB"/>
        </w:rPr>
      </w:pPr>
      <w:r w:rsidRPr="008C2450">
        <w:rPr>
          <w:noProof/>
        </w:rPr>
        <w:drawing>
          <wp:anchor distT="0" distB="0" distL="114300" distR="114300" simplePos="0" relativeHeight="251658249" behindDoc="0" locked="0" layoutInCell="1" allowOverlap="1" wp14:anchorId="5EBCF202" wp14:editId="7149098E">
            <wp:simplePos x="0" y="0"/>
            <wp:positionH relativeFrom="column">
              <wp:posOffset>392430</wp:posOffset>
            </wp:positionH>
            <wp:positionV relativeFrom="paragraph">
              <wp:posOffset>1027430</wp:posOffset>
            </wp:positionV>
            <wp:extent cx="4163695" cy="2236470"/>
            <wp:effectExtent l="0" t="0" r="8255" b="0"/>
            <wp:wrapTopAndBottom/>
            <wp:docPr id="23752424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24242" name="Picture 1">
                      <a:extLst>
                        <a:ext uri="{C183D7F6-B498-43B3-948B-1728B52AA6E4}">
                          <adec:decorative xmlns:adec="http://schemas.microsoft.com/office/drawing/2017/decorative" val="1"/>
                        </a:ext>
                      </a:extLst>
                    </pic:cNvPr>
                    <pic:cNvPicPr/>
                  </pic:nvPicPr>
                  <pic:blipFill>
                    <a:blip r:embed="rId23"/>
                    <a:stretch>
                      <a:fillRect/>
                    </a:stretch>
                  </pic:blipFill>
                  <pic:spPr>
                    <a:xfrm>
                      <a:off x="0" y="0"/>
                      <a:ext cx="4163695" cy="2236470"/>
                    </a:xfrm>
                    <a:prstGeom prst="rect">
                      <a:avLst/>
                    </a:prstGeom>
                  </pic:spPr>
                </pic:pic>
              </a:graphicData>
            </a:graphic>
            <wp14:sizeRelH relativeFrom="margin">
              <wp14:pctWidth>0</wp14:pctWidth>
            </wp14:sizeRelH>
            <wp14:sizeRelV relativeFrom="margin">
              <wp14:pctHeight>0</wp14:pctHeight>
            </wp14:sizeRelV>
          </wp:anchor>
        </w:drawing>
      </w:r>
      <w:r w:rsidR="005C5E80" w:rsidRPr="007D5F15">
        <w:rPr>
          <w:rFonts w:ascii="Arial" w:hAnsi="Arial" w:cs="Arial"/>
          <w:sz w:val="32"/>
          <w:szCs w:val="32"/>
        </w:rPr>
        <w:t>5.2.2</w:t>
      </w:r>
      <w:r w:rsidR="005C5E80" w:rsidRPr="00404F85">
        <w:rPr>
          <w:rFonts w:ascii="Arial" w:hAnsi="Arial" w:cs="Arial"/>
          <w:sz w:val="22"/>
          <w:szCs w:val="22"/>
        </w:rPr>
        <w:t xml:space="preserve"> – </w:t>
      </w:r>
      <w:r w:rsidR="00A06D89" w:rsidRPr="007D5F15">
        <w:rPr>
          <w:rFonts w:ascii="Arial" w:hAnsi="Arial" w:cs="Arial"/>
          <w:sz w:val="32"/>
          <w:szCs w:val="32"/>
        </w:rPr>
        <w:t>Recommendation Increase</w:t>
      </w:r>
      <w:r w:rsidR="00205E0C" w:rsidRPr="007D5F15">
        <w:rPr>
          <w:rStyle w:val="Heading5Char"/>
          <w:rFonts w:ascii="Arial" w:hAnsi="Arial" w:cs="Arial"/>
          <w:sz w:val="32"/>
          <w:szCs w:val="32"/>
          <w:lang w:eastAsia="en-GB"/>
        </w:rPr>
        <w:t xml:space="preserve"> Personalised Diabetes Education and Lifestyle Support</w:t>
      </w:r>
    </w:p>
    <w:p w14:paraId="374DEEF2" w14:textId="77777777" w:rsidR="00205E0C" w:rsidRDefault="00205E0C" w:rsidP="00404F85">
      <w:pPr>
        <w:spacing w:before="100" w:beforeAutospacing="1" w:after="100" w:afterAutospacing="1"/>
        <w:jc w:val="left"/>
        <w:divId w:val="978460715"/>
        <w:rPr>
          <w:rFonts w:ascii="Arial" w:hAnsi="Arial" w:cs="Arial"/>
          <w:kern w:val="0"/>
          <w:lang w:eastAsia="en-GB"/>
          <w14:ligatures w14:val="none"/>
        </w:rPr>
      </w:pPr>
    </w:p>
    <w:tbl>
      <w:tblPr>
        <w:tblStyle w:val="TableGrid"/>
        <w:tblW w:w="10065" w:type="dxa"/>
        <w:tblInd w:w="-572" w:type="dxa"/>
        <w:tblLook w:val="04A0" w:firstRow="1" w:lastRow="0" w:firstColumn="1" w:lastColumn="0" w:noHBand="0" w:noVBand="1"/>
      </w:tblPr>
      <w:tblGrid>
        <w:gridCol w:w="10065"/>
      </w:tblGrid>
      <w:tr w:rsidR="00602181" w14:paraId="07494368" w14:textId="77777777" w:rsidTr="009B5EBB">
        <w:trPr>
          <w:divId w:val="978460715"/>
        </w:trPr>
        <w:tc>
          <w:tcPr>
            <w:tcW w:w="10065" w:type="dxa"/>
          </w:tcPr>
          <w:p w14:paraId="2C37AC95" w14:textId="663346EA" w:rsidR="00602181" w:rsidRPr="006B2D07" w:rsidRDefault="00602181" w:rsidP="00602181">
            <w:pPr>
              <w:rPr>
                <w:rFonts w:ascii="Arial" w:hAnsi="Arial" w:cs="Arial"/>
                <w:lang w:eastAsia="en-GB"/>
              </w:rPr>
            </w:pPr>
            <w:r w:rsidRPr="00BD20B4">
              <w:rPr>
                <w:rFonts w:ascii="Arial" w:hAnsi="Arial" w:cs="Arial"/>
                <w:b/>
                <w:lang w:eastAsia="en-GB"/>
              </w:rPr>
              <w:t xml:space="preserve">Figure </w:t>
            </w:r>
            <w:r w:rsidR="00BD20B4" w:rsidRPr="00BD20B4">
              <w:rPr>
                <w:rFonts w:ascii="Arial" w:hAnsi="Arial" w:cs="Arial"/>
                <w:b/>
                <w:bCs/>
                <w:lang w:eastAsia="en-GB"/>
              </w:rPr>
              <w:t>9:</w:t>
            </w:r>
            <w:r w:rsidRPr="006B2D07">
              <w:rPr>
                <w:rFonts w:ascii="Arial" w:hAnsi="Arial" w:cs="Arial"/>
                <w:lang w:eastAsia="en-GB"/>
              </w:rPr>
              <w:t xml:space="preserve"> Components of Diabetes Self-Management Education and Support (DSMES). Source: Author’s adaptation based on the reviewed literature, including Chatterjee, Khunti and Davies (2017), Zheng et al. (2018), and Diabetes UK (2023).</w:t>
            </w:r>
          </w:p>
          <w:p w14:paraId="7D8C37E5" w14:textId="77777777" w:rsidR="00602181" w:rsidRDefault="00602181" w:rsidP="00404F85">
            <w:pPr>
              <w:spacing w:before="100" w:beforeAutospacing="1" w:after="100" w:afterAutospacing="1"/>
              <w:jc w:val="left"/>
              <w:rPr>
                <w:rFonts w:ascii="Arial" w:hAnsi="Arial" w:cs="Arial"/>
                <w:lang w:eastAsia="en-GB"/>
              </w:rPr>
            </w:pPr>
          </w:p>
        </w:tc>
      </w:tr>
    </w:tbl>
    <w:p w14:paraId="6B884789" w14:textId="77777777" w:rsidR="00D15C84" w:rsidRPr="00404F85" w:rsidRDefault="00D15C84" w:rsidP="00404F85">
      <w:pPr>
        <w:spacing w:before="100" w:beforeAutospacing="1" w:after="100" w:afterAutospacing="1"/>
        <w:jc w:val="left"/>
        <w:divId w:val="1388605428"/>
        <w:rPr>
          <w:rFonts w:ascii="Arial" w:hAnsi="Arial" w:cs="Arial"/>
          <w:kern w:val="0"/>
          <w:lang w:eastAsia="en-GB"/>
          <w14:ligatures w14:val="none"/>
        </w:rPr>
      </w:pPr>
    </w:p>
    <w:p w14:paraId="43D47CD3"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r w:rsidRPr="00404F85">
        <w:rPr>
          <w:rFonts w:ascii="Arial" w:hAnsi="Arial" w:cs="Arial"/>
          <w:kern w:val="0"/>
          <w:lang w:eastAsia="en-GB"/>
          <w14:ligatures w14:val="none"/>
        </w:rPr>
        <w:t>Another recommendation is to improve access to personalised diabetes education and lifestyle support programmes for older adults living with T2DM. Education programmes should focus on healthy eating, physical activity, medication management, blood glucose monitoring, and complication prevention (Barlow et al., 2002). Providing personalised education can improve self-management skills and encourage older adults to take greater control of their condition.</w:t>
      </w:r>
    </w:p>
    <w:p w14:paraId="49C58C5C"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p>
    <w:p w14:paraId="3AA679DE"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r w:rsidRPr="00404F85">
        <w:rPr>
          <w:rFonts w:ascii="Arial" w:hAnsi="Arial" w:cs="Arial"/>
          <w:kern w:val="0"/>
          <w:lang w:eastAsia="en-GB"/>
          <w14:ligatures w14:val="none"/>
        </w:rPr>
        <w:t>Lifestyle support services should also consider the specific needs of older adults, including mobility difficulties, sensory impairment, and mental health challenges. Healthcare professionals should work closely with patients and carers to develop realistic and achievable management plans.</w:t>
      </w:r>
    </w:p>
    <w:p w14:paraId="1F9E0853"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p>
    <w:p w14:paraId="0CB2275B"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r w:rsidRPr="00404F85">
        <w:rPr>
          <w:rFonts w:ascii="Arial" w:hAnsi="Arial" w:cs="Arial"/>
          <w:kern w:val="0"/>
          <w:lang w:eastAsia="en-GB"/>
          <w14:ligatures w14:val="none"/>
        </w:rPr>
        <w:t>The positive impact of this recommendation includes improved glycaemic control, reduced hospital admissions, and better quality of life (Sinclair et al., 2020). Effective education may also reduce long-term healthcare costs by preventing complications and promoting independence.</w:t>
      </w:r>
    </w:p>
    <w:p w14:paraId="299C8150"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p>
    <w:p w14:paraId="741996D4" w14:textId="77777777" w:rsidR="00205E0C" w:rsidRPr="00404F85" w:rsidRDefault="00205E0C" w:rsidP="00404F85">
      <w:pPr>
        <w:spacing w:before="100" w:beforeAutospacing="1" w:after="100" w:afterAutospacing="1"/>
        <w:jc w:val="left"/>
        <w:divId w:val="978460715"/>
        <w:rPr>
          <w:rFonts w:ascii="Arial" w:hAnsi="Arial" w:cs="Arial"/>
          <w:kern w:val="0"/>
          <w:lang w:eastAsia="en-GB"/>
          <w14:ligatures w14:val="none"/>
        </w:rPr>
      </w:pPr>
      <w:r w:rsidRPr="00404F85">
        <w:rPr>
          <w:rFonts w:ascii="Arial" w:hAnsi="Arial" w:cs="Arial"/>
          <w:kern w:val="0"/>
          <w:lang w:eastAsia="en-GB"/>
          <w14:ligatures w14:val="none"/>
        </w:rPr>
        <w:t xml:space="preserve">Despite these benefits, barriers such as financial limitations, low health literacy, language differences, and poor digital skills may reduce participation in education programmes. Some older adults may also struggle to </w:t>
      </w:r>
      <w:bookmarkStart w:id="208" w:name="_Int_QR5pGwPE"/>
      <w:r w:rsidRPr="00404F85">
        <w:rPr>
          <w:rFonts w:ascii="Arial" w:hAnsi="Arial" w:cs="Arial"/>
          <w:kern w:val="0"/>
          <w:lang w:eastAsia="en-GB"/>
          <w14:ligatures w14:val="none"/>
        </w:rPr>
        <w:t>maintain</w:t>
      </w:r>
      <w:bookmarkEnd w:id="208"/>
      <w:r w:rsidRPr="00404F85">
        <w:rPr>
          <w:rFonts w:ascii="Arial" w:hAnsi="Arial" w:cs="Arial"/>
          <w:kern w:val="0"/>
          <w:lang w:eastAsia="en-GB"/>
          <w14:ligatures w14:val="none"/>
        </w:rPr>
        <w:t xml:space="preserve"> long-term lifestyle changes due to physical limitations or social isolation. These barriers could </w:t>
      </w:r>
      <w:bookmarkStart w:id="209" w:name="_Int_ldkW6HAq"/>
      <w:r w:rsidRPr="00404F85">
        <w:rPr>
          <w:rFonts w:ascii="Arial" w:hAnsi="Arial" w:cs="Arial"/>
          <w:kern w:val="0"/>
          <w:lang w:eastAsia="en-GB"/>
          <w14:ligatures w14:val="none"/>
        </w:rPr>
        <w:t>be addressed</w:t>
      </w:r>
      <w:bookmarkEnd w:id="209"/>
      <w:r w:rsidRPr="00404F85">
        <w:rPr>
          <w:rFonts w:ascii="Arial" w:hAnsi="Arial" w:cs="Arial"/>
          <w:kern w:val="0"/>
          <w:lang w:eastAsia="en-GB"/>
          <w14:ligatures w14:val="none"/>
        </w:rPr>
        <w:t xml:space="preserve"> by offering free community-based programmes, translated educational materials, home visits, and </w:t>
      </w:r>
      <w:bookmarkStart w:id="210" w:name="_Int_nJCSRwzw"/>
      <w:r w:rsidRPr="00404F85">
        <w:rPr>
          <w:rFonts w:ascii="Arial" w:hAnsi="Arial" w:cs="Arial"/>
          <w:kern w:val="0"/>
          <w:lang w:eastAsia="en-GB"/>
          <w14:ligatures w14:val="none"/>
        </w:rPr>
        <w:t>additional</w:t>
      </w:r>
      <w:bookmarkEnd w:id="210"/>
      <w:r w:rsidRPr="00404F85">
        <w:rPr>
          <w:rFonts w:ascii="Arial" w:hAnsi="Arial" w:cs="Arial"/>
          <w:kern w:val="0"/>
          <w:lang w:eastAsia="en-GB"/>
          <w14:ligatures w14:val="none"/>
        </w:rPr>
        <w:t xml:space="preserve"> support from multidisciplinary healthcare teams.</w:t>
      </w:r>
    </w:p>
    <w:p w14:paraId="6E79DE2B" w14:textId="77777777" w:rsidR="00A91528" w:rsidRPr="00404F85" w:rsidRDefault="00A91528" w:rsidP="00404F85">
      <w:pPr>
        <w:pStyle w:val="Heading1"/>
        <w:spacing w:line="360" w:lineRule="auto"/>
        <w:ind w:left="0"/>
        <w:rPr>
          <w:rFonts w:cs="Arial"/>
          <w:sz w:val="22"/>
          <w:szCs w:val="22"/>
        </w:rPr>
      </w:pPr>
    </w:p>
    <w:p w14:paraId="1F80D6A6" w14:textId="3005F893" w:rsidR="00D15C84" w:rsidRPr="00404F85" w:rsidRDefault="00D15C84" w:rsidP="00404F85">
      <w:pPr>
        <w:pStyle w:val="Heading1"/>
        <w:spacing w:line="360" w:lineRule="auto"/>
        <w:divId w:val="1388605428"/>
        <w:rPr>
          <w:rFonts w:cs="Arial"/>
          <w:sz w:val="22"/>
          <w:szCs w:val="22"/>
        </w:rPr>
      </w:pPr>
    </w:p>
    <w:p w14:paraId="733FA435" w14:textId="7C3276BC" w:rsidR="002C7720" w:rsidRDefault="005C5E80" w:rsidP="00B93B98">
      <w:pPr>
        <w:pStyle w:val="Heading2"/>
        <w:divId w:val="1388605428"/>
        <w:rPr>
          <w:rFonts w:ascii="Arial" w:hAnsi="Arial" w:cs="Arial"/>
          <w:b/>
          <w:bCs/>
          <w:sz w:val="36"/>
          <w:szCs w:val="36"/>
          <w:lang w:eastAsia="en-GB"/>
        </w:rPr>
      </w:pPr>
      <w:r w:rsidRPr="00B93B98">
        <w:rPr>
          <w:rFonts w:ascii="Arial" w:hAnsi="Arial" w:cs="Arial"/>
          <w:b/>
          <w:bCs/>
          <w:sz w:val="36"/>
          <w:szCs w:val="36"/>
        </w:rPr>
        <w:t xml:space="preserve">5.2.3 – Recommendation 3 </w:t>
      </w:r>
      <w:r w:rsidR="002C7720" w:rsidRPr="00B93B98">
        <w:rPr>
          <w:rFonts w:ascii="Arial" w:hAnsi="Arial" w:cs="Arial"/>
          <w:b/>
          <w:bCs/>
          <w:sz w:val="36"/>
          <w:szCs w:val="36"/>
          <w:lang w:eastAsia="en-GB"/>
        </w:rPr>
        <w:t>– Strengthen Integrated Health and Social Care Services</w:t>
      </w:r>
    </w:p>
    <w:p w14:paraId="324A7866" w14:textId="397B4C07" w:rsidR="00C07BBD" w:rsidRDefault="00C07BBD" w:rsidP="00C07BBD">
      <w:pPr>
        <w:divId w:val="1388605428"/>
        <w:rPr>
          <w:lang w:eastAsia="en-GB"/>
        </w:rPr>
      </w:pPr>
    </w:p>
    <w:p w14:paraId="601067C1" w14:textId="5C224A49"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r w:rsidRPr="00404F85">
        <w:rPr>
          <w:rFonts w:ascii="Arial" w:hAnsi="Arial" w:cs="Arial"/>
          <w:kern w:val="0"/>
          <w:lang w:eastAsia="en-GB"/>
          <w14:ligatures w14:val="none"/>
        </w:rPr>
        <w:t xml:space="preserve">The final recommendation is to strengthen integrated health and social care services for older adults living with T2DM in Birmingham. Diabetes management often </w:t>
      </w:r>
      <w:bookmarkStart w:id="211" w:name="_Int_8zuqrRQD"/>
      <w:r w:rsidRPr="00404F85">
        <w:rPr>
          <w:rFonts w:ascii="Arial" w:hAnsi="Arial" w:cs="Arial"/>
          <w:kern w:val="0"/>
          <w:lang w:eastAsia="en-GB"/>
          <w14:ligatures w14:val="none"/>
        </w:rPr>
        <w:t>requires</w:t>
      </w:r>
      <w:bookmarkEnd w:id="211"/>
      <w:r w:rsidRPr="00404F85">
        <w:rPr>
          <w:rFonts w:ascii="Arial" w:hAnsi="Arial" w:cs="Arial"/>
          <w:kern w:val="0"/>
          <w:lang w:eastAsia="en-GB"/>
          <w14:ligatures w14:val="none"/>
        </w:rPr>
        <w:t xml:space="preserve"> support from multiple healthcare professionals, including GPs, nurses, dieticians, podiatrists, social workers, and mental health specialists. Improved communication and coordination between services may help provide more effective and patient-centred care (NICE, 2022).</w:t>
      </w:r>
    </w:p>
    <w:p w14:paraId="70694CF9" w14:textId="409CEF88"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p>
    <w:p w14:paraId="12BAE1F3" w14:textId="77777777"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r w:rsidRPr="00404F85">
        <w:rPr>
          <w:rFonts w:ascii="Arial" w:hAnsi="Arial" w:cs="Arial"/>
          <w:kern w:val="0"/>
          <w:lang w:eastAsia="en-GB"/>
          <w14:ligatures w14:val="none"/>
        </w:rPr>
        <w:t xml:space="preserve">Integrated care services could improve monitoring of complications, reduce hospital admissions, and support older adults in </w:t>
      </w:r>
      <w:bookmarkStart w:id="212" w:name="_Int_UC4lXaT1"/>
      <w:r w:rsidRPr="00404F85">
        <w:rPr>
          <w:rFonts w:ascii="Arial" w:hAnsi="Arial" w:cs="Arial"/>
          <w:kern w:val="0"/>
          <w:lang w:eastAsia="en-GB"/>
          <w14:ligatures w14:val="none"/>
        </w:rPr>
        <w:t>maintaining</w:t>
      </w:r>
      <w:bookmarkEnd w:id="212"/>
      <w:r w:rsidRPr="00404F85">
        <w:rPr>
          <w:rFonts w:ascii="Arial" w:hAnsi="Arial" w:cs="Arial"/>
          <w:kern w:val="0"/>
          <w:lang w:eastAsia="en-GB"/>
          <w14:ligatures w14:val="none"/>
        </w:rPr>
        <w:t xml:space="preserve"> independence within their own homes (NHS England, 2019). Community-based healthcare programmes may also provide emotional support and reduce social isolation among individuals living with chronic illness.</w:t>
      </w:r>
    </w:p>
    <w:p w14:paraId="267AD390" w14:textId="77777777"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p>
    <w:p w14:paraId="5112FC33" w14:textId="77777777"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r w:rsidRPr="00404F85">
        <w:rPr>
          <w:rFonts w:ascii="Arial" w:hAnsi="Arial" w:cs="Arial"/>
          <w:kern w:val="0"/>
          <w:lang w:eastAsia="en-GB"/>
          <w14:ligatures w14:val="none"/>
        </w:rPr>
        <w:t>One positive implication of integrated care is improved continuity of treatment and earlier identification of complications. Older adults may receive more holistic support that addresses both medical and social care needs. This approach may also reduce pressure on hospitals and emergency healthcare services.</w:t>
      </w:r>
    </w:p>
    <w:p w14:paraId="606215E7" w14:textId="77777777"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p>
    <w:p w14:paraId="2DEF35E8" w14:textId="77777777" w:rsidR="002C7720" w:rsidRPr="00404F85" w:rsidRDefault="002C7720" w:rsidP="00404F85">
      <w:pPr>
        <w:spacing w:before="100" w:beforeAutospacing="1" w:after="100" w:afterAutospacing="1"/>
        <w:jc w:val="left"/>
        <w:divId w:val="1388605428"/>
        <w:rPr>
          <w:rFonts w:ascii="Arial" w:hAnsi="Arial" w:cs="Arial"/>
          <w:kern w:val="0"/>
          <w:lang w:eastAsia="en-GB"/>
          <w14:ligatures w14:val="none"/>
        </w:rPr>
      </w:pPr>
      <w:r w:rsidRPr="00404F85">
        <w:rPr>
          <w:rFonts w:ascii="Arial" w:hAnsi="Arial" w:cs="Arial"/>
          <w:kern w:val="0"/>
          <w:lang w:eastAsia="en-GB"/>
          <w14:ligatures w14:val="none"/>
        </w:rPr>
        <w:t>However, barriers include funding limitations, workforce shortages, and communication difficulties between healthcare departments. Some organisations may also use different record systems, making information sharing more difficult. To overcome these issues, healthcare providers should invest in shared digital systems, staff training, and multidisciplinary teamwork. Increased government funding and policy support may also improve the effectiveness of integrated diabetes care services (NHS Digital, 2022).</w:t>
      </w:r>
    </w:p>
    <w:p w14:paraId="6DEFF1C6" w14:textId="4CF3C9D7" w:rsidR="005C5E80" w:rsidRPr="00404F85" w:rsidRDefault="005C5E80" w:rsidP="00404F85">
      <w:pPr>
        <w:pStyle w:val="Heading1"/>
        <w:spacing w:line="360" w:lineRule="auto"/>
        <w:rPr>
          <w:rFonts w:cs="Arial"/>
          <w:sz w:val="22"/>
          <w:szCs w:val="22"/>
        </w:rPr>
      </w:pPr>
    </w:p>
    <w:p w14:paraId="61CD43C9" w14:textId="77777777" w:rsidR="00211184" w:rsidRPr="00404F85" w:rsidRDefault="00211184" w:rsidP="00404F85">
      <w:pPr>
        <w:rPr>
          <w:rFonts w:ascii="Arial" w:hAnsi="Arial" w:cs="Arial"/>
        </w:rPr>
      </w:pPr>
    </w:p>
    <w:p w14:paraId="2BDFC52E" w14:textId="35D3BCD3" w:rsidR="000400E4" w:rsidRDefault="000400E4" w:rsidP="00404F85">
      <w:pPr>
        <w:rPr>
          <w:rFonts w:ascii="Arial" w:hAnsi="Arial" w:cs="Arial"/>
        </w:rPr>
      </w:pPr>
    </w:p>
    <w:p w14:paraId="3A45B3CF" w14:textId="77777777" w:rsidR="000C7B53" w:rsidRDefault="000C7B53" w:rsidP="00404F85">
      <w:pPr>
        <w:rPr>
          <w:rFonts w:ascii="Arial" w:hAnsi="Arial" w:cs="Arial"/>
        </w:rPr>
      </w:pPr>
    </w:p>
    <w:p w14:paraId="3D19006A" w14:textId="77777777" w:rsidR="000C7B53" w:rsidRPr="00C17C42" w:rsidRDefault="000C7B53" w:rsidP="00C17C42">
      <w:pPr>
        <w:rPr>
          <w:rFonts w:ascii="Arial" w:hAnsi="Arial" w:cs="Arial"/>
        </w:rPr>
      </w:pPr>
    </w:p>
    <w:p w14:paraId="232255E4" w14:textId="77777777" w:rsidR="000C7B53" w:rsidRPr="00C17C42" w:rsidRDefault="000C7B53" w:rsidP="00C17C42">
      <w:pPr>
        <w:rPr>
          <w:rFonts w:ascii="Arial" w:hAnsi="Arial" w:cs="Arial"/>
        </w:rPr>
      </w:pPr>
    </w:p>
    <w:p w14:paraId="4A8C7337" w14:textId="77777777" w:rsidR="000C7B53" w:rsidRPr="00C17C42" w:rsidRDefault="000C7B53" w:rsidP="00C17C42">
      <w:pPr>
        <w:rPr>
          <w:rFonts w:ascii="Arial" w:hAnsi="Arial" w:cs="Arial"/>
        </w:rPr>
      </w:pPr>
    </w:p>
    <w:p w14:paraId="1C021238" w14:textId="77777777" w:rsidR="000C7B53" w:rsidRDefault="000C7B53" w:rsidP="00404F85">
      <w:pPr>
        <w:rPr>
          <w:rFonts w:ascii="Arial" w:hAnsi="Arial" w:cs="Arial"/>
        </w:rPr>
      </w:pPr>
    </w:p>
    <w:p w14:paraId="07C7B457" w14:textId="77777777" w:rsidR="000C7B53" w:rsidRDefault="000C7B53" w:rsidP="00404F85">
      <w:pPr>
        <w:rPr>
          <w:rFonts w:ascii="Arial" w:hAnsi="Arial" w:cs="Arial"/>
        </w:rPr>
      </w:pPr>
    </w:p>
    <w:p w14:paraId="46888074" w14:textId="77777777" w:rsidR="00D30304" w:rsidRDefault="00D30304" w:rsidP="00404F85">
      <w:pPr>
        <w:rPr>
          <w:rFonts w:ascii="Arial" w:hAnsi="Arial" w:cs="Arial"/>
        </w:rPr>
      </w:pPr>
    </w:p>
    <w:p w14:paraId="1851CCBB" w14:textId="77777777" w:rsidR="00D30304" w:rsidRDefault="00D30304" w:rsidP="00404F85">
      <w:pPr>
        <w:rPr>
          <w:rFonts w:ascii="Arial" w:hAnsi="Arial" w:cs="Arial"/>
        </w:rPr>
      </w:pPr>
    </w:p>
    <w:p w14:paraId="73DEEB26" w14:textId="77777777" w:rsidR="000C7B53" w:rsidRDefault="000C7B53" w:rsidP="00404F85">
      <w:pPr>
        <w:rPr>
          <w:rFonts w:ascii="Arial" w:hAnsi="Arial" w:cs="Arial"/>
        </w:rPr>
      </w:pPr>
    </w:p>
    <w:p w14:paraId="11B48BA6" w14:textId="77777777" w:rsidR="000C7B53" w:rsidRPr="00404F85" w:rsidRDefault="000C7B53" w:rsidP="00404F85">
      <w:pPr>
        <w:rPr>
          <w:rFonts w:ascii="Arial" w:hAnsi="Arial" w:cs="Arial"/>
        </w:rPr>
      </w:pPr>
    </w:p>
    <w:p w14:paraId="3D3F3B28" w14:textId="1662D714" w:rsidR="00211184" w:rsidRPr="0016671D" w:rsidRDefault="00211184" w:rsidP="0016671D">
      <w:pPr>
        <w:pStyle w:val="Heading2"/>
        <w:rPr>
          <w:rFonts w:ascii="Arial" w:hAnsi="Arial" w:cs="Arial"/>
          <w:b/>
          <w:bCs/>
          <w:sz w:val="36"/>
          <w:szCs w:val="36"/>
        </w:rPr>
      </w:pPr>
      <w:r w:rsidRPr="0016671D">
        <w:rPr>
          <w:rFonts w:ascii="Arial" w:hAnsi="Arial" w:cs="Arial"/>
          <w:b/>
          <w:bCs/>
          <w:sz w:val="36"/>
          <w:szCs w:val="36"/>
        </w:rPr>
        <w:t xml:space="preserve">CHAPTER 6 – References and Appendices </w:t>
      </w:r>
    </w:p>
    <w:p w14:paraId="2EE69DD1" w14:textId="77777777" w:rsidR="00211184" w:rsidRPr="0016671D" w:rsidRDefault="00211184" w:rsidP="0016671D">
      <w:pPr>
        <w:pStyle w:val="Heading2"/>
        <w:rPr>
          <w:rFonts w:ascii="Arial" w:hAnsi="Arial" w:cs="Arial"/>
          <w:b/>
          <w:bCs/>
          <w:sz w:val="36"/>
          <w:szCs w:val="36"/>
        </w:rPr>
      </w:pPr>
    </w:p>
    <w:p w14:paraId="020975DD" w14:textId="16A395E8" w:rsidR="00AF5F4F" w:rsidRPr="0016671D" w:rsidRDefault="00621776" w:rsidP="0016671D">
      <w:pPr>
        <w:pStyle w:val="Heading2"/>
        <w:rPr>
          <w:rFonts w:ascii="Arial" w:hAnsi="Arial" w:cs="Arial"/>
          <w:b/>
          <w:bCs/>
          <w:sz w:val="36"/>
          <w:szCs w:val="36"/>
        </w:rPr>
      </w:pPr>
      <w:r w:rsidRPr="0016671D">
        <w:rPr>
          <w:rFonts w:ascii="Arial" w:hAnsi="Arial" w:cs="Arial"/>
          <w:b/>
          <w:bCs/>
          <w:sz w:val="36"/>
          <w:szCs w:val="36"/>
        </w:rPr>
        <w:t xml:space="preserve">6.1 – References </w:t>
      </w:r>
    </w:p>
    <w:p w14:paraId="51A328FD" w14:textId="77777777" w:rsidR="00E00B2C" w:rsidRDefault="00E00B2C" w:rsidP="00404F85">
      <w:pPr>
        <w:pStyle w:val="Heading1"/>
        <w:spacing w:line="360" w:lineRule="auto"/>
        <w:ind w:left="0"/>
        <w:divId w:val="794257367"/>
        <w:rPr>
          <w:rFonts w:cs="Arial"/>
          <w:sz w:val="22"/>
          <w:szCs w:val="22"/>
        </w:rPr>
      </w:pPr>
    </w:p>
    <w:p w14:paraId="23DF6568" w14:textId="4BDD6B06"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Accili, D., Deng, </w:t>
      </w:r>
      <w:r w:rsidR="00C40DCD" w:rsidRPr="004A6A24">
        <w:rPr>
          <w:rFonts w:ascii="Arial" w:hAnsi="Arial" w:cs="Arial"/>
          <w:kern w:val="0"/>
          <w:lang w:eastAsia="en-GB"/>
          <w14:ligatures w14:val="none"/>
        </w:rPr>
        <w:t>Z.,</w:t>
      </w:r>
      <w:r w:rsidRPr="004A6A24">
        <w:rPr>
          <w:rFonts w:ascii="Arial" w:hAnsi="Arial" w:cs="Arial"/>
          <w:kern w:val="0"/>
          <w:lang w:eastAsia="en-GB"/>
          <w14:ligatures w14:val="none"/>
        </w:rPr>
        <w:t xml:space="preserve"> and Liu, Q. (2025) ‘Insulin resistance in type 2 diabetes mellitus’, </w:t>
      </w:r>
      <w:r w:rsidRPr="004A6A24">
        <w:rPr>
          <w:rFonts w:ascii="Arial" w:hAnsi="Arial" w:cs="Arial"/>
          <w:i/>
          <w:kern w:val="0"/>
          <w:lang w:eastAsia="en-GB"/>
          <w14:ligatures w14:val="none"/>
        </w:rPr>
        <w:t>Nature Reviews Endocrinology</w:t>
      </w:r>
      <w:r w:rsidRPr="004A6A24">
        <w:rPr>
          <w:rFonts w:ascii="Arial" w:hAnsi="Arial" w:cs="Arial"/>
          <w:kern w:val="0"/>
          <w:lang w:eastAsia="en-GB"/>
          <w14:ligatures w14:val="none"/>
        </w:rPr>
        <w:t>.</w:t>
      </w:r>
    </w:p>
    <w:p w14:paraId="4C421CF3"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Ahlqvist, E., Storm, P., Käräjämäki, A., Martinell, M., Dorkhan, M., Carlsson, A., Vikman, P., Prasad, R.B., Aly, D.M. and Almgren, P. (2018) ‘Novel subgroups of adult-onset diabetes and their association with outcomes’, </w:t>
      </w:r>
      <w:r w:rsidRPr="004A6A24">
        <w:rPr>
          <w:rFonts w:ascii="Arial" w:hAnsi="Arial" w:cs="Arial"/>
          <w:i/>
          <w:kern w:val="0"/>
          <w:lang w:eastAsia="en-GB"/>
          <w14:ligatures w14:val="none"/>
        </w:rPr>
        <w:t>The Lancet Diabetes &amp; Endocrinology</w:t>
      </w:r>
      <w:r w:rsidRPr="004A6A24">
        <w:rPr>
          <w:rFonts w:ascii="Arial" w:hAnsi="Arial" w:cs="Arial"/>
          <w:kern w:val="0"/>
          <w:lang w:eastAsia="en-GB"/>
          <w14:ligatures w14:val="none"/>
        </w:rPr>
        <w:t>, 6(5), pp. 361–369.</w:t>
      </w:r>
    </w:p>
    <w:p w14:paraId="1F5D6BC6"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American Diabetes Association (2023) ‘Classification and diagnosis of diabetes’, </w:t>
      </w:r>
      <w:r w:rsidRPr="004A6A24">
        <w:rPr>
          <w:rFonts w:ascii="Arial" w:hAnsi="Arial" w:cs="Arial"/>
          <w:i/>
          <w:kern w:val="0"/>
          <w:lang w:eastAsia="en-GB"/>
          <w14:ligatures w14:val="none"/>
        </w:rPr>
        <w:t>Diabetes Care</w:t>
      </w:r>
      <w:r w:rsidRPr="004A6A24">
        <w:rPr>
          <w:rFonts w:ascii="Arial" w:hAnsi="Arial" w:cs="Arial"/>
          <w:kern w:val="0"/>
          <w:lang w:eastAsia="en-GB"/>
          <w14:ligatures w14:val="none"/>
        </w:rPr>
        <w:t>, 46(Supplement 1), pp. S19–S40.</w:t>
      </w:r>
    </w:p>
    <w:p w14:paraId="5DFC4812"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Arnold, S.E. and Arvanitakis, Z. (2018) ‘Brain insulin resistance in type 2 diabetes and Alzheimer disease: concepts and conundrums’, </w:t>
      </w:r>
      <w:r w:rsidRPr="004A6A24">
        <w:rPr>
          <w:rFonts w:ascii="Arial" w:hAnsi="Arial" w:cs="Arial"/>
          <w:i/>
          <w:kern w:val="0"/>
          <w:lang w:eastAsia="en-GB"/>
          <w14:ligatures w14:val="none"/>
        </w:rPr>
        <w:t>Nature Reviews Neurology</w:t>
      </w:r>
      <w:r w:rsidRPr="004A6A24">
        <w:rPr>
          <w:rFonts w:ascii="Arial" w:hAnsi="Arial" w:cs="Arial"/>
          <w:kern w:val="0"/>
          <w:lang w:eastAsia="en-GB"/>
          <w14:ligatures w14:val="none"/>
        </w:rPr>
        <w:t>, 14(3), pp. 168–181.</w:t>
      </w:r>
    </w:p>
    <w:p w14:paraId="3265BCC5"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Aveyard, H. (2019) </w:t>
      </w:r>
      <w:r w:rsidRPr="004A6A24">
        <w:rPr>
          <w:rFonts w:ascii="Arial" w:hAnsi="Arial" w:cs="Arial"/>
          <w:i/>
          <w:kern w:val="0"/>
          <w:lang w:eastAsia="en-GB"/>
          <w14:ligatures w14:val="none"/>
        </w:rPr>
        <w:t>Doing a Literature Review in Health and Social Care: A Practical Guide</w:t>
      </w:r>
      <w:r w:rsidRPr="004A6A24">
        <w:rPr>
          <w:rFonts w:ascii="Arial" w:hAnsi="Arial" w:cs="Arial"/>
          <w:kern w:val="0"/>
          <w:lang w:eastAsia="en-GB"/>
          <w14:ligatures w14:val="none"/>
        </w:rPr>
        <w:t>. 4th edn. London: Open University Press.</w:t>
      </w:r>
    </w:p>
    <w:p w14:paraId="0407B06E"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Au-Yeung, C.H., Ellis, D., Dallaway, A. and Riley, J. (2024) ‘Socioeconomic and ethnic inequalities increase the risk of type 2 diabetes: analysis of NHS Health Check attendees in Birmingham’, </w:t>
      </w:r>
      <w:r w:rsidRPr="004A6A24">
        <w:rPr>
          <w:rFonts w:ascii="Arial" w:hAnsi="Arial" w:cs="Arial"/>
          <w:i/>
          <w:kern w:val="0"/>
          <w:lang w:eastAsia="en-GB"/>
          <w14:ligatures w14:val="none"/>
        </w:rPr>
        <w:t>Frontiers in Public Health</w:t>
      </w:r>
      <w:r w:rsidRPr="004A6A24">
        <w:rPr>
          <w:rFonts w:ascii="Arial" w:hAnsi="Arial" w:cs="Arial"/>
          <w:kern w:val="0"/>
          <w:lang w:eastAsia="en-GB"/>
          <w14:ligatures w14:val="none"/>
        </w:rPr>
        <w:t>, 12.</w:t>
      </w:r>
    </w:p>
    <w:p w14:paraId="36081DCA"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Bailey, C.J. (2019) ‘Metformin: historical overview’, </w:t>
      </w:r>
      <w:r w:rsidRPr="004A6A24">
        <w:rPr>
          <w:rFonts w:ascii="Arial" w:hAnsi="Arial" w:cs="Arial"/>
          <w:i/>
          <w:kern w:val="0"/>
          <w:lang w:eastAsia="en-GB"/>
          <w14:ligatures w14:val="none"/>
        </w:rPr>
        <w:t>Diabetologia</w:t>
      </w:r>
      <w:r w:rsidRPr="004A6A24">
        <w:rPr>
          <w:rFonts w:ascii="Arial" w:hAnsi="Arial" w:cs="Arial"/>
          <w:kern w:val="0"/>
          <w:lang w:eastAsia="en-GB"/>
          <w14:ligatures w14:val="none"/>
        </w:rPr>
        <w:t>, 62(9), pp. 1566–1576.</w:t>
      </w:r>
    </w:p>
    <w:p w14:paraId="706BA034"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Barlow, J., Wright, C., Sheasby, J., Turner, A. and Hainsworth, J. (2002) ‘Self-management approaches for people with chronic conditions: a review’, </w:t>
      </w:r>
      <w:r w:rsidRPr="004A6A24">
        <w:rPr>
          <w:rFonts w:ascii="Arial" w:hAnsi="Arial" w:cs="Arial"/>
          <w:i/>
          <w:kern w:val="0"/>
          <w:lang w:eastAsia="en-GB"/>
          <w14:ligatures w14:val="none"/>
        </w:rPr>
        <w:t>Patient Education and Counseling</w:t>
      </w:r>
      <w:r w:rsidRPr="004A6A24">
        <w:rPr>
          <w:rFonts w:ascii="Arial" w:hAnsi="Arial" w:cs="Arial"/>
          <w:kern w:val="0"/>
          <w:lang w:eastAsia="en-GB"/>
          <w14:ligatures w14:val="none"/>
        </w:rPr>
        <w:t>, 48(2), pp. 177–187.</w:t>
      </w:r>
    </w:p>
    <w:p w14:paraId="6BEDD237"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Barnett, A.H., Dixon, A.N., </w:t>
      </w:r>
      <w:bookmarkStart w:id="213" w:name="_Int_IA5lQqul"/>
      <w:r w:rsidRPr="004A6A24">
        <w:rPr>
          <w:rFonts w:ascii="Arial" w:hAnsi="Arial" w:cs="Arial"/>
          <w:kern w:val="0"/>
          <w:lang w:eastAsia="en-GB"/>
          <w14:ligatures w14:val="none"/>
        </w:rPr>
        <w:t>Bellary</w:t>
      </w:r>
      <w:bookmarkEnd w:id="213"/>
      <w:r w:rsidRPr="004A6A24">
        <w:rPr>
          <w:rFonts w:ascii="Arial" w:hAnsi="Arial" w:cs="Arial"/>
          <w:kern w:val="0"/>
          <w:lang w:eastAsia="en-GB"/>
          <w14:ligatures w14:val="none"/>
        </w:rPr>
        <w:t xml:space="preserve">, S., Hanif, M.W., O’Hare, J.P., Raymond, N.T. and Kumar, S. (2006) ‘Type 2 diabetes and cardiovascular risk in the UK South Asian community’, </w:t>
      </w:r>
      <w:r w:rsidRPr="004A6A24">
        <w:rPr>
          <w:rFonts w:ascii="Arial" w:hAnsi="Arial" w:cs="Arial"/>
          <w:i/>
          <w:kern w:val="0"/>
          <w:lang w:eastAsia="en-GB"/>
          <w14:ligatures w14:val="none"/>
        </w:rPr>
        <w:t>Diabetologia</w:t>
      </w:r>
      <w:r w:rsidRPr="004A6A24">
        <w:rPr>
          <w:rFonts w:ascii="Arial" w:hAnsi="Arial" w:cs="Arial"/>
          <w:kern w:val="0"/>
          <w:lang w:eastAsia="en-GB"/>
          <w14:ligatures w14:val="none"/>
        </w:rPr>
        <w:t xml:space="preserve">, 49(10), </w:t>
      </w:r>
      <w:bookmarkStart w:id="214" w:name="_Int_ltIhxiCW"/>
      <w:r w:rsidRPr="004A6A24">
        <w:rPr>
          <w:rFonts w:ascii="Arial" w:hAnsi="Arial" w:cs="Arial"/>
          <w:kern w:val="0"/>
          <w:lang w:eastAsia="en-GB"/>
          <w14:ligatures w14:val="none"/>
        </w:rPr>
        <w:t xml:space="preserve">pp. </w:t>
      </w:r>
      <w:r w:rsidRPr="004A6A24">
        <w:rPr>
          <w:rFonts w:ascii="Arial" w:hAnsi="Arial" w:cs="Arial"/>
          <w:kern w:val="0"/>
          <w:lang w:eastAsia="en-GB"/>
          <w14:ligatures w14:val="none"/>
        </w:rPr>
        <w:fldChar w:fldCharType="begin"/>
      </w:r>
      <w:bookmarkEnd w:id="214"/>
      <w:r w:rsidRPr="004A6A24">
        <w:rPr>
          <w:rFonts w:ascii="Arial" w:hAnsi="Arial" w:cs="Arial"/>
          <w:kern w:val="0"/>
          <w:lang w:eastAsia="en-GB"/>
          <w14:ligatures w14:val="none"/>
        </w:rPr>
        <w:instrText>HYPERLINK "tel:2231-2240"</w:instrText>
      </w:r>
      <w:r w:rsidRPr="004A6A24">
        <w:rPr>
          <w:rFonts w:ascii="Arial" w:hAnsi="Arial" w:cs="Arial"/>
          <w:kern w:val="0"/>
          <w:lang w:eastAsia="en-GB"/>
          <w14:ligatures w14:val="none"/>
        </w:rPr>
      </w:r>
      <w:r w:rsidRPr="004A6A24">
        <w:rPr>
          <w:rFonts w:ascii="Arial" w:hAnsi="Arial" w:cs="Arial"/>
          <w:kern w:val="0"/>
          <w:lang w:eastAsia="en-GB"/>
          <w14:ligatures w14:val="none"/>
        </w:rPr>
        <w:fldChar w:fldCharType="separate"/>
      </w:r>
      <w:r w:rsidRPr="004A6A24">
        <w:rPr>
          <w:rFonts w:ascii="Arial" w:hAnsi="Arial" w:cs="Arial"/>
          <w:color w:val="0000FF"/>
          <w:kern w:val="0"/>
          <w:u w:val="single"/>
          <w:lang w:eastAsia="en-GB"/>
          <w14:ligatures w14:val="none"/>
        </w:rPr>
        <w:t>2231–2240</w:t>
      </w:r>
      <w:r w:rsidRPr="004A6A24">
        <w:rPr>
          <w:rFonts w:ascii="Arial" w:hAnsi="Arial" w:cs="Arial"/>
          <w:kern w:val="0"/>
          <w:lang w:eastAsia="en-GB"/>
          <w14:ligatures w14:val="none"/>
        </w:rPr>
        <w:fldChar w:fldCharType="end"/>
      </w:r>
      <w:r w:rsidRPr="004A6A24">
        <w:rPr>
          <w:rFonts w:ascii="Arial" w:hAnsi="Arial" w:cs="Arial"/>
          <w:kern w:val="0"/>
          <w:lang w:eastAsia="en-GB"/>
          <w14:ligatures w14:val="none"/>
        </w:rPr>
        <w:t>.</w:t>
      </w:r>
    </w:p>
    <w:p w14:paraId="1DA67467"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bookmarkStart w:id="215" w:name="_Int_zrNCirXk"/>
      <w:r w:rsidRPr="004A6A24">
        <w:rPr>
          <w:rFonts w:ascii="Arial" w:hAnsi="Arial" w:cs="Arial"/>
          <w:kern w:val="0"/>
          <w:lang w:eastAsia="en-GB"/>
          <w14:ligatures w14:val="none"/>
        </w:rPr>
        <w:t>Bellary</w:t>
      </w:r>
      <w:bookmarkEnd w:id="215"/>
      <w:r w:rsidRPr="004A6A24">
        <w:rPr>
          <w:rFonts w:ascii="Arial" w:hAnsi="Arial" w:cs="Arial"/>
          <w:kern w:val="0"/>
          <w:lang w:eastAsia="en-GB"/>
          <w14:ligatures w14:val="none"/>
        </w:rPr>
        <w:t xml:space="preserve">, S., Kyrou, I., Brown, J.E. and Bailey, C.J. (2021) ‘Type 2 diabetes mellitus in older adults: clinical considerations and management’, </w:t>
      </w:r>
      <w:r w:rsidRPr="004A6A24">
        <w:rPr>
          <w:rFonts w:ascii="Arial" w:hAnsi="Arial" w:cs="Arial"/>
          <w:i/>
          <w:kern w:val="0"/>
          <w:lang w:eastAsia="en-GB"/>
          <w14:ligatures w14:val="none"/>
        </w:rPr>
        <w:t>Nature Reviews Endocrinology</w:t>
      </w:r>
      <w:r w:rsidRPr="004A6A24">
        <w:rPr>
          <w:rFonts w:ascii="Arial" w:hAnsi="Arial" w:cs="Arial"/>
          <w:kern w:val="0"/>
          <w:lang w:eastAsia="en-GB"/>
          <w14:ligatures w14:val="none"/>
        </w:rPr>
        <w:t>, 17(9), pp. 534–548.</w:t>
      </w:r>
    </w:p>
    <w:p w14:paraId="15CC66F7"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Biessels, G.J. and Despa, F. (2018) ‘Cognitive decline and dementia in diabetes mellitus’, </w:t>
      </w:r>
      <w:r w:rsidRPr="004A6A24">
        <w:rPr>
          <w:rFonts w:ascii="Arial" w:hAnsi="Arial" w:cs="Arial"/>
          <w:i/>
          <w:kern w:val="0"/>
          <w:lang w:eastAsia="en-GB"/>
          <w14:ligatures w14:val="none"/>
        </w:rPr>
        <w:t>The Lancet Neurology</w:t>
      </w:r>
      <w:r w:rsidRPr="004A6A24">
        <w:rPr>
          <w:rFonts w:ascii="Arial" w:hAnsi="Arial" w:cs="Arial"/>
          <w:kern w:val="0"/>
          <w:lang w:eastAsia="en-GB"/>
          <w14:ligatures w14:val="none"/>
        </w:rPr>
        <w:t>, 17(1), pp. 64–74.</w:t>
      </w:r>
    </w:p>
    <w:p w14:paraId="5D96D983"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Birmingham City Council (2024) </w:t>
      </w:r>
      <w:r w:rsidRPr="004A6A24">
        <w:rPr>
          <w:rFonts w:ascii="Arial" w:hAnsi="Arial" w:cs="Arial"/>
          <w:i/>
          <w:kern w:val="0"/>
          <w:lang w:eastAsia="en-GB"/>
          <w14:ligatures w14:val="none"/>
        </w:rPr>
        <w:t>Birmingham demographics and public health overview</w:t>
      </w:r>
      <w:r w:rsidRPr="004A6A24">
        <w:rPr>
          <w:rFonts w:ascii="Arial" w:hAnsi="Arial" w:cs="Arial"/>
          <w:kern w:val="0"/>
          <w:lang w:eastAsia="en-GB"/>
          <w14:ligatures w14:val="none"/>
        </w:rPr>
        <w:t xml:space="preserve">. Available at: </w:t>
      </w:r>
      <w:hyperlink r:id="rId24" w:history="1">
        <w:r w:rsidRPr="004A6A24">
          <w:rPr>
            <w:rFonts w:ascii="Arial" w:hAnsi="Arial" w:cs="Arial"/>
            <w:color w:val="0000FF"/>
            <w:kern w:val="0"/>
            <w:u w:val="single"/>
            <w:lang w:eastAsia="en-GB"/>
            <w14:ligatures w14:val="none"/>
          </w:rPr>
          <w:t>https://www.birmingham.gov.uk</w:t>
        </w:r>
      </w:hyperlink>
      <w:r w:rsidRPr="004A6A24">
        <w:rPr>
          <w:rFonts w:ascii="Arial" w:hAnsi="Arial" w:cs="Arial"/>
          <w:kern w:val="0"/>
          <w:lang w:eastAsia="en-GB"/>
          <w14:ligatures w14:val="none"/>
        </w:rPr>
        <w:t xml:space="preserve"> (Accessed: 24 June 2026).</w:t>
      </w:r>
    </w:p>
    <w:p w14:paraId="7F2350E0"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Braun, V. and Clarke, V. (2006) ‘Using thematic analysis in psychology’, </w:t>
      </w:r>
      <w:r w:rsidRPr="004A6A24">
        <w:rPr>
          <w:rFonts w:ascii="Arial" w:hAnsi="Arial" w:cs="Arial"/>
          <w:i/>
          <w:kern w:val="0"/>
          <w:lang w:eastAsia="en-GB"/>
          <w14:ligatures w14:val="none"/>
        </w:rPr>
        <w:t>Qualitative Research in Psychology</w:t>
      </w:r>
      <w:r w:rsidRPr="004A6A24">
        <w:rPr>
          <w:rFonts w:ascii="Arial" w:hAnsi="Arial" w:cs="Arial"/>
          <w:kern w:val="0"/>
          <w:lang w:eastAsia="en-GB"/>
          <w14:ligatures w14:val="none"/>
        </w:rPr>
        <w:t>, 3(2), pp. 77–101.</w:t>
      </w:r>
    </w:p>
    <w:p w14:paraId="08E29CDC"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Cerf, M.E. (2013) ‘Beta cell dysfunction and insulin resistance’, </w:t>
      </w:r>
      <w:r w:rsidRPr="004A6A24">
        <w:rPr>
          <w:rFonts w:ascii="Arial" w:hAnsi="Arial" w:cs="Arial"/>
          <w:i/>
          <w:kern w:val="0"/>
          <w:lang w:eastAsia="en-GB"/>
          <w14:ligatures w14:val="none"/>
        </w:rPr>
        <w:t>Frontiers in Endocrinology</w:t>
      </w:r>
      <w:r w:rsidRPr="004A6A24">
        <w:rPr>
          <w:rFonts w:ascii="Arial" w:hAnsi="Arial" w:cs="Arial"/>
          <w:kern w:val="0"/>
          <w:lang w:eastAsia="en-GB"/>
          <w14:ligatures w14:val="none"/>
        </w:rPr>
        <w:t>, 4, pp. 1–12.</w:t>
      </w:r>
    </w:p>
    <w:p w14:paraId="78A86495"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Chatterjee, S., Khunti, K. and Davies, M.J. (2017) ‘Type 2 diabetes’, </w:t>
      </w:r>
      <w:r w:rsidRPr="004A6A24">
        <w:rPr>
          <w:rFonts w:ascii="Arial" w:hAnsi="Arial" w:cs="Arial"/>
          <w:i/>
          <w:kern w:val="0"/>
          <w:lang w:eastAsia="en-GB"/>
          <w14:ligatures w14:val="none"/>
        </w:rPr>
        <w:t>The Lancet</w:t>
      </w:r>
      <w:r w:rsidRPr="004A6A24">
        <w:rPr>
          <w:rFonts w:ascii="Arial" w:hAnsi="Arial" w:cs="Arial"/>
          <w:kern w:val="0"/>
          <w:lang w:eastAsia="en-GB"/>
          <w14:ligatures w14:val="none"/>
        </w:rPr>
        <w:t xml:space="preserve">, 389(10085), </w:t>
      </w:r>
      <w:bookmarkStart w:id="216" w:name="_Int_nqlnr6a8"/>
      <w:r w:rsidRPr="004A6A24">
        <w:rPr>
          <w:rFonts w:ascii="Arial" w:hAnsi="Arial" w:cs="Arial"/>
          <w:kern w:val="0"/>
          <w:lang w:eastAsia="en-GB"/>
          <w14:ligatures w14:val="none"/>
        </w:rPr>
        <w:t xml:space="preserve">pp. </w:t>
      </w:r>
      <w:r w:rsidRPr="004A6A24">
        <w:rPr>
          <w:rFonts w:ascii="Arial" w:hAnsi="Arial" w:cs="Arial"/>
          <w:kern w:val="0"/>
          <w:lang w:eastAsia="en-GB"/>
          <w14:ligatures w14:val="none"/>
        </w:rPr>
        <w:fldChar w:fldCharType="begin"/>
      </w:r>
      <w:bookmarkEnd w:id="216"/>
      <w:r w:rsidRPr="004A6A24">
        <w:rPr>
          <w:rFonts w:ascii="Arial" w:hAnsi="Arial" w:cs="Arial"/>
          <w:kern w:val="0"/>
          <w:lang w:eastAsia="en-GB"/>
          <w14:ligatures w14:val="none"/>
        </w:rPr>
        <w:instrText>HYPERLINK "tel:2239-2251"</w:instrText>
      </w:r>
      <w:r w:rsidRPr="004A6A24">
        <w:rPr>
          <w:rFonts w:ascii="Arial" w:hAnsi="Arial" w:cs="Arial"/>
          <w:kern w:val="0"/>
          <w:lang w:eastAsia="en-GB"/>
          <w14:ligatures w14:val="none"/>
        </w:rPr>
      </w:r>
      <w:r w:rsidRPr="004A6A24">
        <w:rPr>
          <w:rFonts w:ascii="Arial" w:hAnsi="Arial" w:cs="Arial"/>
          <w:kern w:val="0"/>
          <w:lang w:eastAsia="en-GB"/>
          <w14:ligatures w14:val="none"/>
        </w:rPr>
        <w:fldChar w:fldCharType="separate"/>
      </w:r>
      <w:r w:rsidRPr="004A6A24">
        <w:rPr>
          <w:rFonts w:ascii="Arial" w:hAnsi="Arial" w:cs="Arial"/>
          <w:color w:val="0000FF"/>
          <w:kern w:val="0"/>
          <w:u w:val="single"/>
          <w:lang w:eastAsia="en-GB"/>
          <w14:ligatures w14:val="none"/>
        </w:rPr>
        <w:t>2239–2251</w:t>
      </w:r>
      <w:r w:rsidRPr="004A6A24">
        <w:rPr>
          <w:rFonts w:ascii="Arial" w:hAnsi="Arial" w:cs="Arial"/>
          <w:kern w:val="0"/>
          <w:lang w:eastAsia="en-GB"/>
          <w14:ligatures w14:val="none"/>
        </w:rPr>
        <w:fldChar w:fldCharType="end"/>
      </w:r>
      <w:r w:rsidRPr="004A6A24">
        <w:rPr>
          <w:rFonts w:ascii="Arial" w:hAnsi="Arial" w:cs="Arial"/>
          <w:kern w:val="0"/>
          <w:lang w:eastAsia="en-GB"/>
          <w14:ligatures w14:val="none"/>
        </w:rPr>
        <w:t>.</w:t>
      </w:r>
    </w:p>
    <w:p w14:paraId="6F279EF6"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Cho, N.H., Shaw, J.E., Karuranga, S., Huang, Y., Fernandes, J.D.R., Ohlrogge, A.W. and Malanda, B. (2018) ‘IDF Diabetes Atlas: global estimates of diabetes prevalence and incidence’, </w:t>
      </w:r>
      <w:r w:rsidRPr="004A6A24">
        <w:rPr>
          <w:rFonts w:ascii="Arial" w:hAnsi="Arial" w:cs="Arial"/>
          <w:i/>
          <w:kern w:val="0"/>
          <w:lang w:eastAsia="en-GB"/>
          <w14:ligatures w14:val="none"/>
        </w:rPr>
        <w:t>Diabetes Research and Clinical Practice</w:t>
      </w:r>
      <w:r w:rsidRPr="004A6A24">
        <w:rPr>
          <w:rFonts w:ascii="Arial" w:hAnsi="Arial" w:cs="Arial"/>
          <w:kern w:val="0"/>
          <w:lang w:eastAsia="en-GB"/>
          <w14:ligatures w14:val="none"/>
        </w:rPr>
        <w:t>, 138, pp. 271–281.</w:t>
      </w:r>
    </w:p>
    <w:p w14:paraId="5E0A46B7"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Congdon, P. (2006) ‘Estimating diabetes prevalence by small area in England’, </w:t>
      </w:r>
      <w:r w:rsidRPr="004A6A24">
        <w:rPr>
          <w:rFonts w:ascii="Arial" w:hAnsi="Arial" w:cs="Arial"/>
          <w:i/>
          <w:kern w:val="0"/>
          <w:lang w:eastAsia="en-GB"/>
          <w14:ligatures w14:val="none"/>
        </w:rPr>
        <w:t>Journal of Public Health</w:t>
      </w:r>
      <w:r w:rsidRPr="004A6A24">
        <w:rPr>
          <w:rFonts w:ascii="Arial" w:hAnsi="Arial" w:cs="Arial"/>
          <w:kern w:val="0"/>
          <w:lang w:eastAsia="en-GB"/>
          <w14:ligatures w14:val="none"/>
        </w:rPr>
        <w:t>, 28(1), pp. 71–81.</w:t>
      </w:r>
    </w:p>
    <w:p w14:paraId="4B47C45B"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Davies, M.J., D’Alessio, D.A., Fradkin, J., Kernan, W.N., Mathieu, C., Mingrone, G., Rossing, P., Tsapas, A., Wexler, D.J. and Buse, J.B. (2018) ‘Management of hyperglycaemia in type 2 diabetes, 2018: a consensus report by the American Diabetes Association and the European Association for the Study of Diabetes’, </w:t>
      </w:r>
      <w:r w:rsidRPr="004A6A24">
        <w:rPr>
          <w:rFonts w:ascii="Arial" w:hAnsi="Arial" w:cs="Arial"/>
          <w:i/>
          <w:kern w:val="0"/>
          <w:lang w:eastAsia="en-GB"/>
          <w14:ligatures w14:val="none"/>
        </w:rPr>
        <w:t>Diabetologia</w:t>
      </w:r>
      <w:r w:rsidRPr="004A6A24">
        <w:rPr>
          <w:rFonts w:ascii="Arial" w:hAnsi="Arial" w:cs="Arial"/>
          <w:kern w:val="0"/>
          <w:lang w:eastAsia="en-GB"/>
          <w14:ligatures w14:val="none"/>
        </w:rPr>
        <w:t xml:space="preserve">, 61, </w:t>
      </w:r>
      <w:bookmarkStart w:id="217" w:name="_Int_8tnpqGXv"/>
      <w:r w:rsidRPr="004A6A24">
        <w:rPr>
          <w:rFonts w:ascii="Arial" w:hAnsi="Arial" w:cs="Arial"/>
          <w:kern w:val="0"/>
          <w:lang w:eastAsia="en-GB"/>
          <w14:ligatures w14:val="none"/>
        </w:rPr>
        <w:t xml:space="preserve">pp. </w:t>
      </w:r>
      <w:r w:rsidRPr="004A6A24">
        <w:rPr>
          <w:rFonts w:ascii="Arial" w:hAnsi="Arial" w:cs="Arial"/>
          <w:kern w:val="0"/>
          <w:lang w:eastAsia="en-GB"/>
          <w14:ligatures w14:val="none"/>
        </w:rPr>
        <w:fldChar w:fldCharType="begin"/>
      </w:r>
      <w:bookmarkEnd w:id="217"/>
      <w:r w:rsidRPr="004A6A24">
        <w:rPr>
          <w:rFonts w:ascii="Arial" w:hAnsi="Arial" w:cs="Arial"/>
          <w:kern w:val="0"/>
          <w:lang w:eastAsia="en-GB"/>
          <w14:ligatures w14:val="none"/>
        </w:rPr>
        <w:instrText>HYPERLINK "tel:2461-2498"</w:instrText>
      </w:r>
      <w:r w:rsidRPr="004A6A24">
        <w:rPr>
          <w:rFonts w:ascii="Arial" w:hAnsi="Arial" w:cs="Arial"/>
          <w:kern w:val="0"/>
          <w:lang w:eastAsia="en-GB"/>
          <w14:ligatures w14:val="none"/>
        </w:rPr>
      </w:r>
      <w:r w:rsidRPr="004A6A24">
        <w:rPr>
          <w:rFonts w:ascii="Arial" w:hAnsi="Arial" w:cs="Arial"/>
          <w:kern w:val="0"/>
          <w:lang w:eastAsia="en-GB"/>
          <w14:ligatures w14:val="none"/>
        </w:rPr>
        <w:fldChar w:fldCharType="separate"/>
      </w:r>
      <w:r w:rsidRPr="004A6A24">
        <w:rPr>
          <w:rFonts w:ascii="Arial" w:hAnsi="Arial" w:cs="Arial"/>
          <w:color w:val="0000FF"/>
          <w:kern w:val="0"/>
          <w:u w:val="single"/>
          <w:lang w:eastAsia="en-GB"/>
          <w14:ligatures w14:val="none"/>
        </w:rPr>
        <w:t>2461–2498</w:t>
      </w:r>
      <w:r w:rsidRPr="004A6A24">
        <w:rPr>
          <w:rFonts w:ascii="Arial" w:hAnsi="Arial" w:cs="Arial"/>
          <w:kern w:val="0"/>
          <w:lang w:eastAsia="en-GB"/>
          <w14:ligatures w14:val="none"/>
        </w:rPr>
        <w:fldChar w:fldCharType="end"/>
      </w:r>
      <w:r w:rsidRPr="004A6A24">
        <w:rPr>
          <w:rFonts w:ascii="Arial" w:hAnsi="Arial" w:cs="Arial"/>
          <w:kern w:val="0"/>
          <w:lang w:eastAsia="en-GB"/>
          <w14:ligatures w14:val="none"/>
        </w:rPr>
        <w:t>.</w:t>
      </w:r>
    </w:p>
    <w:p w14:paraId="1B44A3CA"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DeFronzo, R.A. (2009) ‘From the triumvirate to the ominous octet: a new paradigm for the treatment of type 2 diabetes mellitus’, </w:t>
      </w:r>
      <w:r w:rsidRPr="004A6A24">
        <w:rPr>
          <w:rFonts w:ascii="Arial" w:hAnsi="Arial" w:cs="Arial"/>
          <w:i/>
          <w:kern w:val="0"/>
          <w:lang w:eastAsia="en-GB"/>
          <w14:ligatures w14:val="none"/>
        </w:rPr>
        <w:t>Diabetes</w:t>
      </w:r>
      <w:r w:rsidRPr="004A6A24">
        <w:rPr>
          <w:rFonts w:ascii="Arial" w:hAnsi="Arial" w:cs="Arial"/>
          <w:kern w:val="0"/>
          <w:lang w:eastAsia="en-GB"/>
          <w14:ligatures w14:val="none"/>
        </w:rPr>
        <w:t>, 58(4), pp. 773–795.</w:t>
      </w:r>
    </w:p>
    <w:p w14:paraId="334C2FDC"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DeFronzo, R.A., Ferrannini, E., Groop, L., Henry, R.R., Herman, W.H., Holst, J.J., Hu, F.B., Kahn, C.R., Raz, I. and Shulman, G.I. (2015) ‘Type 2 diabetes mellitus’, </w:t>
      </w:r>
      <w:r w:rsidRPr="004A6A24">
        <w:rPr>
          <w:rFonts w:ascii="Arial" w:hAnsi="Arial" w:cs="Arial"/>
          <w:i/>
          <w:kern w:val="0"/>
          <w:lang w:eastAsia="en-GB"/>
          <w14:ligatures w14:val="none"/>
        </w:rPr>
        <w:t>Nature Reviews Disease Primers</w:t>
      </w:r>
      <w:r w:rsidRPr="004A6A24">
        <w:rPr>
          <w:rFonts w:ascii="Arial" w:hAnsi="Arial" w:cs="Arial"/>
          <w:kern w:val="0"/>
          <w:lang w:eastAsia="en-GB"/>
          <w14:ligatures w14:val="none"/>
        </w:rPr>
        <w:t>, 1, Article 15019.</w:t>
      </w:r>
    </w:p>
    <w:p w14:paraId="0CD4DC99"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Diabetes UK (2023) </w:t>
      </w:r>
      <w:r w:rsidRPr="004A6A24">
        <w:rPr>
          <w:rFonts w:ascii="Arial" w:hAnsi="Arial" w:cs="Arial"/>
          <w:i/>
          <w:kern w:val="0"/>
          <w:lang w:eastAsia="en-GB"/>
          <w14:ligatures w14:val="none"/>
        </w:rPr>
        <w:t>Diabetes statistics</w:t>
      </w:r>
      <w:r w:rsidRPr="004A6A24">
        <w:rPr>
          <w:rFonts w:ascii="Arial" w:hAnsi="Arial" w:cs="Arial"/>
          <w:kern w:val="0"/>
          <w:lang w:eastAsia="en-GB"/>
          <w14:ligatures w14:val="none"/>
        </w:rPr>
        <w:t xml:space="preserve">. Available at: </w:t>
      </w:r>
      <w:hyperlink r:id="rId25" w:history="1">
        <w:r w:rsidRPr="004A6A24">
          <w:rPr>
            <w:rFonts w:ascii="Arial" w:hAnsi="Arial" w:cs="Arial"/>
            <w:color w:val="0000FF"/>
            <w:kern w:val="0"/>
            <w:u w:val="single"/>
            <w:lang w:eastAsia="en-GB"/>
            <w14:ligatures w14:val="none"/>
          </w:rPr>
          <w:t>https://www.diabetes.org.uk</w:t>
        </w:r>
      </w:hyperlink>
      <w:r w:rsidRPr="004A6A24">
        <w:rPr>
          <w:rFonts w:ascii="Arial" w:hAnsi="Arial" w:cs="Arial"/>
          <w:kern w:val="0"/>
          <w:lang w:eastAsia="en-GB"/>
          <w14:ligatures w14:val="none"/>
        </w:rPr>
        <w:t xml:space="preserve"> (Accessed: 24 June 2026).</w:t>
      </w:r>
    </w:p>
    <w:p w14:paraId="5D1F8C9B"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Emerging Risk Factors Collaboration (2010) ‘Diabetes mellitus, fasting blood glucose concentration, and risk of vascular disease: a collaborative meta-analysis of 102 prospective studies’, </w:t>
      </w:r>
      <w:r w:rsidRPr="004A6A24">
        <w:rPr>
          <w:rFonts w:ascii="Arial" w:hAnsi="Arial" w:cs="Arial"/>
          <w:i/>
          <w:kern w:val="0"/>
          <w:lang w:eastAsia="en-GB"/>
          <w14:ligatures w14:val="none"/>
        </w:rPr>
        <w:t>The Lancet</w:t>
      </w:r>
      <w:r w:rsidRPr="004A6A24">
        <w:rPr>
          <w:rFonts w:ascii="Arial" w:hAnsi="Arial" w:cs="Arial"/>
          <w:kern w:val="0"/>
          <w:lang w:eastAsia="en-GB"/>
          <w14:ligatures w14:val="none"/>
        </w:rPr>
        <w:t xml:space="preserve">, 375(9733), </w:t>
      </w:r>
      <w:bookmarkStart w:id="218" w:name="_Int_z5MlrqeV"/>
      <w:r w:rsidRPr="004A6A24">
        <w:rPr>
          <w:rFonts w:ascii="Arial" w:hAnsi="Arial" w:cs="Arial"/>
          <w:kern w:val="0"/>
          <w:lang w:eastAsia="en-GB"/>
          <w14:ligatures w14:val="none"/>
        </w:rPr>
        <w:t xml:space="preserve">pp. </w:t>
      </w:r>
      <w:r w:rsidRPr="004A6A24">
        <w:rPr>
          <w:rFonts w:ascii="Arial" w:hAnsi="Arial" w:cs="Arial"/>
          <w:kern w:val="0"/>
          <w:lang w:eastAsia="en-GB"/>
          <w14:ligatures w14:val="none"/>
        </w:rPr>
        <w:fldChar w:fldCharType="begin"/>
      </w:r>
      <w:bookmarkEnd w:id="218"/>
      <w:r w:rsidRPr="004A6A24">
        <w:rPr>
          <w:rFonts w:ascii="Arial" w:hAnsi="Arial" w:cs="Arial"/>
          <w:kern w:val="0"/>
          <w:lang w:eastAsia="en-GB"/>
          <w14:ligatures w14:val="none"/>
        </w:rPr>
        <w:instrText>HYPERLINK "tel:2215-2222"</w:instrText>
      </w:r>
      <w:r w:rsidRPr="004A6A24">
        <w:rPr>
          <w:rFonts w:ascii="Arial" w:hAnsi="Arial" w:cs="Arial"/>
          <w:kern w:val="0"/>
          <w:lang w:eastAsia="en-GB"/>
          <w14:ligatures w14:val="none"/>
        </w:rPr>
      </w:r>
      <w:r w:rsidRPr="004A6A24">
        <w:rPr>
          <w:rFonts w:ascii="Arial" w:hAnsi="Arial" w:cs="Arial"/>
          <w:kern w:val="0"/>
          <w:lang w:eastAsia="en-GB"/>
          <w14:ligatures w14:val="none"/>
        </w:rPr>
        <w:fldChar w:fldCharType="separate"/>
      </w:r>
      <w:r w:rsidRPr="004A6A24">
        <w:rPr>
          <w:rFonts w:ascii="Arial" w:hAnsi="Arial" w:cs="Arial"/>
          <w:color w:val="0000FF"/>
          <w:kern w:val="0"/>
          <w:u w:val="single"/>
          <w:lang w:eastAsia="en-GB"/>
          <w14:ligatures w14:val="none"/>
        </w:rPr>
        <w:t>2215–2222</w:t>
      </w:r>
      <w:r w:rsidRPr="004A6A24">
        <w:rPr>
          <w:rFonts w:ascii="Arial" w:hAnsi="Arial" w:cs="Arial"/>
          <w:kern w:val="0"/>
          <w:lang w:eastAsia="en-GB"/>
          <w14:ligatures w14:val="none"/>
        </w:rPr>
        <w:fldChar w:fldCharType="end"/>
      </w:r>
      <w:r w:rsidRPr="004A6A24">
        <w:rPr>
          <w:rFonts w:ascii="Arial" w:hAnsi="Arial" w:cs="Arial"/>
          <w:kern w:val="0"/>
          <w:lang w:eastAsia="en-GB"/>
          <w14:ligatures w14:val="none"/>
        </w:rPr>
        <w:t>.</w:t>
      </w:r>
    </w:p>
    <w:p w14:paraId="1E620AE6"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Engel, G.L. (1977) ‘The need for a new medical model: a challenge for biomedicine’, </w:t>
      </w:r>
      <w:r w:rsidRPr="004A6A24">
        <w:rPr>
          <w:rFonts w:ascii="Arial" w:hAnsi="Arial" w:cs="Arial"/>
          <w:i/>
          <w:kern w:val="0"/>
          <w:lang w:eastAsia="en-GB"/>
          <w14:ligatures w14:val="none"/>
        </w:rPr>
        <w:t>Science</w:t>
      </w:r>
      <w:r w:rsidRPr="004A6A24">
        <w:rPr>
          <w:rFonts w:ascii="Arial" w:hAnsi="Arial" w:cs="Arial"/>
          <w:kern w:val="0"/>
          <w:lang w:eastAsia="en-GB"/>
          <w14:ligatures w14:val="none"/>
        </w:rPr>
        <w:t>, 196(4286), pp. 129–136.</w:t>
      </w:r>
    </w:p>
    <w:p w14:paraId="3248E54F"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Forouhi, N.G. and Wareham, N.J. (2014) ‘Epidemiology of diabetes’, </w:t>
      </w:r>
      <w:r w:rsidRPr="004A6A24">
        <w:rPr>
          <w:rFonts w:ascii="Arial" w:hAnsi="Arial" w:cs="Arial"/>
          <w:i/>
          <w:kern w:val="0"/>
          <w:lang w:eastAsia="en-GB"/>
          <w14:ligatures w14:val="none"/>
        </w:rPr>
        <w:t>Medicine</w:t>
      </w:r>
      <w:r w:rsidRPr="004A6A24">
        <w:rPr>
          <w:rFonts w:ascii="Arial" w:hAnsi="Arial" w:cs="Arial"/>
          <w:kern w:val="0"/>
          <w:lang w:eastAsia="en-GB"/>
          <w14:ligatures w14:val="none"/>
        </w:rPr>
        <w:t>, 42(12), pp. 698–702.</w:t>
      </w:r>
    </w:p>
    <w:p w14:paraId="3191D3AD"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Frasca, D., Blomberg, B.B., Paganelli, R. and Weksler, M.E. (2021) ‘Inflammaging and metabolic disease’, </w:t>
      </w:r>
      <w:r w:rsidRPr="004A6A24">
        <w:rPr>
          <w:rFonts w:ascii="Arial" w:hAnsi="Arial" w:cs="Arial"/>
          <w:i/>
          <w:kern w:val="0"/>
          <w:lang w:eastAsia="en-GB"/>
          <w14:ligatures w14:val="none"/>
        </w:rPr>
        <w:t>Frontiers in Aging</w:t>
      </w:r>
      <w:r w:rsidRPr="004A6A24">
        <w:rPr>
          <w:rFonts w:ascii="Arial" w:hAnsi="Arial" w:cs="Arial"/>
          <w:kern w:val="0"/>
          <w:lang w:eastAsia="en-GB"/>
          <w14:ligatures w14:val="none"/>
        </w:rPr>
        <w:t>, 2.</w:t>
      </w:r>
    </w:p>
    <w:p w14:paraId="427274BB"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Funnell, M.M. and Anderson, R.M. (2004) ‘Empowerment and self-management of diabetes’, </w:t>
      </w:r>
      <w:r w:rsidRPr="004A6A24">
        <w:rPr>
          <w:rFonts w:ascii="Arial" w:hAnsi="Arial" w:cs="Arial"/>
          <w:i/>
          <w:kern w:val="0"/>
          <w:lang w:eastAsia="en-GB"/>
          <w14:ligatures w14:val="none"/>
        </w:rPr>
        <w:t>Clinical Diabetes</w:t>
      </w:r>
      <w:r w:rsidRPr="004A6A24">
        <w:rPr>
          <w:rFonts w:ascii="Arial" w:hAnsi="Arial" w:cs="Arial"/>
          <w:kern w:val="0"/>
          <w:lang w:eastAsia="en-GB"/>
          <w14:ligatures w14:val="none"/>
        </w:rPr>
        <w:t>, 22(3), pp. 123–127.</w:t>
      </w:r>
    </w:p>
    <w:p w14:paraId="3BF4FE74"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Galicia-Garcia, U., Benito-Vicente, A., Jebari, S., Larrea-Sebal, A., Siddiqi, H., Uribe, K.B., Ostolaza, H. and Martín, C. (2020) ‘Pathophysiology of type 2 diabetes mellitus’, </w:t>
      </w:r>
      <w:r w:rsidRPr="004A6A24">
        <w:rPr>
          <w:rFonts w:ascii="Arial" w:hAnsi="Arial" w:cs="Arial"/>
          <w:i/>
          <w:kern w:val="0"/>
          <w:lang w:eastAsia="en-GB"/>
          <w14:ligatures w14:val="none"/>
        </w:rPr>
        <w:t>International Journal of Molecular Sciences</w:t>
      </w:r>
      <w:r w:rsidRPr="004A6A24">
        <w:rPr>
          <w:rFonts w:ascii="Arial" w:hAnsi="Arial" w:cs="Arial"/>
          <w:kern w:val="0"/>
          <w:lang w:eastAsia="en-GB"/>
          <w14:ligatures w14:val="none"/>
        </w:rPr>
        <w:t>, 21(17), Article 6275.</w:t>
      </w:r>
    </w:p>
    <w:p w14:paraId="40D27DC9"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Gregg, E.W., Cheng, Y.J., Srinivasan, M., Lin, J., Geiss, L.S., Albright, A.L. and Imperatore, G. (2012) ‘Trends in death rates among adults with and without diabetes’, </w:t>
      </w:r>
      <w:r w:rsidRPr="004A6A24">
        <w:rPr>
          <w:rFonts w:ascii="Arial" w:hAnsi="Arial" w:cs="Arial"/>
          <w:i/>
          <w:kern w:val="0"/>
          <w:lang w:eastAsia="en-GB"/>
          <w14:ligatures w14:val="none"/>
        </w:rPr>
        <w:t>Diabetes Care</w:t>
      </w:r>
      <w:r w:rsidRPr="004A6A24">
        <w:rPr>
          <w:rFonts w:ascii="Arial" w:hAnsi="Arial" w:cs="Arial"/>
          <w:kern w:val="0"/>
          <w:lang w:eastAsia="en-GB"/>
          <w14:ligatures w14:val="none"/>
        </w:rPr>
        <w:t>, 35(6), pp. 1252–1257.</w:t>
      </w:r>
    </w:p>
    <w:p w14:paraId="66305318" w14:textId="3FB8BA01"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Halim, </w:t>
      </w:r>
      <w:r w:rsidR="00BC3C62" w:rsidRPr="004A6A24">
        <w:rPr>
          <w:rFonts w:ascii="Arial" w:hAnsi="Arial" w:cs="Arial"/>
          <w:kern w:val="0"/>
          <w:lang w:eastAsia="en-GB"/>
          <w14:ligatures w14:val="none"/>
        </w:rPr>
        <w:t>M.,</w:t>
      </w:r>
      <w:r w:rsidRPr="004A6A24">
        <w:rPr>
          <w:rFonts w:ascii="Arial" w:hAnsi="Arial" w:cs="Arial"/>
          <w:kern w:val="0"/>
          <w:lang w:eastAsia="en-GB"/>
          <w14:ligatures w14:val="none"/>
        </w:rPr>
        <w:t xml:space="preserve"> and Halim, A. (2019) ‘The effects of inflammation, ageing and oxidative stress on the pathogenesis of type 2 diabetes mellitus’, </w:t>
      </w:r>
      <w:r w:rsidRPr="004A6A24">
        <w:rPr>
          <w:rFonts w:ascii="Arial" w:hAnsi="Arial" w:cs="Arial"/>
          <w:i/>
          <w:kern w:val="0"/>
          <w:lang w:eastAsia="en-GB"/>
          <w14:ligatures w14:val="none"/>
        </w:rPr>
        <w:t>Diabetes &amp; Metabolic Syndrome: Clinical Research &amp; Reviews</w:t>
      </w:r>
      <w:r w:rsidRPr="004A6A24">
        <w:rPr>
          <w:rFonts w:ascii="Arial" w:hAnsi="Arial" w:cs="Arial"/>
          <w:kern w:val="0"/>
          <w:lang w:eastAsia="en-GB"/>
          <w14:ligatures w14:val="none"/>
        </w:rPr>
        <w:t>, 13(2), pp. 1165–1172.</w:t>
      </w:r>
    </w:p>
    <w:p w14:paraId="66F0C012"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Holman, R.R., Paul, S.K., Bethel, M.A., Matthews, D.R. and Neil, H.A.W. (2008) ‘10-year follow-up of intensive glucose control in type 2 diabetes’, </w:t>
      </w:r>
      <w:r w:rsidRPr="004A6A24">
        <w:rPr>
          <w:rFonts w:ascii="Arial" w:hAnsi="Arial" w:cs="Arial"/>
          <w:i/>
          <w:kern w:val="0"/>
          <w:lang w:eastAsia="en-GB"/>
          <w14:ligatures w14:val="none"/>
        </w:rPr>
        <w:t>New England Journal of Medicine</w:t>
      </w:r>
      <w:r w:rsidRPr="004A6A24">
        <w:rPr>
          <w:rFonts w:ascii="Arial" w:hAnsi="Arial" w:cs="Arial"/>
          <w:kern w:val="0"/>
          <w:lang w:eastAsia="en-GB"/>
          <w14:ligatures w14:val="none"/>
        </w:rPr>
        <w:t>, 359(15), pp. 1577–1589.</w:t>
      </w:r>
    </w:p>
    <w:p w14:paraId="3D055226"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International Diabetes Federation (2021) </w:t>
      </w:r>
      <w:r w:rsidRPr="004A6A24">
        <w:rPr>
          <w:rFonts w:ascii="Arial" w:hAnsi="Arial" w:cs="Arial"/>
          <w:i/>
          <w:kern w:val="0"/>
          <w:lang w:eastAsia="en-GB"/>
          <w14:ligatures w14:val="none"/>
        </w:rPr>
        <w:t>IDF Diabetes Atlas</w:t>
      </w:r>
      <w:r w:rsidRPr="004A6A24">
        <w:rPr>
          <w:rFonts w:ascii="Arial" w:hAnsi="Arial" w:cs="Arial"/>
          <w:kern w:val="0"/>
          <w:lang w:eastAsia="en-GB"/>
          <w14:ligatures w14:val="none"/>
        </w:rPr>
        <w:t xml:space="preserve">. 10th edn. Brussels: International Diabetes Federation. Available at: </w:t>
      </w:r>
      <w:hyperlink r:id="rId26" w:history="1">
        <w:r w:rsidRPr="004A6A24">
          <w:rPr>
            <w:rFonts w:ascii="Arial" w:hAnsi="Arial" w:cs="Arial"/>
            <w:color w:val="0000FF"/>
            <w:kern w:val="0"/>
            <w:u w:val="single"/>
            <w:lang w:eastAsia="en-GB"/>
            <w14:ligatures w14:val="none"/>
          </w:rPr>
          <w:t>https://diabetesatlas.org</w:t>
        </w:r>
      </w:hyperlink>
      <w:r w:rsidRPr="004A6A24">
        <w:rPr>
          <w:rFonts w:ascii="Arial" w:hAnsi="Arial" w:cs="Arial"/>
          <w:kern w:val="0"/>
          <w:lang w:eastAsia="en-GB"/>
          <w14:ligatures w14:val="none"/>
        </w:rPr>
        <w:t xml:space="preserve"> (Accessed: 24 June 2026).</w:t>
      </w:r>
    </w:p>
    <w:p w14:paraId="102D4CF5"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Kalyani, R.R., Golden, S.H. and Cefalu, W.T. (2017) ‘Diabetes and ageing: unique considerations and goals of care’, </w:t>
      </w:r>
      <w:r w:rsidRPr="004A6A24">
        <w:rPr>
          <w:rFonts w:ascii="Arial" w:hAnsi="Arial" w:cs="Arial"/>
          <w:i/>
          <w:kern w:val="0"/>
          <w:lang w:eastAsia="en-GB"/>
          <w14:ligatures w14:val="none"/>
        </w:rPr>
        <w:t>Diabetes Care</w:t>
      </w:r>
      <w:r w:rsidRPr="004A6A24">
        <w:rPr>
          <w:rFonts w:ascii="Arial" w:hAnsi="Arial" w:cs="Arial"/>
          <w:kern w:val="0"/>
          <w:lang w:eastAsia="en-GB"/>
          <w14:ligatures w14:val="none"/>
        </w:rPr>
        <w:t>, 40(4), pp. 440–443.</w:t>
      </w:r>
    </w:p>
    <w:p w14:paraId="34EDFB9E"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Marmot, M. (2010) </w:t>
      </w:r>
      <w:r w:rsidRPr="004A6A24">
        <w:rPr>
          <w:rFonts w:ascii="Arial" w:hAnsi="Arial" w:cs="Arial"/>
          <w:i/>
          <w:kern w:val="0"/>
          <w:lang w:eastAsia="en-GB"/>
          <w14:ligatures w14:val="none"/>
        </w:rPr>
        <w:t>Fair Society, Healthy Lives: The Marmot Review</w:t>
      </w:r>
      <w:r w:rsidRPr="004A6A24">
        <w:rPr>
          <w:rFonts w:ascii="Arial" w:hAnsi="Arial" w:cs="Arial"/>
          <w:kern w:val="0"/>
          <w:lang w:eastAsia="en-GB"/>
          <w14:ligatures w14:val="none"/>
        </w:rPr>
        <w:t>. London: Institute of Health Equity.</w:t>
      </w:r>
    </w:p>
    <w:p w14:paraId="28DAA11C" w14:textId="77777777" w:rsidR="00CD03C4" w:rsidRPr="004A6A24" w:rsidRDefault="00CD03C4" w:rsidP="004A6A24">
      <w:pPr>
        <w:spacing w:before="100" w:beforeAutospacing="1" w:after="100" w:afterAutospacing="1"/>
        <w:jc w:val="left"/>
        <w:divId w:val="764571665"/>
        <w:rPr>
          <w:rFonts w:ascii="Arial" w:hAnsi="Arial" w:cs="Arial"/>
          <w:kern w:val="0"/>
          <w:lang w:eastAsia="en-GB"/>
          <w14:ligatures w14:val="none"/>
        </w:rPr>
      </w:pPr>
      <w:r w:rsidRPr="004A6A24">
        <w:rPr>
          <w:rFonts w:ascii="Arial" w:hAnsi="Arial" w:cs="Arial"/>
          <w:kern w:val="0"/>
          <w:lang w:eastAsia="en-GB"/>
          <w14:ligatures w14:val="none"/>
        </w:rPr>
        <w:t xml:space="preserve">National Institute for Health and Care Excellence (NICE) (2022) </w:t>
      </w:r>
      <w:r w:rsidRPr="004A6A24">
        <w:rPr>
          <w:rFonts w:ascii="Arial" w:hAnsi="Arial" w:cs="Arial"/>
          <w:i/>
          <w:kern w:val="0"/>
          <w:lang w:eastAsia="en-GB"/>
          <w14:ligatures w14:val="none"/>
        </w:rPr>
        <w:t>Type 2 diabetes in adults: management (NG28)</w:t>
      </w:r>
      <w:r w:rsidRPr="004A6A24">
        <w:rPr>
          <w:rFonts w:ascii="Arial" w:hAnsi="Arial" w:cs="Arial"/>
          <w:kern w:val="0"/>
          <w:lang w:eastAsia="en-GB"/>
          <w14:ligatures w14:val="none"/>
        </w:rPr>
        <w:t xml:space="preserve">. Available at: </w:t>
      </w:r>
      <w:hyperlink r:id="rId27" w:history="1">
        <w:r w:rsidRPr="004A6A24">
          <w:rPr>
            <w:rFonts w:ascii="Arial" w:hAnsi="Arial" w:cs="Arial"/>
            <w:color w:val="0000FF"/>
            <w:kern w:val="0"/>
            <w:u w:val="single"/>
            <w:lang w:eastAsia="en-GB"/>
            <w14:ligatures w14:val="none"/>
          </w:rPr>
          <w:t>https://www.nice.org.uk/guidance/ng28</w:t>
        </w:r>
      </w:hyperlink>
      <w:r w:rsidRPr="004A6A24">
        <w:rPr>
          <w:rFonts w:ascii="Arial" w:hAnsi="Arial" w:cs="Arial"/>
          <w:kern w:val="0"/>
          <w:lang w:eastAsia="en-GB"/>
          <w14:ligatures w14:val="none"/>
        </w:rPr>
        <w:t xml:space="preserve"> (Accessed: 24 June 2026).</w:t>
      </w:r>
    </w:p>
    <w:p w14:paraId="6D651CF1" w14:textId="77777777" w:rsidR="00E00B2C" w:rsidRDefault="00E00B2C" w:rsidP="00404F85">
      <w:pPr>
        <w:pStyle w:val="Heading1"/>
        <w:spacing w:line="360" w:lineRule="auto"/>
        <w:ind w:left="0"/>
        <w:divId w:val="794257367"/>
        <w:rPr>
          <w:rFonts w:cs="Arial"/>
          <w:sz w:val="22"/>
          <w:szCs w:val="22"/>
        </w:rPr>
      </w:pPr>
    </w:p>
    <w:p w14:paraId="33614E3E" w14:textId="77777777" w:rsidR="00E00B2C" w:rsidRDefault="00E00B2C" w:rsidP="00404F85">
      <w:pPr>
        <w:pStyle w:val="Heading1"/>
        <w:spacing w:line="360" w:lineRule="auto"/>
        <w:ind w:left="0"/>
        <w:divId w:val="794257367"/>
        <w:rPr>
          <w:rFonts w:cs="Arial"/>
          <w:sz w:val="22"/>
          <w:szCs w:val="22"/>
        </w:rPr>
      </w:pPr>
    </w:p>
    <w:p w14:paraId="065DB5F8"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Forouhi, N.G. and Wareham, N.J. (2014) ‘Epidemiology of diabetes’, </w:t>
      </w:r>
      <w:r w:rsidRPr="004A6A24">
        <w:rPr>
          <w:rFonts w:ascii="Arial" w:hAnsi="Arial" w:cs="Arial"/>
          <w:i/>
          <w:kern w:val="0"/>
          <w:lang w:eastAsia="en-GB"/>
          <w14:ligatures w14:val="none"/>
        </w:rPr>
        <w:t>Medicine</w:t>
      </w:r>
      <w:r w:rsidRPr="004A6A24">
        <w:rPr>
          <w:rFonts w:ascii="Arial" w:hAnsi="Arial" w:cs="Arial"/>
          <w:kern w:val="0"/>
          <w:lang w:eastAsia="en-GB"/>
          <w14:ligatures w14:val="none"/>
        </w:rPr>
        <w:t>, 42(12), pp. 698–702.</w:t>
      </w:r>
    </w:p>
    <w:p w14:paraId="541AAB28"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Frasca, D., Blomberg, B.B., Paganelli, R. and Weksler, M.E. (2021) ‘Inflammaging and metabolic disease’, </w:t>
      </w:r>
      <w:r w:rsidRPr="004A6A24">
        <w:rPr>
          <w:rFonts w:ascii="Arial" w:hAnsi="Arial" w:cs="Arial"/>
          <w:i/>
          <w:kern w:val="0"/>
          <w:lang w:eastAsia="en-GB"/>
          <w14:ligatures w14:val="none"/>
        </w:rPr>
        <w:t>Frontiers in Aging</w:t>
      </w:r>
      <w:r w:rsidRPr="004A6A24">
        <w:rPr>
          <w:rFonts w:ascii="Arial" w:hAnsi="Arial" w:cs="Arial"/>
          <w:kern w:val="0"/>
          <w:lang w:eastAsia="en-GB"/>
          <w14:ligatures w14:val="none"/>
        </w:rPr>
        <w:t>, 2.</w:t>
      </w:r>
    </w:p>
    <w:p w14:paraId="1E2502FD"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Funnell, M.M. and Anderson, R.M. (2004) ‘Empowerment and self-management of diabetes’, </w:t>
      </w:r>
      <w:r w:rsidRPr="004A6A24">
        <w:rPr>
          <w:rFonts w:ascii="Arial" w:hAnsi="Arial" w:cs="Arial"/>
          <w:i/>
          <w:kern w:val="0"/>
          <w:lang w:eastAsia="en-GB"/>
          <w14:ligatures w14:val="none"/>
        </w:rPr>
        <w:t>Clinical Diabetes</w:t>
      </w:r>
      <w:r w:rsidRPr="004A6A24">
        <w:rPr>
          <w:rFonts w:ascii="Arial" w:hAnsi="Arial" w:cs="Arial"/>
          <w:kern w:val="0"/>
          <w:lang w:eastAsia="en-GB"/>
          <w14:ligatures w14:val="none"/>
        </w:rPr>
        <w:t>, 22(3), pp. 123–127.</w:t>
      </w:r>
    </w:p>
    <w:p w14:paraId="0CF05524"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Galicia-Garcia, U., Benito-Vicente, A., Jebari, S., Larrea-Sebal, A., Siddiqi, H., Uribe, K.B., Ostolaza, H. and Martín, C. (2020) ‘Pathophysiology of type 2 diabetes mellitus’, </w:t>
      </w:r>
      <w:r w:rsidRPr="004A6A24">
        <w:rPr>
          <w:rFonts w:ascii="Arial" w:hAnsi="Arial" w:cs="Arial"/>
          <w:i/>
          <w:kern w:val="0"/>
          <w:lang w:eastAsia="en-GB"/>
          <w14:ligatures w14:val="none"/>
        </w:rPr>
        <w:t>International Journal of Molecular Sciences</w:t>
      </w:r>
      <w:r w:rsidRPr="004A6A24">
        <w:rPr>
          <w:rFonts w:ascii="Arial" w:hAnsi="Arial" w:cs="Arial"/>
          <w:kern w:val="0"/>
          <w:lang w:eastAsia="en-GB"/>
          <w14:ligatures w14:val="none"/>
        </w:rPr>
        <w:t>, 21(17), Article 6275.</w:t>
      </w:r>
    </w:p>
    <w:p w14:paraId="7AFF0683"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Gregg, E.W., Cheng, Y.J., Srinivasan, M., Lin, J., Geiss, L.S., Albright, A.L. and Imperatore, G. (2012) ‘Trends in death rates among adults with and without diabetes, 1997–2006’, </w:t>
      </w:r>
      <w:r w:rsidRPr="004A6A24">
        <w:rPr>
          <w:rFonts w:ascii="Arial" w:hAnsi="Arial" w:cs="Arial"/>
          <w:i/>
          <w:kern w:val="0"/>
          <w:lang w:eastAsia="en-GB"/>
          <w14:ligatures w14:val="none"/>
        </w:rPr>
        <w:t>Diabetes Care</w:t>
      </w:r>
      <w:r w:rsidRPr="004A6A24">
        <w:rPr>
          <w:rFonts w:ascii="Arial" w:hAnsi="Arial" w:cs="Arial"/>
          <w:kern w:val="0"/>
          <w:lang w:eastAsia="en-GB"/>
          <w14:ligatures w14:val="none"/>
        </w:rPr>
        <w:t>, 35(6), pp. 1252–1257.</w:t>
      </w:r>
    </w:p>
    <w:p w14:paraId="24A9D7E3"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Halim, M. and Halim, A. (2019) ‘The effects of inflammation, ageing and oxidative stress on the pathogenesis of type 2 diabetes mellitus’, </w:t>
      </w:r>
      <w:r w:rsidRPr="004A6A24">
        <w:rPr>
          <w:rFonts w:ascii="Arial" w:hAnsi="Arial" w:cs="Arial"/>
          <w:i/>
          <w:kern w:val="0"/>
          <w:lang w:eastAsia="en-GB"/>
          <w14:ligatures w14:val="none"/>
        </w:rPr>
        <w:t>Diabetes and Metabolic Syndrome: Clinical Research and Reviews</w:t>
      </w:r>
      <w:r w:rsidRPr="004A6A24">
        <w:rPr>
          <w:rFonts w:ascii="Arial" w:hAnsi="Arial" w:cs="Arial"/>
          <w:kern w:val="0"/>
          <w:lang w:eastAsia="en-GB"/>
          <w14:ligatures w14:val="none"/>
        </w:rPr>
        <w:t>, 13(2), pp. 1165–1172.</w:t>
      </w:r>
    </w:p>
    <w:p w14:paraId="22CBE287"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Holman, R.R., Paul, S.K., Bethel, M.A., Matthews, D.R. and Neil, H.A.W. (2008) ‘10-year follow-up of intensive glucose control in type 2 diabetes’, </w:t>
      </w:r>
      <w:r w:rsidRPr="004A6A24">
        <w:rPr>
          <w:rFonts w:ascii="Arial" w:hAnsi="Arial" w:cs="Arial"/>
          <w:i/>
          <w:kern w:val="0"/>
          <w:lang w:eastAsia="en-GB"/>
          <w14:ligatures w14:val="none"/>
        </w:rPr>
        <w:t>New England Journal of Medicine</w:t>
      </w:r>
      <w:r w:rsidRPr="004A6A24">
        <w:rPr>
          <w:rFonts w:ascii="Arial" w:hAnsi="Arial" w:cs="Arial"/>
          <w:kern w:val="0"/>
          <w:lang w:eastAsia="en-GB"/>
          <w14:ligatures w14:val="none"/>
        </w:rPr>
        <w:t>, 359(15), pp. 1577–1589.</w:t>
      </w:r>
    </w:p>
    <w:p w14:paraId="02BE1E54"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International Diabetes Federation (2021) </w:t>
      </w:r>
      <w:r w:rsidRPr="004A6A24">
        <w:rPr>
          <w:rFonts w:ascii="Arial" w:hAnsi="Arial" w:cs="Arial"/>
          <w:i/>
          <w:kern w:val="0"/>
          <w:lang w:eastAsia="en-GB"/>
          <w14:ligatures w14:val="none"/>
        </w:rPr>
        <w:t>IDF Diabetes Atlas</w:t>
      </w:r>
      <w:r w:rsidRPr="004A6A24">
        <w:rPr>
          <w:rFonts w:ascii="Arial" w:hAnsi="Arial" w:cs="Arial"/>
          <w:kern w:val="0"/>
          <w:lang w:eastAsia="en-GB"/>
          <w14:ligatures w14:val="none"/>
        </w:rPr>
        <w:t xml:space="preserve">. 10th edn. Brussels: International Diabetes Federation. Available at: </w:t>
      </w:r>
      <w:hyperlink r:id="rId28" w:history="1">
        <w:r w:rsidRPr="004A6A24">
          <w:rPr>
            <w:rFonts w:ascii="Arial" w:hAnsi="Arial" w:cs="Arial"/>
            <w:color w:val="0000FF"/>
            <w:kern w:val="0"/>
            <w:u w:val="single"/>
            <w:lang w:eastAsia="en-GB"/>
            <w14:ligatures w14:val="none"/>
          </w:rPr>
          <w:t>https://diabetesatlas.org</w:t>
        </w:r>
      </w:hyperlink>
      <w:r w:rsidRPr="004A6A24">
        <w:rPr>
          <w:rFonts w:ascii="Arial" w:hAnsi="Arial" w:cs="Arial"/>
          <w:kern w:val="0"/>
          <w:lang w:eastAsia="en-GB"/>
          <w14:ligatures w14:val="none"/>
        </w:rPr>
        <w:t xml:space="preserve"> (Accessed: 24 June 2026).</w:t>
      </w:r>
    </w:p>
    <w:p w14:paraId="529E225B"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Kalyani, R.R., Golden, S.H. and Cefalu, W.T. (2017) ‘Diabetes and ageing: unique considerations and goals of care’, </w:t>
      </w:r>
      <w:r w:rsidRPr="004A6A24">
        <w:rPr>
          <w:rFonts w:ascii="Arial" w:hAnsi="Arial" w:cs="Arial"/>
          <w:i/>
          <w:kern w:val="0"/>
          <w:lang w:eastAsia="en-GB"/>
          <w14:ligatures w14:val="none"/>
        </w:rPr>
        <w:t>Diabetes Care</w:t>
      </w:r>
      <w:r w:rsidRPr="004A6A24">
        <w:rPr>
          <w:rFonts w:ascii="Arial" w:hAnsi="Arial" w:cs="Arial"/>
          <w:kern w:val="0"/>
          <w:lang w:eastAsia="en-GB"/>
          <w14:ligatures w14:val="none"/>
        </w:rPr>
        <w:t>, 40(4), pp. 440–443.</w:t>
      </w:r>
    </w:p>
    <w:p w14:paraId="1798CC7D"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Marmot, M. (2010) </w:t>
      </w:r>
      <w:r w:rsidRPr="004A6A24">
        <w:rPr>
          <w:rFonts w:ascii="Arial" w:hAnsi="Arial" w:cs="Arial"/>
          <w:i/>
          <w:kern w:val="0"/>
          <w:lang w:eastAsia="en-GB"/>
          <w14:ligatures w14:val="none"/>
        </w:rPr>
        <w:t>Fair Society, Healthy Lives: The Marmot Review</w:t>
      </w:r>
      <w:r w:rsidRPr="004A6A24">
        <w:rPr>
          <w:rFonts w:ascii="Arial" w:hAnsi="Arial" w:cs="Arial"/>
          <w:kern w:val="0"/>
          <w:lang w:eastAsia="en-GB"/>
          <w14:ligatures w14:val="none"/>
        </w:rPr>
        <w:t>. London: Institute of Health Equity.</w:t>
      </w:r>
    </w:p>
    <w:p w14:paraId="5BE99034"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National Institute for Health and Care Excellence (NICE) (2022) </w:t>
      </w:r>
      <w:r w:rsidRPr="004A6A24">
        <w:rPr>
          <w:rFonts w:ascii="Arial" w:hAnsi="Arial" w:cs="Arial"/>
          <w:i/>
          <w:kern w:val="0"/>
          <w:lang w:eastAsia="en-GB"/>
          <w14:ligatures w14:val="none"/>
        </w:rPr>
        <w:t>Type 2 diabetes in adults: management (NG28)</w:t>
      </w:r>
      <w:r w:rsidRPr="004A6A24">
        <w:rPr>
          <w:rFonts w:ascii="Arial" w:hAnsi="Arial" w:cs="Arial"/>
          <w:kern w:val="0"/>
          <w:lang w:eastAsia="en-GB"/>
          <w14:ligatures w14:val="none"/>
        </w:rPr>
        <w:t xml:space="preserve">. Available at: </w:t>
      </w:r>
      <w:hyperlink r:id="rId29" w:history="1">
        <w:r w:rsidRPr="004A6A24">
          <w:rPr>
            <w:rFonts w:ascii="Arial" w:hAnsi="Arial" w:cs="Arial"/>
            <w:color w:val="0000FF"/>
            <w:kern w:val="0"/>
            <w:u w:val="single"/>
            <w:lang w:eastAsia="en-GB"/>
            <w14:ligatures w14:val="none"/>
          </w:rPr>
          <w:t>https://www.nice.org.uk/guidance/ng28</w:t>
        </w:r>
      </w:hyperlink>
      <w:r w:rsidRPr="004A6A24">
        <w:rPr>
          <w:rFonts w:ascii="Arial" w:hAnsi="Arial" w:cs="Arial"/>
          <w:kern w:val="0"/>
          <w:lang w:eastAsia="en-GB"/>
          <w14:ligatures w14:val="none"/>
        </w:rPr>
        <w:t xml:space="preserve"> (Accessed: 24 June 2026).</w:t>
      </w:r>
    </w:p>
    <w:p w14:paraId="2A4E0EF5"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val="fr-FR" w:eastAsia="en-GB"/>
          <w14:ligatures w14:val="none"/>
        </w:rPr>
        <w:t xml:space="preserve">NHS Digital (2022) </w:t>
      </w:r>
      <w:r w:rsidRPr="004A6A24">
        <w:rPr>
          <w:rFonts w:ascii="Arial" w:hAnsi="Arial" w:cs="Arial"/>
          <w:i/>
          <w:kern w:val="0"/>
          <w:lang w:val="fr-FR" w:eastAsia="en-GB"/>
          <w14:ligatures w14:val="none"/>
        </w:rPr>
        <w:t>National Diabetes Audit</w:t>
      </w:r>
      <w:r w:rsidRPr="004A6A24">
        <w:rPr>
          <w:rFonts w:ascii="Arial" w:hAnsi="Arial" w:cs="Arial"/>
          <w:kern w:val="0"/>
          <w:lang w:val="fr-FR" w:eastAsia="en-GB"/>
          <w14:ligatures w14:val="none"/>
        </w:rPr>
        <w:t xml:space="preserve">. London: NHS Digital. </w:t>
      </w:r>
      <w:r w:rsidRPr="004A6A24">
        <w:rPr>
          <w:rFonts w:ascii="Arial" w:hAnsi="Arial" w:cs="Arial"/>
          <w:kern w:val="0"/>
          <w:lang w:eastAsia="en-GB"/>
          <w14:ligatures w14:val="none"/>
        </w:rPr>
        <w:t xml:space="preserve">Available at: </w:t>
      </w:r>
      <w:hyperlink r:id="rId30" w:history="1">
        <w:r w:rsidRPr="004A6A24">
          <w:rPr>
            <w:rFonts w:ascii="Arial" w:hAnsi="Arial" w:cs="Arial"/>
            <w:color w:val="0000FF"/>
            <w:kern w:val="0"/>
            <w:u w:val="single"/>
            <w:lang w:eastAsia="en-GB"/>
            <w14:ligatures w14:val="none"/>
          </w:rPr>
          <w:t>https://digital.nhs.uk</w:t>
        </w:r>
      </w:hyperlink>
      <w:r w:rsidRPr="004A6A24">
        <w:rPr>
          <w:rFonts w:ascii="Arial" w:hAnsi="Arial" w:cs="Arial"/>
          <w:kern w:val="0"/>
          <w:lang w:eastAsia="en-GB"/>
          <w14:ligatures w14:val="none"/>
        </w:rPr>
        <w:t xml:space="preserve"> (Accessed: 24 June 2026).</w:t>
      </w:r>
    </w:p>
    <w:p w14:paraId="0FA08E58" w14:textId="77777777" w:rsidR="00C70AE5" w:rsidRPr="004A6A24" w:rsidRDefault="00C70AE5" w:rsidP="004A6A24">
      <w:pPr>
        <w:spacing w:before="100" w:beforeAutospacing="1" w:after="100" w:afterAutospacing="1"/>
        <w:jc w:val="left"/>
        <w:divId w:val="833567626"/>
        <w:rPr>
          <w:rFonts w:ascii="Arial" w:hAnsi="Arial" w:cs="Arial"/>
          <w:kern w:val="0"/>
          <w:lang w:eastAsia="en-GB"/>
          <w14:ligatures w14:val="none"/>
        </w:rPr>
      </w:pPr>
      <w:r w:rsidRPr="004A6A24">
        <w:rPr>
          <w:rFonts w:ascii="Arial" w:hAnsi="Arial" w:cs="Arial"/>
          <w:kern w:val="0"/>
          <w:lang w:eastAsia="en-GB"/>
          <w14:ligatures w14:val="none"/>
        </w:rPr>
        <w:t xml:space="preserve">NHS England (2019) </w:t>
      </w:r>
      <w:r w:rsidRPr="004A6A24">
        <w:rPr>
          <w:rFonts w:ascii="Arial" w:hAnsi="Arial" w:cs="Arial"/>
          <w:i/>
          <w:kern w:val="0"/>
          <w:lang w:eastAsia="en-GB"/>
          <w14:ligatures w14:val="none"/>
        </w:rPr>
        <w:t>The NHS Long Term Plan</w:t>
      </w:r>
      <w:r w:rsidRPr="004A6A24">
        <w:rPr>
          <w:rFonts w:ascii="Arial" w:hAnsi="Arial" w:cs="Arial"/>
          <w:kern w:val="0"/>
          <w:lang w:eastAsia="en-GB"/>
          <w14:ligatures w14:val="none"/>
        </w:rPr>
        <w:t xml:space="preserve">. Available at: </w:t>
      </w:r>
      <w:hyperlink r:id="rId31" w:history="1">
        <w:r w:rsidRPr="004A6A24">
          <w:rPr>
            <w:rFonts w:ascii="Arial" w:hAnsi="Arial" w:cs="Arial"/>
            <w:color w:val="0000FF"/>
            <w:kern w:val="0"/>
            <w:u w:val="single"/>
            <w:lang w:eastAsia="en-GB"/>
            <w14:ligatures w14:val="none"/>
          </w:rPr>
          <w:t>https://www.longtermplan.nhs.uk</w:t>
        </w:r>
      </w:hyperlink>
      <w:r w:rsidRPr="004A6A24">
        <w:rPr>
          <w:rFonts w:ascii="Arial" w:hAnsi="Arial" w:cs="Arial"/>
          <w:kern w:val="0"/>
          <w:lang w:eastAsia="en-GB"/>
          <w14:ligatures w14:val="none"/>
        </w:rPr>
        <w:t xml:space="preserve"> (Accessed: 24 June 2026).</w:t>
      </w:r>
    </w:p>
    <w:p w14:paraId="194F4C6B" w14:textId="77777777" w:rsidR="00E00B2C" w:rsidRDefault="00E00B2C" w:rsidP="00404F85">
      <w:pPr>
        <w:pStyle w:val="Heading1"/>
        <w:spacing w:line="360" w:lineRule="auto"/>
        <w:ind w:left="0"/>
        <w:divId w:val="794257367"/>
        <w:rPr>
          <w:rFonts w:cs="Arial"/>
          <w:sz w:val="22"/>
          <w:szCs w:val="22"/>
        </w:rPr>
      </w:pPr>
    </w:p>
    <w:p w14:paraId="1E540289"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Page, M.J., McKenzie, J.E., Bossuyt, P.M., Boutron, I., Hoffmann, T.C., Mulrow, C.D., Shamseer, L., Tetzlaff, J.M. and Moher, D. (2021) ‘The PRISMA 2020 statement: an updated guideline for reporting systematic reviews’, </w:t>
      </w:r>
      <w:r w:rsidRPr="004A6A24">
        <w:rPr>
          <w:rFonts w:ascii="Arial" w:hAnsi="Arial" w:cs="Arial"/>
          <w:i/>
          <w:kern w:val="0"/>
          <w:lang w:eastAsia="en-GB"/>
          <w14:ligatures w14:val="none"/>
        </w:rPr>
        <w:t>BMJ</w:t>
      </w:r>
      <w:r w:rsidRPr="004A6A24">
        <w:rPr>
          <w:rFonts w:ascii="Arial" w:hAnsi="Arial" w:cs="Arial"/>
          <w:kern w:val="0"/>
          <w:lang w:eastAsia="en-GB"/>
          <w14:ligatures w14:val="none"/>
        </w:rPr>
        <w:t>, 372, Article n71.</w:t>
      </w:r>
    </w:p>
    <w:p w14:paraId="17F2134B"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Polonsky, K.S. (2012) ‘The past 200 years in diabetes’, </w:t>
      </w:r>
      <w:r w:rsidRPr="004A6A24">
        <w:rPr>
          <w:rFonts w:ascii="Arial" w:hAnsi="Arial" w:cs="Arial"/>
          <w:i/>
          <w:kern w:val="0"/>
          <w:lang w:eastAsia="en-GB"/>
          <w14:ligatures w14:val="none"/>
        </w:rPr>
        <w:t>New England Journal of Medicine</w:t>
      </w:r>
      <w:r w:rsidRPr="004A6A24">
        <w:rPr>
          <w:rFonts w:ascii="Arial" w:hAnsi="Arial" w:cs="Arial"/>
          <w:kern w:val="0"/>
          <w:lang w:eastAsia="en-GB"/>
          <w14:ligatures w14:val="none"/>
        </w:rPr>
        <w:t>, 367(14), pp. 1332–1340.</w:t>
      </w:r>
    </w:p>
    <w:p w14:paraId="3CDAEFB3"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Pop-Busui, R., Boulton, A.J.M., Feldman, E.L., Bril, V., Freeman, R., Malik, R.A., Sosenko, J.M. and Ziegler, D. (2017) ‘Diabetic neuropathy: a position statement by the American Diabetes Association’, </w:t>
      </w:r>
      <w:r w:rsidRPr="004A6A24">
        <w:rPr>
          <w:rFonts w:ascii="Arial" w:hAnsi="Arial" w:cs="Arial"/>
          <w:i/>
          <w:kern w:val="0"/>
          <w:lang w:eastAsia="en-GB"/>
          <w14:ligatures w14:val="none"/>
        </w:rPr>
        <w:t>Diabetes Care</w:t>
      </w:r>
      <w:r w:rsidRPr="004A6A24">
        <w:rPr>
          <w:rFonts w:ascii="Arial" w:hAnsi="Arial" w:cs="Arial"/>
          <w:kern w:val="0"/>
          <w:lang w:eastAsia="en-GB"/>
          <w14:ligatures w14:val="none"/>
        </w:rPr>
        <w:t>, 40(1), pp. 136–154.</w:t>
      </w:r>
    </w:p>
    <w:p w14:paraId="362A7C7F"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Public Health England (2023) </w:t>
      </w:r>
      <w:r w:rsidRPr="004A6A24">
        <w:rPr>
          <w:rFonts w:ascii="Arial" w:hAnsi="Arial" w:cs="Arial"/>
          <w:i/>
          <w:kern w:val="0"/>
          <w:lang w:eastAsia="en-GB"/>
          <w14:ligatures w14:val="none"/>
        </w:rPr>
        <w:t>Diabetes prevalence and deprivation indicators</w:t>
      </w:r>
      <w:r w:rsidRPr="004A6A24">
        <w:rPr>
          <w:rFonts w:ascii="Arial" w:hAnsi="Arial" w:cs="Arial"/>
          <w:kern w:val="0"/>
          <w:lang w:eastAsia="en-GB"/>
          <w14:ligatures w14:val="none"/>
        </w:rPr>
        <w:t xml:space="preserve">. Available at: </w:t>
      </w:r>
      <w:hyperlink r:id="rId32" w:history="1">
        <w:r w:rsidRPr="004A6A24">
          <w:rPr>
            <w:rFonts w:ascii="Arial" w:hAnsi="Arial" w:cs="Arial"/>
            <w:color w:val="0000FF"/>
            <w:kern w:val="0"/>
            <w:u w:val="single"/>
            <w:lang w:eastAsia="en-GB"/>
            <w14:ligatures w14:val="none"/>
          </w:rPr>
          <w:t>https://fingertips.phe.org.uk</w:t>
        </w:r>
      </w:hyperlink>
      <w:r w:rsidRPr="004A6A24">
        <w:rPr>
          <w:rFonts w:ascii="Arial" w:hAnsi="Arial" w:cs="Arial"/>
          <w:kern w:val="0"/>
          <w:lang w:eastAsia="en-GB"/>
          <w14:ligatures w14:val="none"/>
        </w:rPr>
        <w:t xml:space="preserve"> (Accessed: 24 June 2026).</w:t>
      </w:r>
    </w:p>
    <w:p w14:paraId="16F6DF25"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Rawshani, A., Franzén, S., Eliasson, B., Svensson, A.M., Miftaraj, M., McGuire, D.K., Sattar, N. and Gudbjörnsdottir, S. (2018) ‘Risk factors, mortality and cardiovascular outcomes in patients with type 2 diabetes’, </w:t>
      </w:r>
      <w:r w:rsidRPr="004A6A24">
        <w:rPr>
          <w:rFonts w:ascii="Arial" w:hAnsi="Arial" w:cs="Arial"/>
          <w:i/>
          <w:kern w:val="0"/>
          <w:lang w:eastAsia="en-GB"/>
          <w14:ligatures w14:val="none"/>
        </w:rPr>
        <w:t>New England Journal of Medicine</w:t>
      </w:r>
      <w:r w:rsidRPr="004A6A24">
        <w:rPr>
          <w:rFonts w:ascii="Arial" w:hAnsi="Arial" w:cs="Arial"/>
          <w:kern w:val="0"/>
          <w:lang w:eastAsia="en-GB"/>
          <w14:ligatures w14:val="none"/>
        </w:rPr>
        <w:t>, 379(7), pp. 633–644.</w:t>
      </w:r>
    </w:p>
    <w:p w14:paraId="17DB3B1A"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Reed, J., Bain, S. and Kanamarlapudi, V. (2021) ‘Current trends in type 2 diabetes epidemiology and pathogenesis’, </w:t>
      </w:r>
      <w:r w:rsidRPr="004A6A24">
        <w:rPr>
          <w:rFonts w:ascii="Arial" w:hAnsi="Arial" w:cs="Arial"/>
          <w:i/>
          <w:kern w:val="0"/>
          <w:lang w:eastAsia="en-GB"/>
          <w14:ligatures w14:val="none"/>
        </w:rPr>
        <w:t>Diabetes, Metabolic Syndrome and Obesity: Targets and Therapy</w:t>
      </w:r>
      <w:r w:rsidRPr="004A6A24">
        <w:rPr>
          <w:rFonts w:ascii="Arial" w:hAnsi="Arial" w:cs="Arial"/>
          <w:kern w:val="0"/>
          <w:lang w:eastAsia="en-GB"/>
          <w14:ligatures w14:val="none"/>
        </w:rPr>
        <w:t xml:space="preserve">, 14, </w:t>
      </w:r>
      <w:bookmarkStart w:id="219" w:name="_Int_z40iCVWJ"/>
      <w:r w:rsidRPr="004A6A24">
        <w:rPr>
          <w:rFonts w:ascii="Arial" w:hAnsi="Arial" w:cs="Arial"/>
          <w:kern w:val="0"/>
          <w:lang w:eastAsia="en-GB"/>
          <w14:ligatures w14:val="none"/>
        </w:rPr>
        <w:t xml:space="preserve">pp. </w:t>
      </w:r>
      <w:r w:rsidRPr="004A6A24">
        <w:rPr>
          <w:rFonts w:ascii="Arial" w:hAnsi="Arial" w:cs="Arial"/>
          <w:kern w:val="0"/>
          <w:lang w:eastAsia="en-GB"/>
          <w14:ligatures w14:val="none"/>
        </w:rPr>
        <w:fldChar w:fldCharType="begin"/>
      </w:r>
      <w:bookmarkEnd w:id="219"/>
      <w:r w:rsidR="008237E0" w:rsidRPr="004A6A24">
        <w:rPr>
          <w:rFonts w:ascii="Arial" w:hAnsi="Arial" w:cs="Arial"/>
          <w:kern w:val="0"/>
          <w:lang w:eastAsia="en-GB"/>
          <w14:ligatures w14:val="none"/>
        </w:rPr>
        <w:instrText>HYPERLINK "tel:3003-3025"</w:instrText>
      </w:r>
      <w:r w:rsidR="008237E0" w:rsidRPr="004A6A24">
        <w:rPr>
          <w:rFonts w:ascii="Arial" w:hAnsi="Arial" w:cs="Arial"/>
          <w:kern w:val="0"/>
          <w:lang w:eastAsia="en-GB"/>
          <w14:ligatures w14:val="none"/>
        </w:rPr>
      </w:r>
      <w:r w:rsidRPr="004A6A24">
        <w:rPr>
          <w:rFonts w:ascii="Arial" w:hAnsi="Arial" w:cs="Arial"/>
          <w:kern w:val="0"/>
          <w:lang w:eastAsia="en-GB"/>
          <w14:ligatures w14:val="none"/>
        </w:rPr>
        <w:fldChar w:fldCharType="separate"/>
      </w:r>
      <w:r w:rsidRPr="004A6A24">
        <w:rPr>
          <w:rFonts w:ascii="Arial" w:hAnsi="Arial" w:cs="Arial"/>
          <w:color w:val="0000FF"/>
          <w:kern w:val="0"/>
          <w:u w:val="single"/>
          <w:lang w:eastAsia="en-GB"/>
          <w14:ligatures w14:val="none"/>
        </w:rPr>
        <w:t>3003–3025</w:t>
      </w:r>
      <w:r w:rsidRPr="004A6A24">
        <w:rPr>
          <w:rFonts w:ascii="Arial" w:hAnsi="Arial" w:cs="Arial"/>
          <w:kern w:val="0"/>
          <w:lang w:eastAsia="en-GB"/>
          <w14:ligatures w14:val="none"/>
        </w:rPr>
        <w:fldChar w:fldCharType="end"/>
      </w:r>
      <w:r w:rsidRPr="004A6A24">
        <w:rPr>
          <w:rFonts w:ascii="Arial" w:hAnsi="Arial" w:cs="Arial"/>
          <w:kern w:val="0"/>
          <w:lang w:eastAsia="en-GB"/>
          <w14:ligatures w14:val="none"/>
        </w:rPr>
        <w:t>.</w:t>
      </w:r>
    </w:p>
    <w:p w14:paraId="507711D0"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Saeedi, P., Petersohn, I., Salpea, P., Malanda, B., Karuranga, S. and Unwin, N. (2019) ‘Global and regional diabetes prevalence estimates for 2019 and projections for 2030 and 2045’, </w:t>
      </w:r>
      <w:r w:rsidRPr="004A6A24">
        <w:rPr>
          <w:rFonts w:ascii="Arial" w:hAnsi="Arial" w:cs="Arial"/>
          <w:i/>
          <w:kern w:val="0"/>
          <w:lang w:eastAsia="en-GB"/>
          <w14:ligatures w14:val="none"/>
        </w:rPr>
        <w:t>Diabetes Research and Clinical Practice</w:t>
      </w:r>
      <w:r w:rsidRPr="004A6A24">
        <w:rPr>
          <w:rFonts w:ascii="Arial" w:hAnsi="Arial" w:cs="Arial"/>
          <w:kern w:val="0"/>
          <w:lang w:eastAsia="en-GB"/>
          <w14:ligatures w14:val="none"/>
        </w:rPr>
        <w:t>, 157, Article 107843.</w:t>
      </w:r>
    </w:p>
    <w:p w14:paraId="02F32957"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Saini, V. (2010) ‘Molecular mechanisms of insulin resistance in type 2 diabetes mellitus’, </w:t>
      </w:r>
      <w:r w:rsidRPr="004A6A24">
        <w:rPr>
          <w:rFonts w:ascii="Arial" w:hAnsi="Arial" w:cs="Arial"/>
          <w:i/>
          <w:kern w:val="0"/>
          <w:lang w:eastAsia="en-GB"/>
          <w14:ligatures w14:val="none"/>
        </w:rPr>
        <w:t>World Journal of Diabetes</w:t>
      </w:r>
      <w:r w:rsidRPr="004A6A24">
        <w:rPr>
          <w:rFonts w:ascii="Arial" w:hAnsi="Arial" w:cs="Arial"/>
          <w:kern w:val="0"/>
          <w:lang w:eastAsia="en-GB"/>
          <w14:ligatures w14:val="none"/>
        </w:rPr>
        <w:t>, 1(3), pp. 68–75.</w:t>
      </w:r>
    </w:p>
    <w:p w14:paraId="45859ABD"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Sinclair, A.J., Dunning, T. and Rodriguez-Mañas, L. (2012) ‘Diabetes mellitus in older people’, </w:t>
      </w:r>
      <w:r w:rsidRPr="004A6A24">
        <w:rPr>
          <w:rFonts w:ascii="Arial" w:hAnsi="Arial" w:cs="Arial"/>
          <w:i/>
          <w:kern w:val="0"/>
          <w:lang w:eastAsia="en-GB"/>
          <w14:ligatures w14:val="none"/>
        </w:rPr>
        <w:t>The Lancet</w:t>
      </w:r>
      <w:r w:rsidRPr="004A6A24">
        <w:rPr>
          <w:rFonts w:ascii="Arial" w:hAnsi="Arial" w:cs="Arial"/>
          <w:kern w:val="0"/>
          <w:lang w:eastAsia="en-GB"/>
          <w14:ligatures w14:val="none"/>
        </w:rPr>
        <w:t>, 379(9823), pp. 1537–1545.</w:t>
      </w:r>
    </w:p>
    <w:p w14:paraId="318E1DFA"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Sinclair, A., Saeedi, P., Kaundal, A. and Karuranga, S. (2020) ‘Diabetes and global ageing among 65–99-year-old adults’, </w:t>
      </w:r>
      <w:r w:rsidRPr="004A6A24">
        <w:rPr>
          <w:rFonts w:ascii="Arial" w:hAnsi="Arial" w:cs="Arial"/>
          <w:i/>
          <w:kern w:val="0"/>
          <w:lang w:eastAsia="en-GB"/>
          <w14:ligatures w14:val="none"/>
        </w:rPr>
        <w:t>Diabetes Research and Clinical Practice</w:t>
      </w:r>
      <w:r w:rsidRPr="004A6A24">
        <w:rPr>
          <w:rFonts w:ascii="Arial" w:hAnsi="Arial" w:cs="Arial"/>
          <w:kern w:val="0"/>
          <w:lang w:eastAsia="en-GB"/>
          <w14:ligatures w14:val="none"/>
        </w:rPr>
        <w:t>, 162, Article 108078.</w:t>
      </w:r>
    </w:p>
    <w:p w14:paraId="3420DE15"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Skyler, J.S., Bakris, G.L., Bonifacio, E., Darsow, T., Eckel, R.H. and Groop, L. (2017) ‘Differentiation of diabetes by pathophysiology, natural history, and prognosis’, </w:t>
      </w:r>
      <w:r w:rsidRPr="004A6A24">
        <w:rPr>
          <w:rFonts w:ascii="Arial" w:hAnsi="Arial" w:cs="Arial"/>
          <w:i/>
          <w:kern w:val="0"/>
          <w:lang w:eastAsia="en-GB"/>
          <w14:ligatures w14:val="none"/>
        </w:rPr>
        <w:t>Diabetes</w:t>
      </w:r>
      <w:r w:rsidRPr="004A6A24">
        <w:rPr>
          <w:rFonts w:ascii="Arial" w:hAnsi="Arial" w:cs="Arial"/>
          <w:kern w:val="0"/>
          <w:lang w:eastAsia="en-GB"/>
          <w14:ligatures w14:val="none"/>
        </w:rPr>
        <w:t>, 66(2), pp. 241–255.</w:t>
      </w:r>
    </w:p>
    <w:p w14:paraId="6BF4926F"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Snyder, H. (2019) ‘Literature review as a research </w:t>
      </w:r>
      <w:bookmarkStart w:id="220" w:name="_Int_JOWDa4l8"/>
      <w:r w:rsidRPr="004A6A24">
        <w:rPr>
          <w:rFonts w:ascii="Arial" w:hAnsi="Arial" w:cs="Arial"/>
          <w:kern w:val="0"/>
          <w:lang w:eastAsia="en-GB"/>
          <w14:ligatures w14:val="none"/>
        </w:rPr>
        <w:t>methodology</w:t>
      </w:r>
      <w:bookmarkEnd w:id="220"/>
      <w:r w:rsidRPr="004A6A24">
        <w:rPr>
          <w:rFonts w:ascii="Arial" w:hAnsi="Arial" w:cs="Arial"/>
          <w:kern w:val="0"/>
          <w:lang w:eastAsia="en-GB"/>
          <w14:ligatures w14:val="none"/>
        </w:rPr>
        <w:t xml:space="preserve">: an overview and guidelines’, </w:t>
      </w:r>
      <w:r w:rsidRPr="004A6A24">
        <w:rPr>
          <w:rFonts w:ascii="Arial" w:hAnsi="Arial" w:cs="Arial"/>
          <w:i/>
          <w:kern w:val="0"/>
          <w:lang w:eastAsia="en-GB"/>
          <w14:ligatures w14:val="none"/>
        </w:rPr>
        <w:t>Journal of Business Research</w:t>
      </w:r>
      <w:r w:rsidRPr="004A6A24">
        <w:rPr>
          <w:rFonts w:ascii="Arial" w:hAnsi="Arial" w:cs="Arial"/>
          <w:kern w:val="0"/>
          <w:lang w:eastAsia="en-GB"/>
          <w14:ligatures w14:val="none"/>
        </w:rPr>
        <w:t>, 104, pp. 333–339.</w:t>
      </w:r>
    </w:p>
    <w:p w14:paraId="20A29F1E"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UK Prospective Diabetes Study (UKPDS) Group (1998) ‘Intensive blood-glucose control with sulphonylureas or insulin compared with conventional treatment and risk of complications in patients with type 2 diabetes’, </w:t>
      </w:r>
      <w:r w:rsidRPr="004A6A24">
        <w:rPr>
          <w:rFonts w:ascii="Arial" w:hAnsi="Arial" w:cs="Arial"/>
          <w:i/>
          <w:kern w:val="0"/>
          <w:lang w:eastAsia="en-GB"/>
          <w14:ligatures w14:val="none"/>
        </w:rPr>
        <w:t>The Lancet</w:t>
      </w:r>
      <w:r w:rsidRPr="004A6A24">
        <w:rPr>
          <w:rFonts w:ascii="Arial" w:hAnsi="Arial" w:cs="Arial"/>
          <w:kern w:val="0"/>
          <w:lang w:eastAsia="en-GB"/>
          <w14:ligatures w14:val="none"/>
        </w:rPr>
        <w:t>, 352(9131), pp. 837–853.</w:t>
      </w:r>
    </w:p>
    <w:p w14:paraId="19BEFFDE" w14:textId="3D3A24CE"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World Health Organization (2021) </w:t>
      </w:r>
      <w:r w:rsidRPr="004A6A24">
        <w:rPr>
          <w:rFonts w:ascii="Arial" w:hAnsi="Arial" w:cs="Arial"/>
          <w:i/>
          <w:kern w:val="0"/>
          <w:lang w:eastAsia="en-GB"/>
          <w14:ligatures w14:val="none"/>
        </w:rPr>
        <w:t xml:space="preserve">Global report on diabetes: ageing, </w:t>
      </w:r>
      <w:r w:rsidR="00804D57" w:rsidRPr="004A6A24">
        <w:rPr>
          <w:rFonts w:ascii="Arial" w:hAnsi="Arial" w:cs="Arial"/>
          <w:i/>
          <w:kern w:val="0"/>
          <w:lang w:eastAsia="en-GB"/>
          <w14:ligatures w14:val="none"/>
        </w:rPr>
        <w:t>prevention,</w:t>
      </w:r>
      <w:r w:rsidRPr="004A6A24">
        <w:rPr>
          <w:rFonts w:ascii="Arial" w:hAnsi="Arial" w:cs="Arial"/>
          <w:i/>
          <w:kern w:val="0"/>
          <w:lang w:eastAsia="en-GB"/>
          <w14:ligatures w14:val="none"/>
        </w:rPr>
        <w:t xml:space="preserve"> and management of diabetes</w:t>
      </w:r>
      <w:r w:rsidRPr="004A6A24">
        <w:rPr>
          <w:rFonts w:ascii="Arial" w:hAnsi="Arial" w:cs="Arial"/>
          <w:kern w:val="0"/>
          <w:lang w:eastAsia="en-GB"/>
          <w14:ligatures w14:val="none"/>
        </w:rPr>
        <w:t xml:space="preserve">. Available at: </w:t>
      </w:r>
      <w:hyperlink r:id="rId33" w:history="1">
        <w:r w:rsidRPr="004A6A24">
          <w:rPr>
            <w:rFonts w:ascii="Arial" w:hAnsi="Arial" w:cs="Arial"/>
            <w:color w:val="0000FF"/>
            <w:kern w:val="0"/>
            <w:u w:val="single"/>
            <w:lang w:eastAsia="en-GB"/>
            <w14:ligatures w14:val="none"/>
          </w:rPr>
          <w:t>https://www.who.int</w:t>
        </w:r>
      </w:hyperlink>
      <w:r w:rsidRPr="004A6A24">
        <w:rPr>
          <w:rFonts w:ascii="Arial" w:hAnsi="Arial" w:cs="Arial"/>
          <w:kern w:val="0"/>
          <w:lang w:eastAsia="en-GB"/>
          <w14:ligatures w14:val="none"/>
        </w:rPr>
        <w:t xml:space="preserve"> (Accessed: 24 June 2026).</w:t>
      </w:r>
    </w:p>
    <w:p w14:paraId="4F6AA371" w14:textId="137A1511"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World Health </w:t>
      </w:r>
      <w:r w:rsidR="00804D57" w:rsidRPr="004A6A24">
        <w:rPr>
          <w:rFonts w:ascii="Arial" w:hAnsi="Arial" w:cs="Arial"/>
          <w:kern w:val="0"/>
          <w:lang w:eastAsia="en-GB"/>
          <w14:ligatures w14:val="none"/>
        </w:rPr>
        <w:t xml:space="preserve">Organisation </w:t>
      </w:r>
      <w:r w:rsidRPr="004A6A24">
        <w:rPr>
          <w:rFonts w:ascii="Arial" w:hAnsi="Arial" w:cs="Arial"/>
          <w:kern w:val="0"/>
          <w:lang w:eastAsia="en-GB"/>
          <w14:ligatures w14:val="none"/>
        </w:rPr>
        <w:t xml:space="preserve">(2024) </w:t>
      </w:r>
      <w:r w:rsidRPr="004A6A24">
        <w:rPr>
          <w:rFonts w:ascii="Arial" w:hAnsi="Arial" w:cs="Arial"/>
          <w:i/>
          <w:kern w:val="0"/>
          <w:lang w:eastAsia="en-GB"/>
          <w14:ligatures w14:val="none"/>
        </w:rPr>
        <w:t>Diabetes fact sheet</w:t>
      </w:r>
      <w:r w:rsidRPr="004A6A24">
        <w:rPr>
          <w:rFonts w:ascii="Arial" w:hAnsi="Arial" w:cs="Arial"/>
          <w:kern w:val="0"/>
          <w:lang w:eastAsia="en-GB"/>
          <w14:ligatures w14:val="none"/>
        </w:rPr>
        <w:t xml:space="preserve">. Available at: </w:t>
      </w:r>
      <w:hyperlink r:id="rId34" w:history="1">
        <w:r w:rsidRPr="004A6A24">
          <w:rPr>
            <w:rFonts w:ascii="Arial" w:hAnsi="Arial" w:cs="Arial"/>
            <w:color w:val="0000FF"/>
            <w:kern w:val="0"/>
            <w:u w:val="single"/>
            <w:lang w:eastAsia="en-GB"/>
            <w14:ligatures w14:val="none"/>
          </w:rPr>
          <w:t>https://www.who.int</w:t>
        </w:r>
      </w:hyperlink>
      <w:r w:rsidRPr="004A6A24">
        <w:rPr>
          <w:rFonts w:ascii="Arial" w:hAnsi="Arial" w:cs="Arial"/>
          <w:kern w:val="0"/>
          <w:lang w:eastAsia="en-GB"/>
          <w14:ligatures w14:val="none"/>
        </w:rPr>
        <w:t xml:space="preserve"> (Accessed: 24 June 2026).</w:t>
      </w:r>
    </w:p>
    <w:p w14:paraId="490CFDF1" w14:textId="4582BA93"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World Health </w:t>
      </w:r>
      <w:r w:rsidR="002109FF" w:rsidRPr="004A6A24">
        <w:rPr>
          <w:rFonts w:ascii="Arial" w:hAnsi="Arial" w:cs="Arial"/>
          <w:kern w:val="0"/>
          <w:lang w:eastAsia="en-GB"/>
          <w14:ligatures w14:val="none"/>
        </w:rPr>
        <w:t xml:space="preserve">Organisation </w:t>
      </w:r>
      <w:r w:rsidRPr="004A6A24">
        <w:rPr>
          <w:rFonts w:ascii="Arial" w:hAnsi="Arial" w:cs="Arial"/>
          <w:kern w:val="0"/>
          <w:lang w:eastAsia="en-GB"/>
          <w14:ligatures w14:val="none"/>
        </w:rPr>
        <w:t xml:space="preserve">(2024) </w:t>
      </w:r>
      <w:r w:rsidRPr="004A6A24">
        <w:rPr>
          <w:rFonts w:ascii="Arial" w:hAnsi="Arial" w:cs="Arial"/>
          <w:i/>
          <w:kern w:val="0"/>
          <w:lang w:eastAsia="en-GB"/>
          <w14:ligatures w14:val="none"/>
        </w:rPr>
        <w:t>Social determinants of health</w:t>
      </w:r>
      <w:r w:rsidRPr="004A6A24">
        <w:rPr>
          <w:rFonts w:ascii="Arial" w:hAnsi="Arial" w:cs="Arial"/>
          <w:kern w:val="0"/>
          <w:lang w:eastAsia="en-GB"/>
          <w14:ligatures w14:val="none"/>
        </w:rPr>
        <w:t xml:space="preserve">. Available at: </w:t>
      </w:r>
      <w:hyperlink r:id="rId35" w:history="1">
        <w:r w:rsidRPr="004A6A24">
          <w:rPr>
            <w:rFonts w:ascii="Arial" w:hAnsi="Arial" w:cs="Arial"/>
            <w:color w:val="0000FF"/>
            <w:kern w:val="0"/>
            <w:u w:val="single"/>
            <w:lang w:eastAsia="en-GB"/>
            <w14:ligatures w14:val="none"/>
          </w:rPr>
          <w:t>https://www.who.int/health-topics/social-determinants-of-health</w:t>
        </w:r>
      </w:hyperlink>
      <w:r w:rsidRPr="004A6A24">
        <w:rPr>
          <w:rFonts w:ascii="Arial" w:hAnsi="Arial" w:cs="Arial"/>
          <w:kern w:val="0"/>
          <w:lang w:eastAsia="en-GB"/>
          <w14:ligatures w14:val="none"/>
        </w:rPr>
        <w:t xml:space="preserve"> (Accessed: 24 June 2026).</w:t>
      </w:r>
    </w:p>
    <w:p w14:paraId="1276E2DE" w14:textId="77777777" w:rsidR="00047E33" w:rsidRPr="004A6A24" w:rsidRDefault="00047E33" w:rsidP="004A6A24">
      <w:pPr>
        <w:spacing w:before="100" w:beforeAutospacing="1" w:after="100" w:afterAutospacing="1"/>
        <w:jc w:val="left"/>
        <w:divId w:val="879246027"/>
        <w:rPr>
          <w:rFonts w:ascii="Arial" w:hAnsi="Arial" w:cs="Arial"/>
          <w:kern w:val="0"/>
          <w:lang w:eastAsia="en-GB"/>
          <w14:ligatures w14:val="none"/>
        </w:rPr>
      </w:pPr>
      <w:r w:rsidRPr="004A6A24">
        <w:rPr>
          <w:rFonts w:ascii="Arial" w:hAnsi="Arial" w:cs="Arial"/>
          <w:kern w:val="0"/>
          <w:lang w:eastAsia="en-GB"/>
          <w14:ligatures w14:val="none"/>
        </w:rPr>
        <w:t xml:space="preserve">Zheng, Y., Ley, S.H. and Hu, F.B. (2018) ‘Global aetiology and epidemiology of type 2 diabetes mellitus and its complications’, </w:t>
      </w:r>
      <w:r w:rsidRPr="004A6A24">
        <w:rPr>
          <w:rFonts w:ascii="Arial" w:hAnsi="Arial" w:cs="Arial"/>
          <w:i/>
          <w:kern w:val="0"/>
          <w:lang w:eastAsia="en-GB"/>
          <w14:ligatures w14:val="none"/>
        </w:rPr>
        <w:t>Nature Reviews Endocrinology</w:t>
      </w:r>
      <w:r w:rsidRPr="004A6A24">
        <w:rPr>
          <w:rFonts w:ascii="Arial" w:hAnsi="Arial" w:cs="Arial"/>
          <w:kern w:val="0"/>
          <w:lang w:eastAsia="en-GB"/>
          <w14:ligatures w14:val="none"/>
        </w:rPr>
        <w:t>, 14(2), pp. 88–98.</w:t>
      </w:r>
    </w:p>
    <w:p w14:paraId="5AF5D048" w14:textId="77777777" w:rsidR="00E00B2C" w:rsidRDefault="00E00B2C" w:rsidP="00404F85">
      <w:pPr>
        <w:pStyle w:val="Heading1"/>
        <w:spacing w:line="360" w:lineRule="auto"/>
        <w:ind w:left="0"/>
        <w:divId w:val="794257367"/>
        <w:rPr>
          <w:rFonts w:cs="Arial"/>
          <w:sz w:val="22"/>
          <w:szCs w:val="22"/>
        </w:rPr>
      </w:pPr>
    </w:p>
    <w:p w14:paraId="0C8E182A" w14:textId="77777777" w:rsidR="00E00B2C" w:rsidRDefault="00E00B2C" w:rsidP="00404F85">
      <w:pPr>
        <w:pStyle w:val="Heading1"/>
        <w:spacing w:line="360" w:lineRule="auto"/>
        <w:ind w:left="0"/>
        <w:divId w:val="794257367"/>
        <w:rPr>
          <w:rFonts w:cs="Arial"/>
          <w:sz w:val="22"/>
          <w:szCs w:val="22"/>
        </w:rPr>
      </w:pPr>
    </w:p>
    <w:p w14:paraId="367738A6" w14:textId="77777777" w:rsidR="00E0444A" w:rsidRDefault="00E0444A" w:rsidP="00404F85">
      <w:pPr>
        <w:pStyle w:val="Heading1"/>
        <w:spacing w:line="360" w:lineRule="auto"/>
        <w:ind w:left="0"/>
        <w:divId w:val="794257367"/>
        <w:rPr>
          <w:rFonts w:cs="Arial"/>
          <w:sz w:val="22"/>
          <w:szCs w:val="22"/>
        </w:rPr>
      </w:pPr>
    </w:p>
    <w:p w14:paraId="22475C41" w14:textId="77777777" w:rsidR="00E0444A" w:rsidRDefault="00E0444A" w:rsidP="00404F85">
      <w:pPr>
        <w:pStyle w:val="Heading1"/>
        <w:spacing w:line="360" w:lineRule="auto"/>
        <w:ind w:left="0"/>
        <w:divId w:val="794257367"/>
        <w:rPr>
          <w:rFonts w:cs="Arial"/>
          <w:sz w:val="22"/>
          <w:szCs w:val="22"/>
        </w:rPr>
      </w:pPr>
    </w:p>
    <w:p w14:paraId="094D2EE4" w14:textId="77777777" w:rsidR="00E0444A" w:rsidRDefault="00E0444A" w:rsidP="00404F85">
      <w:pPr>
        <w:pStyle w:val="Heading1"/>
        <w:spacing w:line="360" w:lineRule="auto"/>
        <w:ind w:left="0"/>
        <w:divId w:val="794257367"/>
        <w:rPr>
          <w:rFonts w:cs="Arial"/>
          <w:sz w:val="22"/>
          <w:szCs w:val="22"/>
        </w:rPr>
      </w:pPr>
    </w:p>
    <w:p w14:paraId="334C7AAD" w14:textId="77777777" w:rsidR="004C4FF9" w:rsidRDefault="004C4FF9" w:rsidP="00404F85">
      <w:pPr>
        <w:pStyle w:val="Heading1"/>
        <w:spacing w:line="360" w:lineRule="auto"/>
        <w:ind w:left="0"/>
        <w:divId w:val="794257367"/>
        <w:rPr>
          <w:rFonts w:cs="Arial"/>
          <w:sz w:val="22"/>
          <w:szCs w:val="22"/>
        </w:rPr>
      </w:pPr>
    </w:p>
    <w:p w14:paraId="78947996" w14:textId="77777777" w:rsidR="004C4FF9" w:rsidRDefault="004C4FF9" w:rsidP="00404F85">
      <w:pPr>
        <w:pStyle w:val="Heading1"/>
        <w:spacing w:line="360" w:lineRule="auto"/>
        <w:ind w:left="0"/>
        <w:divId w:val="794257367"/>
        <w:rPr>
          <w:rFonts w:cs="Arial"/>
          <w:sz w:val="22"/>
          <w:szCs w:val="22"/>
        </w:rPr>
      </w:pPr>
    </w:p>
    <w:p w14:paraId="4B25FBF6" w14:textId="77777777" w:rsidR="004C4FF9" w:rsidRDefault="004C4FF9" w:rsidP="00404F85">
      <w:pPr>
        <w:pStyle w:val="Heading1"/>
        <w:spacing w:line="360" w:lineRule="auto"/>
        <w:ind w:left="0"/>
        <w:divId w:val="794257367"/>
        <w:rPr>
          <w:rFonts w:cs="Arial"/>
          <w:sz w:val="22"/>
          <w:szCs w:val="22"/>
        </w:rPr>
      </w:pPr>
    </w:p>
    <w:p w14:paraId="2DBFCD4E" w14:textId="77777777" w:rsidR="004C4FF9" w:rsidRDefault="004C4FF9" w:rsidP="00404F85">
      <w:pPr>
        <w:pStyle w:val="Heading1"/>
        <w:spacing w:line="360" w:lineRule="auto"/>
        <w:ind w:left="0"/>
        <w:divId w:val="794257367"/>
        <w:rPr>
          <w:rFonts w:cs="Arial"/>
          <w:sz w:val="22"/>
          <w:szCs w:val="22"/>
        </w:rPr>
      </w:pPr>
    </w:p>
    <w:p w14:paraId="104DE851" w14:textId="77777777" w:rsidR="004C4FF9" w:rsidRDefault="004C4FF9" w:rsidP="00404F85">
      <w:pPr>
        <w:pStyle w:val="Heading1"/>
        <w:spacing w:line="360" w:lineRule="auto"/>
        <w:ind w:left="0"/>
        <w:divId w:val="794257367"/>
        <w:rPr>
          <w:rFonts w:cs="Arial"/>
          <w:sz w:val="22"/>
          <w:szCs w:val="22"/>
        </w:rPr>
      </w:pPr>
    </w:p>
    <w:p w14:paraId="0CC85174" w14:textId="77777777" w:rsidR="004C4FF9" w:rsidRDefault="004C4FF9" w:rsidP="00404F85">
      <w:pPr>
        <w:pStyle w:val="Heading1"/>
        <w:spacing w:line="360" w:lineRule="auto"/>
        <w:ind w:left="0"/>
        <w:divId w:val="794257367"/>
        <w:rPr>
          <w:rFonts w:cs="Arial"/>
          <w:sz w:val="22"/>
          <w:szCs w:val="22"/>
        </w:rPr>
      </w:pPr>
    </w:p>
    <w:p w14:paraId="4B6F549A" w14:textId="77777777" w:rsidR="004C4FF9" w:rsidRDefault="004C4FF9" w:rsidP="00404F85">
      <w:pPr>
        <w:pStyle w:val="Heading1"/>
        <w:spacing w:line="360" w:lineRule="auto"/>
        <w:ind w:left="0"/>
        <w:divId w:val="794257367"/>
        <w:rPr>
          <w:rFonts w:cs="Arial"/>
          <w:sz w:val="22"/>
          <w:szCs w:val="22"/>
        </w:rPr>
      </w:pPr>
    </w:p>
    <w:p w14:paraId="621291DD" w14:textId="77777777" w:rsidR="004C4FF9" w:rsidRDefault="004C4FF9" w:rsidP="00404F85">
      <w:pPr>
        <w:pStyle w:val="Heading1"/>
        <w:spacing w:line="360" w:lineRule="auto"/>
        <w:ind w:left="0"/>
        <w:divId w:val="794257367"/>
        <w:rPr>
          <w:rFonts w:cs="Arial"/>
          <w:sz w:val="22"/>
          <w:szCs w:val="22"/>
        </w:rPr>
      </w:pPr>
    </w:p>
    <w:p w14:paraId="367F9CE5" w14:textId="77777777" w:rsidR="004C4FF9" w:rsidRDefault="004C4FF9" w:rsidP="00404F85">
      <w:pPr>
        <w:pStyle w:val="Heading1"/>
        <w:spacing w:line="360" w:lineRule="auto"/>
        <w:ind w:left="0"/>
        <w:divId w:val="794257367"/>
        <w:rPr>
          <w:rFonts w:cs="Arial"/>
          <w:sz w:val="22"/>
          <w:szCs w:val="22"/>
        </w:rPr>
      </w:pPr>
    </w:p>
    <w:p w14:paraId="5FAB22AE" w14:textId="77777777" w:rsidR="004C4FF9" w:rsidRDefault="004C4FF9" w:rsidP="00404F85">
      <w:pPr>
        <w:pStyle w:val="Heading1"/>
        <w:spacing w:line="360" w:lineRule="auto"/>
        <w:ind w:left="0"/>
        <w:divId w:val="794257367"/>
        <w:rPr>
          <w:rFonts w:cs="Arial"/>
          <w:sz w:val="22"/>
          <w:szCs w:val="22"/>
        </w:rPr>
      </w:pPr>
    </w:p>
    <w:p w14:paraId="161A29E5" w14:textId="77777777" w:rsidR="004C4FF9" w:rsidRDefault="004C4FF9" w:rsidP="00404F85">
      <w:pPr>
        <w:pStyle w:val="Heading1"/>
        <w:spacing w:line="360" w:lineRule="auto"/>
        <w:ind w:left="0"/>
        <w:divId w:val="794257367"/>
        <w:rPr>
          <w:rFonts w:cs="Arial"/>
          <w:sz w:val="22"/>
          <w:szCs w:val="22"/>
        </w:rPr>
      </w:pPr>
    </w:p>
    <w:p w14:paraId="36B0A1A8" w14:textId="77777777" w:rsidR="004C4FF9" w:rsidRDefault="004C4FF9" w:rsidP="00404F85">
      <w:pPr>
        <w:pStyle w:val="Heading1"/>
        <w:spacing w:line="360" w:lineRule="auto"/>
        <w:ind w:left="0"/>
        <w:divId w:val="794257367"/>
        <w:rPr>
          <w:rFonts w:cs="Arial"/>
          <w:sz w:val="22"/>
          <w:szCs w:val="22"/>
        </w:rPr>
      </w:pPr>
    </w:p>
    <w:p w14:paraId="137F12E9" w14:textId="77777777" w:rsidR="004C4FF9" w:rsidRDefault="004C4FF9" w:rsidP="00404F85">
      <w:pPr>
        <w:pStyle w:val="Heading1"/>
        <w:spacing w:line="360" w:lineRule="auto"/>
        <w:ind w:left="0"/>
        <w:divId w:val="794257367"/>
        <w:rPr>
          <w:rFonts w:cs="Arial"/>
          <w:sz w:val="22"/>
          <w:szCs w:val="22"/>
        </w:rPr>
      </w:pPr>
    </w:p>
    <w:p w14:paraId="1BDAE82D" w14:textId="77777777" w:rsidR="004C4FF9" w:rsidRDefault="004C4FF9" w:rsidP="00404F85">
      <w:pPr>
        <w:pStyle w:val="Heading1"/>
        <w:spacing w:line="360" w:lineRule="auto"/>
        <w:ind w:left="0"/>
        <w:divId w:val="794257367"/>
        <w:rPr>
          <w:rFonts w:cs="Arial"/>
          <w:sz w:val="22"/>
          <w:szCs w:val="22"/>
        </w:rPr>
      </w:pPr>
    </w:p>
    <w:p w14:paraId="1D0A0B90" w14:textId="77777777" w:rsidR="00E00B2C" w:rsidRDefault="00E00B2C" w:rsidP="00404F85">
      <w:pPr>
        <w:pStyle w:val="Heading1"/>
        <w:spacing w:line="360" w:lineRule="auto"/>
        <w:ind w:left="0"/>
        <w:divId w:val="794257367"/>
        <w:rPr>
          <w:rFonts w:cs="Arial"/>
          <w:sz w:val="22"/>
          <w:szCs w:val="22"/>
        </w:rPr>
      </w:pPr>
    </w:p>
    <w:p w14:paraId="19FA6F5B" w14:textId="77777777" w:rsidR="004007AE" w:rsidRDefault="004007AE" w:rsidP="00404F85">
      <w:pPr>
        <w:pStyle w:val="Heading1"/>
        <w:spacing w:line="360" w:lineRule="auto"/>
        <w:ind w:left="0"/>
        <w:rPr>
          <w:rFonts w:cs="Arial"/>
          <w:sz w:val="22"/>
          <w:szCs w:val="22"/>
        </w:rPr>
      </w:pPr>
    </w:p>
    <w:p w14:paraId="68A35FE4" w14:textId="77777777" w:rsidR="004C4FF9" w:rsidRDefault="004C4FF9" w:rsidP="00404F85">
      <w:pPr>
        <w:pStyle w:val="Heading1"/>
        <w:spacing w:line="360" w:lineRule="auto"/>
        <w:ind w:left="0"/>
        <w:rPr>
          <w:rFonts w:cs="Arial"/>
          <w:sz w:val="22"/>
          <w:szCs w:val="22"/>
        </w:rPr>
      </w:pPr>
    </w:p>
    <w:p w14:paraId="1EF8DD3D" w14:textId="77777777" w:rsidR="004C4FF9" w:rsidRDefault="004C4FF9" w:rsidP="00404F85">
      <w:pPr>
        <w:pStyle w:val="Heading1"/>
        <w:spacing w:line="360" w:lineRule="auto"/>
        <w:ind w:left="0"/>
        <w:rPr>
          <w:rFonts w:cs="Arial"/>
          <w:sz w:val="22"/>
          <w:szCs w:val="22"/>
        </w:rPr>
      </w:pPr>
    </w:p>
    <w:p w14:paraId="2404EB6B" w14:textId="77777777" w:rsidR="004C4FF9" w:rsidRDefault="004C4FF9" w:rsidP="00404F85">
      <w:pPr>
        <w:pStyle w:val="Heading1"/>
        <w:spacing w:line="360" w:lineRule="auto"/>
        <w:ind w:left="0"/>
        <w:rPr>
          <w:rFonts w:cs="Arial"/>
          <w:sz w:val="22"/>
          <w:szCs w:val="22"/>
        </w:rPr>
      </w:pPr>
    </w:p>
    <w:p w14:paraId="7826E77B" w14:textId="77777777" w:rsidR="004C4FF9" w:rsidRDefault="004C4FF9" w:rsidP="00404F85">
      <w:pPr>
        <w:pStyle w:val="Heading1"/>
        <w:spacing w:line="360" w:lineRule="auto"/>
        <w:ind w:left="0"/>
        <w:rPr>
          <w:rFonts w:cs="Arial"/>
          <w:sz w:val="22"/>
          <w:szCs w:val="22"/>
        </w:rPr>
      </w:pPr>
    </w:p>
    <w:p w14:paraId="0899A47E" w14:textId="77777777" w:rsidR="004C4FF9" w:rsidRDefault="004C4FF9" w:rsidP="00404F85">
      <w:pPr>
        <w:pStyle w:val="Heading1"/>
        <w:spacing w:line="360" w:lineRule="auto"/>
        <w:ind w:left="0"/>
        <w:rPr>
          <w:rFonts w:cs="Arial"/>
          <w:sz w:val="22"/>
          <w:szCs w:val="22"/>
        </w:rPr>
      </w:pPr>
    </w:p>
    <w:p w14:paraId="2DFF0978" w14:textId="77777777" w:rsidR="004C4FF9" w:rsidRDefault="004C4FF9" w:rsidP="00404F85">
      <w:pPr>
        <w:pStyle w:val="Heading1"/>
        <w:spacing w:line="360" w:lineRule="auto"/>
        <w:ind w:left="0"/>
        <w:rPr>
          <w:rFonts w:cs="Arial"/>
          <w:sz w:val="22"/>
          <w:szCs w:val="22"/>
        </w:rPr>
      </w:pPr>
    </w:p>
    <w:p w14:paraId="26114EAA" w14:textId="77777777" w:rsidR="004C4FF9" w:rsidRDefault="004C4FF9" w:rsidP="00404F85">
      <w:pPr>
        <w:pStyle w:val="Heading1"/>
        <w:spacing w:line="360" w:lineRule="auto"/>
        <w:ind w:left="0"/>
        <w:rPr>
          <w:rFonts w:cs="Arial"/>
          <w:sz w:val="22"/>
          <w:szCs w:val="22"/>
        </w:rPr>
      </w:pPr>
    </w:p>
    <w:p w14:paraId="7FDF7A2E" w14:textId="77777777" w:rsidR="004C4FF9" w:rsidRDefault="004C4FF9" w:rsidP="00404F85">
      <w:pPr>
        <w:pStyle w:val="Heading1"/>
        <w:spacing w:line="360" w:lineRule="auto"/>
        <w:ind w:left="0"/>
        <w:rPr>
          <w:rFonts w:cs="Arial"/>
          <w:sz w:val="22"/>
          <w:szCs w:val="22"/>
        </w:rPr>
      </w:pPr>
    </w:p>
    <w:p w14:paraId="4D8B7A93" w14:textId="77777777" w:rsidR="004C4FF9" w:rsidRDefault="004C4FF9" w:rsidP="00404F85">
      <w:pPr>
        <w:pStyle w:val="Heading1"/>
        <w:spacing w:line="360" w:lineRule="auto"/>
        <w:ind w:left="0"/>
        <w:rPr>
          <w:rFonts w:cs="Arial"/>
          <w:sz w:val="22"/>
          <w:szCs w:val="22"/>
        </w:rPr>
      </w:pPr>
    </w:p>
    <w:p w14:paraId="05130AD4" w14:textId="77777777" w:rsidR="004C4FF9" w:rsidRDefault="004C4FF9" w:rsidP="00404F85">
      <w:pPr>
        <w:pStyle w:val="Heading1"/>
        <w:spacing w:line="360" w:lineRule="auto"/>
        <w:ind w:left="0"/>
        <w:rPr>
          <w:rFonts w:cs="Arial"/>
          <w:sz w:val="22"/>
          <w:szCs w:val="22"/>
        </w:rPr>
      </w:pPr>
    </w:p>
    <w:p w14:paraId="164F0FB9" w14:textId="77777777" w:rsidR="004C4FF9" w:rsidRDefault="004C4FF9" w:rsidP="00404F85">
      <w:pPr>
        <w:pStyle w:val="Heading1"/>
        <w:spacing w:line="360" w:lineRule="auto"/>
        <w:ind w:left="0"/>
        <w:rPr>
          <w:rFonts w:cs="Arial"/>
          <w:sz w:val="22"/>
          <w:szCs w:val="22"/>
        </w:rPr>
      </w:pPr>
    </w:p>
    <w:p w14:paraId="6D7584F3" w14:textId="5FD767EB" w:rsidR="00621776" w:rsidRDefault="00F36088" w:rsidP="004007AE">
      <w:pPr>
        <w:pStyle w:val="Heading2"/>
        <w:rPr>
          <w:rFonts w:ascii="Arial" w:hAnsi="Arial" w:cs="Arial"/>
          <w:b/>
          <w:bCs/>
          <w:sz w:val="36"/>
          <w:szCs w:val="36"/>
        </w:rPr>
      </w:pPr>
      <w:r>
        <w:rPr>
          <w:rFonts w:ascii="Arial" w:hAnsi="Arial" w:cs="Arial"/>
          <w:b/>
          <w:bCs/>
          <w:sz w:val="36"/>
          <w:szCs w:val="36"/>
        </w:rPr>
        <w:t>6</w:t>
      </w:r>
      <w:r w:rsidR="00BD1D7C">
        <w:rPr>
          <w:rFonts w:ascii="Arial" w:hAnsi="Arial" w:cs="Arial"/>
          <w:b/>
          <w:bCs/>
          <w:sz w:val="36"/>
          <w:szCs w:val="36"/>
        </w:rPr>
        <w:t xml:space="preserve">.2 </w:t>
      </w:r>
      <w:r w:rsidR="00831775">
        <w:rPr>
          <w:rFonts w:ascii="Arial" w:hAnsi="Arial" w:cs="Arial"/>
          <w:b/>
          <w:bCs/>
          <w:sz w:val="36"/>
          <w:szCs w:val="36"/>
        </w:rPr>
        <w:t>A</w:t>
      </w:r>
      <w:r w:rsidR="00251850">
        <w:rPr>
          <w:rFonts w:ascii="Arial" w:hAnsi="Arial" w:cs="Arial"/>
          <w:b/>
          <w:bCs/>
          <w:sz w:val="36"/>
          <w:szCs w:val="36"/>
        </w:rPr>
        <w:t>ppendix A</w:t>
      </w:r>
      <w:r w:rsidR="00341692">
        <w:rPr>
          <w:rFonts w:ascii="Arial" w:hAnsi="Arial" w:cs="Arial"/>
          <w:b/>
          <w:bCs/>
          <w:sz w:val="36"/>
          <w:szCs w:val="36"/>
        </w:rPr>
        <w:t>-</w:t>
      </w:r>
      <w:r w:rsidR="00A56C9B">
        <w:rPr>
          <w:rFonts w:ascii="Arial" w:hAnsi="Arial" w:cs="Arial"/>
          <w:b/>
          <w:bCs/>
          <w:sz w:val="36"/>
          <w:szCs w:val="36"/>
        </w:rPr>
        <w:t xml:space="preserve">Source </w:t>
      </w:r>
      <w:r w:rsidR="00DA0159">
        <w:rPr>
          <w:rFonts w:ascii="Arial" w:hAnsi="Arial" w:cs="Arial"/>
          <w:b/>
          <w:bCs/>
          <w:sz w:val="36"/>
          <w:szCs w:val="36"/>
        </w:rPr>
        <w:t>Tracking Table</w:t>
      </w:r>
    </w:p>
    <w:p w14:paraId="48D7C807" w14:textId="77777777" w:rsidR="00BB79E7" w:rsidRDefault="00BB79E7" w:rsidP="00BB79E7"/>
    <w:tbl>
      <w:tblPr>
        <w:tblW w:w="5507" w:type="pct"/>
        <w:tblInd w:w="-434" w:type="dxa"/>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1986"/>
        <w:gridCol w:w="2268"/>
        <w:gridCol w:w="1701"/>
        <w:gridCol w:w="1559"/>
        <w:gridCol w:w="2410"/>
      </w:tblGrid>
      <w:tr w:rsidR="003C6CAD" w:rsidRPr="003C6CAD" w14:paraId="11604ADB" w14:textId="77777777" w:rsidTr="00B07E78">
        <w:trPr>
          <w:divId w:val="186917069"/>
          <w:tblHeader/>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EB6270" w14:textId="77777777" w:rsidR="003C6CAD" w:rsidRPr="00B07E78" w:rsidRDefault="003C6CAD" w:rsidP="00B07E78">
            <w:pPr>
              <w:pStyle w:val="Heading2"/>
              <w:rPr>
                <w:rFonts w:ascii="Arial" w:hAnsi="Arial" w:cs="Arial"/>
                <w:b/>
                <w:sz w:val="32"/>
                <w:szCs w:val="32"/>
                <w:lang w:eastAsia="en-GB"/>
              </w:rPr>
            </w:pPr>
            <w:r w:rsidRPr="00B07E78">
              <w:rPr>
                <w:rFonts w:ascii="Arial" w:hAnsi="Arial" w:cs="Arial"/>
                <w:b/>
                <w:sz w:val="32"/>
                <w:szCs w:val="32"/>
                <w:lang w:eastAsia="en-GB"/>
              </w:rPr>
              <w:t>Author &amp; Year</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2C4AE9" w14:textId="77777777" w:rsidR="003C6CAD" w:rsidRPr="00B07E78" w:rsidRDefault="003C6CAD" w:rsidP="00B07E78">
            <w:pPr>
              <w:pStyle w:val="Heading2"/>
              <w:rPr>
                <w:rFonts w:ascii="Arial" w:hAnsi="Arial" w:cs="Arial"/>
                <w:b/>
                <w:sz w:val="32"/>
                <w:szCs w:val="32"/>
                <w:lang w:eastAsia="en-GB"/>
              </w:rPr>
            </w:pPr>
            <w:r w:rsidRPr="00B07E78">
              <w:rPr>
                <w:rFonts w:ascii="Arial" w:hAnsi="Arial" w:cs="Arial"/>
                <w:b/>
                <w:sz w:val="32"/>
                <w:szCs w:val="32"/>
                <w:lang w:eastAsia="en-GB"/>
              </w:rPr>
              <w:t>Article Title</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042BFF6" w14:textId="77777777" w:rsidR="003C6CAD" w:rsidRPr="00B07E78" w:rsidRDefault="003C6CAD" w:rsidP="00B07E78">
            <w:pPr>
              <w:pStyle w:val="Heading2"/>
              <w:rPr>
                <w:rFonts w:ascii="Arial" w:hAnsi="Arial" w:cs="Arial"/>
                <w:b/>
                <w:sz w:val="32"/>
                <w:szCs w:val="32"/>
                <w:lang w:eastAsia="en-GB"/>
              </w:rPr>
            </w:pPr>
            <w:r w:rsidRPr="00B07E78">
              <w:rPr>
                <w:rFonts w:ascii="Arial" w:hAnsi="Arial" w:cs="Arial"/>
                <w:b/>
                <w:sz w:val="32"/>
                <w:szCs w:val="32"/>
                <w:lang w:eastAsia="en-GB"/>
              </w:rPr>
              <w:t>Keywords/Codes</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CB08D2" w14:textId="77777777" w:rsidR="003C6CAD" w:rsidRPr="00B07E78" w:rsidRDefault="003C6CAD" w:rsidP="00B07E78">
            <w:pPr>
              <w:pStyle w:val="Heading2"/>
              <w:rPr>
                <w:rFonts w:ascii="Arial" w:hAnsi="Arial" w:cs="Arial"/>
                <w:b/>
                <w:sz w:val="32"/>
                <w:szCs w:val="32"/>
                <w:lang w:eastAsia="en-GB"/>
              </w:rPr>
            </w:pPr>
            <w:r w:rsidRPr="00B07E78">
              <w:rPr>
                <w:rFonts w:ascii="Arial" w:hAnsi="Arial" w:cs="Arial"/>
                <w:b/>
                <w:sz w:val="32"/>
                <w:szCs w:val="32"/>
                <w:lang w:eastAsia="en-GB"/>
              </w:rPr>
              <w:t>CRAAP Score</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1E52ED" w14:textId="77777777" w:rsidR="003C6CAD" w:rsidRPr="00B07E78" w:rsidRDefault="003C6CAD" w:rsidP="00B07E78">
            <w:pPr>
              <w:pStyle w:val="Heading2"/>
              <w:rPr>
                <w:rFonts w:ascii="Arial" w:hAnsi="Arial" w:cs="Arial"/>
                <w:b/>
                <w:sz w:val="32"/>
                <w:szCs w:val="32"/>
                <w:lang w:eastAsia="en-GB"/>
              </w:rPr>
            </w:pPr>
            <w:r w:rsidRPr="00B07E78">
              <w:rPr>
                <w:rFonts w:ascii="Arial" w:hAnsi="Arial" w:cs="Arial"/>
                <w:b/>
                <w:sz w:val="32"/>
                <w:szCs w:val="32"/>
                <w:lang w:eastAsia="en-GB"/>
              </w:rPr>
              <w:t>Justification</w:t>
            </w:r>
          </w:p>
        </w:tc>
      </w:tr>
      <w:tr w:rsidR="003C6CAD" w:rsidRPr="003C6CAD" w14:paraId="0A229689"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6247798"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DeFronzo (2009)</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0CD95D"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From the Triumvirate to the Ominous Octet</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FB81C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Insulin resistance, beta-cell dysfunction</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AE8397"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FAF8AA"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Seminal paper explaining the physiological mechanisms of T2DM.</w:t>
            </w:r>
          </w:p>
        </w:tc>
      </w:tr>
      <w:tr w:rsidR="003C6CAD" w:rsidRPr="003C6CAD" w14:paraId="708AF2B0"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F5B42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DeFronzo et al. (2015)</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0D005A"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Type 2 Diabetes Mellitus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9D361C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Pathophysiology, hyperglycaemia</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5AC40B"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E1FAF0B"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Comprehensive and highly cited review of disease mechanisms.</w:t>
            </w:r>
          </w:p>
        </w:tc>
      </w:tr>
      <w:tr w:rsidR="003C6CAD" w:rsidRPr="003C6CAD" w14:paraId="3EBE9440"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8D44E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Galicia-Garcia et al. (2020)</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98E1E1"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Pathophysiology of Type 2 Diabetes Mellitus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71E42AA"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Obesity, inflammation</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F04A01"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353BE77"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Recent evidence explaining molecular mechanisms of T2DM.</w:t>
            </w:r>
          </w:p>
        </w:tc>
      </w:tr>
      <w:tr w:rsidR="003C6CAD" w:rsidRPr="003C6CAD" w14:paraId="074CF0A4"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04A3DDC"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bookmarkStart w:id="221" w:name="_Int_vPeY0Qba"/>
            <w:r w:rsidRPr="0072459D">
              <w:rPr>
                <w:rFonts w:ascii="Arial" w:hAnsi="Arial" w:cs="Arial"/>
                <w:kern w:val="0"/>
                <w:lang w:eastAsia="en-GB"/>
                <w14:ligatures w14:val="none"/>
              </w:rPr>
              <w:t>Bellary</w:t>
            </w:r>
            <w:bookmarkEnd w:id="221"/>
            <w:r w:rsidRPr="0072459D">
              <w:rPr>
                <w:rFonts w:ascii="Arial" w:hAnsi="Arial" w:cs="Arial"/>
                <w:kern w:val="0"/>
                <w:lang w:eastAsia="en-GB"/>
                <w14:ligatures w14:val="none"/>
              </w:rPr>
              <w:t xml:space="preserve"> et al. (2021)</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B33ECE7"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Type 2 Diabetes Mellitus in Older Adults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141471"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Older adults, management</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760E135"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AAC83E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Focuses specifically on ageing and diabetes management.</w:t>
            </w:r>
          </w:p>
        </w:tc>
      </w:tr>
      <w:tr w:rsidR="003C6CAD" w:rsidRPr="003C6CAD" w14:paraId="7A8B5B19"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DB86E24"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Sinclair et al. (2020)</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66152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Diabetes and Global Ageing Among Adults Aged 65–99 Years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24623E1"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Frailty, personalised care</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7DB36BF"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D00637"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International evidence on diabetes in older adults.</w:t>
            </w:r>
          </w:p>
        </w:tc>
      </w:tr>
      <w:tr w:rsidR="003C6CAD" w:rsidRPr="003C6CAD" w14:paraId="7546A59E"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F32B63B"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Rawshani et al. (2018)</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785E1B4"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Risk Factors, Mortality and Cardiovascular Outcomes in Patients with Type 2 Diabetes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630A24A"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Cardiovascular disease</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CEB9F0"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FC009D9"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Large cohort study examining mortality and complications.</w:t>
            </w:r>
          </w:p>
        </w:tc>
      </w:tr>
      <w:tr w:rsidR="003C6CAD" w:rsidRPr="003C6CAD" w14:paraId="1D2C4810"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4C8BCB"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Zheng et al. (2018)</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D9BCC14"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Global Aetiology and Epidemiology of Type 2 Diabetes Mellitus and its Complications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F0F33C"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Long-term complications</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B001B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53E96CF"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Excellent review of diabetes complications.</w:t>
            </w:r>
          </w:p>
        </w:tc>
      </w:tr>
      <w:tr w:rsidR="003C6CAD" w:rsidRPr="003C6CAD" w14:paraId="404012F9"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6D53E84"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Biessels &amp; Despa (2018)</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CC2A5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Cognitive Decline and Dementia in Diabetes Mellitus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C81240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Dementia, cognition</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14FBA8C"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4.5/5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AB4417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bookmarkStart w:id="222" w:name="_Int_FStKPvcs"/>
            <w:r w:rsidRPr="0072459D">
              <w:rPr>
                <w:rFonts w:ascii="Arial" w:hAnsi="Arial" w:cs="Arial"/>
                <w:kern w:val="0"/>
                <w:lang w:eastAsia="en-GB"/>
                <w14:ligatures w14:val="none"/>
              </w:rPr>
              <w:t>Strong evidence</w:t>
            </w:r>
            <w:bookmarkEnd w:id="222"/>
            <w:r w:rsidRPr="0072459D">
              <w:rPr>
                <w:rFonts w:ascii="Arial" w:hAnsi="Arial" w:cs="Arial"/>
                <w:kern w:val="0"/>
                <w:lang w:eastAsia="en-GB"/>
                <w14:ligatures w14:val="none"/>
              </w:rPr>
              <w:t xml:space="preserve"> linking diabetes with cognitive decline.</w:t>
            </w:r>
          </w:p>
        </w:tc>
      </w:tr>
      <w:tr w:rsidR="003C6CAD" w:rsidRPr="003C6CAD" w14:paraId="34CB7096"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524C2C1"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Frasca et al. (2021)</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E506053"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Inflammaging and Metabolic Disease</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8C0D8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Chronic inflammation</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EF7816"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4.5/5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DEDCDA"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Explains inflammation associated with ageing and T2DM.</w:t>
            </w:r>
          </w:p>
        </w:tc>
      </w:tr>
      <w:tr w:rsidR="003C6CAD" w:rsidRPr="003C6CAD" w14:paraId="26053167" w14:textId="77777777" w:rsidTr="00B07E78">
        <w:trPr>
          <w:divId w:val="186917069"/>
        </w:trPr>
        <w:tc>
          <w:tcPr>
            <w:tcW w:w="1986"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AAF8B7"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Au-Yeung et al. (2024)</w:t>
            </w:r>
          </w:p>
        </w:tc>
        <w:tc>
          <w:tcPr>
            <w:tcW w:w="2268"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9147698"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i/>
                <w:kern w:val="0"/>
                <w:lang w:eastAsia="en-GB"/>
                <w14:ligatures w14:val="none"/>
              </w:rPr>
              <w:t>Socioeconomic and Ethnic Inequalities Increase the Risk of Type 2 Diabetes</w:t>
            </w:r>
          </w:p>
        </w:tc>
        <w:tc>
          <w:tcPr>
            <w:tcW w:w="1701"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511697A2"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Birmingham, deprivation</w:t>
            </w:r>
          </w:p>
        </w:tc>
        <w:tc>
          <w:tcPr>
            <w:tcW w:w="1559"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AC409B3"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b/>
                <w:kern w:val="0"/>
                <w:lang w:eastAsia="en-GB"/>
                <w14:ligatures w14:val="none"/>
              </w:rPr>
              <w:t>5/5</w:t>
            </w:r>
          </w:p>
        </w:tc>
        <w:tc>
          <w:tcPr>
            <w:tcW w:w="2410" w:type="dxa"/>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DB50EC9" w14:textId="77777777" w:rsidR="003C6CAD" w:rsidRPr="0072459D" w:rsidRDefault="003C6CAD" w:rsidP="00B07E78">
            <w:pPr>
              <w:spacing w:before="100" w:beforeAutospacing="1" w:after="100" w:afterAutospacing="1"/>
              <w:jc w:val="left"/>
              <w:rPr>
                <w:rFonts w:ascii="Arial" w:hAnsi="Arial" w:cs="Arial"/>
                <w:kern w:val="0"/>
                <w:lang w:eastAsia="en-GB"/>
                <w14:ligatures w14:val="none"/>
              </w:rPr>
            </w:pPr>
            <w:r w:rsidRPr="0072459D">
              <w:rPr>
                <w:rFonts w:ascii="Arial" w:hAnsi="Arial" w:cs="Arial"/>
                <w:kern w:val="0"/>
                <w:lang w:eastAsia="en-GB"/>
                <w14:ligatures w14:val="none"/>
              </w:rPr>
              <w:t>Local Birmingham evidence showing deprivation and ethnicity increase diabetes risk.</w:t>
            </w:r>
          </w:p>
        </w:tc>
      </w:tr>
    </w:tbl>
    <w:p w14:paraId="368E40B7" w14:textId="77777777" w:rsidR="00BB79E7" w:rsidRDefault="00BB79E7" w:rsidP="00BB79E7"/>
    <w:p w14:paraId="1C8F5E64" w14:textId="77777777" w:rsidR="009707DB" w:rsidRPr="00BB79E7" w:rsidRDefault="009707DB" w:rsidP="00BB79E7"/>
    <w:p w14:paraId="34FDD4C7" w14:textId="77777777" w:rsidR="000451A0" w:rsidRDefault="000451A0" w:rsidP="00BB79E7"/>
    <w:p w14:paraId="7A7FAA51" w14:textId="77777777" w:rsidR="000451A0" w:rsidRPr="00BB79E7" w:rsidRDefault="000451A0" w:rsidP="00BB79E7"/>
    <w:p w14:paraId="211F0A3E" w14:textId="77777777" w:rsidR="009707DB" w:rsidRPr="00BA0575" w:rsidRDefault="009707DB" w:rsidP="00BA0575">
      <w:pPr>
        <w:pStyle w:val="Heading2"/>
        <w:divId w:val="687489818"/>
        <w:rPr>
          <w:rFonts w:ascii="Arial" w:hAnsi="Arial" w:cs="Arial"/>
          <w:b/>
          <w:sz w:val="32"/>
          <w:szCs w:val="32"/>
          <w:lang w:eastAsia="en-GB"/>
        </w:rPr>
      </w:pPr>
      <w:r w:rsidRPr="00BA0575">
        <w:rPr>
          <w:rFonts w:ascii="Arial" w:hAnsi="Arial" w:cs="Arial"/>
          <w:b/>
          <w:sz w:val="32"/>
          <w:szCs w:val="32"/>
          <w:lang w:eastAsia="en-GB"/>
        </w:rPr>
        <w:t>Studies selected for detailed analysis (strongest five):</w:t>
      </w:r>
    </w:p>
    <w:p w14:paraId="3ED8AD7D" w14:textId="77777777" w:rsidR="009707DB" w:rsidRPr="00BA0575" w:rsidRDefault="009707DB" w:rsidP="00BA0575">
      <w:pPr>
        <w:numPr>
          <w:ilvl w:val="0"/>
          <w:numId w:val="117"/>
        </w:numPr>
        <w:spacing w:before="100" w:beforeAutospacing="1" w:after="100" w:afterAutospacing="1"/>
        <w:jc w:val="left"/>
        <w:divId w:val="687489818"/>
        <w:rPr>
          <w:rFonts w:ascii="Arial" w:eastAsia="Times New Roman" w:hAnsi="Arial" w:cs="Arial"/>
          <w:kern w:val="0"/>
          <w:lang w:eastAsia="en-GB"/>
          <w14:ligatures w14:val="none"/>
        </w:rPr>
      </w:pPr>
      <w:r w:rsidRPr="00BA0575">
        <w:rPr>
          <w:rFonts w:ascii="Arial" w:eastAsia="Times New Roman" w:hAnsi="Arial" w:cs="Arial"/>
          <w:kern w:val="0"/>
          <w:lang w:eastAsia="en-GB"/>
          <w14:ligatures w14:val="none"/>
        </w:rPr>
        <w:t>DeFronzo et al. (2015)</w:t>
      </w:r>
    </w:p>
    <w:p w14:paraId="19845A65" w14:textId="77777777" w:rsidR="009707DB" w:rsidRPr="00BA0575" w:rsidRDefault="009707DB" w:rsidP="00BA0575">
      <w:pPr>
        <w:numPr>
          <w:ilvl w:val="0"/>
          <w:numId w:val="117"/>
        </w:numPr>
        <w:spacing w:before="100" w:beforeAutospacing="1" w:after="100" w:afterAutospacing="1"/>
        <w:jc w:val="left"/>
        <w:divId w:val="687489818"/>
        <w:rPr>
          <w:rFonts w:ascii="Arial" w:eastAsia="Times New Roman" w:hAnsi="Arial" w:cs="Arial"/>
          <w:kern w:val="0"/>
          <w:lang w:eastAsia="en-GB"/>
          <w14:ligatures w14:val="none"/>
        </w:rPr>
      </w:pPr>
      <w:bookmarkStart w:id="223" w:name="_Int_743In4kj"/>
      <w:r w:rsidRPr="00BA0575">
        <w:rPr>
          <w:rFonts w:ascii="Arial" w:eastAsia="Times New Roman" w:hAnsi="Arial" w:cs="Arial"/>
          <w:kern w:val="0"/>
          <w:lang w:eastAsia="en-GB"/>
          <w14:ligatures w14:val="none"/>
        </w:rPr>
        <w:t>Bellary</w:t>
      </w:r>
      <w:bookmarkEnd w:id="223"/>
      <w:r w:rsidRPr="00BA0575">
        <w:rPr>
          <w:rFonts w:ascii="Arial" w:eastAsia="Times New Roman" w:hAnsi="Arial" w:cs="Arial"/>
          <w:kern w:val="0"/>
          <w:lang w:eastAsia="en-GB"/>
          <w14:ligatures w14:val="none"/>
        </w:rPr>
        <w:t xml:space="preserve"> et al. (2021)</w:t>
      </w:r>
    </w:p>
    <w:p w14:paraId="058CA132" w14:textId="77777777" w:rsidR="009707DB" w:rsidRPr="00BA0575" w:rsidRDefault="009707DB" w:rsidP="00BA0575">
      <w:pPr>
        <w:numPr>
          <w:ilvl w:val="0"/>
          <w:numId w:val="117"/>
        </w:numPr>
        <w:spacing w:before="100" w:beforeAutospacing="1" w:after="100" w:afterAutospacing="1"/>
        <w:jc w:val="left"/>
        <w:divId w:val="687489818"/>
        <w:rPr>
          <w:rFonts w:ascii="Arial" w:eastAsia="Times New Roman" w:hAnsi="Arial" w:cs="Arial"/>
          <w:kern w:val="0"/>
          <w:lang w:eastAsia="en-GB"/>
          <w14:ligatures w14:val="none"/>
        </w:rPr>
      </w:pPr>
      <w:r w:rsidRPr="00BA0575">
        <w:rPr>
          <w:rFonts w:ascii="Arial" w:eastAsia="Times New Roman" w:hAnsi="Arial" w:cs="Arial"/>
          <w:kern w:val="0"/>
          <w:lang w:eastAsia="en-GB"/>
          <w14:ligatures w14:val="none"/>
        </w:rPr>
        <w:t>Sinclair et al. (2020)</w:t>
      </w:r>
    </w:p>
    <w:p w14:paraId="7F10C018" w14:textId="77777777" w:rsidR="009707DB" w:rsidRPr="00BA0575" w:rsidRDefault="009707DB" w:rsidP="00BA0575">
      <w:pPr>
        <w:numPr>
          <w:ilvl w:val="0"/>
          <w:numId w:val="117"/>
        </w:numPr>
        <w:spacing w:before="100" w:beforeAutospacing="1" w:after="100" w:afterAutospacing="1"/>
        <w:jc w:val="left"/>
        <w:divId w:val="687489818"/>
        <w:rPr>
          <w:rFonts w:ascii="Arial" w:eastAsia="Times New Roman" w:hAnsi="Arial" w:cs="Arial"/>
          <w:kern w:val="0"/>
          <w:lang w:eastAsia="en-GB"/>
          <w14:ligatures w14:val="none"/>
        </w:rPr>
      </w:pPr>
      <w:r w:rsidRPr="00BA0575">
        <w:rPr>
          <w:rFonts w:ascii="Arial" w:eastAsia="Times New Roman" w:hAnsi="Arial" w:cs="Arial"/>
          <w:kern w:val="0"/>
          <w:lang w:eastAsia="en-GB"/>
          <w14:ligatures w14:val="none"/>
        </w:rPr>
        <w:t>Rawshani et al. (2018)</w:t>
      </w:r>
    </w:p>
    <w:p w14:paraId="40A65D1E" w14:textId="77777777" w:rsidR="009707DB" w:rsidRPr="00BA0575" w:rsidRDefault="009707DB" w:rsidP="00BA0575">
      <w:pPr>
        <w:numPr>
          <w:ilvl w:val="0"/>
          <w:numId w:val="117"/>
        </w:numPr>
        <w:spacing w:before="100" w:beforeAutospacing="1" w:after="100" w:afterAutospacing="1"/>
        <w:jc w:val="left"/>
        <w:divId w:val="687489818"/>
        <w:rPr>
          <w:rFonts w:ascii="Arial" w:eastAsia="Times New Roman" w:hAnsi="Arial" w:cs="Arial"/>
          <w:kern w:val="0"/>
          <w:lang w:eastAsia="en-GB"/>
          <w14:ligatures w14:val="none"/>
        </w:rPr>
      </w:pPr>
      <w:r w:rsidRPr="00BA0575">
        <w:rPr>
          <w:rFonts w:ascii="Arial" w:eastAsia="Times New Roman" w:hAnsi="Arial" w:cs="Arial"/>
          <w:kern w:val="0"/>
          <w:lang w:eastAsia="en-GB"/>
          <w14:ligatures w14:val="none"/>
        </w:rPr>
        <w:t>Zheng et al. (2018)</w:t>
      </w:r>
    </w:p>
    <w:p w14:paraId="619922D1" w14:textId="77777777" w:rsidR="008D4FBD" w:rsidRDefault="008D4FBD" w:rsidP="00404F85">
      <w:pPr>
        <w:rPr>
          <w:rFonts w:ascii="Arial" w:hAnsi="Arial" w:cs="Arial"/>
        </w:rPr>
      </w:pPr>
    </w:p>
    <w:p w14:paraId="52538E4D" w14:textId="77777777" w:rsidR="00AD7D8C" w:rsidRPr="00BA0575" w:rsidRDefault="00AD7D8C" w:rsidP="00BA0575">
      <w:pPr>
        <w:pStyle w:val="Heading2"/>
        <w:divId w:val="1766338708"/>
        <w:rPr>
          <w:rFonts w:ascii="Arial" w:hAnsi="Arial" w:cs="Arial"/>
          <w:b/>
          <w:sz w:val="32"/>
          <w:szCs w:val="32"/>
          <w:lang w:eastAsia="en-GB"/>
        </w:rPr>
      </w:pPr>
      <w:r w:rsidRPr="00BA0575">
        <w:rPr>
          <w:rFonts w:ascii="Arial" w:hAnsi="Arial" w:cs="Arial"/>
          <w:b/>
          <w:sz w:val="32"/>
          <w:szCs w:val="32"/>
          <w:lang w:eastAsia="en-GB"/>
        </w:rPr>
        <w:t>Appendix B – Results Summary Table (Detailed Analysis of the Five Strongest Studies)</w:t>
      </w:r>
    </w:p>
    <w:p w14:paraId="068BE66B" w14:textId="77777777" w:rsidR="00AD7D8C" w:rsidRDefault="00AD7D8C" w:rsidP="00404F85">
      <w:pPr>
        <w:rPr>
          <w:rFonts w:ascii="Arial" w:hAnsi="Arial" w:cs="Arial"/>
        </w:rPr>
      </w:pPr>
    </w:p>
    <w:tbl>
      <w:tblPr>
        <w:tblW w:w="5319" w:type="pct"/>
        <w:tblInd w:w="-575" w:type="dxa"/>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1067"/>
        <w:gridCol w:w="1000"/>
        <w:gridCol w:w="1998"/>
        <w:gridCol w:w="1849"/>
        <w:gridCol w:w="2906"/>
        <w:gridCol w:w="765"/>
      </w:tblGrid>
      <w:tr w:rsidR="00733403" w:rsidRPr="00733403" w14:paraId="54B30D96" w14:textId="77777777" w:rsidTr="00BA0575">
        <w:trPr>
          <w:divId w:val="235361676"/>
          <w:tblHeader/>
        </w:trPr>
        <w:tc>
          <w:tcPr>
            <w:tcW w:w="5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DFD77CD" w14:textId="77777777" w:rsidR="00733403" w:rsidRPr="00DD1B02" w:rsidRDefault="00733403" w:rsidP="000451A0">
            <w:pPr>
              <w:pStyle w:val="Heading2"/>
              <w:rPr>
                <w:rFonts w:ascii="Arial" w:hAnsi="Arial" w:cs="Arial"/>
                <w:b/>
                <w:sz w:val="20"/>
                <w:szCs w:val="20"/>
                <w:lang w:eastAsia="en-GB"/>
              </w:rPr>
            </w:pPr>
            <w:r w:rsidRPr="00DD1B02">
              <w:rPr>
                <w:rFonts w:ascii="Arial" w:hAnsi="Arial" w:cs="Arial"/>
                <w:b/>
                <w:sz w:val="20"/>
                <w:szCs w:val="20"/>
                <w:lang w:eastAsia="en-GB"/>
              </w:rPr>
              <w:t>Author &amp; Year</w:t>
            </w:r>
          </w:p>
        </w:tc>
        <w:tc>
          <w:tcPr>
            <w:tcW w:w="5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E9D5B5" w14:textId="77777777" w:rsidR="00733403" w:rsidRPr="00DD1B02" w:rsidRDefault="00733403" w:rsidP="000451A0">
            <w:pPr>
              <w:pStyle w:val="Heading2"/>
              <w:rPr>
                <w:rFonts w:ascii="Arial" w:hAnsi="Arial" w:cs="Arial"/>
                <w:b/>
                <w:sz w:val="20"/>
                <w:szCs w:val="20"/>
                <w:lang w:eastAsia="en-GB"/>
              </w:rPr>
            </w:pPr>
            <w:r w:rsidRPr="00DD1B02">
              <w:rPr>
                <w:rFonts w:ascii="Arial" w:hAnsi="Arial" w:cs="Arial"/>
                <w:b/>
                <w:sz w:val="20"/>
                <w:szCs w:val="20"/>
                <w:lang w:eastAsia="en-GB"/>
              </w:rPr>
              <w:t>Type of Study</w:t>
            </w:r>
          </w:p>
        </w:tc>
        <w:tc>
          <w:tcPr>
            <w:tcW w:w="105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B83941" w14:textId="77777777" w:rsidR="00733403" w:rsidRPr="00DD1B02" w:rsidRDefault="00733403" w:rsidP="000451A0">
            <w:pPr>
              <w:pStyle w:val="Heading2"/>
              <w:rPr>
                <w:rFonts w:ascii="Arial" w:hAnsi="Arial" w:cs="Arial"/>
                <w:b/>
                <w:sz w:val="20"/>
                <w:szCs w:val="20"/>
                <w:lang w:eastAsia="en-GB"/>
              </w:rPr>
            </w:pPr>
            <w:r w:rsidRPr="00DD1B02">
              <w:rPr>
                <w:rFonts w:ascii="Arial" w:hAnsi="Arial" w:cs="Arial"/>
                <w:b/>
                <w:sz w:val="20"/>
                <w:szCs w:val="20"/>
                <w:lang w:eastAsia="en-GB"/>
              </w:rPr>
              <w:t>Research Method</w:t>
            </w:r>
          </w:p>
        </w:tc>
        <w:tc>
          <w:tcPr>
            <w:tcW w:w="96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792470" w14:textId="77777777" w:rsidR="00733403" w:rsidRPr="00DD1B02" w:rsidRDefault="00733403" w:rsidP="000451A0">
            <w:pPr>
              <w:pStyle w:val="Heading2"/>
              <w:rPr>
                <w:rFonts w:ascii="Arial" w:hAnsi="Arial" w:cs="Arial"/>
                <w:b/>
                <w:sz w:val="20"/>
                <w:szCs w:val="20"/>
                <w:lang w:eastAsia="en-GB"/>
              </w:rPr>
            </w:pPr>
            <w:r w:rsidRPr="00DD1B02">
              <w:rPr>
                <w:rFonts w:ascii="Arial" w:hAnsi="Arial" w:cs="Arial"/>
                <w:b/>
                <w:sz w:val="20"/>
                <w:szCs w:val="20"/>
                <w:lang w:eastAsia="en-GB"/>
              </w:rPr>
              <w:t>Strengths &amp; Limitations</w:t>
            </w:r>
          </w:p>
        </w:tc>
        <w:tc>
          <w:tcPr>
            <w:tcW w:w="14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877D4E0" w14:textId="77777777" w:rsidR="00733403" w:rsidRPr="00DD1B02" w:rsidRDefault="00733403" w:rsidP="000451A0">
            <w:pPr>
              <w:pStyle w:val="Heading2"/>
              <w:rPr>
                <w:rFonts w:ascii="Arial" w:hAnsi="Arial" w:cs="Arial"/>
                <w:b/>
                <w:sz w:val="20"/>
                <w:szCs w:val="20"/>
                <w:lang w:eastAsia="en-GB"/>
              </w:rPr>
            </w:pPr>
            <w:r w:rsidRPr="00DD1B02">
              <w:rPr>
                <w:rFonts w:ascii="Arial" w:hAnsi="Arial" w:cs="Arial"/>
                <w:b/>
                <w:sz w:val="20"/>
                <w:szCs w:val="20"/>
                <w:lang w:eastAsia="en-GB"/>
              </w:rPr>
              <w:t>Main Findings</w:t>
            </w:r>
          </w:p>
        </w:tc>
        <w:tc>
          <w:tcPr>
            <w:tcW w:w="40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2E5656" w14:textId="77777777" w:rsidR="00733403" w:rsidRPr="00DD1B02" w:rsidRDefault="00733403" w:rsidP="000451A0">
            <w:pPr>
              <w:pStyle w:val="Heading2"/>
              <w:rPr>
                <w:rFonts w:ascii="Arial" w:hAnsi="Arial" w:cs="Arial"/>
                <w:b/>
                <w:sz w:val="20"/>
                <w:szCs w:val="20"/>
                <w:lang w:eastAsia="en-GB"/>
              </w:rPr>
            </w:pPr>
            <w:r w:rsidRPr="00DD1B02">
              <w:rPr>
                <w:rFonts w:ascii="Arial" w:hAnsi="Arial" w:cs="Arial"/>
                <w:b/>
                <w:sz w:val="20"/>
                <w:szCs w:val="20"/>
                <w:lang w:eastAsia="en-GB"/>
              </w:rPr>
              <w:t>Theme</w:t>
            </w:r>
          </w:p>
        </w:tc>
      </w:tr>
      <w:tr w:rsidR="00733403" w:rsidRPr="00733403" w14:paraId="5BBA1922" w14:textId="77777777" w:rsidTr="00BA0575">
        <w:trPr>
          <w:divId w:val="235361676"/>
        </w:trPr>
        <w:tc>
          <w:tcPr>
            <w:tcW w:w="5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1D265B"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DeFronzo et al. (2015)</w:t>
            </w:r>
          </w:p>
        </w:tc>
        <w:tc>
          <w:tcPr>
            <w:tcW w:w="5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D555C5C"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Review</w:t>
            </w:r>
          </w:p>
        </w:tc>
        <w:tc>
          <w:tcPr>
            <w:tcW w:w="105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C4ED17"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Comprehensive literature review</w:t>
            </w:r>
          </w:p>
        </w:tc>
        <w:tc>
          <w:tcPr>
            <w:tcW w:w="96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C889FD"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Strong scientific evidence; not primary research</w:t>
            </w:r>
          </w:p>
        </w:tc>
        <w:tc>
          <w:tcPr>
            <w:tcW w:w="14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F626157"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Insulin resistance and beta-cell dysfunction are key mechanisms of T2DM.</w:t>
            </w:r>
          </w:p>
        </w:tc>
        <w:tc>
          <w:tcPr>
            <w:tcW w:w="40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C3D0372"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Theme 1</w:t>
            </w:r>
          </w:p>
        </w:tc>
      </w:tr>
      <w:tr w:rsidR="00733403" w:rsidRPr="00733403" w14:paraId="350EF870" w14:textId="77777777" w:rsidTr="00BA0575">
        <w:trPr>
          <w:divId w:val="235361676"/>
        </w:trPr>
        <w:tc>
          <w:tcPr>
            <w:tcW w:w="5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D631CB3"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bookmarkStart w:id="224" w:name="_Int_AgMYEF4u"/>
            <w:r w:rsidRPr="00DD1B02">
              <w:rPr>
                <w:rFonts w:ascii="Arial" w:hAnsi="Arial" w:cs="Arial"/>
                <w:kern w:val="0"/>
                <w:lang w:eastAsia="en-GB"/>
                <w14:ligatures w14:val="none"/>
              </w:rPr>
              <w:t>Bellary</w:t>
            </w:r>
            <w:bookmarkEnd w:id="224"/>
            <w:r w:rsidRPr="00DD1B02">
              <w:rPr>
                <w:rFonts w:ascii="Arial" w:hAnsi="Arial" w:cs="Arial"/>
                <w:kern w:val="0"/>
                <w:lang w:eastAsia="en-GB"/>
                <w14:ligatures w14:val="none"/>
              </w:rPr>
              <w:t xml:space="preserve"> et al. (2021)</w:t>
            </w:r>
          </w:p>
        </w:tc>
        <w:tc>
          <w:tcPr>
            <w:tcW w:w="5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50AF5C"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Narrative Review</w:t>
            </w:r>
          </w:p>
        </w:tc>
        <w:tc>
          <w:tcPr>
            <w:tcW w:w="105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86415F7"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Review of studies on older adults</w:t>
            </w:r>
          </w:p>
        </w:tc>
        <w:tc>
          <w:tcPr>
            <w:tcW w:w="96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2AB91C0"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Excellent focus on ageing; no original data</w:t>
            </w:r>
          </w:p>
        </w:tc>
        <w:tc>
          <w:tcPr>
            <w:tcW w:w="14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B03579A"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Older adults require individualised diabetes management.</w:t>
            </w:r>
          </w:p>
        </w:tc>
        <w:tc>
          <w:tcPr>
            <w:tcW w:w="40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A449B83"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Theme 1 &amp; 3</w:t>
            </w:r>
          </w:p>
        </w:tc>
      </w:tr>
      <w:tr w:rsidR="00733403" w:rsidRPr="00733403" w14:paraId="1C4C395F" w14:textId="77777777" w:rsidTr="00BA0575">
        <w:trPr>
          <w:divId w:val="235361676"/>
        </w:trPr>
        <w:tc>
          <w:tcPr>
            <w:tcW w:w="5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A5DA04E"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Sinclair et al. (2020)</w:t>
            </w:r>
          </w:p>
        </w:tc>
        <w:tc>
          <w:tcPr>
            <w:tcW w:w="5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4DB8BFB"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International Review</w:t>
            </w:r>
          </w:p>
        </w:tc>
        <w:tc>
          <w:tcPr>
            <w:tcW w:w="105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95E623"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Global evidence synthesis</w:t>
            </w:r>
          </w:p>
        </w:tc>
        <w:tc>
          <w:tcPr>
            <w:tcW w:w="96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2AAB145"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Highly relevant to older adults</w:t>
            </w:r>
          </w:p>
        </w:tc>
        <w:tc>
          <w:tcPr>
            <w:tcW w:w="14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5F74C5"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Frailty and hypoglycaemia require personalised care.</w:t>
            </w:r>
          </w:p>
        </w:tc>
        <w:tc>
          <w:tcPr>
            <w:tcW w:w="40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E0F4EBB"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Theme 2 &amp; 3</w:t>
            </w:r>
          </w:p>
        </w:tc>
      </w:tr>
      <w:tr w:rsidR="00733403" w:rsidRPr="00733403" w14:paraId="5CB91D08" w14:textId="77777777" w:rsidTr="00BA0575">
        <w:trPr>
          <w:divId w:val="235361676"/>
        </w:trPr>
        <w:tc>
          <w:tcPr>
            <w:tcW w:w="5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341B865"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Rawshani et al. (2018)</w:t>
            </w:r>
          </w:p>
        </w:tc>
        <w:tc>
          <w:tcPr>
            <w:tcW w:w="5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B4BCE15"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Cohort Study</w:t>
            </w:r>
          </w:p>
        </w:tc>
        <w:tc>
          <w:tcPr>
            <w:tcW w:w="105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2E0234"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National cohort (approximately 270,000 participants)</w:t>
            </w:r>
          </w:p>
        </w:tc>
        <w:tc>
          <w:tcPr>
            <w:tcW w:w="96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17410F"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Large sample; observational design</w:t>
            </w:r>
          </w:p>
        </w:tc>
        <w:tc>
          <w:tcPr>
            <w:tcW w:w="14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D27B0D1"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Poor glycaemic control increases cardiovascular disease and mortality.</w:t>
            </w:r>
          </w:p>
        </w:tc>
        <w:tc>
          <w:tcPr>
            <w:tcW w:w="40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6B72FFF"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Theme 2</w:t>
            </w:r>
          </w:p>
        </w:tc>
      </w:tr>
      <w:tr w:rsidR="00733403" w:rsidRPr="00733403" w14:paraId="26CEA51B" w14:textId="77777777" w:rsidTr="00BA0575">
        <w:trPr>
          <w:divId w:val="235361676"/>
        </w:trPr>
        <w:tc>
          <w:tcPr>
            <w:tcW w:w="557"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9B9C1D"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Zheng et al. (2018)</w:t>
            </w:r>
          </w:p>
        </w:tc>
        <w:tc>
          <w:tcPr>
            <w:tcW w:w="528"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0C0E711"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Review</w:t>
            </w:r>
          </w:p>
        </w:tc>
        <w:tc>
          <w:tcPr>
            <w:tcW w:w="1052"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36D4B8C" w14:textId="49E14B3A"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 xml:space="preserve">Systematic evidence </w:t>
            </w:r>
            <w:r w:rsidR="00AB2A0A" w:rsidRPr="00DD1B02">
              <w:rPr>
                <w:rFonts w:ascii="Arial" w:hAnsi="Arial" w:cs="Arial"/>
                <w:kern w:val="0"/>
                <w:lang w:eastAsia="en-GB"/>
                <w14:ligatures w14:val="none"/>
              </w:rPr>
              <w:t>reviews</w:t>
            </w:r>
          </w:p>
        </w:tc>
        <w:tc>
          <w:tcPr>
            <w:tcW w:w="96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32F80191"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Strong overview; not UK-specific</w:t>
            </w:r>
          </w:p>
        </w:tc>
        <w:tc>
          <w:tcPr>
            <w:tcW w:w="149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F60EAFE" w14:textId="3D18A792"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 xml:space="preserve">T2DM causes neuropathy, nephropathy, </w:t>
            </w:r>
            <w:r w:rsidR="00B41EC8" w:rsidRPr="00DD1B02">
              <w:rPr>
                <w:rFonts w:ascii="Arial" w:hAnsi="Arial" w:cs="Arial"/>
                <w:kern w:val="0"/>
                <w:lang w:eastAsia="en-GB"/>
                <w14:ligatures w14:val="none"/>
              </w:rPr>
              <w:t>retinopathy,</w:t>
            </w:r>
            <w:r w:rsidRPr="00DD1B02">
              <w:rPr>
                <w:rFonts w:ascii="Arial" w:hAnsi="Arial" w:cs="Arial"/>
                <w:kern w:val="0"/>
                <w:lang w:eastAsia="en-GB"/>
                <w14:ligatures w14:val="none"/>
              </w:rPr>
              <w:t xml:space="preserve"> and cardiovascular disease.</w:t>
            </w:r>
          </w:p>
        </w:tc>
        <w:tc>
          <w:tcPr>
            <w:tcW w:w="403"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2411E0" w14:textId="77777777" w:rsidR="00733403" w:rsidRPr="00DD1B02" w:rsidRDefault="00733403" w:rsidP="00DD1B02">
            <w:pPr>
              <w:spacing w:before="100" w:beforeAutospacing="1" w:after="100" w:afterAutospacing="1"/>
              <w:jc w:val="left"/>
              <w:rPr>
                <w:rFonts w:ascii="Arial" w:hAnsi="Arial" w:cs="Arial"/>
                <w:kern w:val="0"/>
                <w:lang w:eastAsia="en-GB"/>
                <w14:ligatures w14:val="none"/>
              </w:rPr>
            </w:pPr>
            <w:r w:rsidRPr="00DD1B02">
              <w:rPr>
                <w:rFonts w:ascii="Arial" w:hAnsi="Arial" w:cs="Arial"/>
                <w:kern w:val="0"/>
                <w:lang w:eastAsia="en-GB"/>
                <w14:ligatures w14:val="none"/>
              </w:rPr>
              <w:t>Theme 2</w:t>
            </w:r>
          </w:p>
        </w:tc>
      </w:tr>
    </w:tbl>
    <w:p w14:paraId="3D6BBD46" w14:textId="77777777" w:rsidR="00AD7D8C" w:rsidRDefault="00AD7D8C" w:rsidP="00404F85">
      <w:pPr>
        <w:rPr>
          <w:rFonts w:ascii="Arial" w:hAnsi="Arial" w:cs="Arial"/>
        </w:rPr>
      </w:pPr>
    </w:p>
    <w:p w14:paraId="1AB202BC" w14:textId="77777777" w:rsidR="00304F1D" w:rsidRDefault="00304F1D" w:rsidP="00404F85">
      <w:pPr>
        <w:rPr>
          <w:rFonts w:ascii="Arial" w:hAnsi="Arial" w:cs="Arial"/>
        </w:rPr>
      </w:pPr>
    </w:p>
    <w:p w14:paraId="6BE7953E" w14:textId="56AFE15A" w:rsidR="00304F1D" w:rsidRPr="00DD1B02" w:rsidRDefault="00786A13" w:rsidP="00DD1B02">
      <w:pPr>
        <w:pStyle w:val="Heading2"/>
        <w:divId w:val="1465736908"/>
        <w:rPr>
          <w:rFonts w:ascii="Arial" w:hAnsi="Arial" w:cs="Arial"/>
          <w:b/>
          <w:sz w:val="32"/>
          <w:szCs w:val="32"/>
          <w:lang w:eastAsia="en-GB"/>
        </w:rPr>
      </w:pPr>
      <w:r>
        <w:rPr>
          <w:rFonts w:ascii="Arial" w:hAnsi="Arial" w:cs="Arial"/>
          <w:b/>
          <w:bCs/>
          <w:sz w:val="32"/>
          <w:szCs w:val="32"/>
          <w:lang w:eastAsia="en-GB"/>
        </w:rPr>
        <w:t>A</w:t>
      </w:r>
      <w:r w:rsidR="00922525">
        <w:rPr>
          <w:rFonts w:ascii="Arial" w:hAnsi="Arial" w:cs="Arial"/>
          <w:b/>
          <w:bCs/>
          <w:sz w:val="32"/>
          <w:szCs w:val="32"/>
          <w:lang w:eastAsia="en-GB"/>
        </w:rPr>
        <w:t xml:space="preserve">ppendix </w:t>
      </w:r>
      <w:r w:rsidR="005A0F1C">
        <w:rPr>
          <w:rFonts w:ascii="Arial" w:hAnsi="Arial" w:cs="Arial"/>
          <w:b/>
          <w:bCs/>
          <w:sz w:val="32"/>
          <w:szCs w:val="32"/>
          <w:lang w:eastAsia="en-GB"/>
        </w:rPr>
        <w:t>C-</w:t>
      </w:r>
      <w:r w:rsidR="00346BAF">
        <w:rPr>
          <w:rFonts w:ascii="Arial" w:hAnsi="Arial" w:cs="Arial"/>
          <w:b/>
          <w:bCs/>
          <w:sz w:val="32"/>
          <w:szCs w:val="32"/>
          <w:lang w:eastAsia="en-GB"/>
        </w:rPr>
        <w:t xml:space="preserve"> </w:t>
      </w:r>
      <w:r w:rsidR="00304F1D" w:rsidRPr="00DD1B02">
        <w:rPr>
          <w:rFonts w:ascii="Arial" w:hAnsi="Arial" w:cs="Arial"/>
          <w:b/>
          <w:bCs/>
          <w:sz w:val="32"/>
          <w:szCs w:val="32"/>
          <w:lang w:eastAsia="en-GB"/>
        </w:rPr>
        <w:t>Literature Search Log</w:t>
      </w:r>
    </w:p>
    <w:p w14:paraId="1BCB0A7F" w14:textId="77777777" w:rsidR="00304F1D" w:rsidRDefault="00304F1D" w:rsidP="00404F85">
      <w:pPr>
        <w:rPr>
          <w:rFonts w:ascii="Arial" w:hAnsi="Arial" w:cs="Arial"/>
        </w:rPr>
      </w:pP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firstRow="1" w:lastRow="0" w:firstColumn="1" w:lastColumn="0" w:noHBand="0" w:noVBand="1"/>
      </w:tblPr>
      <w:tblGrid>
        <w:gridCol w:w="6887"/>
        <w:gridCol w:w="2123"/>
      </w:tblGrid>
      <w:tr w:rsidR="00AB2A0A" w:rsidRPr="00AB2A0A" w14:paraId="0AF9C014" w14:textId="77777777">
        <w:trPr>
          <w:divId w:val="2038264096"/>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991CEA9" w14:textId="77777777" w:rsidR="00AB2A0A" w:rsidRPr="00AB2A0A" w:rsidRDefault="00AB2A0A" w:rsidP="00DD1B02">
            <w:pPr>
              <w:pStyle w:val="Heading2"/>
              <w:rPr>
                <w:rFonts w:ascii="Times New Roman" w:hAnsi="Times New Roman" w:cs="Times New Roman"/>
                <w:b/>
                <w:bCs/>
                <w:kern w:val="0"/>
                <w:szCs w:val="24"/>
                <w:lang w:eastAsia="en-GB"/>
                <w14:ligatures w14:val="none"/>
              </w:rPr>
            </w:pPr>
            <w:r w:rsidRPr="00AB2A0A">
              <w:rPr>
                <w:rFonts w:ascii="Arial" w:hAnsi="Arial" w:cs="Arial"/>
                <w:b/>
                <w:sz w:val="32"/>
                <w:szCs w:val="32"/>
                <w:lang w:eastAsia="en-GB"/>
              </w:rPr>
              <w:t>Stage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9B1F467" w14:textId="77777777" w:rsidR="00AB2A0A" w:rsidRPr="00AB2A0A" w:rsidRDefault="00AB2A0A" w:rsidP="00DD1B02">
            <w:pPr>
              <w:pStyle w:val="Heading2"/>
              <w:rPr>
                <w:rFonts w:ascii="Times New Roman" w:hAnsi="Times New Roman" w:cs="Times New Roman"/>
                <w:b/>
                <w:bCs/>
                <w:kern w:val="0"/>
                <w:szCs w:val="24"/>
                <w:lang w:eastAsia="en-GB"/>
                <w14:ligatures w14:val="none"/>
              </w:rPr>
            </w:pPr>
            <w:r w:rsidRPr="00AB2A0A">
              <w:rPr>
                <w:rFonts w:ascii="Arial" w:hAnsi="Arial" w:cs="Arial"/>
                <w:b/>
                <w:sz w:val="32"/>
                <w:szCs w:val="32"/>
                <w:lang w:eastAsia="en-GB"/>
              </w:rPr>
              <w:t>Number</w:t>
            </w:r>
          </w:p>
        </w:tc>
      </w:tr>
      <w:tr w:rsidR="00AB2A0A" w:rsidRPr="00AB2A0A" w14:paraId="2F0F839F" w14:textId="77777777">
        <w:trPr>
          <w:divId w:val="20382640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A4A7CA2"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 xml:space="preserve">Records </w:t>
            </w:r>
            <w:bookmarkStart w:id="225" w:name="_Int_DvTjllXC"/>
            <w:r w:rsidRPr="00AB2A0A">
              <w:rPr>
                <w:rFonts w:ascii="Arial" w:hAnsi="Arial" w:cs="Arial"/>
                <w:kern w:val="0"/>
                <w:lang w:eastAsia="en-GB"/>
                <w14:ligatures w14:val="none"/>
              </w:rPr>
              <w:t>identified</w:t>
            </w:r>
            <w:bookmarkEnd w:id="225"/>
            <w:r w:rsidRPr="00AB2A0A">
              <w:rPr>
                <w:rFonts w:ascii="Arial" w:hAnsi="Arial" w:cs="Arial"/>
                <w:kern w:val="0"/>
                <w:lang w:eastAsia="en-GB"/>
                <w14:ligatures w14:val="none"/>
              </w:rPr>
              <w:t xml:space="preserve"> through database searching</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69C23A1"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3,182</w:t>
            </w:r>
          </w:p>
        </w:tc>
      </w:tr>
      <w:tr w:rsidR="00AB2A0A" w:rsidRPr="00AB2A0A" w14:paraId="406A368E" w14:textId="77777777">
        <w:trPr>
          <w:divId w:val="20382640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1394415"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Records after removal of duplicates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F57A87"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2,964</w:t>
            </w:r>
          </w:p>
        </w:tc>
      </w:tr>
      <w:tr w:rsidR="00AB2A0A" w:rsidRPr="00AB2A0A" w14:paraId="6CDBA961" w14:textId="77777777">
        <w:trPr>
          <w:divId w:val="20382640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5BBBCB1"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Records screened by title and abstract</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429F07"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69</w:t>
            </w:r>
          </w:p>
        </w:tc>
      </w:tr>
      <w:tr w:rsidR="00AB2A0A" w:rsidRPr="00AB2A0A" w14:paraId="46921A84" w14:textId="77777777">
        <w:trPr>
          <w:divId w:val="20382640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1FDE646"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Full-text articles assessed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477E4D2"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42</w:t>
            </w:r>
          </w:p>
        </w:tc>
      </w:tr>
      <w:tr w:rsidR="00AB2A0A" w:rsidRPr="00AB2A0A" w14:paraId="5ED032D0" w14:textId="77777777">
        <w:trPr>
          <w:divId w:val="20382640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E1005B4"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Articles tracked using the Source Tracking Table</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7B7BCBA"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10</w:t>
            </w:r>
          </w:p>
        </w:tc>
      </w:tr>
      <w:tr w:rsidR="00AB2A0A" w:rsidRPr="00AB2A0A" w14:paraId="52EEA36B" w14:textId="77777777">
        <w:trPr>
          <w:divId w:val="2038264096"/>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43A5084"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kern w:val="0"/>
                <w:lang w:eastAsia="en-GB"/>
                <w14:ligatures w14:val="none"/>
              </w:rPr>
              <w:t>Articles selected for detailed thematic analysis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C2FDAED" w14:textId="77777777" w:rsidR="00AB2A0A" w:rsidRPr="00AB2A0A" w:rsidRDefault="00AB2A0A" w:rsidP="00DD1B02">
            <w:pPr>
              <w:spacing w:before="100" w:beforeAutospacing="1" w:after="100" w:afterAutospacing="1"/>
              <w:jc w:val="left"/>
              <w:rPr>
                <w:rFonts w:ascii="Arial" w:hAnsi="Arial" w:cs="Arial"/>
                <w:kern w:val="0"/>
                <w:lang w:eastAsia="en-GB"/>
                <w14:ligatures w14:val="none"/>
              </w:rPr>
            </w:pPr>
            <w:r w:rsidRPr="00AB2A0A">
              <w:rPr>
                <w:rFonts w:ascii="Arial" w:hAnsi="Arial" w:cs="Arial"/>
                <w:b/>
                <w:kern w:val="0"/>
                <w:lang w:eastAsia="en-GB"/>
                <w14:ligatures w14:val="none"/>
              </w:rPr>
              <w:t>5</w:t>
            </w:r>
          </w:p>
        </w:tc>
      </w:tr>
    </w:tbl>
    <w:p w14:paraId="2DEDF2D3" w14:textId="77777777" w:rsidR="00AC3547" w:rsidRDefault="00AC3547" w:rsidP="00404F85">
      <w:pPr>
        <w:rPr>
          <w:rFonts w:ascii="Arial" w:hAnsi="Arial" w:cs="Arial"/>
        </w:rPr>
      </w:pPr>
    </w:p>
    <w:p w14:paraId="020BEF49" w14:textId="77777777" w:rsidR="00DD1B02" w:rsidRDefault="00DD1B02" w:rsidP="00404F85">
      <w:pPr>
        <w:rPr>
          <w:rFonts w:ascii="Arial" w:hAnsi="Arial" w:cs="Arial"/>
        </w:rPr>
      </w:pPr>
    </w:p>
    <w:p w14:paraId="31A75C7C" w14:textId="77777777" w:rsidR="00DD1B02" w:rsidRDefault="00DD1B02" w:rsidP="00404F85">
      <w:pPr>
        <w:rPr>
          <w:rFonts w:ascii="Arial" w:hAnsi="Arial" w:cs="Arial"/>
        </w:rPr>
      </w:pPr>
    </w:p>
    <w:p w14:paraId="45C143B3" w14:textId="77777777" w:rsidR="00DD1B02" w:rsidRDefault="00DD1B02" w:rsidP="00404F85">
      <w:pPr>
        <w:rPr>
          <w:rFonts w:ascii="Arial" w:hAnsi="Arial" w:cs="Arial"/>
        </w:rPr>
      </w:pPr>
    </w:p>
    <w:p w14:paraId="2D00F429" w14:textId="77777777" w:rsidR="002F16E8" w:rsidRDefault="00B862CE">
      <w:pPr>
        <w:pStyle w:val="p1"/>
        <w:divId w:val="1637294611"/>
        <w:rPr>
          <w:rStyle w:val="Heading2Char"/>
          <w:rFonts w:ascii="Arial" w:hAnsi="Arial" w:cs="Arial"/>
          <w:b/>
          <w:bCs/>
          <w:sz w:val="32"/>
          <w:szCs w:val="32"/>
        </w:rPr>
      </w:pPr>
      <w:r w:rsidRPr="00DD1B02">
        <w:rPr>
          <w:rStyle w:val="Heading2Char"/>
          <w:rFonts w:ascii="Arial" w:hAnsi="Arial" w:cs="Arial"/>
          <w:b/>
          <w:sz w:val="32"/>
          <w:szCs w:val="32"/>
        </w:rPr>
        <w:t xml:space="preserve">Search </w:t>
      </w:r>
      <w:r>
        <w:rPr>
          <w:rStyle w:val="Heading2Char"/>
          <w:rFonts w:ascii="Arial" w:hAnsi="Arial" w:cs="Arial"/>
          <w:b/>
          <w:sz w:val="32"/>
          <w:szCs w:val="32"/>
        </w:rPr>
        <w:t>process:</w:t>
      </w:r>
    </w:p>
    <w:p w14:paraId="6339116D" w14:textId="77777777" w:rsidR="00B65720" w:rsidRDefault="00B862CE" w:rsidP="0036167E">
      <w:pPr>
        <w:pStyle w:val="p1"/>
        <w:spacing w:line="360" w:lineRule="auto"/>
        <w:divId w:val="1637294611"/>
        <w:rPr>
          <w:rStyle w:val="s2"/>
          <w:rFonts w:ascii="Arial" w:hAnsi="Arial" w:cs="Arial"/>
          <w:sz w:val="22"/>
          <w:szCs w:val="22"/>
        </w:rPr>
      </w:pPr>
      <w:r w:rsidRPr="00DD1B02">
        <w:rPr>
          <w:rStyle w:val="Heading2Char"/>
          <w:rFonts w:ascii="Arial" w:hAnsi="Arial" w:cs="Arial"/>
          <w:b/>
          <w:bCs/>
          <w:sz w:val="32"/>
          <w:szCs w:val="32"/>
        </w:rPr>
        <w:br/>
      </w:r>
      <w:r w:rsidRPr="002F16E8">
        <w:rPr>
          <w:rStyle w:val="s2"/>
          <w:rFonts w:ascii="Arial" w:hAnsi="Arial" w:cs="Arial"/>
          <w:sz w:val="22"/>
          <w:szCs w:val="22"/>
        </w:rPr>
        <w:t xml:space="preserve">A broad literature search </w:t>
      </w:r>
      <w:bookmarkStart w:id="226" w:name="_Int_rh8sUUKe"/>
      <w:r w:rsidRPr="002F16E8">
        <w:rPr>
          <w:rStyle w:val="s2"/>
          <w:rFonts w:ascii="Arial" w:hAnsi="Arial" w:cs="Arial"/>
          <w:sz w:val="22"/>
          <w:szCs w:val="22"/>
        </w:rPr>
        <w:t>identified</w:t>
      </w:r>
      <w:bookmarkEnd w:id="226"/>
      <w:r w:rsidRPr="002F16E8">
        <w:rPr>
          <w:rStyle w:val="s2"/>
          <w:rFonts w:ascii="Arial" w:hAnsi="Arial" w:cs="Arial"/>
          <w:sz w:val="22"/>
          <w:szCs w:val="22"/>
        </w:rPr>
        <w:t xml:space="preserve"> 3,182 records. After screening and eligibility assessment, 42 articles </w:t>
      </w:r>
      <w:bookmarkStart w:id="227" w:name="_Int_67ohmEZl"/>
      <w:r w:rsidRPr="002F16E8">
        <w:rPr>
          <w:rStyle w:val="s2"/>
          <w:rFonts w:ascii="Arial" w:hAnsi="Arial" w:cs="Arial"/>
          <w:sz w:val="22"/>
          <w:szCs w:val="22"/>
        </w:rPr>
        <w:t>were reviewed</w:t>
      </w:r>
      <w:bookmarkEnd w:id="227"/>
      <w:r w:rsidRPr="002F16E8">
        <w:rPr>
          <w:rStyle w:val="s2"/>
          <w:rFonts w:ascii="Arial" w:hAnsi="Arial" w:cs="Arial"/>
          <w:sz w:val="22"/>
          <w:szCs w:val="22"/>
        </w:rPr>
        <w:t xml:space="preserve"> in full. Ten key studies </w:t>
      </w:r>
      <w:bookmarkStart w:id="228" w:name="_Int_ctIMMrOU"/>
      <w:r w:rsidRPr="002F16E8">
        <w:rPr>
          <w:rStyle w:val="s2"/>
          <w:rFonts w:ascii="Arial" w:hAnsi="Arial" w:cs="Arial"/>
          <w:sz w:val="22"/>
          <w:szCs w:val="22"/>
        </w:rPr>
        <w:t>were tracked</w:t>
      </w:r>
      <w:bookmarkEnd w:id="228"/>
      <w:r w:rsidRPr="002F16E8">
        <w:rPr>
          <w:rStyle w:val="s2"/>
          <w:rFonts w:ascii="Arial" w:hAnsi="Arial" w:cs="Arial"/>
          <w:sz w:val="22"/>
          <w:szCs w:val="22"/>
        </w:rPr>
        <w:t xml:space="preserve"> using the Source Tracking Table. Following CRAAP evaluation, the five highest-quality and most relevant studies </w:t>
      </w:r>
      <w:bookmarkStart w:id="229" w:name="_Int_hgUGcBHM"/>
      <w:r w:rsidRPr="002F16E8">
        <w:rPr>
          <w:rStyle w:val="s2"/>
          <w:rFonts w:ascii="Arial" w:hAnsi="Arial" w:cs="Arial"/>
          <w:sz w:val="22"/>
          <w:szCs w:val="22"/>
        </w:rPr>
        <w:t>were selected</w:t>
      </w:r>
      <w:bookmarkEnd w:id="229"/>
      <w:r w:rsidRPr="002F16E8">
        <w:rPr>
          <w:rStyle w:val="s2"/>
          <w:rFonts w:ascii="Arial" w:hAnsi="Arial" w:cs="Arial"/>
          <w:sz w:val="22"/>
          <w:szCs w:val="22"/>
        </w:rPr>
        <w:t xml:space="preserve"> for detailed thematic analysis and used within the “Examples from the Articles” sections of Chapter 4</w:t>
      </w:r>
    </w:p>
    <w:p w14:paraId="49B017FC" w14:textId="3D7C4392" w:rsidR="009226E7" w:rsidRDefault="004D3BFB" w:rsidP="0036167E">
      <w:pPr>
        <w:pStyle w:val="p1"/>
        <w:spacing w:line="360" w:lineRule="auto"/>
        <w:divId w:val="156961263"/>
        <w:rPr>
          <w:rFonts w:ascii="Arial" w:eastAsiaTheme="majorEastAsia" w:hAnsi="Arial" w:cs="Arial"/>
          <w:b/>
          <w:color w:val="2F5496" w:themeColor="accent1" w:themeShade="BF"/>
          <w:sz w:val="22"/>
          <w:szCs w:val="22"/>
        </w:rPr>
      </w:pPr>
      <w:r w:rsidRPr="004B082F">
        <w:rPr>
          <w:rFonts w:ascii="Arial" w:hAnsi="Arial" w:cs="Arial"/>
          <w:b/>
          <w:bCs/>
          <w:sz w:val="32"/>
          <w:szCs w:val="32"/>
          <w:lang w:val="it-IT"/>
        </w:rPr>
        <w:br/>
      </w:r>
    </w:p>
    <w:p w14:paraId="40FEA5A5" w14:textId="77777777" w:rsidR="0062100E" w:rsidRPr="0062100E" w:rsidRDefault="0062100E" w:rsidP="00964038">
      <w:pPr>
        <w:pStyle w:val="Heading2"/>
        <w:divId w:val="1826820583"/>
        <w:rPr>
          <w:rFonts w:ascii="Arial" w:hAnsi="Arial" w:cs="Arial"/>
          <w:b/>
          <w:sz w:val="32"/>
          <w:szCs w:val="32"/>
          <w:lang w:eastAsia="en-GB"/>
        </w:rPr>
      </w:pPr>
      <w:r w:rsidRPr="0062100E">
        <w:rPr>
          <w:rFonts w:ascii="Arial" w:hAnsi="Arial" w:cs="Arial"/>
          <w:b/>
          <w:sz w:val="32"/>
          <w:szCs w:val="32"/>
          <w:lang w:eastAsia="en-GB"/>
        </w:rPr>
        <w:t>Appendix F – CRAAP Test Evaluation</w:t>
      </w:r>
    </w:p>
    <w:p w14:paraId="5C57D311" w14:textId="1947678A" w:rsidR="00301E64" w:rsidRPr="00E3533D" w:rsidRDefault="0062100E" w:rsidP="00E3533D">
      <w:pPr>
        <w:spacing w:before="100" w:beforeAutospacing="1" w:after="100" w:afterAutospacing="1" w:line="240" w:lineRule="auto"/>
        <w:jc w:val="left"/>
        <w:divId w:val="1826820583"/>
        <w:rPr>
          <w:rFonts w:ascii="Times New Roman" w:hAnsi="Times New Roman" w:cs="Times New Roman"/>
          <w:kern w:val="0"/>
          <w:sz w:val="24"/>
          <w:szCs w:val="24"/>
          <w:lang w:eastAsia="en-GB"/>
          <w14:ligatures w14:val="none"/>
        </w:rPr>
      </w:pPr>
      <w:r w:rsidRPr="0062100E">
        <w:rPr>
          <w:rFonts w:ascii="Arial" w:hAnsi="Arial" w:cs="Arial"/>
          <w:b/>
          <w:sz w:val="32"/>
          <w:szCs w:val="32"/>
          <w:lang w:eastAsia="en-GB"/>
        </w:rPr>
        <w:t>Article Assessed:</w:t>
      </w:r>
    </w:p>
    <w:p w14:paraId="2313F82C" w14:textId="25124A10" w:rsidR="004D3BFB" w:rsidRDefault="004D3BFB" w:rsidP="009226E7">
      <w:pPr>
        <w:divId w:val="156961263"/>
        <w:rPr>
          <w:rFonts w:ascii="Arial" w:hAnsi="Arial" w:cs="Arial"/>
        </w:rPr>
      </w:pPr>
      <w:r w:rsidRPr="004B082F">
        <w:rPr>
          <w:rFonts w:ascii="Arial" w:hAnsi="Arial" w:cs="Arial"/>
          <w:lang w:val="it-IT"/>
        </w:rPr>
        <w:t xml:space="preserve">Rawshani, A. et al. </w:t>
      </w:r>
      <w:r w:rsidRPr="009226E7">
        <w:rPr>
          <w:rFonts w:ascii="Arial" w:hAnsi="Arial" w:cs="Arial"/>
        </w:rPr>
        <w:t>(2018) ‘Risk factors, mortality and cardiovascular outcomes in patients with type 2 diabetes’, New England Journal of Medicine, 379(7), pp. 633–644.</w:t>
      </w:r>
    </w:p>
    <w:p w14:paraId="7CE45912" w14:textId="77777777" w:rsidR="009226E7" w:rsidRPr="009226E7" w:rsidRDefault="009226E7" w:rsidP="009226E7">
      <w:pPr>
        <w:divId w:val="156961263"/>
        <w:rPr>
          <w:rFonts w:ascii="Arial" w:hAnsi="Arial" w:cs="Arial"/>
        </w:rPr>
      </w:pPr>
    </w:p>
    <w:tbl>
      <w:tblPr>
        <w:tblW w:w="5162" w:type="pct"/>
        <w:tblInd w:w="-292" w:type="dxa"/>
        <w:tblBorders>
          <w:top w:val="single" w:sz="6" w:space="0" w:color="auto"/>
          <w:left w:val="single" w:sz="6" w:space="0" w:color="auto"/>
          <w:bottom w:val="single" w:sz="6" w:space="0" w:color="auto"/>
          <w:right w:val="single" w:sz="6" w:space="0" w:color="auto"/>
        </w:tblBorders>
        <w:tblLayout w:type="fixed"/>
        <w:tblCellMar>
          <w:top w:w="160" w:type="dxa"/>
          <w:left w:w="160" w:type="dxa"/>
          <w:bottom w:w="160" w:type="dxa"/>
          <w:right w:w="160" w:type="dxa"/>
        </w:tblCellMar>
        <w:tblLook w:val="04A0" w:firstRow="1" w:lastRow="0" w:firstColumn="1" w:lastColumn="0" w:noHBand="0" w:noVBand="1"/>
      </w:tblPr>
      <w:tblGrid>
        <w:gridCol w:w="1702"/>
        <w:gridCol w:w="7600"/>
      </w:tblGrid>
      <w:tr w:rsidR="00EE67E5" w:rsidRPr="00EE67E5" w14:paraId="34D28DC5" w14:textId="77777777" w:rsidTr="009226E7">
        <w:trPr>
          <w:divId w:val="1231884212"/>
          <w:trHeight w:val="2012"/>
          <w:tblHeader/>
        </w:trPr>
        <w:tc>
          <w:tcPr>
            <w:tcW w:w="91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73A44688" w14:textId="77777777" w:rsidR="00EE67E5" w:rsidRPr="009226E7" w:rsidRDefault="00EE67E5" w:rsidP="009226E7">
            <w:pPr>
              <w:pStyle w:val="Heading2"/>
              <w:rPr>
                <w:rFonts w:ascii="Arial" w:hAnsi="Arial" w:cs="Arial"/>
                <w:b/>
                <w:sz w:val="32"/>
                <w:szCs w:val="32"/>
                <w:lang w:eastAsia="en-GB"/>
              </w:rPr>
            </w:pPr>
            <w:r w:rsidRPr="009226E7">
              <w:rPr>
                <w:rFonts w:ascii="Arial" w:hAnsi="Arial" w:cs="Arial"/>
                <w:b/>
                <w:sz w:val="32"/>
                <w:szCs w:val="32"/>
                <w:lang w:eastAsia="en-GB"/>
              </w:rPr>
              <w:t>CRAAP Element</w:t>
            </w:r>
          </w:p>
        </w:tc>
        <w:tc>
          <w:tcPr>
            <w:tcW w:w="408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032B83C" w14:textId="77777777" w:rsidR="00EE67E5" w:rsidRPr="009226E7" w:rsidRDefault="00EE67E5" w:rsidP="009226E7">
            <w:pPr>
              <w:pStyle w:val="Heading2"/>
              <w:rPr>
                <w:rFonts w:ascii="Arial" w:hAnsi="Arial" w:cs="Arial"/>
                <w:b/>
                <w:sz w:val="32"/>
                <w:szCs w:val="32"/>
                <w:lang w:eastAsia="en-GB"/>
              </w:rPr>
            </w:pPr>
            <w:r w:rsidRPr="009226E7">
              <w:rPr>
                <w:rFonts w:ascii="Arial" w:hAnsi="Arial" w:cs="Arial"/>
                <w:b/>
                <w:sz w:val="32"/>
                <w:szCs w:val="32"/>
                <w:lang w:eastAsia="en-GB"/>
              </w:rPr>
              <w:t>Assessment</w:t>
            </w:r>
          </w:p>
        </w:tc>
      </w:tr>
      <w:tr w:rsidR="00EE67E5" w:rsidRPr="00EE67E5" w14:paraId="0E454D4E" w14:textId="77777777" w:rsidTr="009226E7">
        <w:trPr>
          <w:divId w:val="1231884212"/>
        </w:trPr>
        <w:tc>
          <w:tcPr>
            <w:tcW w:w="91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C958C59"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b/>
                <w:kern w:val="0"/>
                <w:lang w:eastAsia="en-GB"/>
                <w14:ligatures w14:val="none"/>
              </w:rPr>
              <w:t>Currency</w:t>
            </w:r>
          </w:p>
        </w:tc>
        <w:tc>
          <w:tcPr>
            <w:tcW w:w="408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35E2A9"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kern w:val="0"/>
                <w:lang w:eastAsia="en-GB"/>
                <w14:ligatures w14:val="none"/>
              </w:rPr>
              <w:t xml:space="preserve">Published in 2018 and </w:t>
            </w:r>
            <w:bookmarkStart w:id="230" w:name="_Int_97qlSb1h"/>
            <w:r w:rsidRPr="009226E7">
              <w:rPr>
                <w:rFonts w:ascii="Arial" w:hAnsi="Arial" w:cs="Arial"/>
                <w:kern w:val="0"/>
                <w:lang w:eastAsia="en-GB"/>
                <w14:ligatures w14:val="none"/>
              </w:rPr>
              <w:t>remains</w:t>
            </w:r>
            <w:bookmarkEnd w:id="230"/>
            <w:r w:rsidRPr="009226E7">
              <w:rPr>
                <w:rFonts w:ascii="Arial" w:hAnsi="Arial" w:cs="Arial"/>
                <w:kern w:val="0"/>
                <w:lang w:eastAsia="en-GB"/>
                <w14:ligatures w14:val="none"/>
              </w:rPr>
              <w:t xml:space="preserve"> relevant to current research on long-term outcomes, mortality and cardiovascular risks associated with Type 2 Diabetes Mellitus.</w:t>
            </w:r>
          </w:p>
        </w:tc>
      </w:tr>
      <w:tr w:rsidR="00EE67E5" w:rsidRPr="00EE67E5" w14:paraId="4EC7E032" w14:textId="77777777" w:rsidTr="009226E7">
        <w:trPr>
          <w:divId w:val="1231884212"/>
        </w:trPr>
        <w:tc>
          <w:tcPr>
            <w:tcW w:w="91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3B36FFF"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b/>
                <w:kern w:val="0"/>
                <w:lang w:eastAsia="en-GB"/>
                <w14:ligatures w14:val="none"/>
              </w:rPr>
              <w:t>Relevance</w:t>
            </w:r>
          </w:p>
        </w:tc>
        <w:tc>
          <w:tcPr>
            <w:tcW w:w="408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5DC4820" w14:textId="4A2CB2F2"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kern w:val="0"/>
                <w:lang w:eastAsia="en-GB"/>
                <w14:ligatures w14:val="none"/>
              </w:rPr>
              <w:t xml:space="preserve">Directly examines cardiovascular outcomes, </w:t>
            </w:r>
            <w:r w:rsidR="000A3013" w:rsidRPr="009226E7">
              <w:rPr>
                <w:rFonts w:ascii="Arial" w:hAnsi="Arial" w:cs="Arial"/>
                <w:kern w:val="0"/>
                <w:lang w:eastAsia="en-GB"/>
                <w14:ligatures w14:val="none"/>
              </w:rPr>
              <w:t>mortality,</w:t>
            </w:r>
            <w:r w:rsidRPr="009226E7">
              <w:rPr>
                <w:rFonts w:ascii="Arial" w:hAnsi="Arial" w:cs="Arial"/>
                <w:kern w:val="0"/>
                <w:lang w:eastAsia="en-GB"/>
                <w14:ligatures w14:val="none"/>
              </w:rPr>
              <w:t xml:space="preserve"> and risk factors in people with Type 2 Diabetes, supporting the dissertation </w:t>
            </w:r>
            <w:bookmarkStart w:id="231" w:name="_Int_FOE7j8vv"/>
            <w:r w:rsidRPr="009226E7">
              <w:rPr>
                <w:rFonts w:ascii="Arial" w:hAnsi="Arial" w:cs="Arial"/>
                <w:kern w:val="0"/>
                <w:lang w:eastAsia="en-GB"/>
                <w14:ligatures w14:val="none"/>
              </w:rPr>
              <w:t>objective</w:t>
            </w:r>
            <w:bookmarkEnd w:id="231"/>
            <w:r w:rsidRPr="009226E7">
              <w:rPr>
                <w:rFonts w:ascii="Arial" w:hAnsi="Arial" w:cs="Arial"/>
                <w:kern w:val="0"/>
                <w:lang w:eastAsia="en-GB"/>
                <w14:ligatures w14:val="none"/>
              </w:rPr>
              <w:t xml:space="preserve"> on long-term health impacts.</w:t>
            </w:r>
          </w:p>
        </w:tc>
      </w:tr>
      <w:tr w:rsidR="00EE67E5" w:rsidRPr="00EE67E5" w14:paraId="1E34899E" w14:textId="77777777" w:rsidTr="009226E7">
        <w:trPr>
          <w:divId w:val="1231884212"/>
        </w:trPr>
        <w:tc>
          <w:tcPr>
            <w:tcW w:w="91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4F0BF92"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b/>
                <w:kern w:val="0"/>
                <w:lang w:eastAsia="en-GB"/>
                <w14:ligatures w14:val="none"/>
              </w:rPr>
              <w:t>Authority</w:t>
            </w:r>
          </w:p>
        </w:tc>
        <w:tc>
          <w:tcPr>
            <w:tcW w:w="408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02F222FA"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kern w:val="0"/>
                <w:lang w:eastAsia="en-GB"/>
                <w14:ligatures w14:val="none"/>
              </w:rPr>
              <w:t xml:space="preserve">Published in the </w:t>
            </w:r>
            <w:r w:rsidRPr="009226E7">
              <w:rPr>
                <w:rFonts w:ascii="Arial" w:hAnsi="Arial" w:cs="Arial"/>
                <w:i/>
                <w:kern w:val="0"/>
                <w:lang w:eastAsia="en-GB"/>
                <w14:ligatures w14:val="none"/>
              </w:rPr>
              <w:t>New England Journal of Medicine</w:t>
            </w:r>
            <w:r w:rsidRPr="009226E7">
              <w:rPr>
                <w:rFonts w:ascii="Arial" w:hAnsi="Arial" w:cs="Arial"/>
                <w:kern w:val="0"/>
                <w:lang w:eastAsia="en-GB"/>
                <w14:ligatures w14:val="none"/>
              </w:rPr>
              <w:t xml:space="preserve">, a highly respected peer-reviewed medical journal. The authors </w:t>
            </w:r>
            <w:bookmarkStart w:id="232" w:name="_Int_AuIpsvvL"/>
            <w:r w:rsidRPr="009226E7">
              <w:rPr>
                <w:rFonts w:ascii="Arial" w:hAnsi="Arial" w:cs="Arial"/>
                <w:kern w:val="0"/>
                <w:lang w:eastAsia="en-GB"/>
                <w14:ligatures w14:val="none"/>
              </w:rPr>
              <w:t>are recognised</w:t>
            </w:r>
            <w:bookmarkEnd w:id="232"/>
            <w:r w:rsidRPr="009226E7">
              <w:rPr>
                <w:rFonts w:ascii="Arial" w:hAnsi="Arial" w:cs="Arial"/>
                <w:kern w:val="0"/>
                <w:lang w:eastAsia="en-GB"/>
                <w14:ligatures w14:val="none"/>
              </w:rPr>
              <w:t xml:space="preserve"> researchers in diabetes and cardiovascular medicine.</w:t>
            </w:r>
          </w:p>
        </w:tc>
      </w:tr>
      <w:tr w:rsidR="00EE67E5" w:rsidRPr="00EE67E5" w14:paraId="7CCFE7C6" w14:textId="77777777" w:rsidTr="009226E7">
        <w:trPr>
          <w:divId w:val="1231884212"/>
        </w:trPr>
        <w:tc>
          <w:tcPr>
            <w:tcW w:w="91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6090401A" w14:textId="77777777" w:rsidR="00EE67E5" w:rsidRPr="009226E7" w:rsidRDefault="00EE67E5" w:rsidP="00EE67E5">
            <w:pPr>
              <w:spacing w:before="100" w:beforeAutospacing="1" w:after="100" w:afterAutospacing="1" w:line="240" w:lineRule="auto"/>
              <w:jc w:val="left"/>
              <w:rPr>
                <w:rFonts w:ascii="Arial" w:hAnsi="Arial" w:cs="Arial"/>
                <w:b/>
                <w:kern w:val="0"/>
                <w:lang w:eastAsia="en-GB"/>
                <w14:ligatures w14:val="none"/>
              </w:rPr>
            </w:pPr>
            <w:r w:rsidRPr="009226E7">
              <w:rPr>
                <w:rFonts w:ascii="Arial" w:hAnsi="Arial" w:cs="Arial"/>
                <w:b/>
                <w:kern w:val="0"/>
                <w:lang w:eastAsia="en-GB"/>
                <w14:ligatures w14:val="none"/>
              </w:rPr>
              <w:t>Accuracy</w:t>
            </w:r>
          </w:p>
        </w:tc>
        <w:tc>
          <w:tcPr>
            <w:tcW w:w="408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18F7FDCA"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kern w:val="0"/>
                <w:lang w:eastAsia="en-GB"/>
                <w14:ligatures w14:val="none"/>
              </w:rPr>
              <w:t>Based on a large national cohort study involving approximately 270,000 participants. The study uses robust statistical methods and provides reliable evidence.</w:t>
            </w:r>
          </w:p>
        </w:tc>
      </w:tr>
      <w:tr w:rsidR="00EE67E5" w:rsidRPr="00EE67E5" w14:paraId="2B9424CA" w14:textId="77777777" w:rsidTr="009226E7">
        <w:trPr>
          <w:divId w:val="1231884212"/>
        </w:trPr>
        <w:tc>
          <w:tcPr>
            <w:tcW w:w="91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4EFB9C60" w14:textId="77777777" w:rsidR="00EE67E5" w:rsidRPr="009226E7" w:rsidRDefault="00EE67E5" w:rsidP="00EE67E5">
            <w:pPr>
              <w:spacing w:before="100" w:beforeAutospacing="1" w:after="100" w:afterAutospacing="1" w:line="240" w:lineRule="auto"/>
              <w:jc w:val="left"/>
              <w:rPr>
                <w:rFonts w:ascii="Arial" w:hAnsi="Arial" w:cs="Arial"/>
                <w:b/>
                <w:kern w:val="0"/>
                <w:lang w:eastAsia="en-GB"/>
                <w14:ligatures w14:val="none"/>
              </w:rPr>
            </w:pPr>
            <w:r w:rsidRPr="009226E7">
              <w:rPr>
                <w:rFonts w:ascii="Arial" w:hAnsi="Arial" w:cs="Arial"/>
                <w:b/>
                <w:kern w:val="0"/>
                <w:lang w:eastAsia="en-GB"/>
                <w14:ligatures w14:val="none"/>
              </w:rPr>
              <w:t>Purpose</w:t>
            </w:r>
          </w:p>
        </w:tc>
        <w:tc>
          <w:tcPr>
            <w:tcW w:w="4085" w:type="pct"/>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14:paraId="25AAFC0C" w14:textId="77777777" w:rsidR="00EE67E5" w:rsidRPr="009226E7" w:rsidRDefault="00EE67E5" w:rsidP="009226E7">
            <w:pPr>
              <w:spacing w:before="100" w:beforeAutospacing="1" w:after="100" w:afterAutospacing="1"/>
              <w:jc w:val="left"/>
              <w:rPr>
                <w:rFonts w:ascii="Arial" w:hAnsi="Arial" w:cs="Arial"/>
                <w:kern w:val="0"/>
                <w:lang w:eastAsia="en-GB"/>
                <w14:ligatures w14:val="none"/>
              </w:rPr>
            </w:pPr>
            <w:r w:rsidRPr="009226E7">
              <w:rPr>
                <w:rFonts w:ascii="Arial" w:hAnsi="Arial" w:cs="Arial"/>
                <w:kern w:val="0"/>
                <w:lang w:eastAsia="en-GB"/>
                <w14:ligatures w14:val="none"/>
              </w:rPr>
              <w:t>The purpose was to improve understanding of diabetes-related risks and inform clinical practice and patient management.</w:t>
            </w:r>
          </w:p>
        </w:tc>
      </w:tr>
    </w:tbl>
    <w:p w14:paraId="5C71807D" w14:textId="77777777" w:rsidR="004D3BFB" w:rsidRDefault="004D3BFB" w:rsidP="00404F85">
      <w:pPr>
        <w:rPr>
          <w:rFonts w:ascii="Arial" w:hAnsi="Arial" w:cs="Arial"/>
        </w:rPr>
      </w:pPr>
    </w:p>
    <w:p w14:paraId="2C110BF7" w14:textId="77777777" w:rsidR="00CF4FA1" w:rsidRPr="009226E7" w:rsidRDefault="00CF4FA1" w:rsidP="009226E7">
      <w:pPr>
        <w:pStyle w:val="Heading2"/>
        <w:divId w:val="272128586"/>
        <w:rPr>
          <w:rFonts w:ascii="Arial" w:hAnsi="Arial" w:cs="Arial"/>
          <w:b/>
          <w:sz w:val="32"/>
          <w:szCs w:val="32"/>
        </w:rPr>
      </w:pPr>
      <w:r w:rsidRPr="009226E7">
        <w:rPr>
          <w:rFonts w:ascii="Arial" w:hAnsi="Arial" w:cs="Arial"/>
          <w:b/>
          <w:sz w:val="32"/>
          <w:szCs w:val="32"/>
        </w:rPr>
        <w:t>CRAAP Score: 25/25</w:t>
      </w:r>
    </w:p>
    <w:p w14:paraId="18B2CB66" w14:textId="77777777" w:rsidR="009226E7" w:rsidRPr="009226E7" w:rsidRDefault="00CF4FA1" w:rsidP="009226E7">
      <w:pPr>
        <w:pStyle w:val="Heading2"/>
        <w:divId w:val="272128586"/>
        <w:rPr>
          <w:rFonts w:ascii="Arial" w:hAnsi="Arial" w:cs="Arial"/>
          <w:b/>
          <w:bCs/>
          <w:sz w:val="32"/>
          <w:szCs w:val="32"/>
        </w:rPr>
      </w:pPr>
      <w:r w:rsidRPr="009226E7">
        <w:rPr>
          <w:rFonts w:ascii="Arial" w:hAnsi="Arial" w:cs="Arial"/>
          <w:b/>
          <w:sz w:val="32"/>
          <w:szCs w:val="32"/>
        </w:rPr>
        <w:t>Decision:</w:t>
      </w:r>
    </w:p>
    <w:p w14:paraId="2504C14C" w14:textId="5344FD35" w:rsidR="00CF4FA1" w:rsidRPr="009226E7" w:rsidRDefault="00CF4FA1" w:rsidP="009226E7">
      <w:pPr>
        <w:pStyle w:val="p2"/>
        <w:spacing w:line="360" w:lineRule="auto"/>
        <w:divId w:val="272128586"/>
        <w:rPr>
          <w:rStyle w:val="s2"/>
          <w:rFonts w:ascii="Arial" w:hAnsi="Arial" w:cs="Arial"/>
          <w:sz w:val="22"/>
          <w:szCs w:val="22"/>
        </w:rPr>
      </w:pPr>
      <w:r>
        <w:br/>
      </w:r>
      <w:r w:rsidRPr="009226E7">
        <w:rPr>
          <w:rStyle w:val="s2"/>
          <w:rFonts w:ascii="Arial" w:hAnsi="Arial" w:cs="Arial"/>
          <w:sz w:val="22"/>
          <w:szCs w:val="22"/>
        </w:rPr>
        <w:t xml:space="preserve">Included in the final literature review because it </w:t>
      </w:r>
      <w:bookmarkStart w:id="233" w:name="_Int_Fyur2wky"/>
      <w:r w:rsidRPr="009226E7">
        <w:rPr>
          <w:rStyle w:val="s2"/>
          <w:rFonts w:ascii="Arial" w:hAnsi="Arial" w:cs="Arial"/>
          <w:sz w:val="22"/>
          <w:szCs w:val="22"/>
        </w:rPr>
        <w:t>demonstrates</w:t>
      </w:r>
      <w:bookmarkEnd w:id="233"/>
      <w:r w:rsidRPr="009226E7">
        <w:rPr>
          <w:rStyle w:val="s2"/>
          <w:rFonts w:ascii="Arial" w:hAnsi="Arial" w:cs="Arial"/>
          <w:sz w:val="22"/>
          <w:szCs w:val="22"/>
        </w:rPr>
        <w:t xml:space="preserve"> high academic quality, strong </w:t>
      </w:r>
      <w:bookmarkStart w:id="234" w:name="_Int_KZ9DLyCZ"/>
      <w:r w:rsidRPr="009226E7">
        <w:rPr>
          <w:rStyle w:val="s2"/>
          <w:rFonts w:ascii="Arial" w:hAnsi="Arial" w:cs="Arial"/>
          <w:sz w:val="22"/>
          <w:szCs w:val="22"/>
        </w:rPr>
        <w:t>methodology</w:t>
      </w:r>
      <w:bookmarkEnd w:id="234"/>
      <w:r w:rsidRPr="009226E7">
        <w:rPr>
          <w:rStyle w:val="s2"/>
          <w:rFonts w:ascii="Arial" w:hAnsi="Arial" w:cs="Arial"/>
          <w:sz w:val="22"/>
          <w:szCs w:val="22"/>
        </w:rPr>
        <w:t xml:space="preserve"> and direct relevance to the research aim and </w:t>
      </w:r>
      <w:bookmarkStart w:id="235" w:name="_Int_qyHLrbIu"/>
      <w:r w:rsidRPr="009226E7">
        <w:rPr>
          <w:rStyle w:val="s2"/>
          <w:rFonts w:ascii="Arial" w:hAnsi="Arial" w:cs="Arial"/>
          <w:sz w:val="22"/>
          <w:szCs w:val="22"/>
        </w:rPr>
        <w:t>objectives</w:t>
      </w:r>
      <w:bookmarkEnd w:id="235"/>
      <w:r w:rsidRPr="009226E7">
        <w:rPr>
          <w:rStyle w:val="s2"/>
          <w:rFonts w:ascii="Arial" w:hAnsi="Arial" w:cs="Arial"/>
          <w:sz w:val="22"/>
          <w:szCs w:val="22"/>
        </w:rPr>
        <w:t>.</w:t>
      </w:r>
    </w:p>
    <w:p w14:paraId="4FB47596" w14:textId="77777777" w:rsidR="000A3013" w:rsidRPr="00404F85" w:rsidRDefault="000A3013" w:rsidP="00404F85">
      <w:pPr>
        <w:rPr>
          <w:rFonts w:ascii="Arial" w:hAnsi="Arial" w:cs="Arial"/>
        </w:rPr>
      </w:pPr>
    </w:p>
    <w:sectPr w:rsidR="000A3013" w:rsidRPr="00404F85" w:rsidSect="009D6A78">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C093B" w14:textId="77777777" w:rsidR="007D1C96" w:rsidRDefault="007D1C96" w:rsidP="00211184">
      <w:pPr>
        <w:spacing w:after="0" w:line="240" w:lineRule="auto"/>
      </w:pPr>
      <w:r>
        <w:separator/>
      </w:r>
    </w:p>
  </w:endnote>
  <w:endnote w:type="continuationSeparator" w:id="0">
    <w:p w14:paraId="0BE6A2B4" w14:textId="77777777" w:rsidR="007D1C96" w:rsidRDefault="007D1C9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7372083"/>
      <w:docPartObj>
        <w:docPartGallery w:val="Page Numbers (Bottom of Page)"/>
        <w:docPartUnique/>
      </w:docPartObj>
    </w:sdtPr>
    <w:sdtContent>
      <w:p w14:paraId="06D156C5" w14:textId="3BBF5887" w:rsidR="009D6A78" w:rsidRDefault="009D6A78">
        <w:pPr>
          <w:pStyle w:val="Footer"/>
          <w:jc w:val="right"/>
        </w:pPr>
        <w:r>
          <w:fldChar w:fldCharType="begin"/>
        </w:r>
        <w:r>
          <w:instrText>PAGE   \* MERGEFORMAT</w:instrText>
        </w:r>
        <w:r>
          <w:fldChar w:fldCharType="separate"/>
        </w:r>
        <w:r>
          <w:t>2</w:t>
        </w:r>
        <w:r>
          <w:fldChar w:fldCharType="end"/>
        </w:r>
      </w:p>
    </w:sdtContent>
  </w:sdt>
  <w:p w14:paraId="77B11FB7" w14:textId="77777777" w:rsidR="0024655D" w:rsidRDefault="002465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0D9E2" w14:textId="77777777" w:rsidR="007D1C96" w:rsidRDefault="007D1C96" w:rsidP="00211184">
      <w:pPr>
        <w:spacing w:after="0" w:line="240" w:lineRule="auto"/>
      </w:pPr>
      <w:r>
        <w:separator/>
      </w:r>
    </w:p>
  </w:footnote>
  <w:footnote w:type="continuationSeparator" w:id="0">
    <w:p w14:paraId="19E10979" w14:textId="77777777" w:rsidR="007D1C96" w:rsidRDefault="007D1C96"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zCrONyCW" int2:invalidationBookmarkName="" int2:hashCode="dalNooyseA++F1" int2:id="1GNfQqIv">
      <int2:state int2:value="Rejected" int2:type="style"/>
    </int2:bookmark>
    <int2:bookmark int2:bookmarkName="_Int_tim16ErC" int2:invalidationBookmarkName="" int2:hashCode="SLGLFARhzcGrh6" int2:id="1LLsoy5H">
      <int2:state int2:value="Rejected" int2:type="style"/>
    </int2:bookmark>
    <int2:bookmark int2:bookmarkName="_Int_hgUGcBHM" int2:invalidationBookmarkName="" int2:hashCode="z46/6V1Qu/82fT" int2:id="1eJhW8sa">
      <int2:state int2:value="Rejected" int2:type="style"/>
    </int2:bookmark>
    <int2:bookmark int2:bookmarkName="_Int_t3I2JbD4" int2:invalidationBookmarkName="" int2:hashCode="+d70qcyjMqUxy1" int2:id="2O7G2LYR">
      <int2:state int2:value="Rejected" int2:type="style"/>
    </int2:bookmark>
    <int2:bookmark int2:bookmarkName="_Int_hFKGzoIH" int2:invalidationBookmarkName="" int2:hashCode="XnBZUbOy6FEQ0N" int2:id="3EXs5YxX">
      <int2:state int2:value="Rejected" int2:type="style"/>
    </int2:bookmark>
    <int2:bookmark int2:bookmarkName="_Int_IrDCinnW" int2:invalidationBookmarkName="" int2:hashCode="4Xd6k7UUTgQvP/" int2:id="463WS2FF">
      <int2:state int2:value="Rejected" int2:type="style"/>
    </int2:bookmark>
    <int2:bookmark int2:bookmarkName="_Int_VgDnorVD" int2:invalidationBookmarkName="" int2:hashCode="SMFwPIHakRGYAb" int2:id="47JyVsIw">
      <int2:state int2:value="Rejected" int2:type="style"/>
    </int2:bookmark>
    <int2:bookmark int2:bookmarkName="_Int_d8VXObPh" int2:invalidationBookmarkName="" int2:hashCode="sqHQLl/T4rrw17" int2:id="4D92zAho">
      <int2:state int2:value="Rejected" int2:type="style"/>
    </int2:bookmark>
    <int2:bookmark int2:bookmarkName="_Int_743In4kj" int2:invalidationBookmarkName="" int2:hashCode="PnCVPDQcdUa4pf" int2:id="4JbKMGzp">
      <int2:state int2:value="Rejected" int2:type="style"/>
    </int2:bookmark>
    <int2:bookmark int2:bookmarkName="_Int_CLOqFNfh" int2:invalidationBookmarkName="" int2:hashCode="FlW36NB9gxPS3P" int2:id="4MvXmggB">
      <int2:state int2:value="Rejected" int2:type="style"/>
    </int2:bookmark>
    <int2:bookmark int2:bookmarkName="_Int_KZ9DLyCZ" int2:invalidationBookmarkName="" int2:hashCode="XnBZUbOy6FEQ0N" int2:id="4Rtxjjk7">
      <int2:state int2:value="Rejected" int2:type="style"/>
    </int2:bookmark>
    <int2:bookmark int2:bookmarkName="_Int_yQmBdcd7" int2:invalidationBookmarkName="" int2:hashCode="1uwbp8FCN5lvgo" int2:id="4d1dFLme">
      <int2:state int2:value="Rejected" int2:type="style"/>
    </int2:bookmark>
    <int2:bookmark int2:bookmarkName="_Int_NHYLYaVp" int2:invalidationBookmarkName="" int2:hashCode="hw5nyYTrGbyb6F" int2:id="4gaEinl0">
      <int2:state int2:value="Rejected" int2:type="style"/>
    </int2:bookmark>
    <int2:bookmark int2:bookmarkName="_Int_DvTjllXC" int2:invalidationBookmarkName="" int2:hashCode="ZanletI6wlweVG" int2:id="4iafWlNW">
      <int2:state int2:value="Rejected" int2:type="style"/>
    </int2:bookmark>
    <int2:bookmark int2:bookmarkName="_Int_muwhxOVf" int2:invalidationBookmarkName="" int2:hashCode="KDOsmJJ/iKuLvY" int2:id="4sdzZNbp">
      <int2:state int2:value="Rejected" int2:type="style"/>
    </int2:bookmark>
    <int2:bookmark int2:bookmarkName="_Int_G1xADH5z" int2:invalidationBookmarkName="" int2:hashCode="Z+iejkHD7EYVSz" int2:id="5lU5NnMZ">
      <int2:state int2:value="Rejected" int2:type="style"/>
    </int2:bookmark>
    <int2:bookmark int2:bookmarkName="_Int_857ru0J5" int2:invalidationBookmarkName="" int2:hashCode="0tyHOGg/WBc2bv" int2:id="60ZfNe8s">
      <int2:state int2:value="Rejected" int2:type="style"/>
    </int2:bookmark>
    <int2:bookmark int2:bookmarkName="_Int_XimqqpY5" int2:invalidationBookmarkName="" int2:hashCode="CO0zKBZPMZy4hh" int2:id="60rkuaRY">
      <int2:state int2:value="Rejected" int2:type="style"/>
    </int2:bookmark>
    <int2:bookmark int2:bookmarkName="_Int_niNxjFx8" int2:invalidationBookmarkName="" int2:hashCode="e3+TZqNgMaC5Vf" int2:id="64cO8ayx">
      <int2:state int2:value="Rejected" int2:type="style"/>
    </int2:bookmark>
    <int2:bookmark int2:bookmarkName="_Int_149gC1LZ" int2:invalidationBookmarkName="" int2:hashCode="9+2vMoLa+2CcfU" int2:id="6SqltqpF">
      <int2:state int2:value="Rejected" int2:type="style"/>
    </int2:bookmark>
    <int2:bookmark int2:bookmarkName="_Int_Tf65aEs7" int2:invalidationBookmarkName="" int2:hashCode="8pD9mhRfnlRI6v" int2:id="6qKgwflR">
      <int2:state int2:value="Rejected" int2:type="style"/>
    </int2:bookmark>
    <int2:bookmark int2:bookmarkName="_Int_sDgPRkfx" int2:invalidationBookmarkName="" int2:hashCode="xLRtOmtNIXRGwW" int2:id="6wf1rXK6">
      <int2:state int2:value="Rejected" int2:type="style"/>
    </int2:bookmark>
    <int2:bookmark int2:bookmarkName="_Int_CZOLqvy9" int2:invalidationBookmarkName="" int2:hashCode="4k4ecvpBfq8Gul" int2:id="79wIgIOT">
      <int2:state int2:value="Rejected" int2:type="style"/>
    </int2:bookmark>
    <int2:bookmark int2:bookmarkName="_Int_h2PdkV3Y" int2:invalidationBookmarkName="" int2:hashCode="qaWBAF6WNNovtB" int2:id="7Girjmgx">
      <int2:state int2:value="Rejected" int2:type="style"/>
    </int2:bookmark>
    <int2:bookmark int2:bookmarkName="_Int_9A2F7TrY" int2:invalidationBookmarkName="" int2:hashCode="MWeBlt2aI4V4I0" int2:id="7fM2hyhq">
      <int2:state int2:value="Rejected" int2:type="style"/>
    </int2:bookmark>
    <int2:bookmark int2:bookmarkName="_Int_rh8sUUKe" int2:invalidationBookmarkName="" int2:hashCode="ZanletI6wlweVG" int2:id="7seLsM5X">
      <int2:state int2:value="Rejected" int2:type="style"/>
    </int2:bookmark>
    <int2:bookmark int2:bookmarkName="_Int_r7S4Wq1l" int2:invalidationBookmarkName="" int2:hashCode="ZoiIM1cnwwtkkh" int2:id="86rpbtVa">
      <int2:state int2:value="Rejected" int2:type="style"/>
    </int2:bookmark>
    <int2:bookmark int2:bookmarkName="_Int_X0gux2uL" int2:invalidationBookmarkName="" int2:hashCode="ZanletI6wlweVG" int2:id="8qAE4FFN">
      <int2:state int2:value="Rejected" int2:type="style"/>
    </int2:bookmark>
    <int2:bookmark int2:bookmarkName="_Int_9boMO76D" int2:invalidationBookmarkName="" int2:hashCode="ZanletI6wlweVG" int2:id="9vGRLKEH">
      <int2:state int2:value="Rejected" int2:type="style"/>
    </int2:bookmark>
    <int2:bookmark int2:bookmarkName="_Int_cf3x4B7I" int2:invalidationBookmarkName="" int2:hashCode="dkmkRuVDysnpuX" int2:id="AUZM5ijK">
      <int2:state int2:value="Rejected" int2:type="style"/>
    </int2:bookmark>
    <int2:bookmark int2:bookmarkName="_Int_L9PlqXaU" int2:invalidationBookmarkName="" int2:hashCode="NV8o8sDDh63WIx" int2:id="AgDf1NlF">
      <int2:state int2:value="Rejected" int2:type="style"/>
    </int2:bookmark>
    <int2:bookmark int2:bookmarkName="_Int_1HZydVkm" int2:invalidationBookmarkName="" int2:hashCode="A7Lfbccqygvaur" int2:id="AlXChLnM">
      <int2:state int2:value="Rejected" int2:type="style"/>
    </int2:bookmark>
    <int2:bookmark int2:bookmarkName="_Int_OlL1n35J" int2:invalidationBookmarkName="" int2:hashCode="cyaRWoVQqbWrDu" int2:id="AzQMMPpw">
      <int2:state int2:value="Rejected" int2:type="style"/>
    </int2:bookmark>
    <int2:bookmark int2:bookmarkName="_Int_FStKPvcs" int2:invalidationBookmarkName="" int2:hashCode="XRc7ZiJsqzQMd3" int2:id="BETTzzhu">
      <int2:state int2:value="Rejected" int2:type="style"/>
    </int2:bookmark>
    <int2:bookmark int2:bookmarkName="_Int_eyQYHAju" int2:invalidationBookmarkName="" int2:hashCode="IIZ6WQ7do78FpW" int2:id="BSU1pVW0">
      <int2:state int2:value="Rejected" int2:type="style"/>
    </int2:bookmark>
    <int2:bookmark int2:bookmarkName="_Int_FDyMBdqC" int2:invalidationBookmarkName="" int2:hashCode="ZanletI6wlweVG" int2:id="Bxma2mzG">
      <int2:state int2:value="Rejected" int2:type="style"/>
    </int2:bookmark>
    <int2:bookmark int2:bookmarkName="_Int_Vxo1NmF1" int2:invalidationBookmarkName="" int2:hashCode="wVe3Xe9bHowVI+" int2:id="C0nCJJSK">
      <int2:state int2:value="Rejected" int2:type="style"/>
    </int2:bookmark>
    <int2:bookmark int2:bookmarkName="_Int_f4tSBnTB" int2:invalidationBookmarkName="" int2:hashCode="a55MDIBl4ej9lj" int2:id="CORdCv7b">
      <int2:state int2:value="Rejected" int2:type="style"/>
    </int2:bookmark>
    <int2:bookmark int2:bookmarkName="_Int_48D2kcTV" int2:invalidationBookmarkName="" int2:hashCode="SLGLFARhzcGrh6" int2:id="CiUmpZEX">
      <int2:state int2:value="Rejected" int2:type="style"/>
    </int2:bookmark>
    <int2:bookmark int2:bookmarkName="_Int_I627dq1U" int2:invalidationBookmarkName="" int2:hashCode="43K/JlIt1QZTyM" int2:id="DNnDjkHk">
      <int2:state int2:value="Rejected" int2:type="style"/>
    </int2:bookmark>
    <int2:bookmark int2:bookmarkName="_Int_pFtGOxqx" int2:invalidationBookmarkName="" int2:hashCode="6Ap9X7ci/NdKAT" int2:id="DxmVaRvy">
      <int2:state int2:value="Rejected" int2:type="style"/>
    </int2:bookmark>
    <int2:bookmark int2:bookmarkName="_Int_xfr9iFY1" int2:invalidationBookmarkName="" int2:hashCode="8+x9wAokN1wf5f" int2:id="E6qo0FYK">
      <int2:state int2:value="Rejected" int2:type="style"/>
    </int2:bookmark>
    <int2:bookmark int2:bookmarkName="_Int_HLDogWby" int2:invalidationBookmarkName="" int2:hashCode="ZanletI6wlweVG" int2:id="EOggGS3Q">
      <int2:state int2:value="Rejected" int2:type="style"/>
    </int2:bookmark>
    <int2:bookmark int2:bookmarkName="_Int_etOm6NT0" int2:invalidationBookmarkName="" int2:hashCode="SradH0SdDJdch8" int2:id="EQ1TMSyb">
      <int2:state int2:value="Rejected" int2:type="style"/>
    </int2:bookmark>
    <int2:bookmark int2:bookmarkName="_Int_Ui9FceXu" int2:invalidationBookmarkName="" int2:hashCode="SMFwPIHakRGYAb" int2:id="EX02DkTA">
      <int2:state int2:value="Rejected" int2:type="style"/>
    </int2:bookmark>
    <int2:bookmark int2:bookmarkName="_Int_8sm709O3" int2:invalidationBookmarkName="" int2:hashCode="e0LVa3orqwzqLF" int2:id="EnYlEcpn">
      <int2:state int2:value="Rejected" int2:type="style"/>
    </int2:bookmark>
    <int2:bookmark int2:bookmarkName="_Int_74FOU1p3" int2:invalidationBookmarkName="" int2:hashCode="gRg+Ewpr1g5/o3" int2:id="EuzcE3aq">
      <int2:state int2:value="Rejected" int2:type="style"/>
    </int2:bookmark>
    <int2:bookmark int2:bookmarkName="_Int_z8RVcPog" int2:invalidationBookmarkName="" int2:hashCode="PejmJKQS58bpKe" int2:id="F0Xi98I9">
      <int2:state int2:value="Rejected" int2:type="style"/>
    </int2:bookmark>
    <int2:bookmark int2:bookmarkName="_Int_TXEWpqFy" int2:invalidationBookmarkName="" int2:hashCode="DdKYGFB+0nSYZd" int2:id="F23TlbDq">
      <int2:state int2:value="Rejected" int2:type="style"/>
    </int2:bookmark>
    <int2:bookmark int2:bookmarkName="_Int_uU926MbV" int2:invalidationBookmarkName="" int2:hashCode="qW24FVYke/yBrp" int2:id="F2VQLZ2D">
      <int2:state int2:value="Rejected" int2:type="style"/>
    </int2:bookmark>
    <int2:bookmark int2:bookmarkName="_Int_ZEqDkul6" int2:invalidationBookmarkName="" int2:hashCode="UjDH1Vnkat3K2m" int2:id="FoskIfTP">
      <int2:state int2:value="Rejected" int2:type="style"/>
    </int2:bookmark>
    <int2:bookmark int2:bookmarkName="_Int_aBb3WMPr" int2:invalidationBookmarkName="" int2:hashCode="T3IqnzsvD+03xj" int2:id="FxloCgJD">
      <int2:state int2:value="Rejected" int2:type="style"/>
    </int2:bookmark>
    <int2:bookmark int2:bookmarkName="_Int_nds7UrSf" int2:invalidationBookmarkName="" int2:hashCode="wcsczDX+RQdGGZ" int2:id="GGJVwtLR">
      <int2:state int2:value="Rejected" int2:type="style"/>
    </int2:bookmark>
    <int2:bookmark int2:bookmarkName="_Int_6qDli70V" int2:invalidationBookmarkName="" int2:hashCode="gNnnTkPTW8q52R" int2:id="GKMWm68g">
      <int2:state int2:value="Rejected" int2:type="style"/>
    </int2:bookmark>
    <int2:bookmark int2:bookmarkName="_Int_zrNCirXk" int2:invalidationBookmarkName="" int2:hashCode="PnCVPDQcdUa4pf" int2:id="GUjWgMKk">
      <int2:state int2:value="Rejected" int2:type="style"/>
    </int2:bookmark>
    <int2:bookmark int2:bookmarkName="_Int_5Ljty3yo" int2:invalidationBookmarkName="" int2:hashCode="BMbw58vWnM5Xih" int2:id="GWnyAAfm">
      <int2:state int2:value="Rejected" int2:type="style"/>
    </int2:bookmark>
    <int2:bookmark int2:bookmarkName="_Int_Blcbkrd4" int2:invalidationBookmarkName="" int2:hashCode="cOkKXsqmuMu41z" int2:id="GibT6yZx">
      <int2:state int2:value="Rejected" int2:type="style"/>
    </int2:bookmark>
    <int2:bookmark int2:bookmarkName="_Int_8icuUUGi" int2:invalidationBookmarkName="" int2:hashCode="IEEkdmk2qlIoq+" int2:id="GklgGHfK">
      <int2:state int2:value="Rejected" int2:type="style"/>
    </int2:bookmark>
    <int2:bookmark int2:bookmarkName="_Int_iPb55ZEY" int2:invalidationBookmarkName="" int2:hashCode="yKDJq+Wfh/D8zr" int2:id="Gyc9Rzf6">
      <int2:state int2:value="Rejected" int2:type="style"/>
    </int2:bookmark>
    <int2:bookmark int2:bookmarkName="_Int_vI5zAgO4" int2:invalidationBookmarkName="" int2:hashCode="m/D4/19di8v/ud" int2:id="HMZeIhpP">
      <int2:state int2:value="Rejected" int2:type="style"/>
    </int2:bookmark>
    <int2:bookmark int2:bookmarkName="_Int_8W4G1Ojx" int2:invalidationBookmarkName="" int2:hashCode="H93VtPS+nOKY1i" int2:id="HPfSITwS">
      <int2:state int2:value="Rejected" int2:type="style"/>
    </int2:bookmark>
    <int2:bookmark int2:bookmarkName="_Int_0SVjVRTa" int2:invalidationBookmarkName="" int2:hashCode="6xX40Nbu8SUY24" int2:id="HTbkbkbr">
      <int2:state int2:value="Rejected" int2:type="style"/>
    </int2:bookmark>
    <int2:bookmark int2:bookmarkName="_Int_qyHLrbIu" int2:invalidationBookmarkName="" int2:hashCode="e3+TZqNgMaC5Vf" int2:id="HiZMrwEN">
      <int2:state int2:value="Rejected" int2:type="style"/>
    </int2:bookmark>
    <int2:bookmark int2:bookmarkName="_Int_k4N3UNBR" int2:invalidationBookmarkName="" int2:hashCode="Pj5sexUinm/dRk" int2:id="I8KDvwXy">
      <int2:state int2:value="Rejected" int2:type="style"/>
    </int2:bookmark>
    <int2:bookmark int2:bookmarkName="_Int_Jasn5QNv" int2:invalidationBookmarkName="" int2:hashCode="174mj7RpeZng2y" int2:id="IIXuvyTX">
      <int2:state int2:value="Rejected" int2:type="style"/>
    </int2:bookmark>
    <int2:bookmark int2:bookmarkName="_Int_NUkeS570" int2:invalidationBookmarkName="" int2:hashCode="PnCVPDQcdUa4pf" int2:id="IrZ3XXYj">
      <int2:state int2:value="Rejected" int2:type="style"/>
    </int2:bookmark>
    <int2:bookmark int2:bookmarkName="_Int_iZ1Ymi0X" int2:invalidationBookmarkName="" int2:hashCode="m/D4/19di8v/ud" int2:id="JDUzkIgE">
      <int2:state int2:value="Rejected" int2:type="style"/>
    </int2:bookmark>
    <int2:bookmark int2:bookmarkName="_Int_R8p5dmjl" int2:invalidationBookmarkName="" int2:hashCode="BMbw58vWnM5Xih" int2:id="JnEaJ5oo">
      <int2:state int2:value="Rejected" int2:type="style"/>
    </int2:bookmark>
    <int2:bookmark int2:bookmarkName="_Int_Abf3XyiF" int2:invalidationBookmarkName="" int2:hashCode="m/D4/19di8v/ud" int2:id="JweSVby8">
      <int2:state int2:value="Rejected" int2:type="style"/>
    </int2:bookmark>
    <int2:bookmark int2:bookmarkName="_Int_beEPKOk1" int2:invalidationBookmarkName="" int2:hashCode="XBCTO60HnI4yRJ" int2:id="KCBsv6nQ">
      <int2:state int2:value="Rejected" int2:type="style"/>
    </int2:bookmark>
    <int2:bookmark int2:bookmarkName="_Int_sheyqNbd" int2:invalidationBookmarkName="" int2:hashCode="8+x9wAokN1wf5f" int2:id="KaCFrPYO">
      <int2:state int2:value="Rejected" int2:type="style"/>
    </int2:bookmark>
    <int2:bookmark int2:bookmarkName="_Int_WiqAoEYn" int2:invalidationBookmarkName="" int2:hashCode="051uur3qTsy1Ie" int2:id="Kb94L6sg">
      <int2:state int2:value="Rejected" int2:type="style"/>
    </int2:bookmark>
    <int2:bookmark int2:bookmarkName="_Int_ie8fVY0U" int2:invalidationBookmarkName="" int2:hashCode="xxFHguecxJYzNQ" int2:id="LFN7QlNA">
      <int2:state int2:value="Rejected" int2:type="style"/>
    </int2:bookmark>
    <int2:bookmark int2:bookmarkName="_Int_oD3tAN3H" int2:invalidationBookmarkName="" int2:hashCode="SLGLFARhzcGrh6" int2:id="LZr5OpyU">
      <int2:state int2:value="Rejected" int2:type="style"/>
    </int2:bookmark>
    <int2:bookmark int2:bookmarkName="_Int_OGz5Uawh" int2:invalidationBookmarkName="" int2:hashCode="e3+TZqNgMaC5Vf" int2:id="LiVCuqWM">
      <int2:state int2:value="Rejected" int2:type="style"/>
    </int2:bookmark>
    <int2:bookmark int2:bookmarkName="_Int_jqHA1rWO" int2:invalidationBookmarkName="" int2:hashCode="e3+TZqNgMaC5Vf" int2:id="LrJgK1yK">
      <int2:state int2:value="Rejected" int2:type="style"/>
    </int2:bookmark>
    <int2:bookmark int2:bookmarkName="_Int_auKfqxZc" int2:invalidationBookmarkName="" int2:hashCode="ZanletI6wlweVG" int2:id="MALR2wIY">
      <int2:state int2:value="Rejected" int2:type="style"/>
    </int2:bookmark>
    <int2:bookmark int2:bookmarkName="_Int_qKMewobE" int2:invalidationBookmarkName="" int2:hashCode="wauZJOzaG+r4u6" int2:id="MCcXqnkH">
      <int2:state int2:value="Rejected" int2:type="style"/>
    </int2:bookmark>
    <int2:bookmark int2:bookmarkName="_Int_AuIpsvvL" int2:invalidationBookmarkName="" int2:hashCode="KMGdSk9FSdDOkn" int2:id="McdGcT2r">
      <int2:state int2:value="Rejected" int2:type="style"/>
    </int2:bookmark>
    <int2:bookmark int2:bookmarkName="_Int_5ETkATpB" int2:invalidationBookmarkName="" int2:hashCode="w5Jazf1f4QwB+/" int2:id="NJmhDAOt">
      <int2:state int2:value="Rejected" int2:type="style"/>
    </int2:bookmark>
    <int2:bookmark int2:bookmarkName="_Int_d5FQKPmJ" int2:invalidationBookmarkName="" int2:hashCode="9+2vMoLa+2CcfU" int2:id="NfQTIwzR">
      <int2:state int2:value="Rejected" int2:type="style"/>
    </int2:bookmark>
    <int2:bookmark int2:bookmarkName="_Int_AgMYEF4u" int2:invalidationBookmarkName="" int2:hashCode="PnCVPDQcdUa4pf" int2:id="Nv4z2dXq">
      <int2:state int2:value="Rejected" int2:type="style"/>
    </int2:bookmark>
    <int2:bookmark int2:bookmarkName="_Int_Fyur2wky" int2:invalidationBookmarkName="" int2:hashCode="SMFwPIHakRGYAb" int2:id="O1twWACA">
      <int2:state int2:value="Rejected" int2:type="style"/>
    </int2:bookmark>
    <int2:bookmark int2:bookmarkName="_Int_i3oLarb6" int2:invalidationBookmarkName="" int2:hashCode="52FgvzVGdPmh/E" int2:id="OgBDQPbB">
      <int2:state int2:value="Rejected" int2:type="style"/>
    </int2:bookmark>
    <int2:bookmark int2:bookmarkName="_Int_bdoFvMlj" int2:invalidationBookmarkName="" int2:hashCode="ZoiIM1cnwwtkkh" int2:id="P4vsEBWj">
      <int2:state int2:value="Rejected" int2:type="style"/>
    </int2:bookmark>
    <int2:bookmark int2:bookmarkName="_Int_dhYyJc2J" int2:invalidationBookmarkName="" int2:hashCode="tnsYK9K0bgIv58" int2:id="P6CsWkZh">
      <int2:state int2:value="Rejected" int2:type="style"/>
    </int2:bookmark>
    <int2:bookmark int2:bookmarkName="_Int_p0A93rEv" int2:invalidationBookmarkName="" int2:hashCode="4mbq96GARWUY3U" int2:id="PdXTCavG">
      <int2:state int2:value="Rejected" int2:type="style"/>
    </int2:bookmark>
    <int2:bookmark int2:bookmarkName="_Int_qNQV4nX5" int2:invalidationBookmarkName="" int2:hashCode="nooB8ljuYJMKIn" int2:id="PjtX0kyy">
      <int2:state int2:value="Rejected" int2:type="style"/>
    </int2:bookmark>
    <int2:bookmark int2:bookmarkName="_Int_HX8lKbcj" int2:invalidationBookmarkName="" int2:hashCode="8+x9wAokN1wf5f" int2:id="PplEb7qx">
      <int2:state int2:value="Rejected" int2:type="style"/>
    </int2:bookmark>
    <int2:bookmark int2:bookmarkName="_Int_3aC76tRZ" int2:invalidationBookmarkName="" int2:hashCode="SLGLFARhzcGrh6" int2:id="PsdBueX3">
      <int2:state int2:value="Rejected" int2:type="style"/>
    </int2:bookmark>
    <int2:bookmark int2:bookmarkName="_Int_uNBMZH4X" int2:invalidationBookmarkName="" int2:hashCode="SLGLFARhzcGrh6" int2:id="Q9MHNljB">
      <int2:state int2:value="Rejected" int2:type="style"/>
    </int2:bookmark>
    <int2:bookmark int2:bookmarkName="_Int_WickaFt0" int2:invalidationBookmarkName="" int2:hashCode="VpD8bSY3GMTPhU" int2:id="QODYRKo9">
      <int2:state int2:value="Rejected" int2:type="style"/>
    </int2:bookmark>
    <int2:bookmark int2:bookmarkName="_Int_4h8IVVXh" int2:invalidationBookmarkName="" int2:hashCode="XXv1Ch1PRBZ0nJ" int2:id="QVLF75IH">
      <int2:state int2:value="Rejected" int2:type="style"/>
    </int2:bookmark>
    <int2:bookmark int2:bookmarkName="_Int_amr4o1wf" int2:invalidationBookmarkName="" int2:hashCode="Yj52w2qiqIZUIB" int2:id="QgbK7QeH">
      <int2:state int2:value="Rejected" int2:type="style"/>
    </int2:bookmark>
    <int2:bookmark int2:bookmarkName="_Int_UhhJptoo" int2:invalidationBookmarkName="" int2:hashCode="7d6FDksqtNekOY" int2:id="R1J6PTz3">
      <int2:state int2:value="Rejected" int2:type="style"/>
    </int2:bookmark>
    <int2:bookmark int2:bookmarkName="_Int_ybk8Jtj5" int2:invalidationBookmarkName="" int2:hashCode="43K/JlIt1QZTyM" int2:id="ReCZMtWC">
      <int2:state int2:value="Rejected" int2:type="style"/>
    </int2:bookmark>
    <int2:bookmark int2:bookmarkName="_Int_0TwL5d1Y" int2:invalidationBookmarkName="" int2:hashCode="w5Jazf1f4QwB+/" int2:id="RyNjcwMe">
      <int2:state int2:value="Rejected" int2:type="style"/>
    </int2:bookmark>
    <int2:bookmark int2:bookmarkName="_Int_EgWbryY4" int2:invalidationBookmarkName="" int2:hashCode="7d6FDksqtNekOY" int2:id="S5rpwz7d">
      <int2:state int2:value="Rejected" int2:type="style"/>
    </int2:bookmark>
    <int2:bookmark int2:bookmarkName="_Int_klgR5nf3" int2:invalidationBookmarkName="" int2:hashCode="0eFC/J+Qv2HIY3" int2:id="SNXzdSYO">
      <int2:state int2:value="Rejected" int2:type="style"/>
    </int2:bookmark>
    <int2:bookmark int2:bookmarkName="_Int_w1ufDUXZ" int2:invalidationBookmarkName="" int2:hashCode="SLGLFARhzcGrh6" int2:id="Si5YvNhN">
      <int2:state int2:value="Rejected" int2:type="style"/>
    </int2:bookmark>
    <int2:bookmark int2:bookmarkName="_Int_H3MwSSqb" int2:invalidationBookmarkName="" int2:hashCode="SMFwPIHakRGYAb" int2:id="THVlhQhB">
      <int2:state int2:value="Rejected" int2:type="style"/>
    </int2:bookmark>
    <int2:bookmark int2:bookmarkName="_Int_PriFXqA4" int2:invalidationBookmarkName="" int2:hashCode="13salenVv30/VU" int2:id="TNrVcav9">
      <int2:state int2:value="Rejected" int2:type="style"/>
    </int2:bookmark>
    <int2:bookmark int2:bookmarkName="_Int_FpyFzZEn" int2:invalidationBookmarkName="" int2:hashCode="822G2YT1BzW/KR" int2:id="TeLJWkXB">
      <int2:state int2:value="Rejected" int2:type="style"/>
    </int2:bookmark>
    <int2:bookmark int2:bookmarkName="_Int_WWpjx7qZ" int2:invalidationBookmarkName="" int2:hashCode="M1xMHi8FtSl6Vn" int2:id="U9b5cbGA">
      <int2:state int2:value="Rejected" int2:type="style"/>
    </int2:bookmark>
    <int2:bookmark int2:bookmarkName="_Int_cebz0ofk" int2:invalidationBookmarkName="" int2:hashCode="dalNooyseA++F1" int2:id="Uo7nzmnC">
      <int2:state int2:value="Rejected" int2:type="style"/>
    </int2:bookmark>
    <int2:bookmark int2:bookmarkName="_Int_1QNNn5ze" int2:invalidationBookmarkName="" int2:hashCode="xhKzW50/O76H3Z" int2:id="V4Mc5Xo1">
      <int2:state int2:value="Rejected" int2:type="style"/>
    </int2:bookmark>
    <int2:bookmark int2:bookmarkName="_Int_nJCSRwzw" int2:invalidationBookmarkName="" int2:hashCode="IEEkdmk2qlIoq+" int2:id="VInDuyxa">
      <int2:state int2:value="Rejected" int2:type="style"/>
    </int2:bookmark>
    <int2:bookmark int2:bookmarkName="_Int_iYCLJOz3" int2:invalidationBookmarkName="" int2:hashCode="7ox3374uEZHPvy" int2:id="VMxqtKOT">
      <int2:state int2:value="Rejected" int2:type="style"/>
    </int2:bookmark>
    <int2:bookmark int2:bookmarkName="_Int_nQHMEojW" int2:invalidationBookmarkName="" int2:hashCode="8+x9wAokN1wf5f" int2:id="VUuQTFtW">
      <int2:state int2:value="Rejected" int2:type="style"/>
    </int2:bookmark>
    <int2:bookmark int2:bookmarkName="_Int_ldkW6HAq" int2:invalidationBookmarkName="" int2:hashCode="KH/R9eYBhxaRyz" int2:id="Va2h68ki">
      <int2:state int2:value="Rejected" int2:type="style"/>
    </int2:bookmark>
    <int2:bookmark int2:bookmarkName="_Int_6Pk9aSvf" int2:invalidationBookmarkName="" int2:hashCode="6KwxCWAoDwtvI+" int2:id="VbDpbnsk">
      <int2:state int2:value="Rejected" int2:type="style"/>
    </int2:bookmark>
    <int2:bookmark int2:bookmarkName="_Int_3hzponRH" int2:invalidationBookmarkName="" int2:hashCode="jx1WDxZa5AV//E" int2:id="VhCtR2vQ">
      <int2:state int2:value="Rejected" int2:type="style"/>
    </int2:bookmark>
    <int2:bookmark int2:bookmarkName="_Int_Fa6AY2C9" int2:invalidationBookmarkName="" int2:hashCode="5GS0LPnTV1DiSG" int2:id="Voxr5DTl">
      <int2:state int2:value="Rejected" int2:type="style"/>
    </int2:bookmark>
    <int2:bookmark int2:bookmarkName="_Int_67ohmEZl" int2:invalidationBookmarkName="" int2:hashCode="52FgvzVGdPmh/E" int2:id="VqOgZnxC">
      <int2:state int2:value="Rejected" int2:type="style"/>
    </int2:bookmark>
    <int2:bookmark int2:bookmarkName="_Int_nEOOxXvu" int2:invalidationBookmarkName="" int2:hashCode="8+x9wAokN1wf5f" int2:id="VyUqR779">
      <int2:state int2:value="Rejected" int2:type="style"/>
    </int2:bookmark>
    <int2:bookmark int2:bookmarkName="_Int_L1ojVkev" int2:invalidationBookmarkName="" int2:hashCode="7l8IBzF7sLGUPq" int2:id="W9lJTaip">
      <int2:state int2:value="Rejected" int2:type="style"/>
    </int2:bookmark>
    <int2:bookmark int2:bookmarkName="_Int_z40iCVWJ" int2:invalidationBookmarkName="" int2:hashCode="A6MrEu74QbHENH" int2:id="WKnYBK9s">
      <int2:state int2:value="Rejected" int2:type="style"/>
    </int2:bookmark>
    <int2:bookmark int2:bookmarkName="_Int_UC4lXaT1" int2:invalidationBookmarkName="" int2:hashCode="051uur3qTsy1Ie" int2:id="WSAKVm5q">
      <int2:state int2:value="Rejected" int2:type="style"/>
    </int2:bookmark>
    <int2:bookmark int2:bookmarkName="_Int_KK0OXDXf" int2:invalidationBookmarkName="" int2:hashCode="17buBtkQ2ZcQdL" int2:id="WWtN5CSU">
      <int2:state int2:value="Rejected" int2:type="style"/>
    </int2:bookmark>
    <int2:bookmark int2:bookmarkName="_Int_lbxI0JRf" int2:invalidationBookmarkName="" int2:hashCode="GaoLlVCbMef1hh" int2:id="X0GqgjcI">
      <int2:state int2:value="Rejected" int2:type="style"/>
    </int2:bookmark>
    <int2:bookmark int2:bookmarkName="_Int_TFciA4pf" int2:invalidationBookmarkName="" int2:hashCode="phBLN2uyNfdexf" int2:id="X8ubfUrf">
      <int2:state int2:value="Rejected" int2:type="style"/>
    </int2:bookmark>
    <int2:bookmark int2:bookmarkName="_Int_z5MlrqeV" int2:invalidationBookmarkName="" int2:hashCode="A6MrEu74QbHENH" int2:id="XR5hYV3x">
      <int2:state int2:value="Rejected" int2:type="style"/>
    </int2:bookmark>
    <int2:bookmark int2:bookmarkName="_Int_5mFQAWhd" int2:invalidationBookmarkName="" int2:hashCode="4gTSiih09hI3R2" int2:id="XSLMAn6H">
      <int2:state int2:value="Rejected" int2:type="style"/>
    </int2:bookmark>
    <int2:bookmark int2:bookmarkName="_Int_ZPpw5ofe" int2:invalidationBookmarkName="" int2:hashCode="6xX40Nbu8SUY24" int2:id="Xbzg5VEr">
      <int2:state int2:value="Rejected" int2:type="style"/>
    </int2:bookmark>
    <int2:bookmark int2:bookmarkName="_Int_uHkqs99A" int2:invalidationBookmarkName="" int2:hashCode="Vbu8/4+jtKMEFm" int2:id="Y5cTny6i">
      <int2:state int2:value="Rejected" int2:type="style"/>
    </int2:bookmark>
    <int2:bookmark int2:bookmarkName="_Int_t2MNA9b9" int2:invalidationBookmarkName="" int2:hashCode="1J0/XWUBGybUHO" int2:id="Y6j0uvbe">
      <int2:state int2:value="Rejected" int2:type="style"/>
    </int2:bookmark>
    <int2:bookmark int2:bookmarkName="_Int_IA5lQqul" int2:invalidationBookmarkName="" int2:hashCode="PnCVPDQcdUa4pf" int2:id="YVy5mWl2">
      <int2:state int2:value="Rejected" int2:type="style"/>
    </int2:bookmark>
    <int2:bookmark int2:bookmarkName="_Int_PaUkK7KN" int2:invalidationBookmarkName="" int2:hashCode="yKDJq+Wfh/D8zr" int2:id="YfGSi7ez">
      <int2:state int2:value="Rejected" int2:type="style"/>
    </int2:bookmark>
    <int2:bookmark int2:bookmarkName="_Int_f20IdOcQ" int2:invalidationBookmarkName="" int2:hashCode="4/ByatqIm0XAMC" int2:id="YmnlsqQE">
      <int2:state int2:value="Rejected" int2:type="style"/>
    </int2:bookmark>
    <int2:bookmark int2:bookmarkName="_Int_fHu2RKnA" int2:invalidationBookmarkName="" int2:hashCode="KMGdSk9FSdDOkn" int2:id="Ynpu3NWa">
      <int2:state int2:value="Rejected" int2:type="style"/>
    </int2:bookmark>
    <int2:bookmark int2:bookmarkName="_Int_Ck9LpWoH" int2:invalidationBookmarkName="" int2:hashCode="IEEkdmk2qlIoq+" int2:id="Z9mWJPQU">
      <int2:state int2:value="Rejected" int2:type="style"/>
    </int2:bookmark>
    <int2:bookmark int2:bookmarkName="_Int_mrpHGWxJ" int2:invalidationBookmarkName="" int2:hashCode="8+x9wAokN1wf5f" int2:id="ZXtppRae">
      <int2:state int2:value="Rejected" int2:type="style"/>
    </int2:bookmark>
    <int2:bookmark int2:bookmarkName="_Int_Kwd4nKcF" int2:invalidationBookmarkName="" int2:hashCode="gRg+Ewpr1g5/o3" int2:id="ZnY8L7si">
      <int2:state int2:value="Rejected" int2:type="style"/>
    </int2:bookmark>
    <int2:bookmark int2:bookmarkName="_Int_x2djRO8r" int2:invalidationBookmarkName="" int2:hashCode="PnCVPDQcdUa4pf" int2:id="ZpV1qvK0">
      <int2:state int2:value="Rejected" int2:type="style"/>
    </int2:bookmark>
    <int2:bookmark int2:bookmarkName="_Int_EoRqSKGw" int2:invalidationBookmarkName="" int2:hashCode="/5aGncXwjRgebT" int2:id="ZvXZVjip">
      <int2:state int2:value="Rejected" int2:type="style"/>
    </int2:bookmark>
    <int2:bookmark int2:bookmarkName="_Int_oDdPlpT2" int2:invalidationBookmarkName="" int2:hashCode="ttZLHufjC5dMTJ" int2:id="aB4rpXxB">
      <int2:state int2:value="Rejected" int2:type="style"/>
    </int2:bookmark>
    <int2:bookmark int2:bookmarkName="_Int_SPMoGp0F" int2:invalidationBookmarkName="" int2:hashCode="051uur3qTsy1Ie" int2:id="aFB2S7ev">
      <int2:state int2:value="Rejected" int2:type="style"/>
    </int2:bookmark>
    <int2:bookmark int2:bookmarkName="_Int_1FXaFQrH" int2:invalidationBookmarkName="" int2:hashCode="MgGO7POVwZ17aA" int2:id="c68VDmgc">
      <int2:state int2:value="Rejected" int2:type="style"/>
    </int2:bookmark>
    <int2:bookmark int2:bookmarkName="_Int_QTfv9iVW" int2:invalidationBookmarkName="" int2:hashCode="VRyAVr/dM977IK" int2:id="cGLm1tOZ">
      <int2:state int2:value="Rejected" int2:type="style"/>
    </int2:bookmark>
    <int2:bookmark int2:bookmarkName="_Int_8tnpqGXv" int2:invalidationBookmarkName="" int2:hashCode="A6MrEu74QbHENH" int2:id="cdfXzB8J">
      <int2:state int2:value="Rejected" int2:type="style"/>
    </int2:bookmark>
    <int2:bookmark int2:bookmarkName="_Int_0A8Kw8R5" int2:invalidationBookmarkName="" int2:hashCode="CnFoFeGrWcGWlb" int2:id="cmEI4N6C">
      <int2:state int2:value="Rejected" int2:type="style"/>
    </int2:bookmark>
    <int2:bookmark int2:bookmarkName="_Int_tMYn7yLS" int2:invalidationBookmarkName="" int2:hashCode="WG3e5smx44NLSb" int2:id="cnaIknsh">
      <int2:state int2:value="Rejected" int2:type="style"/>
    </int2:bookmark>
    <int2:bookmark int2:bookmarkName="_Int_VthW9qgD" int2:invalidationBookmarkName="" int2:hashCode="+51gLz18i3dcXR" int2:id="d2cKJVbc">
      <int2:state int2:value="Rejected" int2:type="style"/>
    </int2:bookmark>
    <int2:bookmark int2:bookmarkName="_Int_0xtQrlCY" int2:invalidationBookmarkName="" int2:hashCode="SMFwPIHakRGYAb" int2:id="dSKcqTyM">
      <int2:state int2:value="Rejected" int2:type="style"/>
    </int2:bookmark>
    <int2:bookmark int2:bookmarkName="_Int_nqlnr6a8" int2:invalidationBookmarkName="" int2:hashCode="A6MrEu74QbHENH" int2:id="dZ2fmMVx">
      <int2:state int2:value="Rejected" int2:type="style"/>
    </int2:bookmark>
    <int2:bookmark int2:bookmarkName="_Int_KN5xr2TZ" int2:invalidationBookmarkName="" int2:hashCode="K7r3LJscGyXBfj" int2:id="dyuvO4JR">
      <int2:state int2:value="Rejected" int2:type="style"/>
    </int2:bookmark>
    <int2:bookmark int2:bookmarkName="_Int_58DMtfoQ" int2:invalidationBookmarkName="" int2:hashCode="VkTdGKZfZUwmSA" int2:id="e8dlJd4J">
      <int2:state int2:value="Rejected" int2:type="style"/>
    </int2:bookmark>
    <int2:bookmark int2:bookmarkName="_Int_q1iVERch" int2:invalidationBookmarkName="" int2:hashCode="DVu/wPNm2RnW+Z" int2:id="eDrMyuGy">
      <int2:state int2:value="Rejected" int2:type="style"/>
    </int2:bookmark>
    <int2:bookmark int2:bookmarkName="_Int_JOWDa4l8" int2:invalidationBookmarkName="" int2:hashCode="XnBZUbOy6FEQ0N" int2:id="eM9m2keP">
      <int2:state int2:value="Rejected" int2:type="style"/>
    </int2:bookmark>
    <int2:bookmark int2:bookmarkName="_Int_MNnGLd48" int2:invalidationBookmarkName="" int2:hashCode="m/D4/19di8v/ud" int2:id="eURsq9Sf">
      <int2:state int2:value="Rejected" int2:type="style"/>
    </int2:bookmark>
    <int2:bookmark int2:bookmarkName="_Int_RxqQ4BUk" int2:invalidationBookmarkName="" int2:hashCode="1TuQT0/4NRKQdu" int2:id="eXCU6Xzo">
      <int2:state int2:value="Rejected" int2:type="style"/>
    </int2:bookmark>
    <int2:bookmark int2:bookmarkName="_Int_vPeY0Qba" int2:invalidationBookmarkName="" int2:hashCode="PnCVPDQcdUa4pf" int2:id="eeblc3ZK">
      <int2:state int2:value="Rejected" int2:type="style"/>
    </int2:bookmark>
    <int2:bookmark int2:bookmarkName="_Int_p8QQ76IK" int2:invalidationBookmarkName="" int2:hashCode="Cb6VSZGx43dy9s" int2:id="enSJTdhi">
      <int2:state int2:value="Rejected" int2:type="style"/>
    </int2:bookmark>
    <int2:bookmark int2:bookmarkName="_Int_80hb9OSv" int2:invalidationBookmarkName="" int2:hashCode="GLnRIowK1Vcrv2" int2:id="epEWKY4N">
      <int2:state int2:value="Rejected" int2:type="style"/>
    </int2:bookmark>
    <int2:bookmark int2:bookmarkName="_Int_Ei3su6nf" int2:invalidationBookmarkName="" int2:hashCode="gRg+Ewpr1g5/o3" int2:id="f0jOvtUO">
      <int2:state int2:value="Rejected" int2:type="style"/>
    </int2:bookmark>
    <int2:bookmark int2:bookmarkName="_Int_B0HszzBb" int2:invalidationBookmarkName="" int2:hashCode="6xX40Nbu8SUY24" int2:id="f2bg6TNT">
      <int2:state int2:value="Rejected" int2:type="style"/>
    </int2:bookmark>
    <int2:bookmark int2:bookmarkName="_Int_Rod7ltde" int2:invalidationBookmarkName="" int2:hashCode="051uur3qTsy1Ie" int2:id="f7Zohaaa">
      <int2:state int2:value="Rejected" int2:type="style"/>
    </int2:bookmark>
    <int2:bookmark int2:bookmarkName="_Int_FkoWKxd6" int2:invalidationBookmarkName="" int2:hashCode="6xX40Nbu8SUY24" int2:id="fstIQLzv">
      <int2:state int2:value="Rejected" int2:type="style"/>
    </int2:bookmark>
    <int2:bookmark int2:bookmarkName="_Int_aXBM84Rd" int2:invalidationBookmarkName="" int2:hashCode="051uur3qTsy1Ie" int2:id="gHQlXvOC">
      <int2:state int2:value="Rejected" int2:type="style"/>
    </int2:bookmark>
    <int2:bookmark int2:bookmarkName="_Int_sRwWLy9v" int2:invalidationBookmarkName="" int2:hashCode="d9g7cOA8DwFYuz" int2:id="gRhBGsF7">
      <int2:state int2:value="Rejected" int2:type="style"/>
    </int2:bookmark>
    <int2:bookmark int2:bookmarkName="_Int_gFN8Mg4Z" int2:invalidationBookmarkName="" int2:hashCode="SLGLFARhzcGrh6" int2:id="gcAYbKX1">
      <int2:state int2:value="Rejected" int2:type="style"/>
    </int2:bookmark>
    <int2:bookmark int2:bookmarkName="_Int_rDP8cGHH" int2:invalidationBookmarkName="" int2:hashCode="99IMGKzxStxKEj" int2:id="gdZN06RG">
      <int2:state int2:value="Rejected" int2:type="style"/>
    </int2:bookmark>
    <int2:bookmark int2:bookmarkName="_Int_jZ2zwblQ" int2:invalidationBookmarkName="" int2:hashCode="dz2p4+UiYI1iPw" int2:id="hBJMbTjY">
      <int2:state int2:value="Rejected" int2:type="style"/>
    </int2:bookmark>
    <int2:bookmark int2:bookmarkName="_Int_Fskdu4K4" int2:invalidationBookmarkName="" int2:hashCode="SMFwPIHakRGYAb" int2:id="hEhhMs0d">
      <int2:state int2:value="Rejected" int2:type="style"/>
    </int2:bookmark>
    <int2:bookmark int2:bookmarkName="_Int_nVuOeWaE" int2:invalidationBookmarkName="" int2:hashCode="9+2vMoLa+2CcfU" int2:id="hVInJxqu">
      <int2:state int2:value="Rejected" int2:type="style"/>
    </int2:bookmark>
    <int2:bookmark int2:bookmarkName="_Int_0xFfg1vU" int2:invalidationBookmarkName="" int2:hashCode="5NmnYnEbPG7rVG" int2:id="hczUDK89">
      <int2:state int2:value="Rejected" int2:type="style"/>
    </int2:bookmark>
    <int2:bookmark int2:bookmarkName="_Int_FOE7j8vv" int2:invalidationBookmarkName="" int2:hashCode="0tyHOGg/WBc2bv" int2:id="hr2wgBLX">
      <int2:state int2:value="Rejected" int2:type="style"/>
    </int2:bookmark>
    <int2:bookmark int2:bookmarkName="_Int_eEQg1KJf" int2:invalidationBookmarkName="" int2:hashCode="qE16RaruDPZggA" int2:id="i1o9jawS">
      <int2:state int2:value="Rejected" int2:type="style"/>
    </int2:bookmark>
    <int2:bookmark int2:bookmarkName="_Int_S83e3TCS" int2:invalidationBookmarkName="" int2:hashCode="SradH0SdDJdch8" int2:id="i991k8cP">
      <int2:state int2:value="Rejected" int2:type="style"/>
    </int2:bookmark>
    <int2:bookmark int2:bookmarkName="_Int_beCDqHzI" int2:invalidationBookmarkName="" int2:hashCode="8+x9wAokN1wf5f" int2:id="iHuzxF31">
      <int2:state int2:value="Rejected" int2:type="style"/>
    </int2:bookmark>
    <int2:bookmark int2:bookmarkName="_Int_vxyiZ3k3" int2:invalidationBookmarkName="" int2:hashCode="m/D4/19di8v/ud" int2:id="j22KA5sF">
      <int2:state int2:value="Rejected" int2:type="style"/>
    </int2:bookmark>
    <int2:bookmark int2:bookmarkName="_Int_vgeOITKM" int2:invalidationBookmarkName="" int2:hashCode="B+ST2jTh43pcjw" int2:id="j7by7yR3">
      <int2:state int2:value="Rejected" int2:type="style"/>
    </int2:bookmark>
    <int2:bookmark int2:bookmarkName="_Int_jB7y1Ztc" int2:invalidationBookmarkName="" int2:hashCode="twyb7C76GKizJs" int2:id="jH9njp5T">
      <int2:state int2:value="Rejected" int2:type="style"/>
    </int2:bookmark>
    <int2:bookmark int2:bookmarkName="_Int_15RlGIUu" int2:invalidationBookmarkName="" int2:hashCode="dkmkRuVDysnpuX" int2:id="jLZVxC8r">
      <int2:state int2:value="Rejected" int2:type="style"/>
    </int2:bookmark>
    <int2:bookmark int2:bookmarkName="_Int_SRqh5Oum" int2:invalidationBookmarkName="" int2:hashCode="8+x9wAokN1wf5f" int2:id="jqElDqhg">
      <int2:state int2:value="Rejected" int2:type="style"/>
    </int2:bookmark>
    <int2:bookmark int2:bookmarkName="_Int_32gqp98d" int2:invalidationBookmarkName="" int2:hashCode="twyb7C76GKizJs" int2:id="kDoemoJD">
      <int2:state int2:value="Rejected" int2:type="style"/>
    </int2:bookmark>
    <int2:bookmark int2:bookmarkName="_Int_Kp4L1JJi" int2:invalidationBookmarkName="" int2:hashCode="/aQ3g76OCz+SBq" int2:id="kFBiIW6K">
      <int2:state int2:value="Rejected" int2:type="style"/>
    </int2:bookmark>
    <int2:bookmark int2:bookmarkName="_Int_OdvgN5SB" int2:invalidationBookmarkName="" int2:hashCode="GaoLlVCbMef1hh" int2:id="ka1GvDMW">
      <int2:state int2:value="Rejected" int2:type="style"/>
    </int2:bookmark>
    <int2:bookmark int2:bookmarkName="_Int_ltIhxiCW" int2:invalidationBookmarkName="" int2:hashCode="A6MrEu74QbHENH" int2:id="kpN2fe5G">
      <int2:state int2:value="Rejected" int2:type="style"/>
    </int2:bookmark>
    <int2:bookmark int2:bookmarkName="_Int_TasyTSNQ" int2:invalidationBookmarkName="" int2:hashCode="YBGaHoufi1jRHM" int2:id="lIcnaoki">
      <int2:state int2:value="Rejected" int2:type="style"/>
    </int2:bookmark>
    <int2:bookmark int2:bookmarkName="_Int_97qlSb1h" int2:invalidationBookmarkName="" int2:hashCode="dalNooyseA++F1" int2:id="lTzvGAPJ">
      <int2:state int2:value="Rejected" int2:type="style"/>
    </int2:bookmark>
    <int2:bookmark int2:bookmarkName="_Int_6gRzPMpH" int2:invalidationBookmarkName="" int2:hashCode="P/+wYeKhUD52gM" int2:id="lWdVlf80">
      <int2:state int2:value="Rejected" int2:type="style"/>
    </int2:bookmark>
    <int2:bookmark int2:bookmarkName="_Int_1gC06mX6" int2:invalidationBookmarkName="" int2:hashCode="ZanletI6wlweVG" int2:id="lcMJqOB5">
      <int2:state int2:value="Rejected" int2:type="style"/>
    </int2:bookmark>
    <int2:bookmark int2:bookmarkName="_Int_nDubsKjU" int2:invalidationBookmarkName="" int2:hashCode="e3+TZqNgMaC5Vf" int2:id="lytL7kty">
      <int2:state int2:value="Rejected" int2:type="style"/>
    </int2:bookmark>
    <int2:bookmark int2:bookmarkName="_Int_QR5pGwPE" int2:invalidationBookmarkName="" int2:hashCode="6xX40Nbu8SUY24" int2:id="mde04XLm">
      <int2:state int2:value="Rejected" int2:type="style"/>
    </int2:bookmark>
    <int2:bookmark int2:bookmarkName="_Int_4jgsmL0M" int2:invalidationBookmarkName="" int2:hashCode="8+x9wAokN1wf5f" int2:id="mzWDOxs9">
      <int2:state int2:value="Rejected" int2:type="style"/>
    </int2:bookmark>
    <int2:bookmark int2:bookmarkName="_Int_v8pSYCeC" int2:invalidationBookmarkName="" int2:hashCode="n703TE757c/wrk" int2:id="nGwEb4J0">
      <int2:state int2:value="Rejected" int2:type="style"/>
    </int2:bookmark>
    <int2:bookmark int2:bookmarkName="_Int_qWMzbT4S" int2:invalidationBookmarkName="" int2:hashCode="4RWV+tKbYeTtTT" int2:id="nxBNBhQW">
      <int2:state int2:value="Rejected" int2:type="style"/>
    </int2:bookmark>
    <int2:bookmark int2:bookmarkName="_Int_Ca12wQ5O" int2:invalidationBookmarkName="" int2:hashCode="NkuAFmxRyt4Qv9" int2:id="nybL9Km0">
      <int2:state int2:value="Rejected" int2:type="style"/>
    </int2:bookmark>
    <int2:bookmark int2:bookmarkName="_Int_utAKOV6C" int2:invalidationBookmarkName="" int2:hashCode="UjDH1Vnkat3K2m" int2:id="oH9sGvGE">
      <int2:state int2:value="Rejected" int2:type="style"/>
    </int2:bookmark>
    <int2:bookmark int2:bookmarkName="_Int_3l8HfUTj" int2:invalidationBookmarkName="" int2:hashCode="8+x9wAokN1wf5f" int2:id="oKi4cvG7">
      <int2:state int2:value="Rejected" int2:type="style"/>
    </int2:bookmark>
    <int2:bookmark int2:bookmarkName="_Int_SuUNAb46" int2:invalidationBookmarkName="" int2:hashCode="6xX40Nbu8SUY24" int2:id="oRW9AKxo">
      <int2:state int2:value="Rejected" int2:type="style"/>
    </int2:bookmark>
    <int2:bookmark int2:bookmarkName="_Int_JpFvV8jx" int2:invalidationBookmarkName="" int2:hashCode="OFYXKXAfBAKJwz" int2:id="oWAACYBe">
      <int2:state int2:value="Rejected" int2:type="style"/>
    </int2:bookmark>
    <int2:bookmark int2:bookmarkName="_Int_iKxr0z11" int2:invalidationBookmarkName="" int2:hashCode="gNnnTkPTW8q52R" int2:id="ogEchYqh">
      <int2:state int2:value="Rejected" int2:type="style"/>
    </int2:bookmark>
    <int2:bookmark int2:bookmarkName="_Int_3LN19UWq" int2:invalidationBookmarkName="" int2:hashCode="syeX4O/4lJ+13n" int2:id="okPhzjfy">
      <int2:state int2:value="Rejected" int2:type="style"/>
    </int2:bookmark>
    <int2:bookmark int2:bookmarkName="_Int_5TLnJfY9" int2:invalidationBookmarkName="" int2:hashCode="dkmkRuVDysnpuX" int2:id="ovG5KVu7">
      <int2:state int2:value="Rejected" int2:type="style"/>
    </int2:bookmark>
    <int2:bookmark int2:bookmarkName="_Int_r33QAgc5" int2:invalidationBookmarkName="" int2:hashCode="Q5uJDgMziuMGOO" int2:id="pRMkK3Wu">
      <int2:state int2:value="Rejected" int2:type="style"/>
    </int2:bookmark>
    <int2:bookmark int2:bookmarkName="_Int_lvgHI63r" int2:invalidationBookmarkName="" int2:hashCode="DnfKAEcAKPtOFp" int2:id="pmys5ITj">
      <int2:state int2:value="Rejected" int2:type="style"/>
    </int2:bookmark>
    <int2:bookmark int2:bookmarkName="_Int_OtvxT48H" int2:invalidationBookmarkName="" int2:hashCode="v1+anaRfUIDswh" int2:id="pn0dGAe6">
      <int2:state int2:value="Rejected" int2:type="style"/>
    </int2:bookmark>
    <int2:bookmark int2:bookmarkName="_Int_ySGk2Vbd" int2:invalidationBookmarkName="" int2:hashCode="4RWV+tKbYeTtTT" int2:id="ppCXjIxZ">
      <int2:state int2:value="Rejected" int2:type="style"/>
    </int2:bookmark>
    <int2:bookmark int2:bookmarkName="_Int_WBSis9yr" int2:invalidationBookmarkName="" int2:hashCode="8+x9wAokN1wf5f" int2:id="q382Humo">
      <int2:state int2:value="Rejected" int2:type="style"/>
    </int2:bookmark>
    <int2:bookmark int2:bookmarkName="_Int_04h21tAx" int2:invalidationBookmarkName="" int2:hashCode="VlWurkuBuI6yqU" int2:id="q3oMxpLN">
      <int2:state int2:value="Rejected" int2:type="style"/>
    </int2:bookmark>
    <int2:bookmark int2:bookmarkName="_Int_9TQ1CJK8" int2:invalidationBookmarkName="" int2:hashCode="m/D4/19di8v/ud" int2:id="qTJ8m9Ox">
      <int2:state int2:value="Rejected" int2:type="style"/>
    </int2:bookmark>
    <int2:bookmark int2:bookmarkName="_Int_Db6cSmW3" int2:invalidationBookmarkName="" int2:hashCode="fOK7ca/Dn//cV9" int2:id="qZoX3teJ">
      <int2:state int2:value="Rejected" int2:type="style"/>
    </int2:bookmark>
    <int2:bookmark int2:bookmarkName="_Int_aYcku7ME" int2:invalidationBookmarkName="" int2:hashCode="IEEkdmk2qlIoq+" int2:id="qpQ1WvBl">
      <int2:state int2:value="Rejected" int2:type="style"/>
    </int2:bookmark>
    <int2:bookmark int2:bookmarkName="_Int_KbjvKLkc" int2:invalidationBookmarkName="" int2:hashCode="twyb7C76GKizJs" int2:id="qv78PBQp">
      <int2:state int2:value="Rejected" int2:type="style"/>
    </int2:bookmark>
    <int2:bookmark int2:bookmarkName="_Int_kqthFvjX" int2:invalidationBookmarkName="" int2:hashCode="PnCVPDQcdUa4pf" int2:id="rYciVI2F">
      <int2:state int2:value="Rejected" int2:type="style"/>
    </int2:bookmark>
    <int2:bookmark int2:bookmarkName="_Int_8zuqrRQD" int2:invalidationBookmarkName="" int2:hashCode="1ufNAFwK2pYs8c" int2:id="rcG7pUql">
      <int2:state int2:value="Rejected" int2:type="style"/>
    </int2:bookmark>
    <int2:bookmark int2:bookmarkName="_Int_xv6avsJj" int2:invalidationBookmarkName="" int2:hashCode="20lmumeNxO0dfa" int2:id="rjlCpIZM">
      <int2:state int2:value="Rejected" int2:type="style"/>
    </int2:bookmark>
    <int2:bookmark int2:bookmarkName="_Int_XjJFAi2z" int2:invalidationBookmarkName="" int2:hashCode="5NmnYnEbPG7rVG" int2:id="s35VU2Fp">
      <int2:state int2:value="Rejected" int2:type="style"/>
    </int2:bookmark>
    <int2:bookmark int2:bookmarkName="_Int_0BymMiTB" int2:invalidationBookmarkName="" int2:hashCode="XnBZUbOy6FEQ0N" int2:id="s3TkwzrN">
      <int2:state int2:value="Rejected" int2:type="style"/>
    </int2:bookmark>
    <int2:bookmark int2:bookmarkName="_Int_sPcrY7zt" int2:invalidationBookmarkName="" int2:hashCode="PitjGySAHaEqkU" int2:id="sC4MRcxB">
      <int2:state int2:value="Rejected" int2:type="style"/>
    </int2:bookmark>
    <int2:bookmark int2:bookmarkName="_Int_fOBKJFWs" int2:invalidationBookmarkName="" int2:hashCode="fmqXxWQsmD6pjn" int2:id="sEjUG2eW">
      <int2:state int2:value="Rejected" int2:type="style"/>
    </int2:bookmark>
    <int2:bookmark int2:bookmarkName="_Int_3JwdHZaH" int2:invalidationBookmarkName="" int2:hashCode="nooB8ljuYJMKIn" int2:id="slCV2KPt">
      <int2:state int2:value="Rejected" int2:type="style"/>
    </int2:bookmark>
    <int2:bookmark int2:bookmarkName="_Int_iqt69NmZ" int2:invalidationBookmarkName="" int2:hashCode="v+IyjAxbn0FKde" int2:id="sqW3rB44">
      <int2:state int2:value="Rejected" int2:type="style"/>
    </int2:bookmark>
    <int2:bookmark int2:bookmarkName="_Int_1g4I4cp0" int2:invalidationBookmarkName="" int2:hashCode="hX/45hd2EspNt9" int2:id="sswVkPmi">
      <int2:state int2:value="Rejected" int2:type="style"/>
    </int2:bookmark>
    <int2:bookmark int2:bookmarkName="_Int_o41lg2mJ" int2:invalidationBookmarkName="" int2:hashCode="ttZLHufjC5dMTJ" int2:id="t0PAMxT6">
      <int2:state int2:value="Rejected" int2:type="style"/>
    </int2:bookmark>
    <int2:bookmark int2:bookmarkName="_Int_C4MUMNJA" int2:invalidationBookmarkName="" int2:hashCode="/aQ3g76OCz+SBq" int2:id="tHP9TTkf">
      <int2:state int2:value="Rejected" int2:type="style"/>
    </int2:bookmark>
    <int2:bookmark int2:bookmarkName="_Int_AKp9i2eB" int2:invalidationBookmarkName="" int2:hashCode="ZoiIM1cnwwtkkh" int2:id="te8uvi1H">
      <int2:state int2:value="Rejected" int2:type="style"/>
    </int2:bookmark>
    <int2:bookmark int2:bookmarkName="_Int_yiForITS" int2:invalidationBookmarkName="" int2:hashCode="IEEkdmk2qlIoq+" int2:id="uFiMMMRY">
      <int2:state int2:value="Rejected" int2:type="style"/>
    </int2:bookmark>
    <int2:bookmark int2:bookmarkName="_Int_4jssQMat" int2:invalidationBookmarkName="" int2:hashCode="XnBZUbOy6FEQ0N" int2:id="uIJONshh">
      <int2:state int2:value="Rejected" int2:type="style"/>
    </int2:bookmark>
    <int2:bookmark int2:bookmarkName="_Int_lExzUsWn" int2:invalidationBookmarkName="" int2:hashCode="v1+anaRfUIDswh" int2:id="uMiSjRUN">
      <int2:state int2:value="Rejected" int2:type="style"/>
    </int2:bookmark>
    <int2:bookmark int2:bookmarkName="_Int_18bRJ02Z" int2:invalidationBookmarkName="" int2:hashCode="lMZ6t9kkAfKz1w" int2:id="ud7aq7w1">
      <int2:state int2:value="Rejected" int2:type="style"/>
    </int2:bookmark>
    <int2:bookmark int2:bookmarkName="_Int_dWM08NGY" int2:invalidationBookmarkName="" int2:hashCode="351r0XWD+hEdsL" int2:id="v3BnUMCE">
      <int2:state int2:value="Rejected" int2:type="style"/>
    </int2:bookmark>
    <int2:bookmark int2:bookmarkName="_Int_YjoLKxUM" int2:invalidationBookmarkName="" int2:hashCode="4uvCBYKKFiPGZR" int2:id="vCBSoLgZ">
      <int2:state int2:value="Rejected" int2:type="style"/>
    </int2:bookmark>
    <int2:bookmark int2:bookmarkName="_Int_20RTD9bx" int2:invalidationBookmarkName="" int2:hashCode="822G2YT1BzW/KR" int2:id="vDjVP0LY">
      <int2:state int2:value="Rejected" int2:type="style"/>
    </int2:bookmark>
    <int2:bookmark int2:bookmarkName="_Int_v6fj2qZW" int2:invalidationBookmarkName="" int2:hashCode="1ufNAFwK2pYs8c" int2:id="vNyUPbcy">
      <int2:state int2:value="Rejected" int2:type="style"/>
    </int2:bookmark>
    <int2:bookmark int2:bookmarkName="_Int_VK8LsscZ" int2:invalidationBookmarkName="" int2:hashCode="KY4lrqUSB2orV0" int2:id="wi54hwlU">
      <int2:state int2:value="Rejected" int2:type="style"/>
    </int2:bookmark>
    <int2:bookmark int2:bookmarkName="_Int_ctIMMrOU" int2:invalidationBookmarkName="" int2:hashCode="B4yZLneUjRPpMv" int2:id="xE6reTN3">
      <int2:state int2:value="Rejected" int2:type="style"/>
    </int2:bookmark>
    <int2:bookmark int2:bookmarkName="_Int_RFVCsd8j" int2:invalidationBookmarkName="" int2:hashCode="tnsYK9K0bgIv58" int2:id="xoIKJlvf">
      <int2:state int2:value="Rejected" int2:type="style"/>
    </int2:bookmark>
    <int2:bookmark int2:bookmarkName="_Int_OiGvdk4B" int2:invalidationBookmarkName="" int2:hashCode="SMFwPIHakRGYAb" int2:id="xowj0K3H">
      <int2:state int2:value="Rejected" int2:type="style"/>
    </int2:bookmark>
    <int2:bookmark int2:bookmarkName="_Int_8lRjkudu" int2:invalidationBookmarkName="" int2:hashCode="ZanletI6wlweVG" int2:id="yGfPFw8s">
      <int2:state int2:value="Rejected" int2:type="style"/>
    </int2:bookmark>
    <int2:bookmark int2:bookmarkName="_Int_SYDkLqPg" int2:invalidationBookmarkName="" int2:hashCode="YBGaHoufi1jRHM" int2:id="ymfBqXKM">
      <int2:state int2:value="Rejected" int2:type="style"/>
    </int2:bookmark>
    <int2:bookmark int2:bookmarkName="_Int_jfaTCuc1" int2:invalidationBookmarkName="" int2:hashCode="MmYdeQxO9bdfYS" int2:id="yyQ4f01a">
      <int2:state int2:value="Rejected" int2:type="style"/>
    </int2:bookmark>
    <int2:bookmark int2:bookmarkName="_Int_YtakioV7" int2:invalidationBookmarkName="" int2:hashCode="nooB8ljuYJMKIn" int2:id="zBnCvqFB">
      <int2:state int2:value="Rejected" int2:type="style"/>
    </int2:bookmark>
    <int2:bookmark int2:bookmarkName="_Int_i2cjatAq" int2:invalidationBookmarkName="" int2:hashCode="IEEkdmk2qlIoq+" int2:id="ztLJHq88">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D2E4432"/>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067C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43A7F50"/>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7B57C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4"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32476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AF2432D"/>
    <w:multiLevelType w:val="hybridMultilevel"/>
    <w:tmpl w:val="CDD29520"/>
    <w:lvl w:ilvl="0" w:tplc="6076ECC4">
      <w:start w:val="1"/>
      <w:numFmt w:val="decimal"/>
      <w:lvlText w:val="%1."/>
      <w:lvlJc w:val="left"/>
      <w:pPr>
        <w:ind w:left="360" w:hanging="360"/>
      </w:pPr>
      <w:rPr>
        <w:b w:val="0"/>
        <w:bCs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2" w15:restartNumberingAfterBreak="0">
    <w:nsid w:val="5F0455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0"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88E60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6"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8"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1"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2"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7C186949"/>
    <w:multiLevelType w:val="hybridMultilevel"/>
    <w:tmpl w:val="93D02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6"/>
  </w:num>
  <w:num w:numId="2" w16cid:durableId="1500121260">
    <w:abstractNumId w:val="60"/>
  </w:num>
  <w:num w:numId="3" w16cid:durableId="438111508">
    <w:abstractNumId w:val="99"/>
  </w:num>
  <w:num w:numId="4" w16cid:durableId="106121269">
    <w:abstractNumId w:val="18"/>
  </w:num>
  <w:num w:numId="5" w16cid:durableId="1859468656">
    <w:abstractNumId w:val="112"/>
  </w:num>
  <w:num w:numId="6" w16cid:durableId="407923627">
    <w:abstractNumId w:val="110"/>
  </w:num>
  <w:num w:numId="7" w16cid:durableId="1173763238">
    <w:abstractNumId w:val="73"/>
  </w:num>
  <w:num w:numId="8" w16cid:durableId="515197422">
    <w:abstractNumId w:val="51"/>
  </w:num>
  <w:num w:numId="9" w16cid:durableId="650984044">
    <w:abstractNumId w:val="14"/>
  </w:num>
  <w:num w:numId="10" w16cid:durableId="676225712">
    <w:abstractNumId w:val="102"/>
  </w:num>
  <w:num w:numId="11" w16cid:durableId="654647421">
    <w:abstractNumId w:val="72"/>
  </w:num>
  <w:num w:numId="12" w16cid:durableId="972827862">
    <w:abstractNumId w:val="75"/>
  </w:num>
  <w:num w:numId="13" w16cid:durableId="73359902">
    <w:abstractNumId w:val="49"/>
  </w:num>
  <w:num w:numId="14" w16cid:durableId="1233615214">
    <w:abstractNumId w:val="11"/>
  </w:num>
  <w:num w:numId="15" w16cid:durableId="1037585576">
    <w:abstractNumId w:val="108"/>
  </w:num>
  <w:num w:numId="16" w16cid:durableId="1454127918">
    <w:abstractNumId w:val="91"/>
  </w:num>
  <w:num w:numId="17" w16cid:durableId="1655717882">
    <w:abstractNumId w:val="34"/>
  </w:num>
  <w:num w:numId="18" w16cid:durableId="679818721">
    <w:abstractNumId w:val="7"/>
  </w:num>
  <w:num w:numId="19" w16cid:durableId="820851363">
    <w:abstractNumId w:val="2"/>
  </w:num>
  <w:num w:numId="20" w16cid:durableId="1752123437">
    <w:abstractNumId w:val="65"/>
  </w:num>
  <w:num w:numId="21" w16cid:durableId="776406381">
    <w:abstractNumId w:val="10"/>
  </w:num>
  <w:num w:numId="22" w16cid:durableId="2003772795">
    <w:abstractNumId w:val="114"/>
  </w:num>
  <w:num w:numId="23" w16cid:durableId="471214588">
    <w:abstractNumId w:val="8"/>
  </w:num>
  <w:num w:numId="24" w16cid:durableId="747188340">
    <w:abstractNumId w:val="98"/>
  </w:num>
  <w:num w:numId="25" w16cid:durableId="1617635105">
    <w:abstractNumId w:val="22"/>
  </w:num>
  <w:num w:numId="26" w16cid:durableId="1919750537">
    <w:abstractNumId w:val="104"/>
  </w:num>
  <w:num w:numId="27" w16cid:durableId="1917666381">
    <w:abstractNumId w:val="4"/>
  </w:num>
  <w:num w:numId="28" w16cid:durableId="836925604">
    <w:abstractNumId w:val="90"/>
  </w:num>
  <w:num w:numId="29" w16cid:durableId="881479433">
    <w:abstractNumId w:val="76"/>
  </w:num>
  <w:num w:numId="30" w16cid:durableId="164788852">
    <w:abstractNumId w:val="81"/>
  </w:num>
  <w:num w:numId="31" w16cid:durableId="735323509">
    <w:abstractNumId w:val="16"/>
  </w:num>
  <w:num w:numId="32" w16cid:durableId="1000431254">
    <w:abstractNumId w:val="48"/>
  </w:num>
  <w:num w:numId="33" w16cid:durableId="434404662">
    <w:abstractNumId w:val="25"/>
  </w:num>
  <w:num w:numId="34" w16cid:durableId="792409853">
    <w:abstractNumId w:val="58"/>
  </w:num>
  <w:num w:numId="35" w16cid:durableId="70469880">
    <w:abstractNumId w:val="63"/>
  </w:num>
  <w:num w:numId="36" w16cid:durableId="1255548974">
    <w:abstractNumId w:val="54"/>
  </w:num>
  <w:num w:numId="37" w16cid:durableId="509951972">
    <w:abstractNumId w:val="41"/>
  </w:num>
  <w:num w:numId="38" w16cid:durableId="1491873496">
    <w:abstractNumId w:val="68"/>
  </w:num>
  <w:num w:numId="39" w16cid:durableId="1277179892">
    <w:abstractNumId w:val="80"/>
  </w:num>
  <w:num w:numId="40" w16cid:durableId="1137721610">
    <w:abstractNumId w:val="64"/>
  </w:num>
  <w:num w:numId="41" w16cid:durableId="1569337486">
    <w:abstractNumId w:val="115"/>
  </w:num>
  <w:num w:numId="42" w16cid:durableId="1771851078">
    <w:abstractNumId w:val="5"/>
  </w:num>
  <w:num w:numId="43" w16cid:durableId="1096747610">
    <w:abstractNumId w:val="24"/>
  </w:num>
  <w:num w:numId="44" w16cid:durableId="1853105471">
    <w:abstractNumId w:val="93"/>
  </w:num>
  <w:num w:numId="45" w16cid:durableId="2016615092">
    <w:abstractNumId w:val="59"/>
  </w:num>
  <w:num w:numId="46" w16cid:durableId="439030946">
    <w:abstractNumId w:val="78"/>
  </w:num>
  <w:num w:numId="47" w16cid:durableId="315690756">
    <w:abstractNumId w:val="42"/>
  </w:num>
  <w:num w:numId="48" w16cid:durableId="1252278660">
    <w:abstractNumId w:val="13"/>
  </w:num>
  <w:num w:numId="49" w16cid:durableId="1719351677">
    <w:abstractNumId w:val="85"/>
  </w:num>
  <w:num w:numId="50" w16cid:durableId="1107427397">
    <w:abstractNumId w:val="27"/>
  </w:num>
  <w:num w:numId="51" w16cid:durableId="371266753">
    <w:abstractNumId w:val="79"/>
  </w:num>
  <w:num w:numId="52" w16cid:durableId="491869272">
    <w:abstractNumId w:val="33"/>
  </w:num>
  <w:num w:numId="53" w16cid:durableId="1351251430">
    <w:abstractNumId w:val="83"/>
  </w:num>
  <w:num w:numId="54" w16cid:durableId="1368607436">
    <w:abstractNumId w:val="105"/>
  </w:num>
  <w:num w:numId="55" w16cid:durableId="1588029100">
    <w:abstractNumId w:val="111"/>
  </w:num>
  <w:num w:numId="56" w16cid:durableId="415832180">
    <w:abstractNumId w:val="100"/>
  </w:num>
  <w:num w:numId="57" w16cid:durableId="1178735139">
    <w:abstractNumId w:val="50"/>
  </w:num>
  <w:num w:numId="58" w16cid:durableId="721834200">
    <w:abstractNumId w:val="61"/>
  </w:num>
  <w:num w:numId="59" w16cid:durableId="686251813">
    <w:abstractNumId w:val="1"/>
  </w:num>
  <w:num w:numId="60" w16cid:durableId="1960641414">
    <w:abstractNumId w:val="15"/>
  </w:num>
  <w:num w:numId="61" w16cid:durableId="39089564">
    <w:abstractNumId w:val="53"/>
  </w:num>
  <w:num w:numId="62" w16cid:durableId="1192718157">
    <w:abstractNumId w:val="23"/>
  </w:num>
  <w:num w:numId="63" w16cid:durableId="1777825955">
    <w:abstractNumId w:val="86"/>
  </w:num>
  <w:num w:numId="64" w16cid:durableId="286199487">
    <w:abstractNumId w:val="29"/>
  </w:num>
  <w:num w:numId="65" w16cid:durableId="1119490663">
    <w:abstractNumId w:val="67"/>
  </w:num>
  <w:num w:numId="66" w16cid:durableId="1353922786">
    <w:abstractNumId w:val="38"/>
  </w:num>
  <w:num w:numId="67" w16cid:durableId="492723980">
    <w:abstractNumId w:val="71"/>
  </w:num>
  <w:num w:numId="68" w16cid:durableId="526941613">
    <w:abstractNumId w:val="39"/>
  </w:num>
  <w:num w:numId="69" w16cid:durableId="320043301">
    <w:abstractNumId w:val="69"/>
  </w:num>
  <w:num w:numId="70" w16cid:durableId="2037610982">
    <w:abstractNumId w:val="6"/>
  </w:num>
  <w:num w:numId="71" w16cid:durableId="1079794559">
    <w:abstractNumId w:val="45"/>
  </w:num>
  <w:num w:numId="72" w16cid:durableId="503403534">
    <w:abstractNumId w:val="40"/>
  </w:num>
  <w:num w:numId="73" w16cid:durableId="194734275">
    <w:abstractNumId w:val="12"/>
  </w:num>
  <w:num w:numId="74" w16cid:durableId="424033359">
    <w:abstractNumId w:val="52"/>
  </w:num>
  <w:num w:numId="75" w16cid:durableId="1335066293">
    <w:abstractNumId w:val="95"/>
  </w:num>
  <w:num w:numId="76" w16cid:durableId="662587085">
    <w:abstractNumId w:val="43"/>
  </w:num>
  <w:num w:numId="77" w16cid:durableId="2071072074">
    <w:abstractNumId w:val="89"/>
  </w:num>
  <w:num w:numId="78" w16cid:durableId="1573662111">
    <w:abstractNumId w:val="107"/>
  </w:num>
  <w:num w:numId="79" w16cid:durableId="131678057">
    <w:abstractNumId w:val="101"/>
  </w:num>
  <w:num w:numId="80" w16cid:durableId="99565733">
    <w:abstractNumId w:val="32"/>
  </w:num>
  <w:num w:numId="81" w16cid:durableId="1810784339">
    <w:abstractNumId w:val="74"/>
  </w:num>
  <w:num w:numId="82" w16cid:durableId="1491748033">
    <w:abstractNumId w:val="88"/>
  </w:num>
  <w:num w:numId="83" w16cid:durableId="670565925">
    <w:abstractNumId w:val="20"/>
  </w:num>
  <w:num w:numId="84" w16cid:durableId="211696971">
    <w:abstractNumId w:val="31"/>
  </w:num>
  <w:num w:numId="85" w16cid:durableId="1773429901">
    <w:abstractNumId w:val="47"/>
  </w:num>
  <w:num w:numId="86" w16cid:durableId="804733676">
    <w:abstractNumId w:val="35"/>
  </w:num>
  <w:num w:numId="87" w16cid:durableId="488864096">
    <w:abstractNumId w:val="96"/>
  </w:num>
  <w:num w:numId="88" w16cid:durableId="1599749197">
    <w:abstractNumId w:val="46"/>
  </w:num>
  <w:num w:numId="89" w16cid:durableId="1726679607">
    <w:abstractNumId w:val="26"/>
  </w:num>
  <w:num w:numId="90" w16cid:durableId="1630209448">
    <w:abstractNumId w:val="56"/>
  </w:num>
  <w:num w:numId="91" w16cid:durableId="928663234">
    <w:abstractNumId w:val="70"/>
  </w:num>
  <w:num w:numId="92" w16cid:durableId="2017072952">
    <w:abstractNumId w:val="84"/>
  </w:num>
  <w:num w:numId="93" w16cid:durableId="58405484">
    <w:abstractNumId w:val="37"/>
  </w:num>
  <w:num w:numId="94" w16cid:durableId="1817530714">
    <w:abstractNumId w:val="17"/>
  </w:num>
  <w:num w:numId="95" w16cid:durableId="2141336387">
    <w:abstractNumId w:val="66"/>
  </w:num>
  <w:num w:numId="96" w16cid:durableId="1325282792">
    <w:abstractNumId w:val="3"/>
  </w:num>
  <w:num w:numId="97" w16cid:durableId="1319654748">
    <w:abstractNumId w:val="87"/>
  </w:num>
  <w:num w:numId="98" w16cid:durableId="556555801">
    <w:abstractNumId w:val="0"/>
  </w:num>
  <w:num w:numId="99" w16cid:durableId="1903828627">
    <w:abstractNumId w:val="19"/>
  </w:num>
  <w:num w:numId="100" w16cid:durableId="281425930">
    <w:abstractNumId w:val="57"/>
  </w:num>
  <w:num w:numId="101" w16cid:durableId="1491553762">
    <w:abstractNumId w:val="44"/>
  </w:num>
  <w:num w:numId="102" w16cid:durableId="965625632">
    <w:abstractNumId w:val="94"/>
  </w:num>
  <w:num w:numId="103" w16cid:durableId="1481145624">
    <w:abstractNumId w:val="116"/>
  </w:num>
  <w:num w:numId="104" w16cid:durableId="29957555">
    <w:abstractNumId w:val="109"/>
  </w:num>
  <w:num w:numId="105" w16cid:durableId="1042821728">
    <w:abstractNumId w:val="97"/>
  </w:num>
  <w:num w:numId="106" w16cid:durableId="633143735">
    <w:abstractNumId w:val="103"/>
  </w:num>
  <w:num w:numId="107" w16cid:durableId="1100951892">
    <w:abstractNumId w:val="28"/>
  </w:num>
  <w:num w:numId="108" w16cid:durableId="1175414212">
    <w:abstractNumId w:val="82"/>
  </w:num>
  <w:num w:numId="109" w16cid:durableId="409893410">
    <w:abstractNumId w:val="21"/>
  </w:num>
  <w:num w:numId="110" w16cid:durableId="1838038927">
    <w:abstractNumId w:val="30"/>
  </w:num>
  <w:num w:numId="111" w16cid:durableId="2108690375">
    <w:abstractNumId w:val="113"/>
  </w:num>
  <w:num w:numId="112" w16cid:durableId="2140562670">
    <w:abstractNumId w:val="77"/>
  </w:num>
  <w:num w:numId="113" w16cid:durableId="1693997367">
    <w:abstractNumId w:val="62"/>
  </w:num>
  <w:num w:numId="114" w16cid:durableId="728695439">
    <w:abstractNumId w:val="36"/>
  </w:num>
  <w:num w:numId="115" w16cid:durableId="1786928530">
    <w:abstractNumId w:val="9"/>
  </w:num>
  <w:num w:numId="116" w16cid:durableId="945036378">
    <w:abstractNumId w:val="92"/>
  </w:num>
  <w:num w:numId="117" w16cid:durableId="1048840309">
    <w:abstractNumId w:val="55"/>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147"/>
    <w:rsid w:val="000001AC"/>
    <w:rsid w:val="00000298"/>
    <w:rsid w:val="000002C6"/>
    <w:rsid w:val="000010D6"/>
    <w:rsid w:val="0000152D"/>
    <w:rsid w:val="0000164C"/>
    <w:rsid w:val="00002077"/>
    <w:rsid w:val="000027FB"/>
    <w:rsid w:val="0000430E"/>
    <w:rsid w:val="0000475F"/>
    <w:rsid w:val="000047D1"/>
    <w:rsid w:val="00005E55"/>
    <w:rsid w:val="000065F0"/>
    <w:rsid w:val="000066CA"/>
    <w:rsid w:val="0000680F"/>
    <w:rsid w:val="000073D7"/>
    <w:rsid w:val="00007491"/>
    <w:rsid w:val="00007D95"/>
    <w:rsid w:val="000105E2"/>
    <w:rsid w:val="0001128F"/>
    <w:rsid w:val="0001185D"/>
    <w:rsid w:val="00011BCC"/>
    <w:rsid w:val="0001204E"/>
    <w:rsid w:val="0001254D"/>
    <w:rsid w:val="000135BB"/>
    <w:rsid w:val="000149E0"/>
    <w:rsid w:val="00015748"/>
    <w:rsid w:val="0001658A"/>
    <w:rsid w:val="00016BE6"/>
    <w:rsid w:val="000207F2"/>
    <w:rsid w:val="00020C70"/>
    <w:rsid w:val="000216CB"/>
    <w:rsid w:val="00021F74"/>
    <w:rsid w:val="00022000"/>
    <w:rsid w:val="0002228D"/>
    <w:rsid w:val="00022355"/>
    <w:rsid w:val="000224AD"/>
    <w:rsid w:val="00022D16"/>
    <w:rsid w:val="00022FE4"/>
    <w:rsid w:val="00023329"/>
    <w:rsid w:val="000238DD"/>
    <w:rsid w:val="00023B1C"/>
    <w:rsid w:val="00023BC9"/>
    <w:rsid w:val="00023BF3"/>
    <w:rsid w:val="00023E36"/>
    <w:rsid w:val="00024387"/>
    <w:rsid w:val="00024670"/>
    <w:rsid w:val="00024765"/>
    <w:rsid w:val="00025426"/>
    <w:rsid w:val="000256DA"/>
    <w:rsid w:val="000257AD"/>
    <w:rsid w:val="00025837"/>
    <w:rsid w:val="00025E62"/>
    <w:rsid w:val="000260B1"/>
    <w:rsid w:val="000264A2"/>
    <w:rsid w:val="000271BE"/>
    <w:rsid w:val="00030991"/>
    <w:rsid w:val="00030AF8"/>
    <w:rsid w:val="00031180"/>
    <w:rsid w:val="00031209"/>
    <w:rsid w:val="00031384"/>
    <w:rsid w:val="000324D6"/>
    <w:rsid w:val="00032C11"/>
    <w:rsid w:val="00033169"/>
    <w:rsid w:val="00033616"/>
    <w:rsid w:val="000336A0"/>
    <w:rsid w:val="000339CA"/>
    <w:rsid w:val="00033EFD"/>
    <w:rsid w:val="00034899"/>
    <w:rsid w:val="000348C6"/>
    <w:rsid w:val="00034AC5"/>
    <w:rsid w:val="00034DB7"/>
    <w:rsid w:val="000353AF"/>
    <w:rsid w:val="00035F28"/>
    <w:rsid w:val="0003632E"/>
    <w:rsid w:val="0003679B"/>
    <w:rsid w:val="00037232"/>
    <w:rsid w:val="0003768A"/>
    <w:rsid w:val="00037BD1"/>
    <w:rsid w:val="000400E4"/>
    <w:rsid w:val="000402AC"/>
    <w:rsid w:val="000412E0"/>
    <w:rsid w:val="000417ED"/>
    <w:rsid w:val="00041C74"/>
    <w:rsid w:val="00041D90"/>
    <w:rsid w:val="000422CB"/>
    <w:rsid w:val="00042A9C"/>
    <w:rsid w:val="0004324C"/>
    <w:rsid w:val="0004348A"/>
    <w:rsid w:val="00043BFA"/>
    <w:rsid w:val="00044024"/>
    <w:rsid w:val="0004472C"/>
    <w:rsid w:val="000451A0"/>
    <w:rsid w:val="00046795"/>
    <w:rsid w:val="00047DAE"/>
    <w:rsid w:val="00047E33"/>
    <w:rsid w:val="00050DDC"/>
    <w:rsid w:val="00051159"/>
    <w:rsid w:val="00051899"/>
    <w:rsid w:val="00051DE7"/>
    <w:rsid w:val="0005230B"/>
    <w:rsid w:val="00052708"/>
    <w:rsid w:val="00052BC0"/>
    <w:rsid w:val="00053098"/>
    <w:rsid w:val="00054BAE"/>
    <w:rsid w:val="00060377"/>
    <w:rsid w:val="000608DE"/>
    <w:rsid w:val="00060D9D"/>
    <w:rsid w:val="00060E12"/>
    <w:rsid w:val="00061B76"/>
    <w:rsid w:val="00061FEE"/>
    <w:rsid w:val="000620F8"/>
    <w:rsid w:val="00062174"/>
    <w:rsid w:val="000628A7"/>
    <w:rsid w:val="000630B9"/>
    <w:rsid w:val="0006377F"/>
    <w:rsid w:val="00063B4C"/>
    <w:rsid w:val="000642F0"/>
    <w:rsid w:val="00065066"/>
    <w:rsid w:val="000650F8"/>
    <w:rsid w:val="000651EE"/>
    <w:rsid w:val="0006531A"/>
    <w:rsid w:val="00065CCC"/>
    <w:rsid w:val="00066DF3"/>
    <w:rsid w:val="000671A9"/>
    <w:rsid w:val="000672B8"/>
    <w:rsid w:val="000679C1"/>
    <w:rsid w:val="00070152"/>
    <w:rsid w:val="0007030F"/>
    <w:rsid w:val="000703AE"/>
    <w:rsid w:val="0007107F"/>
    <w:rsid w:val="000716DC"/>
    <w:rsid w:val="000716FC"/>
    <w:rsid w:val="000718D3"/>
    <w:rsid w:val="00071D9C"/>
    <w:rsid w:val="00072060"/>
    <w:rsid w:val="0007263E"/>
    <w:rsid w:val="000726F7"/>
    <w:rsid w:val="00072B5B"/>
    <w:rsid w:val="00073545"/>
    <w:rsid w:val="00073C08"/>
    <w:rsid w:val="0007435C"/>
    <w:rsid w:val="0007438D"/>
    <w:rsid w:val="00080073"/>
    <w:rsid w:val="00080691"/>
    <w:rsid w:val="00080FEE"/>
    <w:rsid w:val="00081310"/>
    <w:rsid w:val="00081936"/>
    <w:rsid w:val="00081CB9"/>
    <w:rsid w:val="00082273"/>
    <w:rsid w:val="00082601"/>
    <w:rsid w:val="0008263D"/>
    <w:rsid w:val="00082B97"/>
    <w:rsid w:val="00082F40"/>
    <w:rsid w:val="0008334A"/>
    <w:rsid w:val="000845B2"/>
    <w:rsid w:val="0008464B"/>
    <w:rsid w:val="00084733"/>
    <w:rsid w:val="0008478C"/>
    <w:rsid w:val="000847E6"/>
    <w:rsid w:val="00084CB8"/>
    <w:rsid w:val="000850BD"/>
    <w:rsid w:val="00085322"/>
    <w:rsid w:val="000855E7"/>
    <w:rsid w:val="00085912"/>
    <w:rsid w:val="00085DCE"/>
    <w:rsid w:val="00086EB5"/>
    <w:rsid w:val="00090A85"/>
    <w:rsid w:val="000919E7"/>
    <w:rsid w:val="00091B8E"/>
    <w:rsid w:val="000926EF"/>
    <w:rsid w:val="00092877"/>
    <w:rsid w:val="00092D88"/>
    <w:rsid w:val="00093850"/>
    <w:rsid w:val="00093977"/>
    <w:rsid w:val="00093AC8"/>
    <w:rsid w:val="000944F1"/>
    <w:rsid w:val="00094EBA"/>
    <w:rsid w:val="000953BB"/>
    <w:rsid w:val="00095EFD"/>
    <w:rsid w:val="000962EC"/>
    <w:rsid w:val="00096516"/>
    <w:rsid w:val="00096AF5"/>
    <w:rsid w:val="00096BAB"/>
    <w:rsid w:val="00097BF8"/>
    <w:rsid w:val="00097C74"/>
    <w:rsid w:val="000A003A"/>
    <w:rsid w:val="000A03AC"/>
    <w:rsid w:val="000A133A"/>
    <w:rsid w:val="000A133D"/>
    <w:rsid w:val="000A1674"/>
    <w:rsid w:val="000A2473"/>
    <w:rsid w:val="000A2AB5"/>
    <w:rsid w:val="000A2CEE"/>
    <w:rsid w:val="000A2E00"/>
    <w:rsid w:val="000A3013"/>
    <w:rsid w:val="000A3348"/>
    <w:rsid w:val="000A356E"/>
    <w:rsid w:val="000A376F"/>
    <w:rsid w:val="000A492B"/>
    <w:rsid w:val="000A4EE7"/>
    <w:rsid w:val="000A50E4"/>
    <w:rsid w:val="000A5C08"/>
    <w:rsid w:val="000A5E8B"/>
    <w:rsid w:val="000A62A6"/>
    <w:rsid w:val="000A65BD"/>
    <w:rsid w:val="000A6F58"/>
    <w:rsid w:val="000A6F9F"/>
    <w:rsid w:val="000B09B5"/>
    <w:rsid w:val="000B0BEC"/>
    <w:rsid w:val="000B0FE3"/>
    <w:rsid w:val="000B1145"/>
    <w:rsid w:val="000B157E"/>
    <w:rsid w:val="000B224B"/>
    <w:rsid w:val="000B2C55"/>
    <w:rsid w:val="000B2D4C"/>
    <w:rsid w:val="000B3408"/>
    <w:rsid w:val="000B44E4"/>
    <w:rsid w:val="000B627D"/>
    <w:rsid w:val="000B630B"/>
    <w:rsid w:val="000B6B11"/>
    <w:rsid w:val="000B71E1"/>
    <w:rsid w:val="000C0230"/>
    <w:rsid w:val="000C06D4"/>
    <w:rsid w:val="000C076B"/>
    <w:rsid w:val="000C0AAF"/>
    <w:rsid w:val="000C0DE5"/>
    <w:rsid w:val="000C1522"/>
    <w:rsid w:val="000C1F53"/>
    <w:rsid w:val="000C2F43"/>
    <w:rsid w:val="000C2FA5"/>
    <w:rsid w:val="000C32AE"/>
    <w:rsid w:val="000C46E2"/>
    <w:rsid w:val="000C48B1"/>
    <w:rsid w:val="000C5597"/>
    <w:rsid w:val="000C5F09"/>
    <w:rsid w:val="000C6D07"/>
    <w:rsid w:val="000C7231"/>
    <w:rsid w:val="000C7334"/>
    <w:rsid w:val="000C73D6"/>
    <w:rsid w:val="000C7B53"/>
    <w:rsid w:val="000D0384"/>
    <w:rsid w:val="000D05D8"/>
    <w:rsid w:val="000D0641"/>
    <w:rsid w:val="000D19D8"/>
    <w:rsid w:val="000D1A4A"/>
    <w:rsid w:val="000D1EC2"/>
    <w:rsid w:val="000D2B00"/>
    <w:rsid w:val="000D2CFE"/>
    <w:rsid w:val="000D2D18"/>
    <w:rsid w:val="000D3426"/>
    <w:rsid w:val="000D49BF"/>
    <w:rsid w:val="000D5215"/>
    <w:rsid w:val="000D5FAE"/>
    <w:rsid w:val="000D609B"/>
    <w:rsid w:val="000D6199"/>
    <w:rsid w:val="000D6467"/>
    <w:rsid w:val="000D6715"/>
    <w:rsid w:val="000D7DAF"/>
    <w:rsid w:val="000E01C7"/>
    <w:rsid w:val="000E02A8"/>
    <w:rsid w:val="000E0BF9"/>
    <w:rsid w:val="000E126F"/>
    <w:rsid w:val="000E16A3"/>
    <w:rsid w:val="000E191F"/>
    <w:rsid w:val="000E1AED"/>
    <w:rsid w:val="000E254B"/>
    <w:rsid w:val="000E27CB"/>
    <w:rsid w:val="000E28AF"/>
    <w:rsid w:val="000E3076"/>
    <w:rsid w:val="000E3DD5"/>
    <w:rsid w:val="000E431E"/>
    <w:rsid w:val="000E47B6"/>
    <w:rsid w:val="000E67C4"/>
    <w:rsid w:val="000E6ADD"/>
    <w:rsid w:val="000E6F2E"/>
    <w:rsid w:val="000E7030"/>
    <w:rsid w:val="000E737C"/>
    <w:rsid w:val="000E7E47"/>
    <w:rsid w:val="000E7F4F"/>
    <w:rsid w:val="000F0453"/>
    <w:rsid w:val="000F1406"/>
    <w:rsid w:val="000F2700"/>
    <w:rsid w:val="000F2AEE"/>
    <w:rsid w:val="000F2E68"/>
    <w:rsid w:val="000F2FE2"/>
    <w:rsid w:val="000F31B5"/>
    <w:rsid w:val="000F3EE0"/>
    <w:rsid w:val="000F415B"/>
    <w:rsid w:val="000F4334"/>
    <w:rsid w:val="000F4625"/>
    <w:rsid w:val="000F4A50"/>
    <w:rsid w:val="000F4BEF"/>
    <w:rsid w:val="000F52BE"/>
    <w:rsid w:val="000F53CD"/>
    <w:rsid w:val="000F59D1"/>
    <w:rsid w:val="000F6070"/>
    <w:rsid w:val="000F6884"/>
    <w:rsid w:val="000F6DF6"/>
    <w:rsid w:val="000F7BD9"/>
    <w:rsid w:val="000F7C94"/>
    <w:rsid w:val="000F7E50"/>
    <w:rsid w:val="000F7E7A"/>
    <w:rsid w:val="000F7F9F"/>
    <w:rsid w:val="0010006A"/>
    <w:rsid w:val="0010147C"/>
    <w:rsid w:val="00101DC4"/>
    <w:rsid w:val="00101EF4"/>
    <w:rsid w:val="0010244A"/>
    <w:rsid w:val="00103719"/>
    <w:rsid w:val="00103FFE"/>
    <w:rsid w:val="001040F0"/>
    <w:rsid w:val="00104A8A"/>
    <w:rsid w:val="00104B0E"/>
    <w:rsid w:val="00105071"/>
    <w:rsid w:val="00106248"/>
    <w:rsid w:val="00106486"/>
    <w:rsid w:val="00106568"/>
    <w:rsid w:val="001067B6"/>
    <w:rsid w:val="0011094C"/>
    <w:rsid w:val="00112281"/>
    <w:rsid w:val="0011274E"/>
    <w:rsid w:val="00112768"/>
    <w:rsid w:val="00112E8E"/>
    <w:rsid w:val="00114165"/>
    <w:rsid w:val="0011447A"/>
    <w:rsid w:val="0011489B"/>
    <w:rsid w:val="00114E4A"/>
    <w:rsid w:val="00114E4B"/>
    <w:rsid w:val="001154E1"/>
    <w:rsid w:val="001154FB"/>
    <w:rsid w:val="00115FBF"/>
    <w:rsid w:val="0011613A"/>
    <w:rsid w:val="001168AC"/>
    <w:rsid w:val="00116CAE"/>
    <w:rsid w:val="00116CDF"/>
    <w:rsid w:val="00116E35"/>
    <w:rsid w:val="001172B2"/>
    <w:rsid w:val="001177FA"/>
    <w:rsid w:val="0012051C"/>
    <w:rsid w:val="0012150C"/>
    <w:rsid w:val="001217AA"/>
    <w:rsid w:val="00121907"/>
    <w:rsid w:val="00121CE0"/>
    <w:rsid w:val="001232B4"/>
    <w:rsid w:val="00123B26"/>
    <w:rsid w:val="00123D30"/>
    <w:rsid w:val="00123DAD"/>
    <w:rsid w:val="00124789"/>
    <w:rsid w:val="001247C6"/>
    <w:rsid w:val="00125621"/>
    <w:rsid w:val="001257CC"/>
    <w:rsid w:val="00126120"/>
    <w:rsid w:val="001263C8"/>
    <w:rsid w:val="001266D0"/>
    <w:rsid w:val="00127E79"/>
    <w:rsid w:val="001303FE"/>
    <w:rsid w:val="001304E1"/>
    <w:rsid w:val="00130C88"/>
    <w:rsid w:val="00130E8F"/>
    <w:rsid w:val="00131A11"/>
    <w:rsid w:val="00131C7A"/>
    <w:rsid w:val="00131E4F"/>
    <w:rsid w:val="00132C2E"/>
    <w:rsid w:val="00132D64"/>
    <w:rsid w:val="001334A2"/>
    <w:rsid w:val="00133F78"/>
    <w:rsid w:val="00133FCD"/>
    <w:rsid w:val="001340FE"/>
    <w:rsid w:val="00134A87"/>
    <w:rsid w:val="00134C8F"/>
    <w:rsid w:val="0013548D"/>
    <w:rsid w:val="0013590F"/>
    <w:rsid w:val="00136600"/>
    <w:rsid w:val="001378E9"/>
    <w:rsid w:val="00137DB0"/>
    <w:rsid w:val="0014158A"/>
    <w:rsid w:val="00141D27"/>
    <w:rsid w:val="00142CD1"/>
    <w:rsid w:val="00142E98"/>
    <w:rsid w:val="00143096"/>
    <w:rsid w:val="001436A8"/>
    <w:rsid w:val="001436A9"/>
    <w:rsid w:val="001437AD"/>
    <w:rsid w:val="001439B3"/>
    <w:rsid w:val="00143AD2"/>
    <w:rsid w:val="001447ED"/>
    <w:rsid w:val="001452D5"/>
    <w:rsid w:val="001456DC"/>
    <w:rsid w:val="00145C34"/>
    <w:rsid w:val="0014602C"/>
    <w:rsid w:val="00146ED4"/>
    <w:rsid w:val="001471CD"/>
    <w:rsid w:val="00147894"/>
    <w:rsid w:val="00150775"/>
    <w:rsid w:val="00150A88"/>
    <w:rsid w:val="0015106C"/>
    <w:rsid w:val="00151A56"/>
    <w:rsid w:val="001525A1"/>
    <w:rsid w:val="00152753"/>
    <w:rsid w:val="00152A34"/>
    <w:rsid w:val="00153218"/>
    <w:rsid w:val="00153420"/>
    <w:rsid w:val="00153F31"/>
    <w:rsid w:val="00154DE9"/>
    <w:rsid w:val="001552A1"/>
    <w:rsid w:val="001555A5"/>
    <w:rsid w:val="00156132"/>
    <w:rsid w:val="0015644F"/>
    <w:rsid w:val="001564DA"/>
    <w:rsid w:val="00156BD6"/>
    <w:rsid w:val="0015701D"/>
    <w:rsid w:val="001571E2"/>
    <w:rsid w:val="00157248"/>
    <w:rsid w:val="00157719"/>
    <w:rsid w:val="001601E6"/>
    <w:rsid w:val="0016093A"/>
    <w:rsid w:val="00161216"/>
    <w:rsid w:val="001613C6"/>
    <w:rsid w:val="001615E6"/>
    <w:rsid w:val="00161F09"/>
    <w:rsid w:val="001649CA"/>
    <w:rsid w:val="00164A2D"/>
    <w:rsid w:val="001653E1"/>
    <w:rsid w:val="0016568E"/>
    <w:rsid w:val="0016638A"/>
    <w:rsid w:val="001663C5"/>
    <w:rsid w:val="0016671D"/>
    <w:rsid w:val="00167011"/>
    <w:rsid w:val="00167234"/>
    <w:rsid w:val="00167407"/>
    <w:rsid w:val="00167F79"/>
    <w:rsid w:val="00167F95"/>
    <w:rsid w:val="00170409"/>
    <w:rsid w:val="0017058D"/>
    <w:rsid w:val="00171276"/>
    <w:rsid w:val="001712EE"/>
    <w:rsid w:val="00171648"/>
    <w:rsid w:val="00171A75"/>
    <w:rsid w:val="00171C15"/>
    <w:rsid w:val="0017212C"/>
    <w:rsid w:val="001729B4"/>
    <w:rsid w:val="00172F81"/>
    <w:rsid w:val="001731EC"/>
    <w:rsid w:val="00173292"/>
    <w:rsid w:val="00173523"/>
    <w:rsid w:val="001735AE"/>
    <w:rsid w:val="00173A3C"/>
    <w:rsid w:val="00173BB9"/>
    <w:rsid w:val="00174602"/>
    <w:rsid w:val="0017474D"/>
    <w:rsid w:val="001747B3"/>
    <w:rsid w:val="00174C3C"/>
    <w:rsid w:val="0017519C"/>
    <w:rsid w:val="001765B1"/>
    <w:rsid w:val="00176632"/>
    <w:rsid w:val="0017665E"/>
    <w:rsid w:val="001768C8"/>
    <w:rsid w:val="0017715E"/>
    <w:rsid w:val="001776DB"/>
    <w:rsid w:val="00180C6A"/>
    <w:rsid w:val="00180D73"/>
    <w:rsid w:val="00180DB1"/>
    <w:rsid w:val="00181DF2"/>
    <w:rsid w:val="0018277D"/>
    <w:rsid w:val="00182C7B"/>
    <w:rsid w:val="0018318F"/>
    <w:rsid w:val="00183565"/>
    <w:rsid w:val="0018383D"/>
    <w:rsid w:val="001847DC"/>
    <w:rsid w:val="00184E87"/>
    <w:rsid w:val="00185129"/>
    <w:rsid w:val="001855C7"/>
    <w:rsid w:val="00185605"/>
    <w:rsid w:val="00185813"/>
    <w:rsid w:val="0018733F"/>
    <w:rsid w:val="001874C7"/>
    <w:rsid w:val="00187A49"/>
    <w:rsid w:val="00190C5D"/>
    <w:rsid w:val="00191525"/>
    <w:rsid w:val="00191AC7"/>
    <w:rsid w:val="00191ED4"/>
    <w:rsid w:val="001926F2"/>
    <w:rsid w:val="00193768"/>
    <w:rsid w:val="00193960"/>
    <w:rsid w:val="00193A9F"/>
    <w:rsid w:val="00193E2B"/>
    <w:rsid w:val="00194234"/>
    <w:rsid w:val="001949AB"/>
    <w:rsid w:val="00194A41"/>
    <w:rsid w:val="00194B9C"/>
    <w:rsid w:val="0019535C"/>
    <w:rsid w:val="00195641"/>
    <w:rsid w:val="001962E3"/>
    <w:rsid w:val="001A0198"/>
    <w:rsid w:val="001A05AE"/>
    <w:rsid w:val="001A0D53"/>
    <w:rsid w:val="001A0F9A"/>
    <w:rsid w:val="001A1130"/>
    <w:rsid w:val="001A1671"/>
    <w:rsid w:val="001A1D80"/>
    <w:rsid w:val="001A21F0"/>
    <w:rsid w:val="001A28A6"/>
    <w:rsid w:val="001A2BBE"/>
    <w:rsid w:val="001A2CB1"/>
    <w:rsid w:val="001A35FF"/>
    <w:rsid w:val="001A43D3"/>
    <w:rsid w:val="001A55AE"/>
    <w:rsid w:val="001A5B26"/>
    <w:rsid w:val="001A60AA"/>
    <w:rsid w:val="001A6F80"/>
    <w:rsid w:val="001A7FF3"/>
    <w:rsid w:val="001B0868"/>
    <w:rsid w:val="001B1627"/>
    <w:rsid w:val="001B19D3"/>
    <w:rsid w:val="001B1F98"/>
    <w:rsid w:val="001B22EA"/>
    <w:rsid w:val="001B241A"/>
    <w:rsid w:val="001B244F"/>
    <w:rsid w:val="001B258D"/>
    <w:rsid w:val="001B2934"/>
    <w:rsid w:val="001B2A22"/>
    <w:rsid w:val="001B2C23"/>
    <w:rsid w:val="001B2D99"/>
    <w:rsid w:val="001B2F27"/>
    <w:rsid w:val="001B3513"/>
    <w:rsid w:val="001B35A4"/>
    <w:rsid w:val="001B36F0"/>
    <w:rsid w:val="001B44C5"/>
    <w:rsid w:val="001B4642"/>
    <w:rsid w:val="001B4C27"/>
    <w:rsid w:val="001B4CB0"/>
    <w:rsid w:val="001B4E8D"/>
    <w:rsid w:val="001B5E27"/>
    <w:rsid w:val="001B60F5"/>
    <w:rsid w:val="001B61ED"/>
    <w:rsid w:val="001B6CA8"/>
    <w:rsid w:val="001B726B"/>
    <w:rsid w:val="001C016F"/>
    <w:rsid w:val="001C1C38"/>
    <w:rsid w:val="001C1E4F"/>
    <w:rsid w:val="001C25E7"/>
    <w:rsid w:val="001C26E8"/>
    <w:rsid w:val="001C32B5"/>
    <w:rsid w:val="001C3425"/>
    <w:rsid w:val="001C398E"/>
    <w:rsid w:val="001C3AF6"/>
    <w:rsid w:val="001C3E26"/>
    <w:rsid w:val="001C458F"/>
    <w:rsid w:val="001C4754"/>
    <w:rsid w:val="001C5006"/>
    <w:rsid w:val="001C5AA7"/>
    <w:rsid w:val="001C63EC"/>
    <w:rsid w:val="001C67AF"/>
    <w:rsid w:val="001C6EE5"/>
    <w:rsid w:val="001C6F17"/>
    <w:rsid w:val="001C6F5F"/>
    <w:rsid w:val="001C720B"/>
    <w:rsid w:val="001C77C8"/>
    <w:rsid w:val="001C7CA8"/>
    <w:rsid w:val="001D0023"/>
    <w:rsid w:val="001D0AA8"/>
    <w:rsid w:val="001D0B80"/>
    <w:rsid w:val="001D0E11"/>
    <w:rsid w:val="001D12F9"/>
    <w:rsid w:val="001D1485"/>
    <w:rsid w:val="001D1705"/>
    <w:rsid w:val="001D19FA"/>
    <w:rsid w:val="001D1C47"/>
    <w:rsid w:val="001D2595"/>
    <w:rsid w:val="001D2FBF"/>
    <w:rsid w:val="001D3AE4"/>
    <w:rsid w:val="001D3B18"/>
    <w:rsid w:val="001D406C"/>
    <w:rsid w:val="001D533D"/>
    <w:rsid w:val="001D7371"/>
    <w:rsid w:val="001D78DD"/>
    <w:rsid w:val="001E048D"/>
    <w:rsid w:val="001E080E"/>
    <w:rsid w:val="001E14FB"/>
    <w:rsid w:val="001E182A"/>
    <w:rsid w:val="001E1A38"/>
    <w:rsid w:val="001E1B87"/>
    <w:rsid w:val="001E2215"/>
    <w:rsid w:val="001E2BE4"/>
    <w:rsid w:val="001E2DB5"/>
    <w:rsid w:val="001E307B"/>
    <w:rsid w:val="001E3182"/>
    <w:rsid w:val="001E36D0"/>
    <w:rsid w:val="001E397E"/>
    <w:rsid w:val="001E3BC4"/>
    <w:rsid w:val="001E46EA"/>
    <w:rsid w:val="001E4740"/>
    <w:rsid w:val="001E498D"/>
    <w:rsid w:val="001E4C7C"/>
    <w:rsid w:val="001E5CC1"/>
    <w:rsid w:val="001E65EC"/>
    <w:rsid w:val="001E7906"/>
    <w:rsid w:val="001F04D6"/>
    <w:rsid w:val="001F1905"/>
    <w:rsid w:val="001F19A6"/>
    <w:rsid w:val="001F1BA3"/>
    <w:rsid w:val="001F253C"/>
    <w:rsid w:val="001F2A78"/>
    <w:rsid w:val="001F2BA5"/>
    <w:rsid w:val="001F341F"/>
    <w:rsid w:val="001F4242"/>
    <w:rsid w:val="001F4EA1"/>
    <w:rsid w:val="001F5C3E"/>
    <w:rsid w:val="001F6E5E"/>
    <w:rsid w:val="001F6FEC"/>
    <w:rsid w:val="001F7199"/>
    <w:rsid w:val="001F72C1"/>
    <w:rsid w:val="001F796C"/>
    <w:rsid w:val="0020031C"/>
    <w:rsid w:val="00200B62"/>
    <w:rsid w:val="00201493"/>
    <w:rsid w:val="00201DE9"/>
    <w:rsid w:val="00201E49"/>
    <w:rsid w:val="00202423"/>
    <w:rsid w:val="00202549"/>
    <w:rsid w:val="00202659"/>
    <w:rsid w:val="00203E9F"/>
    <w:rsid w:val="002040FE"/>
    <w:rsid w:val="0020560B"/>
    <w:rsid w:val="002057B8"/>
    <w:rsid w:val="002059C2"/>
    <w:rsid w:val="00205E0C"/>
    <w:rsid w:val="002063FE"/>
    <w:rsid w:val="00207BB0"/>
    <w:rsid w:val="00210076"/>
    <w:rsid w:val="002105D5"/>
    <w:rsid w:val="002105F6"/>
    <w:rsid w:val="002109FF"/>
    <w:rsid w:val="00210B35"/>
    <w:rsid w:val="00211184"/>
    <w:rsid w:val="0021151B"/>
    <w:rsid w:val="0021157A"/>
    <w:rsid w:val="00211E28"/>
    <w:rsid w:val="00211F10"/>
    <w:rsid w:val="0021212E"/>
    <w:rsid w:val="0021292F"/>
    <w:rsid w:val="00212B42"/>
    <w:rsid w:val="002131FD"/>
    <w:rsid w:val="002132D8"/>
    <w:rsid w:val="00213307"/>
    <w:rsid w:val="0021339E"/>
    <w:rsid w:val="0021353B"/>
    <w:rsid w:val="0021364B"/>
    <w:rsid w:val="00215627"/>
    <w:rsid w:val="0021599E"/>
    <w:rsid w:val="00216CCA"/>
    <w:rsid w:val="002172BF"/>
    <w:rsid w:val="002175A2"/>
    <w:rsid w:val="00217C52"/>
    <w:rsid w:val="002205B3"/>
    <w:rsid w:val="0022074A"/>
    <w:rsid w:val="002219E1"/>
    <w:rsid w:val="00221D15"/>
    <w:rsid w:val="00222619"/>
    <w:rsid w:val="00222C55"/>
    <w:rsid w:val="002231F4"/>
    <w:rsid w:val="002233C6"/>
    <w:rsid w:val="00223877"/>
    <w:rsid w:val="002238BA"/>
    <w:rsid w:val="00223BFF"/>
    <w:rsid w:val="002247CC"/>
    <w:rsid w:val="00225C57"/>
    <w:rsid w:val="00225C9E"/>
    <w:rsid w:val="0022671B"/>
    <w:rsid w:val="00226E08"/>
    <w:rsid w:val="0023039F"/>
    <w:rsid w:val="00232128"/>
    <w:rsid w:val="002325B1"/>
    <w:rsid w:val="00232619"/>
    <w:rsid w:val="00232E62"/>
    <w:rsid w:val="00234F9B"/>
    <w:rsid w:val="00235062"/>
    <w:rsid w:val="00235CED"/>
    <w:rsid w:val="00236282"/>
    <w:rsid w:val="002366B0"/>
    <w:rsid w:val="00236A9A"/>
    <w:rsid w:val="00237245"/>
    <w:rsid w:val="00237328"/>
    <w:rsid w:val="002376BE"/>
    <w:rsid w:val="002376C7"/>
    <w:rsid w:val="00237BF8"/>
    <w:rsid w:val="00237C75"/>
    <w:rsid w:val="00240F32"/>
    <w:rsid w:val="002418F2"/>
    <w:rsid w:val="00241FFE"/>
    <w:rsid w:val="00243382"/>
    <w:rsid w:val="00243921"/>
    <w:rsid w:val="00243967"/>
    <w:rsid w:val="002440A2"/>
    <w:rsid w:val="0024638E"/>
    <w:rsid w:val="0024655D"/>
    <w:rsid w:val="00246B5A"/>
    <w:rsid w:val="00247244"/>
    <w:rsid w:val="002475D3"/>
    <w:rsid w:val="0024767A"/>
    <w:rsid w:val="00247AAE"/>
    <w:rsid w:val="00247F52"/>
    <w:rsid w:val="0025020C"/>
    <w:rsid w:val="0025026B"/>
    <w:rsid w:val="0025050C"/>
    <w:rsid w:val="00250512"/>
    <w:rsid w:val="00250809"/>
    <w:rsid w:val="00250A50"/>
    <w:rsid w:val="0025129D"/>
    <w:rsid w:val="00251850"/>
    <w:rsid w:val="002526D8"/>
    <w:rsid w:val="00252874"/>
    <w:rsid w:val="002530C4"/>
    <w:rsid w:val="00253164"/>
    <w:rsid w:val="00253234"/>
    <w:rsid w:val="0025336E"/>
    <w:rsid w:val="00253D17"/>
    <w:rsid w:val="00254673"/>
    <w:rsid w:val="002551FE"/>
    <w:rsid w:val="002562F1"/>
    <w:rsid w:val="00256508"/>
    <w:rsid w:val="00256951"/>
    <w:rsid w:val="00256FA4"/>
    <w:rsid w:val="00257017"/>
    <w:rsid w:val="002575EB"/>
    <w:rsid w:val="002602C8"/>
    <w:rsid w:val="00260523"/>
    <w:rsid w:val="00261167"/>
    <w:rsid w:val="00261D42"/>
    <w:rsid w:val="00261DC2"/>
    <w:rsid w:val="0026210F"/>
    <w:rsid w:val="00262581"/>
    <w:rsid w:val="002627E7"/>
    <w:rsid w:val="002634FC"/>
    <w:rsid w:val="0026455A"/>
    <w:rsid w:val="002651C6"/>
    <w:rsid w:val="002654FC"/>
    <w:rsid w:val="0026557C"/>
    <w:rsid w:val="00265625"/>
    <w:rsid w:val="002657F9"/>
    <w:rsid w:val="002669E7"/>
    <w:rsid w:val="00266A3B"/>
    <w:rsid w:val="00266F35"/>
    <w:rsid w:val="00266F68"/>
    <w:rsid w:val="00267571"/>
    <w:rsid w:val="00267714"/>
    <w:rsid w:val="00267A95"/>
    <w:rsid w:val="00267AEC"/>
    <w:rsid w:val="00267D22"/>
    <w:rsid w:val="0027020E"/>
    <w:rsid w:val="00270B0C"/>
    <w:rsid w:val="00270DFE"/>
    <w:rsid w:val="00270E04"/>
    <w:rsid w:val="00270F3B"/>
    <w:rsid w:val="00272A35"/>
    <w:rsid w:val="0027360F"/>
    <w:rsid w:val="00273CE3"/>
    <w:rsid w:val="00274474"/>
    <w:rsid w:val="00274CD7"/>
    <w:rsid w:val="00274E03"/>
    <w:rsid w:val="00274E34"/>
    <w:rsid w:val="002758F4"/>
    <w:rsid w:val="00275C79"/>
    <w:rsid w:val="00276EE8"/>
    <w:rsid w:val="00277C48"/>
    <w:rsid w:val="002802D3"/>
    <w:rsid w:val="0028110B"/>
    <w:rsid w:val="002816D4"/>
    <w:rsid w:val="00281FC6"/>
    <w:rsid w:val="00281FD4"/>
    <w:rsid w:val="0028239E"/>
    <w:rsid w:val="0028299A"/>
    <w:rsid w:val="0028306B"/>
    <w:rsid w:val="00283197"/>
    <w:rsid w:val="00283349"/>
    <w:rsid w:val="002853E0"/>
    <w:rsid w:val="00285609"/>
    <w:rsid w:val="0028580D"/>
    <w:rsid w:val="00285C6A"/>
    <w:rsid w:val="00285E5B"/>
    <w:rsid w:val="0028610F"/>
    <w:rsid w:val="002864F5"/>
    <w:rsid w:val="002865F5"/>
    <w:rsid w:val="002870F1"/>
    <w:rsid w:val="0028731F"/>
    <w:rsid w:val="002904CC"/>
    <w:rsid w:val="00290D3B"/>
    <w:rsid w:val="00291201"/>
    <w:rsid w:val="0029172C"/>
    <w:rsid w:val="00291C00"/>
    <w:rsid w:val="00291D7F"/>
    <w:rsid w:val="002924DC"/>
    <w:rsid w:val="002927AB"/>
    <w:rsid w:val="00292A36"/>
    <w:rsid w:val="0029326B"/>
    <w:rsid w:val="002939B3"/>
    <w:rsid w:val="00293B4F"/>
    <w:rsid w:val="00293C28"/>
    <w:rsid w:val="0029426B"/>
    <w:rsid w:val="002942F5"/>
    <w:rsid w:val="00294E3E"/>
    <w:rsid w:val="00295126"/>
    <w:rsid w:val="002953ED"/>
    <w:rsid w:val="002969BE"/>
    <w:rsid w:val="00296B3B"/>
    <w:rsid w:val="0029772E"/>
    <w:rsid w:val="00297E25"/>
    <w:rsid w:val="002A0893"/>
    <w:rsid w:val="002A118C"/>
    <w:rsid w:val="002A136E"/>
    <w:rsid w:val="002A1949"/>
    <w:rsid w:val="002A1B75"/>
    <w:rsid w:val="002A2108"/>
    <w:rsid w:val="002A3D08"/>
    <w:rsid w:val="002A4422"/>
    <w:rsid w:val="002A48C2"/>
    <w:rsid w:val="002A51F5"/>
    <w:rsid w:val="002A553F"/>
    <w:rsid w:val="002A6113"/>
    <w:rsid w:val="002A67D2"/>
    <w:rsid w:val="002A6C3E"/>
    <w:rsid w:val="002A6CBA"/>
    <w:rsid w:val="002A7412"/>
    <w:rsid w:val="002B012B"/>
    <w:rsid w:val="002B0713"/>
    <w:rsid w:val="002B124A"/>
    <w:rsid w:val="002B1B51"/>
    <w:rsid w:val="002B1E48"/>
    <w:rsid w:val="002B1F18"/>
    <w:rsid w:val="002B24AE"/>
    <w:rsid w:val="002B2A1B"/>
    <w:rsid w:val="002B3D38"/>
    <w:rsid w:val="002B43DD"/>
    <w:rsid w:val="002B48F7"/>
    <w:rsid w:val="002B4BA0"/>
    <w:rsid w:val="002B5191"/>
    <w:rsid w:val="002B53FF"/>
    <w:rsid w:val="002B567F"/>
    <w:rsid w:val="002B6412"/>
    <w:rsid w:val="002B6C21"/>
    <w:rsid w:val="002B6C31"/>
    <w:rsid w:val="002B7A5E"/>
    <w:rsid w:val="002B7DFB"/>
    <w:rsid w:val="002C05D4"/>
    <w:rsid w:val="002C09D4"/>
    <w:rsid w:val="002C0D43"/>
    <w:rsid w:val="002C2437"/>
    <w:rsid w:val="002C33E3"/>
    <w:rsid w:val="002C3B41"/>
    <w:rsid w:val="002C4865"/>
    <w:rsid w:val="002C50F5"/>
    <w:rsid w:val="002C5C98"/>
    <w:rsid w:val="002C5EA3"/>
    <w:rsid w:val="002C645A"/>
    <w:rsid w:val="002C7720"/>
    <w:rsid w:val="002C7F29"/>
    <w:rsid w:val="002D04F4"/>
    <w:rsid w:val="002D0A9D"/>
    <w:rsid w:val="002D1A54"/>
    <w:rsid w:val="002D1F8D"/>
    <w:rsid w:val="002D2952"/>
    <w:rsid w:val="002D352A"/>
    <w:rsid w:val="002D3FEB"/>
    <w:rsid w:val="002D4545"/>
    <w:rsid w:val="002D467A"/>
    <w:rsid w:val="002D4CF4"/>
    <w:rsid w:val="002D561D"/>
    <w:rsid w:val="002D605A"/>
    <w:rsid w:val="002D6228"/>
    <w:rsid w:val="002D630A"/>
    <w:rsid w:val="002D6378"/>
    <w:rsid w:val="002D647A"/>
    <w:rsid w:val="002D64A3"/>
    <w:rsid w:val="002D69B5"/>
    <w:rsid w:val="002D6C67"/>
    <w:rsid w:val="002D6F57"/>
    <w:rsid w:val="002D72AB"/>
    <w:rsid w:val="002D7742"/>
    <w:rsid w:val="002D7A91"/>
    <w:rsid w:val="002E09FF"/>
    <w:rsid w:val="002E0AB6"/>
    <w:rsid w:val="002E1079"/>
    <w:rsid w:val="002E10E0"/>
    <w:rsid w:val="002E14E4"/>
    <w:rsid w:val="002E155D"/>
    <w:rsid w:val="002E1B35"/>
    <w:rsid w:val="002E2361"/>
    <w:rsid w:val="002E244C"/>
    <w:rsid w:val="002E2573"/>
    <w:rsid w:val="002E2723"/>
    <w:rsid w:val="002E32E4"/>
    <w:rsid w:val="002E3C40"/>
    <w:rsid w:val="002E4F29"/>
    <w:rsid w:val="002E54DA"/>
    <w:rsid w:val="002E5501"/>
    <w:rsid w:val="002E56E0"/>
    <w:rsid w:val="002E594B"/>
    <w:rsid w:val="002E6B25"/>
    <w:rsid w:val="002E6E28"/>
    <w:rsid w:val="002E729C"/>
    <w:rsid w:val="002E7802"/>
    <w:rsid w:val="002E79EE"/>
    <w:rsid w:val="002F052E"/>
    <w:rsid w:val="002F08A7"/>
    <w:rsid w:val="002F1564"/>
    <w:rsid w:val="002F16E8"/>
    <w:rsid w:val="002F1700"/>
    <w:rsid w:val="002F1A17"/>
    <w:rsid w:val="002F25A4"/>
    <w:rsid w:val="002F2F57"/>
    <w:rsid w:val="002F30A0"/>
    <w:rsid w:val="002F34D3"/>
    <w:rsid w:val="002F3ACC"/>
    <w:rsid w:val="002F44BB"/>
    <w:rsid w:val="002F51BD"/>
    <w:rsid w:val="002F52A6"/>
    <w:rsid w:val="002F56F3"/>
    <w:rsid w:val="002F5E53"/>
    <w:rsid w:val="002F60F0"/>
    <w:rsid w:val="002F63B2"/>
    <w:rsid w:val="002F64E7"/>
    <w:rsid w:val="002F668E"/>
    <w:rsid w:val="002F6BE9"/>
    <w:rsid w:val="002F76AB"/>
    <w:rsid w:val="002F772A"/>
    <w:rsid w:val="002F7B15"/>
    <w:rsid w:val="003001FF"/>
    <w:rsid w:val="003003ED"/>
    <w:rsid w:val="00300577"/>
    <w:rsid w:val="0030068E"/>
    <w:rsid w:val="003006C1"/>
    <w:rsid w:val="003009BE"/>
    <w:rsid w:val="00300AF3"/>
    <w:rsid w:val="00301C5B"/>
    <w:rsid w:val="00301DB6"/>
    <w:rsid w:val="00301E64"/>
    <w:rsid w:val="0030234D"/>
    <w:rsid w:val="0030238B"/>
    <w:rsid w:val="00302A3C"/>
    <w:rsid w:val="003035B8"/>
    <w:rsid w:val="003037E4"/>
    <w:rsid w:val="003038B5"/>
    <w:rsid w:val="00303ADF"/>
    <w:rsid w:val="00304E2D"/>
    <w:rsid w:val="00304F1D"/>
    <w:rsid w:val="00306028"/>
    <w:rsid w:val="0030606C"/>
    <w:rsid w:val="0030765F"/>
    <w:rsid w:val="00307A90"/>
    <w:rsid w:val="0031023E"/>
    <w:rsid w:val="0031172B"/>
    <w:rsid w:val="003125CB"/>
    <w:rsid w:val="003125E1"/>
    <w:rsid w:val="00312842"/>
    <w:rsid w:val="00312A5A"/>
    <w:rsid w:val="003135AD"/>
    <w:rsid w:val="0031393D"/>
    <w:rsid w:val="00313ADC"/>
    <w:rsid w:val="00314ED9"/>
    <w:rsid w:val="00315B28"/>
    <w:rsid w:val="003163D5"/>
    <w:rsid w:val="00316572"/>
    <w:rsid w:val="00316C7A"/>
    <w:rsid w:val="003175A9"/>
    <w:rsid w:val="003178FD"/>
    <w:rsid w:val="00317EF3"/>
    <w:rsid w:val="003204ED"/>
    <w:rsid w:val="003206D7"/>
    <w:rsid w:val="00320AB0"/>
    <w:rsid w:val="00320CE9"/>
    <w:rsid w:val="00322FD4"/>
    <w:rsid w:val="00323471"/>
    <w:rsid w:val="003238F4"/>
    <w:rsid w:val="00323CB1"/>
    <w:rsid w:val="00325380"/>
    <w:rsid w:val="0032548F"/>
    <w:rsid w:val="0032565F"/>
    <w:rsid w:val="00326472"/>
    <w:rsid w:val="0032743F"/>
    <w:rsid w:val="003301D7"/>
    <w:rsid w:val="00330472"/>
    <w:rsid w:val="00330649"/>
    <w:rsid w:val="00330D40"/>
    <w:rsid w:val="0033140E"/>
    <w:rsid w:val="0033145D"/>
    <w:rsid w:val="003318DB"/>
    <w:rsid w:val="00331ACD"/>
    <w:rsid w:val="0033238E"/>
    <w:rsid w:val="00332609"/>
    <w:rsid w:val="00332C39"/>
    <w:rsid w:val="00332CE4"/>
    <w:rsid w:val="00332D9C"/>
    <w:rsid w:val="00332FD6"/>
    <w:rsid w:val="003330D8"/>
    <w:rsid w:val="00333690"/>
    <w:rsid w:val="003339E9"/>
    <w:rsid w:val="00333A38"/>
    <w:rsid w:val="00334C53"/>
    <w:rsid w:val="003351B8"/>
    <w:rsid w:val="00335C52"/>
    <w:rsid w:val="00335F50"/>
    <w:rsid w:val="0033628F"/>
    <w:rsid w:val="00336537"/>
    <w:rsid w:val="0033704B"/>
    <w:rsid w:val="00337225"/>
    <w:rsid w:val="00337E01"/>
    <w:rsid w:val="003406BB"/>
    <w:rsid w:val="00340807"/>
    <w:rsid w:val="0034090E"/>
    <w:rsid w:val="00340B10"/>
    <w:rsid w:val="00340B95"/>
    <w:rsid w:val="00341352"/>
    <w:rsid w:val="00341417"/>
    <w:rsid w:val="00341692"/>
    <w:rsid w:val="00341EEB"/>
    <w:rsid w:val="00341F90"/>
    <w:rsid w:val="00342814"/>
    <w:rsid w:val="00343485"/>
    <w:rsid w:val="00344962"/>
    <w:rsid w:val="00345921"/>
    <w:rsid w:val="003465C7"/>
    <w:rsid w:val="003469C4"/>
    <w:rsid w:val="00346A43"/>
    <w:rsid w:val="00346B84"/>
    <w:rsid w:val="00346BAF"/>
    <w:rsid w:val="00347626"/>
    <w:rsid w:val="00347630"/>
    <w:rsid w:val="00350156"/>
    <w:rsid w:val="00350403"/>
    <w:rsid w:val="00350A2B"/>
    <w:rsid w:val="00351AC8"/>
    <w:rsid w:val="003522CF"/>
    <w:rsid w:val="00352415"/>
    <w:rsid w:val="003528F1"/>
    <w:rsid w:val="00353042"/>
    <w:rsid w:val="003531C2"/>
    <w:rsid w:val="003533DF"/>
    <w:rsid w:val="0035408F"/>
    <w:rsid w:val="00354CA3"/>
    <w:rsid w:val="00355191"/>
    <w:rsid w:val="003558A9"/>
    <w:rsid w:val="00355AD7"/>
    <w:rsid w:val="00355D03"/>
    <w:rsid w:val="00356044"/>
    <w:rsid w:val="003561E0"/>
    <w:rsid w:val="00356ADD"/>
    <w:rsid w:val="00356ED7"/>
    <w:rsid w:val="0035721A"/>
    <w:rsid w:val="003578B3"/>
    <w:rsid w:val="0035797B"/>
    <w:rsid w:val="00357BE6"/>
    <w:rsid w:val="00357F64"/>
    <w:rsid w:val="00360007"/>
    <w:rsid w:val="0036028B"/>
    <w:rsid w:val="0036067B"/>
    <w:rsid w:val="00360DBC"/>
    <w:rsid w:val="00360FCA"/>
    <w:rsid w:val="0036124E"/>
    <w:rsid w:val="0036167E"/>
    <w:rsid w:val="00362313"/>
    <w:rsid w:val="003624BF"/>
    <w:rsid w:val="0036290D"/>
    <w:rsid w:val="003631AD"/>
    <w:rsid w:val="00363311"/>
    <w:rsid w:val="00363773"/>
    <w:rsid w:val="003641D0"/>
    <w:rsid w:val="003643BD"/>
    <w:rsid w:val="00364D43"/>
    <w:rsid w:val="00364D6F"/>
    <w:rsid w:val="0036511D"/>
    <w:rsid w:val="003661B3"/>
    <w:rsid w:val="00366649"/>
    <w:rsid w:val="003670C4"/>
    <w:rsid w:val="0036721E"/>
    <w:rsid w:val="003673C8"/>
    <w:rsid w:val="0036754A"/>
    <w:rsid w:val="00367E54"/>
    <w:rsid w:val="00367F7C"/>
    <w:rsid w:val="003703C6"/>
    <w:rsid w:val="00370B74"/>
    <w:rsid w:val="0037116E"/>
    <w:rsid w:val="00371680"/>
    <w:rsid w:val="00371F5D"/>
    <w:rsid w:val="0037238B"/>
    <w:rsid w:val="0037250D"/>
    <w:rsid w:val="00373803"/>
    <w:rsid w:val="00373BFD"/>
    <w:rsid w:val="0037454C"/>
    <w:rsid w:val="00374797"/>
    <w:rsid w:val="0037598A"/>
    <w:rsid w:val="00375E40"/>
    <w:rsid w:val="0037636D"/>
    <w:rsid w:val="00376D28"/>
    <w:rsid w:val="00377746"/>
    <w:rsid w:val="00380400"/>
    <w:rsid w:val="00380F28"/>
    <w:rsid w:val="00381828"/>
    <w:rsid w:val="00381B0E"/>
    <w:rsid w:val="00382603"/>
    <w:rsid w:val="00382BEB"/>
    <w:rsid w:val="00383036"/>
    <w:rsid w:val="003832B9"/>
    <w:rsid w:val="0038410D"/>
    <w:rsid w:val="003842A6"/>
    <w:rsid w:val="00385873"/>
    <w:rsid w:val="00385D6C"/>
    <w:rsid w:val="00385F6C"/>
    <w:rsid w:val="003864C9"/>
    <w:rsid w:val="0038698B"/>
    <w:rsid w:val="00386A95"/>
    <w:rsid w:val="00387115"/>
    <w:rsid w:val="0038774C"/>
    <w:rsid w:val="003901B4"/>
    <w:rsid w:val="00391661"/>
    <w:rsid w:val="00391AB3"/>
    <w:rsid w:val="003920D9"/>
    <w:rsid w:val="0039281A"/>
    <w:rsid w:val="00392F7E"/>
    <w:rsid w:val="003934DB"/>
    <w:rsid w:val="00393F39"/>
    <w:rsid w:val="003950C6"/>
    <w:rsid w:val="00395AC6"/>
    <w:rsid w:val="00395C15"/>
    <w:rsid w:val="00395CD1"/>
    <w:rsid w:val="00395D51"/>
    <w:rsid w:val="0039694D"/>
    <w:rsid w:val="00396AA7"/>
    <w:rsid w:val="00397516"/>
    <w:rsid w:val="00397D77"/>
    <w:rsid w:val="003A030A"/>
    <w:rsid w:val="003A0724"/>
    <w:rsid w:val="003A2ED5"/>
    <w:rsid w:val="003A306B"/>
    <w:rsid w:val="003A350E"/>
    <w:rsid w:val="003A3B97"/>
    <w:rsid w:val="003A43F6"/>
    <w:rsid w:val="003A4426"/>
    <w:rsid w:val="003A5289"/>
    <w:rsid w:val="003A5B1B"/>
    <w:rsid w:val="003A5DA5"/>
    <w:rsid w:val="003A5DE3"/>
    <w:rsid w:val="003A5F6E"/>
    <w:rsid w:val="003A6476"/>
    <w:rsid w:val="003A66FD"/>
    <w:rsid w:val="003A6C49"/>
    <w:rsid w:val="003A753C"/>
    <w:rsid w:val="003A7C1E"/>
    <w:rsid w:val="003A7D98"/>
    <w:rsid w:val="003B019B"/>
    <w:rsid w:val="003B0558"/>
    <w:rsid w:val="003B114B"/>
    <w:rsid w:val="003B11B1"/>
    <w:rsid w:val="003B15B2"/>
    <w:rsid w:val="003B1756"/>
    <w:rsid w:val="003B1A35"/>
    <w:rsid w:val="003B1E32"/>
    <w:rsid w:val="003B2571"/>
    <w:rsid w:val="003B261E"/>
    <w:rsid w:val="003B294E"/>
    <w:rsid w:val="003B29D3"/>
    <w:rsid w:val="003B672F"/>
    <w:rsid w:val="003B70CF"/>
    <w:rsid w:val="003B77B8"/>
    <w:rsid w:val="003B795A"/>
    <w:rsid w:val="003B7F9F"/>
    <w:rsid w:val="003C0086"/>
    <w:rsid w:val="003C0419"/>
    <w:rsid w:val="003C1D95"/>
    <w:rsid w:val="003C2A82"/>
    <w:rsid w:val="003C30DF"/>
    <w:rsid w:val="003C340A"/>
    <w:rsid w:val="003C3983"/>
    <w:rsid w:val="003C3D02"/>
    <w:rsid w:val="003C4985"/>
    <w:rsid w:val="003C538B"/>
    <w:rsid w:val="003C555B"/>
    <w:rsid w:val="003C5C67"/>
    <w:rsid w:val="003C633A"/>
    <w:rsid w:val="003C63F0"/>
    <w:rsid w:val="003C6CAD"/>
    <w:rsid w:val="003C6CD3"/>
    <w:rsid w:val="003C7007"/>
    <w:rsid w:val="003C7740"/>
    <w:rsid w:val="003D015D"/>
    <w:rsid w:val="003D05CC"/>
    <w:rsid w:val="003D07E0"/>
    <w:rsid w:val="003D0AE0"/>
    <w:rsid w:val="003D1CB4"/>
    <w:rsid w:val="003D2175"/>
    <w:rsid w:val="003D22C2"/>
    <w:rsid w:val="003D2AFB"/>
    <w:rsid w:val="003D31CB"/>
    <w:rsid w:val="003D383F"/>
    <w:rsid w:val="003D443E"/>
    <w:rsid w:val="003D4477"/>
    <w:rsid w:val="003D517D"/>
    <w:rsid w:val="003D58AE"/>
    <w:rsid w:val="003D5922"/>
    <w:rsid w:val="003D5E69"/>
    <w:rsid w:val="003D66F5"/>
    <w:rsid w:val="003D673B"/>
    <w:rsid w:val="003D6A40"/>
    <w:rsid w:val="003D6E1F"/>
    <w:rsid w:val="003D7267"/>
    <w:rsid w:val="003D7347"/>
    <w:rsid w:val="003D767B"/>
    <w:rsid w:val="003D7757"/>
    <w:rsid w:val="003E04BF"/>
    <w:rsid w:val="003E0EB6"/>
    <w:rsid w:val="003E105C"/>
    <w:rsid w:val="003E1176"/>
    <w:rsid w:val="003E12FC"/>
    <w:rsid w:val="003E15CB"/>
    <w:rsid w:val="003E183E"/>
    <w:rsid w:val="003E2118"/>
    <w:rsid w:val="003E23FE"/>
    <w:rsid w:val="003E253E"/>
    <w:rsid w:val="003E2A37"/>
    <w:rsid w:val="003E32B8"/>
    <w:rsid w:val="003E35D3"/>
    <w:rsid w:val="003E476D"/>
    <w:rsid w:val="003E4ECE"/>
    <w:rsid w:val="003E5474"/>
    <w:rsid w:val="003E5C55"/>
    <w:rsid w:val="003E6B5E"/>
    <w:rsid w:val="003E79CD"/>
    <w:rsid w:val="003E7E95"/>
    <w:rsid w:val="003F00F2"/>
    <w:rsid w:val="003F0C13"/>
    <w:rsid w:val="003F1360"/>
    <w:rsid w:val="003F18F5"/>
    <w:rsid w:val="003F1D41"/>
    <w:rsid w:val="003F33EE"/>
    <w:rsid w:val="003F3D15"/>
    <w:rsid w:val="003F3EA5"/>
    <w:rsid w:val="003F4282"/>
    <w:rsid w:val="003F45AB"/>
    <w:rsid w:val="003F4B91"/>
    <w:rsid w:val="003F50A4"/>
    <w:rsid w:val="003F641E"/>
    <w:rsid w:val="003F65C9"/>
    <w:rsid w:val="003F670B"/>
    <w:rsid w:val="003F6C3F"/>
    <w:rsid w:val="003F71AE"/>
    <w:rsid w:val="003F7D3A"/>
    <w:rsid w:val="004000D4"/>
    <w:rsid w:val="004004F3"/>
    <w:rsid w:val="004007AE"/>
    <w:rsid w:val="00401937"/>
    <w:rsid w:val="00401EF2"/>
    <w:rsid w:val="00401F9E"/>
    <w:rsid w:val="00401FD0"/>
    <w:rsid w:val="00402670"/>
    <w:rsid w:val="00402A05"/>
    <w:rsid w:val="0040388F"/>
    <w:rsid w:val="0040450F"/>
    <w:rsid w:val="0040468B"/>
    <w:rsid w:val="00404F85"/>
    <w:rsid w:val="004069F4"/>
    <w:rsid w:val="00406CA8"/>
    <w:rsid w:val="00407B70"/>
    <w:rsid w:val="00410567"/>
    <w:rsid w:val="00412774"/>
    <w:rsid w:val="00412DD5"/>
    <w:rsid w:val="00413381"/>
    <w:rsid w:val="0041389C"/>
    <w:rsid w:val="004139EF"/>
    <w:rsid w:val="00413A79"/>
    <w:rsid w:val="00413D9C"/>
    <w:rsid w:val="004146A0"/>
    <w:rsid w:val="0041560D"/>
    <w:rsid w:val="00415AF6"/>
    <w:rsid w:val="00415EFA"/>
    <w:rsid w:val="00417204"/>
    <w:rsid w:val="00417602"/>
    <w:rsid w:val="00417635"/>
    <w:rsid w:val="00417FE1"/>
    <w:rsid w:val="0042099A"/>
    <w:rsid w:val="00420BCA"/>
    <w:rsid w:val="00420D41"/>
    <w:rsid w:val="00420DB4"/>
    <w:rsid w:val="00421010"/>
    <w:rsid w:val="00421060"/>
    <w:rsid w:val="0042267F"/>
    <w:rsid w:val="00422FDD"/>
    <w:rsid w:val="00423662"/>
    <w:rsid w:val="0042476E"/>
    <w:rsid w:val="00424805"/>
    <w:rsid w:val="004249B9"/>
    <w:rsid w:val="00424EF7"/>
    <w:rsid w:val="00425AE7"/>
    <w:rsid w:val="00425BE1"/>
    <w:rsid w:val="00425FCE"/>
    <w:rsid w:val="00426283"/>
    <w:rsid w:val="0042783A"/>
    <w:rsid w:val="0043003C"/>
    <w:rsid w:val="00430577"/>
    <w:rsid w:val="00431122"/>
    <w:rsid w:val="00431495"/>
    <w:rsid w:val="004315FA"/>
    <w:rsid w:val="00431B98"/>
    <w:rsid w:val="00432AC1"/>
    <w:rsid w:val="00433820"/>
    <w:rsid w:val="004346CE"/>
    <w:rsid w:val="00434C22"/>
    <w:rsid w:val="004354E6"/>
    <w:rsid w:val="00436562"/>
    <w:rsid w:val="00436914"/>
    <w:rsid w:val="00436C88"/>
    <w:rsid w:val="00436E16"/>
    <w:rsid w:val="0043745E"/>
    <w:rsid w:val="00440E86"/>
    <w:rsid w:val="00441379"/>
    <w:rsid w:val="0044168A"/>
    <w:rsid w:val="004417F1"/>
    <w:rsid w:val="004419F4"/>
    <w:rsid w:val="00441C6D"/>
    <w:rsid w:val="00441CE1"/>
    <w:rsid w:val="00442BB7"/>
    <w:rsid w:val="004430F8"/>
    <w:rsid w:val="0044311B"/>
    <w:rsid w:val="00443714"/>
    <w:rsid w:val="00443823"/>
    <w:rsid w:val="00443F2B"/>
    <w:rsid w:val="00444125"/>
    <w:rsid w:val="00444503"/>
    <w:rsid w:val="00445656"/>
    <w:rsid w:val="00446B32"/>
    <w:rsid w:val="00446F0B"/>
    <w:rsid w:val="004473ED"/>
    <w:rsid w:val="0044793E"/>
    <w:rsid w:val="00447AB0"/>
    <w:rsid w:val="00447EB4"/>
    <w:rsid w:val="004501FB"/>
    <w:rsid w:val="00450209"/>
    <w:rsid w:val="004502DC"/>
    <w:rsid w:val="004509C9"/>
    <w:rsid w:val="00450D02"/>
    <w:rsid w:val="00450D93"/>
    <w:rsid w:val="00450DC8"/>
    <w:rsid w:val="004513F9"/>
    <w:rsid w:val="00451429"/>
    <w:rsid w:val="0045167C"/>
    <w:rsid w:val="00451876"/>
    <w:rsid w:val="00451BEA"/>
    <w:rsid w:val="00451DF9"/>
    <w:rsid w:val="00453877"/>
    <w:rsid w:val="00453942"/>
    <w:rsid w:val="00454B78"/>
    <w:rsid w:val="00455212"/>
    <w:rsid w:val="004555D4"/>
    <w:rsid w:val="00455D70"/>
    <w:rsid w:val="00456CF5"/>
    <w:rsid w:val="004579BB"/>
    <w:rsid w:val="00457A34"/>
    <w:rsid w:val="0046077F"/>
    <w:rsid w:val="004608B9"/>
    <w:rsid w:val="004611A0"/>
    <w:rsid w:val="00462274"/>
    <w:rsid w:val="004635FE"/>
    <w:rsid w:val="0046456E"/>
    <w:rsid w:val="00464577"/>
    <w:rsid w:val="00465C79"/>
    <w:rsid w:val="00466096"/>
    <w:rsid w:val="004665B5"/>
    <w:rsid w:val="00466D7F"/>
    <w:rsid w:val="00467569"/>
    <w:rsid w:val="00467576"/>
    <w:rsid w:val="004678EC"/>
    <w:rsid w:val="00467BE1"/>
    <w:rsid w:val="00467CBF"/>
    <w:rsid w:val="004701BB"/>
    <w:rsid w:val="00470819"/>
    <w:rsid w:val="00471086"/>
    <w:rsid w:val="00471FC9"/>
    <w:rsid w:val="004720DD"/>
    <w:rsid w:val="004727AF"/>
    <w:rsid w:val="00473125"/>
    <w:rsid w:val="004734CC"/>
    <w:rsid w:val="00474172"/>
    <w:rsid w:val="004742DA"/>
    <w:rsid w:val="004744DD"/>
    <w:rsid w:val="00474515"/>
    <w:rsid w:val="00474660"/>
    <w:rsid w:val="00475626"/>
    <w:rsid w:val="00476164"/>
    <w:rsid w:val="004778E6"/>
    <w:rsid w:val="00477D54"/>
    <w:rsid w:val="00477FB2"/>
    <w:rsid w:val="0048118F"/>
    <w:rsid w:val="004813F8"/>
    <w:rsid w:val="00481DE9"/>
    <w:rsid w:val="0048212F"/>
    <w:rsid w:val="00482740"/>
    <w:rsid w:val="00483000"/>
    <w:rsid w:val="0048359C"/>
    <w:rsid w:val="00483D16"/>
    <w:rsid w:val="0048536C"/>
    <w:rsid w:val="00485803"/>
    <w:rsid w:val="004858C1"/>
    <w:rsid w:val="00486064"/>
    <w:rsid w:val="004860F8"/>
    <w:rsid w:val="00486209"/>
    <w:rsid w:val="00486F72"/>
    <w:rsid w:val="00487A0A"/>
    <w:rsid w:val="00487DB4"/>
    <w:rsid w:val="00490683"/>
    <w:rsid w:val="004907D9"/>
    <w:rsid w:val="00490A5A"/>
    <w:rsid w:val="00490A84"/>
    <w:rsid w:val="00491A65"/>
    <w:rsid w:val="00492019"/>
    <w:rsid w:val="00492CF1"/>
    <w:rsid w:val="0049323B"/>
    <w:rsid w:val="00493595"/>
    <w:rsid w:val="00493765"/>
    <w:rsid w:val="0049399B"/>
    <w:rsid w:val="00493A49"/>
    <w:rsid w:val="00493C62"/>
    <w:rsid w:val="00493E65"/>
    <w:rsid w:val="00494740"/>
    <w:rsid w:val="00494CE3"/>
    <w:rsid w:val="004950DC"/>
    <w:rsid w:val="00495220"/>
    <w:rsid w:val="0049554C"/>
    <w:rsid w:val="0049573A"/>
    <w:rsid w:val="004958B2"/>
    <w:rsid w:val="004961B7"/>
    <w:rsid w:val="00496ABD"/>
    <w:rsid w:val="00496F86"/>
    <w:rsid w:val="00497C69"/>
    <w:rsid w:val="004A000D"/>
    <w:rsid w:val="004A0021"/>
    <w:rsid w:val="004A0CDA"/>
    <w:rsid w:val="004A1080"/>
    <w:rsid w:val="004A131C"/>
    <w:rsid w:val="004A1A6A"/>
    <w:rsid w:val="004A1F96"/>
    <w:rsid w:val="004A2452"/>
    <w:rsid w:val="004A2754"/>
    <w:rsid w:val="004A35FC"/>
    <w:rsid w:val="004A3B1F"/>
    <w:rsid w:val="004A3F59"/>
    <w:rsid w:val="004A44AC"/>
    <w:rsid w:val="004A4558"/>
    <w:rsid w:val="004A4C2F"/>
    <w:rsid w:val="004A4F56"/>
    <w:rsid w:val="004A5703"/>
    <w:rsid w:val="004A6471"/>
    <w:rsid w:val="004A6480"/>
    <w:rsid w:val="004A664D"/>
    <w:rsid w:val="004A6A24"/>
    <w:rsid w:val="004A768E"/>
    <w:rsid w:val="004B0173"/>
    <w:rsid w:val="004B082F"/>
    <w:rsid w:val="004B0A1C"/>
    <w:rsid w:val="004B2372"/>
    <w:rsid w:val="004B27CC"/>
    <w:rsid w:val="004B29D7"/>
    <w:rsid w:val="004B39F8"/>
    <w:rsid w:val="004B3A3F"/>
    <w:rsid w:val="004B4445"/>
    <w:rsid w:val="004B4BC1"/>
    <w:rsid w:val="004B635D"/>
    <w:rsid w:val="004B65E6"/>
    <w:rsid w:val="004B68D1"/>
    <w:rsid w:val="004B751D"/>
    <w:rsid w:val="004C0100"/>
    <w:rsid w:val="004C0213"/>
    <w:rsid w:val="004C07E6"/>
    <w:rsid w:val="004C0D8D"/>
    <w:rsid w:val="004C1AFD"/>
    <w:rsid w:val="004C263B"/>
    <w:rsid w:val="004C2E70"/>
    <w:rsid w:val="004C318E"/>
    <w:rsid w:val="004C39FB"/>
    <w:rsid w:val="004C3FAA"/>
    <w:rsid w:val="004C42AC"/>
    <w:rsid w:val="004C4B07"/>
    <w:rsid w:val="004C4DA2"/>
    <w:rsid w:val="004C4FF9"/>
    <w:rsid w:val="004C58D6"/>
    <w:rsid w:val="004C59F0"/>
    <w:rsid w:val="004C65DB"/>
    <w:rsid w:val="004C6EBF"/>
    <w:rsid w:val="004C77DE"/>
    <w:rsid w:val="004C79DC"/>
    <w:rsid w:val="004C7A04"/>
    <w:rsid w:val="004C7CB7"/>
    <w:rsid w:val="004C7DC9"/>
    <w:rsid w:val="004D063F"/>
    <w:rsid w:val="004D1047"/>
    <w:rsid w:val="004D1489"/>
    <w:rsid w:val="004D1F77"/>
    <w:rsid w:val="004D2BB1"/>
    <w:rsid w:val="004D2DBC"/>
    <w:rsid w:val="004D2F0F"/>
    <w:rsid w:val="004D35AA"/>
    <w:rsid w:val="004D37B4"/>
    <w:rsid w:val="004D3A7D"/>
    <w:rsid w:val="004D3BFB"/>
    <w:rsid w:val="004D3D1F"/>
    <w:rsid w:val="004D4021"/>
    <w:rsid w:val="004D4AE6"/>
    <w:rsid w:val="004D5334"/>
    <w:rsid w:val="004D5B65"/>
    <w:rsid w:val="004D6243"/>
    <w:rsid w:val="004D627A"/>
    <w:rsid w:val="004D686B"/>
    <w:rsid w:val="004D6964"/>
    <w:rsid w:val="004D6A8A"/>
    <w:rsid w:val="004D7309"/>
    <w:rsid w:val="004D76BB"/>
    <w:rsid w:val="004E06BF"/>
    <w:rsid w:val="004E0917"/>
    <w:rsid w:val="004E0BAB"/>
    <w:rsid w:val="004E1620"/>
    <w:rsid w:val="004E2B6C"/>
    <w:rsid w:val="004E2E69"/>
    <w:rsid w:val="004E34D8"/>
    <w:rsid w:val="004E3AA2"/>
    <w:rsid w:val="004E3BDD"/>
    <w:rsid w:val="004E45FF"/>
    <w:rsid w:val="004E486D"/>
    <w:rsid w:val="004E4E16"/>
    <w:rsid w:val="004E5CCD"/>
    <w:rsid w:val="004E5CE7"/>
    <w:rsid w:val="004E617B"/>
    <w:rsid w:val="004E684D"/>
    <w:rsid w:val="004E694E"/>
    <w:rsid w:val="004E6E8C"/>
    <w:rsid w:val="004E70F0"/>
    <w:rsid w:val="004E71E5"/>
    <w:rsid w:val="004F0BA5"/>
    <w:rsid w:val="004F11D4"/>
    <w:rsid w:val="004F1C6A"/>
    <w:rsid w:val="004F214B"/>
    <w:rsid w:val="004F2168"/>
    <w:rsid w:val="004F220F"/>
    <w:rsid w:val="004F2812"/>
    <w:rsid w:val="004F3947"/>
    <w:rsid w:val="004F3CB0"/>
    <w:rsid w:val="004F3D9C"/>
    <w:rsid w:val="004F3F92"/>
    <w:rsid w:val="004F459D"/>
    <w:rsid w:val="004F49F7"/>
    <w:rsid w:val="004F4CF9"/>
    <w:rsid w:val="004F4ED8"/>
    <w:rsid w:val="004F5207"/>
    <w:rsid w:val="004F57EA"/>
    <w:rsid w:val="004F664E"/>
    <w:rsid w:val="004F6764"/>
    <w:rsid w:val="004F6CF0"/>
    <w:rsid w:val="004F7719"/>
    <w:rsid w:val="004F7E18"/>
    <w:rsid w:val="004F7F71"/>
    <w:rsid w:val="00500632"/>
    <w:rsid w:val="00500698"/>
    <w:rsid w:val="005006E1"/>
    <w:rsid w:val="00501047"/>
    <w:rsid w:val="00501296"/>
    <w:rsid w:val="005019D4"/>
    <w:rsid w:val="00501C58"/>
    <w:rsid w:val="00501E81"/>
    <w:rsid w:val="00503BEA"/>
    <w:rsid w:val="00504098"/>
    <w:rsid w:val="00504ADE"/>
    <w:rsid w:val="00504CB0"/>
    <w:rsid w:val="00505638"/>
    <w:rsid w:val="005059CC"/>
    <w:rsid w:val="005060A7"/>
    <w:rsid w:val="0050633F"/>
    <w:rsid w:val="005066A8"/>
    <w:rsid w:val="00506C77"/>
    <w:rsid w:val="00507731"/>
    <w:rsid w:val="0050789E"/>
    <w:rsid w:val="005107E8"/>
    <w:rsid w:val="00510B5A"/>
    <w:rsid w:val="00510EE9"/>
    <w:rsid w:val="005119DE"/>
    <w:rsid w:val="00511D7E"/>
    <w:rsid w:val="005121C3"/>
    <w:rsid w:val="00512CCF"/>
    <w:rsid w:val="00512D4F"/>
    <w:rsid w:val="005132A3"/>
    <w:rsid w:val="00513858"/>
    <w:rsid w:val="005143BD"/>
    <w:rsid w:val="00514B7B"/>
    <w:rsid w:val="00515674"/>
    <w:rsid w:val="00515686"/>
    <w:rsid w:val="00515879"/>
    <w:rsid w:val="00515E65"/>
    <w:rsid w:val="00516B24"/>
    <w:rsid w:val="00516C9E"/>
    <w:rsid w:val="00516E24"/>
    <w:rsid w:val="00517425"/>
    <w:rsid w:val="005177B4"/>
    <w:rsid w:val="00517E15"/>
    <w:rsid w:val="0052077F"/>
    <w:rsid w:val="00520C9C"/>
    <w:rsid w:val="005210C3"/>
    <w:rsid w:val="00522CEB"/>
    <w:rsid w:val="005231A8"/>
    <w:rsid w:val="00523259"/>
    <w:rsid w:val="00523927"/>
    <w:rsid w:val="00524106"/>
    <w:rsid w:val="005244B7"/>
    <w:rsid w:val="00524B13"/>
    <w:rsid w:val="00524E18"/>
    <w:rsid w:val="0052532D"/>
    <w:rsid w:val="00526345"/>
    <w:rsid w:val="00526846"/>
    <w:rsid w:val="005268B1"/>
    <w:rsid w:val="00527DD8"/>
    <w:rsid w:val="00527F65"/>
    <w:rsid w:val="005300F2"/>
    <w:rsid w:val="0053022B"/>
    <w:rsid w:val="00531A6C"/>
    <w:rsid w:val="00531B7A"/>
    <w:rsid w:val="00531BC6"/>
    <w:rsid w:val="00531C8A"/>
    <w:rsid w:val="00531ED8"/>
    <w:rsid w:val="00532177"/>
    <w:rsid w:val="0053222F"/>
    <w:rsid w:val="005326A9"/>
    <w:rsid w:val="0053282A"/>
    <w:rsid w:val="00532FC1"/>
    <w:rsid w:val="0053341E"/>
    <w:rsid w:val="00533FFE"/>
    <w:rsid w:val="00534B8E"/>
    <w:rsid w:val="00534C6B"/>
    <w:rsid w:val="005356F0"/>
    <w:rsid w:val="005359CB"/>
    <w:rsid w:val="00535C86"/>
    <w:rsid w:val="00535EA8"/>
    <w:rsid w:val="00536114"/>
    <w:rsid w:val="00536242"/>
    <w:rsid w:val="00536599"/>
    <w:rsid w:val="0053683F"/>
    <w:rsid w:val="00536CC7"/>
    <w:rsid w:val="00536EC3"/>
    <w:rsid w:val="0053705B"/>
    <w:rsid w:val="00537211"/>
    <w:rsid w:val="005376C7"/>
    <w:rsid w:val="00537F69"/>
    <w:rsid w:val="00540663"/>
    <w:rsid w:val="00540929"/>
    <w:rsid w:val="00540A76"/>
    <w:rsid w:val="00540F11"/>
    <w:rsid w:val="00541019"/>
    <w:rsid w:val="00541942"/>
    <w:rsid w:val="00541F81"/>
    <w:rsid w:val="00542E7F"/>
    <w:rsid w:val="00543E83"/>
    <w:rsid w:val="005446BF"/>
    <w:rsid w:val="00544920"/>
    <w:rsid w:val="00544F52"/>
    <w:rsid w:val="00545229"/>
    <w:rsid w:val="005454F8"/>
    <w:rsid w:val="005456DA"/>
    <w:rsid w:val="005459FD"/>
    <w:rsid w:val="00545ECF"/>
    <w:rsid w:val="0054603F"/>
    <w:rsid w:val="0054666A"/>
    <w:rsid w:val="00546D40"/>
    <w:rsid w:val="00546E0E"/>
    <w:rsid w:val="00546E65"/>
    <w:rsid w:val="00547814"/>
    <w:rsid w:val="00547A63"/>
    <w:rsid w:val="00550AE0"/>
    <w:rsid w:val="00550FCA"/>
    <w:rsid w:val="0055147E"/>
    <w:rsid w:val="0055198D"/>
    <w:rsid w:val="0055202C"/>
    <w:rsid w:val="005533B9"/>
    <w:rsid w:val="0055382D"/>
    <w:rsid w:val="00554459"/>
    <w:rsid w:val="005559A9"/>
    <w:rsid w:val="00555AB0"/>
    <w:rsid w:val="00556D33"/>
    <w:rsid w:val="00556D9D"/>
    <w:rsid w:val="00557270"/>
    <w:rsid w:val="00557938"/>
    <w:rsid w:val="00557E48"/>
    <w:rsid w:val="00560406"/>
    <w:rsid w:val="00560506"/>
    <w:rsid w:val="005605D9"/>
    <w:rsid w:val="00560DFC"/>
    <w:rsid w:val="005612F9"/>
    <w:rsid w:val="005619A4"/>
    <w:rsid w:val="005619CD"/>
    <w:rsid w:val="00561BB8"/>
    <w:rsid w:val="00562504"/>
    <w:rsid w:val="005625FE"/>
    <w:rsid w:val="0056293D"/>
    <w:rsid w:val="00563071"/>
    <w:rsid w:val="005634CE"/>
    <w:rsid w:val="00563D3B"/>
    <w:rsid w:val="00564894"/>
    <w:rsid w:val="00565E72"/>
    <w:rsid w:val="005671D4"/>
    <w:rsid w:val="00567448"/>
    <w:rsid w:val="005679B1"/>
    <w:rsid w:val="00567C0B"/>
    <w:rsid w:val="00570737"/>
    <w:rsid w:val="00570839"/>
    <w:rsid w:val="00570CAD"/>
    <w:rsid w:val="00571327"/>
    <w:rsid w:val="005717B0"/>
    <w:rsid w:val="00571F4B"/>
    <w:rsid w:val="0057234E"/>
    <w:rsid w:val="00572A93"/>
    <w:rsid w:val="0057302F"/>
    <w:rsid w:val="0057304C"/>
    <w:rsid w:val="00573A36"/>
    <w:rsid w:val="00574018"/>
    <w:rsid w:val="0057413D"/>
    <w:rsid w:val="005744F3"/>
    <w:rsid w:val="00574537"/>
    <w:rsid w:val="00574CC0"/>
    <w:rsid w:val="00575156"/>
    <w:rsid w:val="005752B8"/>
    <w:rsid w:val="0057534B"/>
    <w:rsid w:val="00575B21"/>
    <w:rsid w:val="005760E0"/>
    <w:rsid w:val="00576183"/>
    <w:rsid w:val="00576296"/>
    <w:rsid w:val="00576884"/>
    <w:rsid w:val="005772BE"/>
    <w:rsid w:val="005812CE"/>
    <w:rsid w:val="005815A1"/>
    <w:rsid w:val="00581728"/>
    <w:rsid w:val="00582542"/>
    <w:rsid w:val="00583017"/>
    <w:rsid w:val="005834E5"/>
    <w:rsid w:val="005838D2"/>
    <w:rsid w:val="005841B6"/>
    <w:rsid w:val="0058488C"/>
    <w:rsid w:val="0058561C"/>
    <w:rsid w:val="005859E7"/>
    <w:rsid w:val="00585B21"/>
    <w:rsid w:val="00586068"/>
    <w:rsid w:val="00586859"/>
    <w:rsid w:val="00586E59"/>
    <w:rsid w:val="00587382"/>
    <w:rsid w:val="00590056"/>
    <w:rsid w:val="00590DE6"/>
    <w:rsid w:val="00590FBB"/>
    <w:rsid w:val="00591BF8"/>
    <w:rsid w:val="00591E32"/>
    <w:rsid w:val="00591EB8"/>
    <w:rsid w:val="005938D5"/>
    <w:rsid w:val="00593F9F"/>
    <w:rsid w:val="00594011"/>
    <w:rsid w:val="005946C7"/>
    <w:rsid w:val="005948C2"/>
    <w:rsid w:val="00594A65"/>
    <w:rsid w:val="00594D85"/>
    <w:rsid w:val="00594E7E"/>
    <w:rsid w:val="00594F78"/>
    <w:rsid w:val="00595A74"/>
    <w:rsid w:val="00595EA6"/>
    <w:rsid w:val="005961E2"/>
    <w:rsid w:val="00596302"/>
    <w:rsid w:val="00596617"/>
    <w:rsid w:val="00596A02"/>
    <w:rsid w:val="00596AC7"/>
    <w:rsid w:val="00597273"/>
    <w:rsid w:val="005A0823"/>
    <w:rsid w:val="005A0A19"/>
    <w:rsid w:val="005A0C14"/>
    <w:rsid w:val="005A0F1C"/>
    <w:rsid w:val="005A13C5"/>
    <w:rsid w:val="005A17D1"/>
    <w:rsid w:val="005A1C89"/>
    <w:rsid w:val="005A2266"/>
    <w:rsid w:val="005A2C0B"/>
    <w:rsid w:val="005A2C68"/>
    <w:rsid w:val="005A2F9F"/>
    <w:rsid w:val="005A3834"/>
    <w:rsid w:val="005A3C87"/>
    <w:rsid w:val="005A3CD4"/>
    <w:rsid w:val="005A4DEF"/>
    <w:rsid w:val="005A4E09"/>
    <w:rsid w:val="005A4E85"/>
    <w:rsid w:val="005A54D6"/>
    <w:rsid w:val="005A5DBF"/>
    <w:rsid w:val="005A5F2E"/>
    <w:rsid w:val="005B03E8"/>
    <w:rsid w:val="005B05CA"/>
    <w:rsid w:val="005B068F"/>
    <w:rsid w:val="005B0E6D"/>
    <w:rsid w:val="005B173B"/>
    <w:rsid w:val="005B17A4"/>
    <w:rsid w:val="005B263E"/>
    <w:rsid w:val="005B2AA6"/>
    <w:rsid w:val="005B2E2D"/>
    <w:rsid w:val="005B2E5D"/>
    <w:rsid w:val="005B3DE2"/>
    <w:rsid w:val="005B3EDE"/>
    <w:rsid w:val="005B4A6B"/>
    <w:rsid w:val="005B4E1D"/>
    <w:rsid w:val="005B54BE"/>
    <w:rsid w:val="005B5560"/>
    <w:rsid w:val="005B5836"/>
    <w:rsid w:val="005B654F"/>
    <w:rsid w:val="005B6E67"/>
    <w:rsid w:val="005B7392"/>
    <w:rsid w:val="005B77C7"/>
    <w:rsid w:val="005B7870"/>
    <w:rsid w:val="005B7A2E"/>
    <w:rsid w:val="005B7A60"/>
    <w:rsid w:val="005B7D4D"/>
    <w:rsid w:val="005C0552"/>
    <w:rsid w:val="005C0ECE"/>
    <w:rsid w:val="005C1044"/>
    <w:rsid w:val="005C1066"/>
    <w:rsid w:val="005C1BFA"/>
    <w:rsid w:val="005C1C2C"/>
    <w:rsid w:val="005C25C8"/>
    <w:rsid w:val="005C25FA"/>
    <w:rsid w:val="005C3826"/>
    <w:rsid w:val="005C394A"/>
    <w:rsid w:val="005C4692"/>
    <w:rsid w:val="005C4AA4"/>
    <w:rsid w:val="005C4AF1"/>
    <w:rsid w:val="005C4F15"/>
    <w:rsid w:val="005C552F"/>
    <w:rsid w:val="005C5E80"/>
    <w:rsid w:val="005C6A9A"/>
    <w:rsid w:val="005C6F4E"/>
    <w:rsid w:val="005D0176"/>
    <w:rsid w:val="005D044E"/>
    <w:rsid w:val="005D0E0D"/>
    <w:rsid w:val="005D0EDC"/>
    <w:rsid w:val="005D1AC2"/>
    <w:rsid w:val="005D1FD1"/>
    <w:rsid w:val="005D243E"/>
    <w:rsid w:val="005D2F10"/>
    <w:rsid w:val="005D317A"/>
    <w:rsid w:val="005D39CD"/>
    <w:rsid w:val="005D3E9A"/>
    <w:rsid w:val="005D418E"/>
    <w:rsid w:val="005D4382"/>
    <w:rsid w:val="005D48FB"/>
    <w:rsid w:val="005D4D05"/>
    <w:rsid w:val="005D4E47"/>
    <w:rsid w:val="005D540E"/>
    <w:rsid w:val="005D6D47"/>
    <w:rsid w:val="005D73EA"/>
    <w:rsid w:val="005D7A1E"/>
    <w:rsid w:val="005E0366"/>
    <w:rsid w:val="005E06B7"/>
    <w:rsid w:val="005E1130"/>
    <w:rsid w:val="005E1220"/>
    <w:rsid w:val="005E1650"/>
    <w:rsid w:val="005E1748"/>
    <w:rsid w:val="005E1C1A"/>
    <w:rsid w:val="005E1D1C"/>
    <w:rsid w:val="005E24EC"/>
    <w:rsid w:val="005E29B0"/>
    <w:rsid w:val="005E322C"/>
    <w:rsid w:val="005E3F60"/>
    <w:rsid w:val="005E3FC7"/>
    <w:rsid w:val="005E4570"/>
    <w:rsid w:val="005E45F4"/>
    <w:rsid w:val="005E4A14"/>
    <w:rsid w:val="005E6480"/>
    <w:rsid w:val="005E68EE"/>
    <w:rsid w:val="005E71B3"/>
    <w:rsid w:val="005E7F8D"/>
    <w:rsid w:val="005F0428"/>
    <w:rsid w:val="005F0E41"/>
    <w:rsid w:val="005F0FF3"/>
    <w:rsid w:val="005F1B0D"/>
    <w:rsid w:val="005F2A9F"/>
    <w:rsid w:val="005F30D3"/>
    <w:rsid w:val="005F334C"/>
    <w:rsid w:val="005F3B67"/>
    <w:rsid w:val="005F4100"/>
    <w:rsid w:val="005F429F"/>
    <w:rsid w:val="005F508B"/>
    <w:rsid w:val="005F52BA"/>
    <w:rsid w:val="005F5763"/>
    <w:rsid w:val="005F6548"/>
    <w:rsid w:val="005F7793"/>
    <w:rsid w:val="005F7A8B"/>
    <w:rsid w:val="0060021F"/>
    <w:rsid w:val="00600499"/>
    <w:rsid w:val="006010BB"/>
    <w:rsid w:val="00601CA8"/>
    <w:rsid w:val="00602121"/>
    <w:rsid w:val="00602181"/>
    <w:rsid w:val="0060226A"/>
    <w:rsid w:val="00602483"/>
    <w:rsid w:val="00602A87"/>
    <w:rsid w:val="006035B8"/>
    <w:rsid w:val="00603D84"/>
    <w:rsid w:val="00604527"/>
    <w:rsid w:val="0060458E"/>
    <w:rsid w:val="00604A87"/>
    <w:rsid w:val="00604C05"/>
    <w:rsid w:val="00604FC4"/>
    <w:rsid w:val="00605104"/>
    <w:rsid w:val="006059B0"/>
    <w:rsid w:val="00605FCC"/>
    <w:rsid w:val="0060629E"/>
    <w:rsid w:val="00606DD6"/>
    <w:rsid w:val="0060774C"/>
    <w:rsid w:val="00607BBE"/>
    <w:rsid w:val="00607D00"/>
    <w:rsid w:val="00610405"/>
    <w:rsid w:val="0061064A"/>
    <w:rsid w:val="00610B67"/>
    <w:rsid w:val="00610C64"/>
    <w:rsid w:val="00610CF6"/>
    <w:rsid w:val="006116D8"/>
    <w:rsid w:val="00612C0A"/>
    <w:rsid w:val="006146A1"/>
    <w:rsid w:val="00614992"/>
    <w:rsid w:val="00615219"/>
    <w:rsid w:val="0061593A"/>
    <w:rsid w:val="006159BA"/>
    <w:rsid w:val="006162F8"/>
    <w:rsid w:val="00616395"/>
    <w:rsid w:val="006164BF"/>
    <w:rsid w:val="006164F3"/>
    <w:rsid w:val="00616511"/>
    <w:rsid w:val="00616EC2"/>
    <w:rsid w:val="00617B7C"/>
    <w:rsid w:val="00620C6C"/>
    <w:rsid w:val="0062100E"/>
    <w:rsid w:val="006212E1"/>
    <w:rsid w:val="00621776"/>
    <w:rsid w:val="006217B8"/>
    <w:rsid w:val="00621872"/>
    <w:rsid w:val="00622275"/>
    <w:rsid w:val="006223A7"/>
    <w:rsid w:val="00622B2B"/>
    <w:rsid w:val="00622DE8"/>
    <w:rsid w:val="0062327C"/>
    <w:rsid w:val="006236EF"/>
    <w:rsid w:val="00623D00"/>
    <w:rsid w:val="00624935"/>
    <w:rsid w:val="00624A33"/>
    <w:rsid w:val="0062547E"/>
    <w:rsid w:val="006265B3"/>
    <w:rsid w:val="00626892"/>
    <w:rsid w:val="0062689F"/>
    <w:rsid w:val="006276B0"/>
    <w:rsid w:val="0063086E"/>
    <w:rsid w:val="00631835"/>
    <w:rsid w:val="006318D1"/>
    <w:rsid w:val="00631BF3"/>
    <w:rsid w:val="00631C49"/>
    <w:rsid w:val="00631C54"/>
    <w:rsid w:val="00631E14"/>
    <w:rsid w:val="00631FDD"/>
    <w:rsid w:val="00632879"/>
    <w:rsid w:val="00632EF6"/>
    <w:rsid w:val="00633749"/>
    <w:rsid w:val="006343C1"/>
    <w:rsid w:val="00634AEE"/>
    <w:rsid w:val="00634BCA"/>
    <w:rsid w:val="00634F19"/>
    <w:rsid w:val="00635415"/>
    <w:rsid w:val="00635C23"/>
    <w:rsid w:val="00635CA2"/>
    <w:rsid w:val="0063601B"/>
    <w:rsid w:val="00636A50"/>
    <w:rsid w:val="00636D9A"/>
    <w:rsid w:val="00637274"/>
    <w:rsid w:val="00637420"/>
    <w:rsid w:val="006378C6"/>
    <w:rsid w:val="006378CD"/>
    <w:rsid w:val="00640024"/>
    <w:rsid w:val="00640935"/>
    <w:rsid w:val="0064130A"/>
    <w:rsid w:val="00641BDD"/>
    <w:rsid w:val="0064201B"/>
    <w:rsid w:val="00642457"/>
    <w:rsid w:val="00642A60"/>
    <w:rsid w:val="00642EF5"/>
    <w:rsid w:val="0064523E"/>
    <w:rsid w:val="006454A5"/>
    <w:rsid w:val="006457A3"/>
    <w:rsid w:val="0064646E"/>
    <w:rsid w:val="00646ADF"/>
    <w:rsid w:val="00646DA0"/>
    <w:rsid w:val="00650262"/>
    <w:rsid w:val="00650867"/>
    <w:rsid w:val="00650FF9"/>
    <w:rsid w:val="006512A6"/>
    <w:rsid w:val="00651660"/>
    <w:rsid w:val="00651CFD"/>
    <w:rsid w:val="00653090"/>
    <w:rsid w:val="00653FAF"/>
    <w:rsid w:val="00654020"/>
    <w:rsid w:val="00654601"/>
    <w:rsid w:val="00654753"/>
    <w:rsid w:val="00654A8B"/>
    <w:rsid w:val="00654CA2"/>
    <w:rsid w:val="00655D63"/>
    <w:rsid w:val="00656669"/>
    <w:rsid w:val="00656B15"/>
    <w:rsid w:val="0065732C"/>
    <w:rsid w:val="00657519"/>
    <w:rsid w:val="00657F11"/>
    <w:rsid w:val="00660231"/>
    <w:rsid w:val="00660F3E"/>
    <w:rsid w:val="00661145"/>
    <w:rsid w:val="0066163C"/>
    <w:rsid w:val="00662987"/>
    <w:rsid w:val="006632EC"/>
    <w:rsid w:val="00663691"/>
    <w:rsid w:val="00663B95"/>
    <w:rsid w:val="00664565"/>
    <w:rsid w:val="00664747"/>
    <w:rsid w:val="006648DD"/>
    <w:rsid w:val="00665289"/>
    <w:rsid w:val="00665A4F"/>
    <w:rsid w:val="00665B75"/>
    <w:rsid w:val="00665BC1"/>
    <w:rsid w:val="00665F2F"/>
    <w:rsid w:val="006660EB"/>
    <w:rsid w:val="0066665A"/>
    <w:rsid w:val="00666708"/>
    <w:rsid w:val="006707E5"/>
    <w:rsid w:val="006707FB"/>
    <w:rsid w:val="00670B08"/>
    <w:rsid w:val="00670EDB"/>
    <w:rsid w:val="00671409"/>
    <w:rsid w:val="00671666"/>
    <w:rsid w:val="006719AF"/>
    <w:rsid w:val="00672447"/>
    <w:rsid w:val="00672CA7"/>
    <w:rsid w:val="00672E45"/>
    <w:rsid w:val="00672ECD"/>
    <w:rsid w:val="00673291"/>
    <w:rsid w:val="00673B74"/>
    <w:rsid w:val="00674144"/>
    <w:rsid w:val="00674B3E"/>
    <w:rsid w:val="00674F88"/>
    <w:rsid w:val="00675A2C"/>
    <w:rsid w:val="006760A5"/>
    <w:rsid w:val="00676149"/>
    <w:rsid w:val="0067693A"/>
    <w:rsid w:val="00676969"/>
    <w:rsid w:val="00676F0C"/>
    <w:rsid w:val="006770C1"/>
    <w:rsid w:val="00677766"/>
    <w:rsid w:val="006806A6"/>
    <w:rsid w:val="006806EC"/>
    <w:rsid w:val="006807DE"/>
    <w:rsid w:val="00680C6D"/>
    <w:rsid w:val="00681339"/>
    <w:rsid w:val="00681B43"/>
    <w:rsid w:val="00682CAB"/>
    <w:rsid w:val="006838BA"/>
    <w:rsid w:val="00683E9A"/>
    <w:rsid w:val="00683FAB"/>
    <w:rsid w:val="0068496B"/>
    <w:rsid w:val="0068625C"/>
    <w:rsid w:val="00686300"/>
    <w:rsid w:val="0068670C"/>
    <w:rsid w:val="006868B6"/>
    <w:rsid w:val="006868F7"/>
    <w:rsid w:val="00686C9A"/>
    <w:rsid w:val="00687396"/>
    <w:rsid w:val="00687501"/>
    <w:rsid w:val="006879B2"/>
    <w:rsid w:val="00687A55"/>
    <w:rsid w:val="006908CC"/>
    <w:rsid w:val="0069095B"/>
    <w:rsid w:val="006919C8"/>
    <w:rsid w:val="00692CFB"/>
    <w:rsid w:val="00692DD3"/>
    <w:rsid w:val="0069404B"/>
    <w:rsid w:val="00694545"/>
    <w:rsid w:val="00694A8B"/>
    <w:rsid w:val="00695640"/>
    <w:rsid w:val="00695A49"/>
    <w:rsid w:val="0069663E"/>
    <w:rsid w:val="006969D1"/>
    <w:rsid w:val="00696C54"/>
    <w:rsid w:val="006970AB"/>
    <w:rsid w:val="0069755A"/>
    <w:rsid w:val="00697677"/>
    <w:rsid w:val="006979D7"/>
    <w:rsid w:val="006A08D2"/>
    <w:rsid w:val="006A0DF5"/>
    <w:rsid w:val="006A0F3B"/>
    <w:rsid w:val="006A1A8F"/>
    <w:rsid w:val="006A1C97"/>
    <w:rsid w:val="006A2676"/>
    <w:rsid w:val="006A2833"/>
    <w:rsid w:val="006A2CD9"/>
    <w:rsid w:val="006A3F0D"/>
    <w:rsid w:val="006A4515"/>
    <w:rsid w:val="006A48EE"/>
    <w:rsid w:val="006A4F4E"/>
    <w:rsid w:val="006A54AF"/>
    <w:rsid w:val="006A5CBD"/>
    <w:rsid w:val="006A5F88"/>
    <w:rsid w:val="006A5FC8"/>
    <w:rsid w:val="006A61E6"/>
    <w:rsid w:val="006A6E35"/>
    <w:rsid w:val="006A7029"/>
    <w:rsid w:val="006B0E17"/>
    <w:rsid w:val="006B1BE8"/>
    <w:rsid w:val="006B2332"/>
    <w:rsid w:val="006B2BB3"/>
    <w:rsid w:val="006B2D07"/>
    <w:rsid w:val="006B30AB"/>
    <w:rsid w:val="006B30E3"/>
    <w:rsid w:val="006B346D"/>
    <w:rsid w:val="006B34EC"/>
    <w:rsid w:val="006B375B"/>
    <w:rsid w:val="006B420B"/>
    <w:rsid w:val="006B4445"/>
    <w:rsid w:val="006B5189"/>
    <w:rsid w:val="006B6181"/>
    <w:rsid w:val="006B6410"/>
    <w:rsid w:val="006B6A31"/>
    <w:rsid w:val="006B75FA"/>
    <w:rsid w:val="006B78AB"/>
    <w:rsid w:val="006B7A1B"/>
    <w:rsid w:val="006B7C7D"/>
    <w:rsid w:val="006C01C6"/>
    <w:rsid w:val="006C05CA"/>
    <w:rsid w:val="006C07AC"/>
    <w:rsid w:val="006C0AFD"/>
    <w:rsid w:val="006C0B00"/>
    <w:rsid w:val="006C0CB9"/>
    <w:rsid w:val="006C0CC4"/>
    <w:rsid w:val="006C0D5B"/>
    <w:rsid w:val="006C13B8"/>
    <w:rsid w:val="006C1DDC"/>
    <w:rsid w:val="006C1FEB"/>
    <w:rsid w:val="006C20E2"/>
    <w:rsid w:val="006C30BD"/>
    <w:rsid w:val="006C36B8"/>
    <w:rsid w:val="006C5373"/>
    <w:rsid w:val="006C5B4F"/>
    <w:rsid w:val="006C655B"/>
    <w:rsid w:val="006C6AD4"/>
    <w:rsid w:val="006C78AA"/>
    <w:rsid w:val="006D1370"/>
    <w:rsid w:val="006D1F71"/>
    <w:rsid w:val="006D2003"/>
    <w:rsid w:val="006D20A9"/>
    <w:rsid w:val="006D2334"/>
    <w:rsid w:val="006D2598"/>
    <w:rsid w:val="006D26C3"/>
    <w:rsid w:val="006D2B42"/>
    <w:rsid w:val="006D3788"/>
    <w:rsid w:val="006D37EA"/>
    <w:rsid w:val="006D39D9"/>
    <w:rsid w:val="006D416E"/>
    <w:rsid w:val="006D4179"/>
    <w:rsid w:val="006D4451"/>
    <w:rsid w:val="006D4F38"/>
    <w:rsid w:val="006D5036"/>
    <w:rsid w:val="006D533D"/>
    <w:rsid w:val="006D5649"/>
    <w:rsid w:val="006D5B54"/>
    <w:rsid w:val="006D608C"/>
    <w:rsid w:val="006D6B27"/>
    <w:rsid w:val="006D7AEA"/>
    <w:rsid w:val="006E05C2"/>
    <w:rsid w:val="006E06EF"/>
    <w:rsid w:val="006E0F0A"/>
    <w:rsid w:val="006E0FCD"/>
    <w:rsid w:val="006E10AE"/>
    <w:rsid w:val="006E1261"/>
    <w:rsid w:val="006E15ED"/>
    <w:rsid w:val="006E178E"/>
    <w:rsid w:val="006E2255"/>
    <w:rsid w:val="006E23C3"/>
    <w:rsid w:val="006E27F7"/>
    <w:rsid w:val="006E2BD4"/>
    <w:rsid w:val="006E2C0C"/>
    <w:rsid w:val="006E3250"/>
    <w:rsid w:val="006E35BE"/>
    <w:rsid w:val="006E47E0"/>
    <w:rsid w:val="006E482E"/>
    <w:rsid w:val="006E510A"/>
    <w:rsid w:val="006E5567"/>
    <w:rsid w:val="006E66EE"/>
    <w:rsid w:val="006E6745"/>
    <w:rsid w:val="006E67D0"/>
    <w:rsid w:val="006E6C60"/>
    <w:rsid w:val="006E6FE4"/>
    <w:rsid w:val="006E73A5"/>
    <w:rsid w:val="006E740C"/>
    <w:rsid w:val="006E7584"/>
    <w:rsid w:val="006E758B"/>
    <w:rsid w:val="006E7911"/>
    <w:rsid w:val="006F04D4"/>
    <w:rsid w:val="006F13F1"/>
    <w:rsid w:val="006F14EA"/>
    <w:rsid w:val="006F1A42"/>
    <w:rsid w:val="006F219E"/>
    <w:rsid w:val="006F22CF"/>
    <w:rsid w:val="006F2800"/>
    <w:rsid w:val="006F2DBC"/>
    <w:rsid w:val="006F2E5B"/>
    <w:rsid w:val="006F2F4A"/>
    <w:rsid w:val="006F31CE"/>
    <w:rsid w:val="006F339E"/>
    <w:rsid w:val="006F42C1"/>
    <w:rsid w:val="006F4328"/>
    <w:rsid w:val="006F4AB2"/>
    <w:rsid w:val="006F5502"/>
    <w:rsid w:val="006F5FE4"/>
    <w:rsid w:val="006F64D8"/>
    <w:rsid w:val="006F6D43"/>
    <w:rsid w:val="006F6E65"/>
    <w:rsid w:val="006F7898"/>
    <w:rsid w:val="006F78CA"/>
    <w:rsid w:val="006F798B"/>
    <w:rsid w:val="0070019B"/>
    <w:rsid w:val="00701055"/>
    <w:rsid w:val="007014FB"/>
    <w:rsid w:val="007021E6"/>
    <w:rsid w:val="00702511"/>
    <w:rsid w:val="0070260A"/>
    <w:rsid w:val="007027B1"/>
    <w:rsid w:val="0070308F"/>
    <w:rsid w:val="00703D3D"/>
    <w:rsid w:val="00704416"/>
    <w:rsid w:val="007046C5"/>
    <w:rsid w:val="00704932"/>
    <w:rsid w:val="00704F5C"/>
    <w:rsid w:val="00704F86"/>
    <w:rsid w:val="00705320"/>
    <w:rsid w:val="007057E3"/>
    <w:rsid w:val="00705F67"/>
    <w:rsid w:val="0070605E"/>
    <w:rsid w:val="0070617A"/>
    <w:rsid w:val="007063BA"/>
    <w:rsid w:val="00706901"/>
    <w:rsid w:val="00706D18"/>
    <w:rsid w:val="00707A22"/>
    <w:rsid w:val="00707CBD"/>
    <w:rsid w:val="00707F7E"/>
    <w:rsid w:val="00710270"/>
    <w:rsid w:val="00710F73"/>
    <w:rsid w:val="00711F17"/>
    <w:rsid w:val="007127C5"/>
    <w:rsid w:val="0071361F"/>
    <w:rsid w:val="007137F1"/>
    <w:rsid w:val="007140D5"/>
    <w:rsid w:val="0071441D"/>
    <w:rsid w:val="00714F96"/>
    <w:rsid w:val="0071566B"/>
    <w:rsid w:val="00715D6C"/>
    <w:rsid w:val="00716168"/>
    <w:rsid w:val="00716A54"/>
    <w:rsid w:val="00716C5A"/>
    <w:rsid w:val="00716FFA"/>
    <w:rsid w:val="00716FFB"/>
    <w:rsid w:val="00720036"/>
    <w:rsid w:val="007201C1"/>
    <w:rsid w:val="00720AD0"/>
    <w:rsid w:val="007211BD"/>
    <w:rsid w:val="007215E4"/>
    <w:rsid w:val="007217CE"/>
    <w:rsid w:val="00722A11"/>
    <w:rsid w:val="007236B2"/>
    <w:rsid w:val="00723AF5"/>
    <w:rsid w:val="0072459D"/>
    <w:rsid w:val="00724E73"/>
    <w:rsid w:val="00724FA5"/>
    <w:rsid w:val="0072529A"/>
    <w:rsid w:val="007252C5"/>
    <w:rsid w:val="007254C0"/>
    <w:rsid w:val="007258EB"/>
    <w:rsid w:val="00725F2A"/>
    <w:rsid w:val="00726502"/>
    <w:rsid w:val="007271E3"/>
    <w:rsid w:val="00727424"/>
    <w:rsid w:val="007275D2"/>
    <w:rsid w:val="00730B28"/>
    <w:rsid w:val="00730B98"/>
    <w:rsid w:val="00730C3C"/>
    <w:rsid w:val="00730CAB"/>
    <w:rsid w:val="00731AC4"/>
    <w:rsid w:val="00731EF8"/>
    <w:rsid w:val="0073280B"/>
    <w:rsid w:val="00732FFC"/>
    <w:rsid w:val="0073307B"/>
    <w:rsid w:val="00733403"/>
    <w:rsid w:val="00733691"/>
    <w:rsid w:val="00734CED"/>
    <w:rsid w:val="00735081"/>
    <w:rsid w:val="00735BC8"/>
    <w:rsid w:val="00735E60"/>
    <w:rsid w:val="00736124"/>
    <w:rsid w:val="00737D7B"/>
    <w:rsid w:val="00737F7F"/>
    <w:rsid w:val="00740BC7"/>
    <w:rsid w:val="0074225A"/>
    <w:rsid w:val="00742E2D"/>
    <w:rsid w:val="0074301C"/>
    <w:rsid w:val="007456B7"/>
    <w:rsid w:val="00745830"/>
    <w:rsid w:val="00745BBE"/>
    <w:rsid w:val="007468C6"/>
    <w:rsid w:val="0074708B"/>
    <w:rsid w:val="0074780E"/>
    <w:rsid w:val="007479DA"/>
    <w:rsid w:val="00747D4E"/>
    <w:rsid w:val="00750507"/>
    <w:rsid w:val="00750864"/>
    <w:rsid w:val="00750B5B"/>
    <w:rsid w:val="007511A6"/>
    <w:rsid w:val="00751C5D"/>
    <w:rsid w:val="00751E41"/>
    <w:rsid w:val="007522CB"/>
    <w:rsid w:val="00752777"/>
    <w:rsid w:val="007534BB"/>
    <w:rsid w:val="007538A8"/>
    <w:rsid w:val="00753A3B"/>
    <w:rsid w:val="00754A93"/>
    <w:rsid w:val="0075510F"/>
    <w:rsid w:val="00755302"/>
    <w:rsid w:val="0075564B"/>
    <w:rsid w:val="0075569E"/>
    <w:rsid w:val="00755D56"/>
    <w:rsid w:val="00755F6C"/>
    <w:rsid w:val="00755FDF"/>
    <w:rsid w:val="007566F4"/>
    <w:rsid w:val="00756C02"/>
    <w:rsid w:val="00756D3D"/>
    <w:rsid w:val="00756EE8"/>
    <w:rsid w:val="0075760D"/>
    <w:rsid w:val="00757815"/>
    <w:rsid w:val="00760A03"/>
    <w:rsid w:val="00761292"/>
    <w:rsid w:val="00761449"/>
    <w:rsid w:val="0076180F"/>
    <w:rsid w:val="00762B61"/>
    <w:rsid w:val="00762D56"/>
    <w:rsid w:val="00764084"/>
    <w:rsid w:val="0076631D"/>
    <w:rsid w:val="00767127"/>
    <w:rsid w:val="007701D7"/>
    <w:rsid w:val="00770B20"/>
    <w:rsid w:val="00770D02"/>
    <w:rsid w:val="0077163A"/>
    <w:rsid w:val="00771F64"/>
    <w:rsid w:val="00771F8E"/>
    <w:rsid w:val="00772E0D"/>
    <w:rsid w:val="00772E0F"/>
    <w:rsid w:val="00772FB4"/>
    <w:rsid w:val="00773804"/>
    <w:rsid w:val="007738E9"/>
    <w:rsid w:val="00773DAC"/>
    <w:rsid w:val="00774926"/>
    <w:rsid w:val="007750CC"/>
    <w:rsid w:val="007754BA"/>
    <w:rsid w:val="00775564"/>
    <w:rsid w:val="007755BC"/>
    <w:rsid w:val="00775860"/>
    <w:rsid w:val="00775AF6"/>
    <w:rsid w:val="007766EE"/>
    <w:rsid w:val="007769A9"/>
    <w:rsid w:val="00777151"/>
    <w:rsid w:val="00777B5A"/>
    <w:rsid w:val="00777D72"/>
    <w:rsid w:val="00777F8D"/>
    <w:rsid w:val="00780095"/>
    <w:rsid w:val="00780104"/>
    <w:rsid w:val="0078075B"/>
    <w:rsid w:val="00780976"/>
    <w:rsid w:val="00780A37"/>
    <w:rsid w:val="00780B24"/>
    <w:rsid w:val="00781140"/>
    <w:rsid w:val="007816F5"/>
    <w:rsid w:val="0078190F"/>
    <w:rsid w:val="00781D1D"/>
    <w:rsid w:val="00782499"/>
    <w:rsid w:val="00782719"/>
    <w:rsid w:val="00782EEE"/>
    <w:rsid w:val="00782FA2"/>
    <w:rsid w:val="007837F4"/>
    <w:rsid w:val="00784B47"/>
    <w:rsid w:val="00785752"/>
    <w:rsid w:val="00786094"/>
    <w:rsid w:val="00786327"/>
    <w:rsid w:val="00786373"/>
    <w:rsid w:val="00786542"/>
    <w:rsid w:val="00786A13"/>
    <w:rsid w:val="00787215"/>
    <w:rsid w:val="00787BAE"/>
    <w:rsid w:val="00787D9D"/>
    <w:rsid w:val="00787E91"/>
    <w:rsid w:val="007901F8"/>
    <w:rsid w:val="007910CF"/>
    <w:rsid w:val="0079226D"/>
    <w:rsid w:val="007928F1"/>
    <w:rsid w:val="00792953"/>
    <w:rsid w:val="007933F6"/>
    <w:rsid w:val="0079358A"/>
    <w:rsid w:val="00793F85"/>
    <w:rsid w:val="007940D4"/>
    <w:rsid w:val="00797BCB"/>
    <w:rsid w:val="007A0721"/>
    <w:rsid w:val="007A0CBC"/>
    <w:rsid w:val="007A11BE"/>
    <w:rsid w:val="007A1829"/>
    <w:rsid w:val="007A1B58"/>
    <w:rsid w:val="007A1F79"/>
    <w:rsid w:val="007A2BBF"/>
    <w:rsid w:val="007A2CB9"/>
    <w:rsid w:val="007A330B"/>
    <w:rsid w:val="007A38FE"/>
    <w:rsid w:val="007A3BBF"/>
    <w:rsid w:val="007A3BF8"/>
    <w:rsid w:val="007A3F00"/>
    <w:rsid w:val="007A4439"/>
    <w:rsid w:val="007A4800"/>
    <w:rsid w:val="007A4A5F"/>
    <w:rsid w:val="007A5134"/>
    <w:rsid w:val="007A5449"/>
    <w:rsid w:val="007A5892"/>
    <w:rsid w:val="007A59C8"/>
    <w:rsid w:val="007A66F7"/>
    <w:rsid w:val="007A6FAC"/>
    <w:rsid w:val="007A6FFE"/>
    <w:rsid w:val="007A712E"/>
    <w:rsid w:val="007A76C5"/>
    <w:rsid w:val="007A7CFF"/>
    <w:rsid w:val="007A7FD3"/>
    <w:rsid w:val="007B0422"/>
    <w:rsid w:val="007B0FAA"/>
    <w:rsid w:val="007B0FD1"/>
    <w:rsid w:val="007B1442"/>
    <w:rsid w:val="007B1BF3"/>
    <w:rsid w:val="007B3784"/>
    <w:rsid w:val="007B3C1F"/>
    <w:rsid w:val="007B471E"/>
    <w:rsid w:val="007B5AC4"/>
    <w:rsid w:val="007B63E9"/>
    <w:rsid w:val="007B64F1"/>
    <w:rsid w:val="007B6A7D"/>
    <w:rsid w:val="007B6B36"/>
    <w:rsid w:val="007B71ED"/>
    <w:rsid w:val="007B731B"/>
    <w:rsid w:val="007C1D4A"/>
    <w:rsid w:val="007C1E1E"/>
    <w:rsid w:val="007C246B"/>
    <w:rsid w:val="007C2611"/>
    <w:rsid w:val="007C2816"/>
    <w:rsid w:val="007C324A"/>
    <w:rsid w:val="007C3478"/>
    <w:rsid w:val="007C3595"/>
    <w:rsid w:val="007C3B15"/>
    <w:rsid w:val="007C3F63"/>
    <w:rsid w:val="007C4C35"/>
    <w:rsid w:val="007C685B"/>
    <w:rsid w:val="007C6AE8"/>
    <w:rsid w:val="007C6B35"/>
    <w:rsid w:val="007C6BA6"/>
    <w:rsid w:val="007C708E"/>
    <w:rsid w:val="007C7CD9"/>
    <w:rsid w:val="007D035A"/>
    <w:rsid w:val="007D0843"/>
    <w:rsid w:val="007D0BDB"/>
    <w:rsid w:val="007D1472"/>
    <w:rsid w:val="007D18C5"/>
    <w:rsid w:val="007D1A2B"/>
    <w:rsid w:val="007D1C96"/>
    <w:rsid w:val="007D1E57"/>
    <w:rsid w:val="007D3414"/>
    <w:rsid w:val="007D39AB"/>
    <w:rsid w:val="007D45B7"/>
    <w:rsid w:val="007D46EE"/>
    <w:rsid w:val="007D48F6"/>
    <w:rsid w:val="007D49EB"/>
    <w:rsid w:val="007D5445"/>
    <w:rsid w:val="007D57A8"/>
    <w:rsid w:val="007D5DC6"/>
    <w:rsid w:val="007D5F15"/>
    <w:rsid w:val="007D6087"/>
    <w:rsid w:val="007D6095"/>
    <w:rsid w:val="007D6132"/>
    <w:rsid w:val="007D6E3E"/>
    <w:rsid w:val="007D762E"/>
    <w:rsid w:val="007D7A4F"/>
    <w:rsid w:val="007D7CBE"/>
    <w:rsid w:val="007E019F"/>
    <w:rsid w:val="007E0491"/>
    <w:rsid w:val="007E10E2"/>
    <w:rsid w:val="007E1304"/>
    <w:rsid w:val="007E1D55"/>
    <w:rsid w:val="007E1EE3"/>
    <w:rsid w:val="007E377E"/>
    <w:rsid w:val="007E4023"/>
    <w:rsid w:val="007E4973"/>
    <w:rsid w:val="007E56B6"/>
    <w:rsid w:val="007E5964"/>
    <w:rsid w:val="007E5AD2"/>
    <w:rsid w:val="007E5EE2"/>
    <w:rsid w:val="007E7155"/>
    <w:rsid w:val="007E72A8"/>
    <w:rsid w:val="007E7323"/>
    <w:rsid w:val="007E75F5"/>
    <w:rsid w:val="007F036E"/>
    <w:rsid w:val="007F04EF"/>
    <w:rsid w:val="007F0563"/>
    <w:rsid w:val="007F0A0B"/>
    <w:rsid w:val="007F0A2B"/>
    <w:rsid w:val="007F0B8B"/>
    <w:rsid w:val="007F1172"/>
    <w:rsid w:val="007F1588"/>
    <w:rsid w:val="007F19FF"/>
    <w:rsid w:val="007F210C"/>
    <w:rsid w:val="007F2753"/>
    <w:rsid w:val="007F2A51"/>
    <w:rsid w:val="007F2D8F"/>
    <w:rsid w:val="007F3382"/>
    <w:rsid w:val="007F35B9"/>
    <w:rsid w:val="007F36E5"/>
    <w:rsid w:val="007F38DF"/>
    <w:rsid w:val="007F446E"/>
    <w:rsid w:val="007F4701"/>
    <w:rsid w:val="007F4888"/>
    <w:rsid w:val="007F4D0C"/>
    <w:rsid w:val="007F4E08"/>
    <w:rsid w:val="007F62C0"/>
    <w:rsid w:val="007F6AC3"/>
    <w:rsid w:val="007F7847"/>
    <w:rsid w:val="007F7C2F"/>
    <w:rsid w:val="00800035"/>
    <w:rsid w:val="00800069"/>
    <w:rsid w:val="00800263"/>
    <w:rsid w:val="008008C7"/>
    <w:rsid w:val="00802439"/>
    <w:rsid w:val="008028A1"/>
    <w:rsid w:val="00802D9F"/>
    <w:rsid w:val="00804596"/>
    <w:rsid w:val="00804B89"/>
    <w:rsid w:val="00804B94"/>
    <w:rsid w:val="00804D57"/>
    <w:rsid w:val="00804E45"/>
    <w:rsid w:val="00804F4C"/>
    <w:rsid w:val="00805DB9"/>
    <w:rsid w:val="0080664A"/>
    <w:rsid w:val="00806CB5"/>
    <w:rsid w:val="00806D0C"/>
    <w:rsid w:val="00806E44"/>
    <w:rsid w:val="00807659"/>
    <w:rsid w:val="00807ABA"/>
    <w:rsid w:val="00807B11"/>
    <w:rsid w:val="00807F46"/>
    <w:rsid w:val="00810A9F"/>
    <w:rsid w:val="00810CDE"/>
    <w:rsid w:val="00810D05"/>
    <w:rsid w:val="00811466"/>
    <w:rsid w:val="008115FE"/>
    <w:rsid w:val="00811F16"/>
    <w:rsid w:val="008122E2"/>
    <w:rsid w:val="00813119"/>
    <w:rsid w:val="00813125"/>
    <w:rsid w:val="00813194"/>
    <w:rsid w:val="00813199"/>
    <w:rsid w:val="008132E9"/>
    <w:rsid w:val="008133F9"/>
    <w:rsid w:val="0081415C"/>
    <w:rsid w:val="008143EE"/>
    <w:rsid w:val="00815201"/>
    <w:rsid w:val="00815BB5"/>
    <w:rsid w:val="00816104"/>
    <w:rsid w:val="008164AF"/>
    <w:rsid w:val="00816920"/>
    <w:rsid w:val="008169B5"/>
    <w:rsid w:val="00816AE0"/>
    <w:rsid w:val="008202AA"/>
    <w:rsid w:val="0082062A"/>
    <w:rsid w:val="00820EA7"/>
    <w:rsid w:val="008225F1"/>
    <w:rsid w:val="0082265F"/>
    <w:rsid w:val="008226B4"/>
    <w:rsid w:val="008237E0"/>
    <w:rsid w:val="00823837"/>
    <w:rsid w:val="00823F78"/>
    <w:rsid w:val="0082402A"/>
    <w:rsid w:val="00824123"/>
    <w:rsid w:val="00824F52"/>
    <w:rsid w:val="00824F6D"/>
    <w:rsid w:val="00825370"/>
    <w:rsid w:val="00825801"/>
    <w:rsid w:val="00825B8B"/>
    <w:rsid w:val="0082676D"/>
    <w:rsid w:val="008269E0"/>
    <w:rsid w:val="00826A7C"/>
    <w:rsid w:val="0082760D"/>
    <w:rsid w:val="008277B0"/>
    <w:rsid w:val="0083038B"/>
    <w:rsid w:val="00830A41"/>
    <w:rsid w:val="00830BBB"/>
    <w:rsid w:val="00831775"/>
    <w:rsid w:val="008328A2"/>
    <w:rsid w:val="008329B5"/>
    <w:rsid w:val="008333B8"/>
    <w:rsid w:val="0083367F"/>
    <w:rsid w:val="00833C0E"/>
    <w:rsid w:val="00834A61"/>
    <w:rsid w:val="00834AC4"/>
    <w:rsid w:val="008356EE"/>
    <w:rsid w:val="00835DDE"/>
    <w:rsid w:val="00836635"/>
    <w:rsid w:val="008366B9"/>
    <w:rsid w:val="008366CE"/>
    <w:rsid w:val="00836AA0"/>
    <w:rsid w:val="0083728A"/>
    <w:rsid w:val="00837836"/>
    <w:rsid w:val="0084010A"/>
    <w:rsid w:val="00840C02"/>
    <w:rsid w:val="00840DF7"/>
    <w:rsid w:val="00840E59"/>
    <w:rsid w:val="00841AA6"/>
    <w:rsid w:val="00841F92"/>
    <w:rsid w:val="00843A89"/>
    <w:rsid w:val="00843B21"/>
    <w:rsid w:val="00844859"/>
    <w:rsid w:val="00844EEE"/>
    <w:rsid w:val="008457B5"/>
    <w:rsid w:val="00845AAB"/>
    <w:rsid w:val="0084680D"/>
    <w:rsid w:val="0084747D"/>
    <w:rsid w:val="008475D5"/>
    <w:rsid w:val="0084762B"/>
    <w:rsid w:val="00847967"/>
    <w:rsid w:val="00847A06"/>
    <w:rsid w:val="00847E46"/>
    <w:rsid w:val="00847FD6"/>
    <w:rsid w:val="00850AA2"/>
    <w:rsid w:val="00850FF7"/>
    <w:rsid w:val="0085100A"/>
    <w:rsid w:val="008538CA"/>
    <w:rsid w:val="00854A9A"/>
    <w:rsid w:val="00855756"/>
    <w:rsid w:val="00855EC9"/>
    <w:rsid w:val="00855FF3"/>
    <w:rsid w:val="00856705"/>
    <w:rsid w:val="0085765D"/>
    <w:rsid w:val="008605BD"/>
    <w:rsid w:val="00860D93"/>
    <w:rsid w:val="0086192A"/>
    <w:rsid w:val="0086197C"/>
    <w:rsid w:val="00861B31"/>
    <w:rsid w:val="0086261F"/>
    <w:rsid w:val="00862D34"/>
    <w:rsid w:val="00863A89"/>
    <w:rsid w:val="00863DB3"/>
    <w:rsid w:val="00863FCD"/>
    <w:rsid w:val="0086420C"/>
    <w:rsid w:val="00864228"/>
    <w:rsid w:val="008643F5"/>
    <w:rsid w:val="00864430"/>
    <w:rsid w:val="00864788"/>
    <w:rsid w:val="0086505D"/>
    <w:rsid w:val="008668B8"/>
    <w:rsid w:val="00866913"/>
    <w:rsid w:val="00866B6F"/>
    <w:rsid w:val="00867548"/>
    <w:rsid w:val="008678AB"/>
    <w:rsid w:val="00867C2F"/>
    <w:rsid w:val="008700D4"/>
    <w:rsid w:val="00870C46"/>
    <w:rsid w:val="00871C00"/>
    <w:rsid w:val="00872431"/>
    <w:rsid w:val="00872A15"/>
    <w:rsid w:val="00872C60"/>
    <w:rsid w:val="00872D25"/>
    <w:rsid w:val="00872D4D"/>
    <w:rsid w:val="00872E69"/>
    <w:rsid w:val="00873372"/>
    <w:rsid w:val="0087481D"/>
    <w:rsid w:val="00874F6A"/>
    <w:rsid w:val="008759D4"/>
    <w:rsid w:val="008759E4"/>
    <w:rsid w:val="00875B11"/>
    <w:rsid w:val="00875DDA"/>
    <w:rsid w:val="008760D5"/>
    <w:rsid w:val="0087642C"/>
    <w:rsid w:val="0087681B"/>
    <w:rsid w:val="0087684B"/>
    <w:rsid w:val="00877AF7"/>
    <w:rsid w:val="00877F32"/>
    <w:rsid w:val="0088019A"/>
    <w:rsid w:val="0088086D"/>
    <w:rsid w:val="00880B2D"/>
    <w:rsid w:val="008815C8"/>
    <w:rsid w:val="008818D1"/>
    <w:rsid w:val="00882099"/>
    <w:rsid w:val="008824F0"/>
    <w:rsid w:val="00883067"/>
    <w:rsid w:val="008832BE"/>
    <w:rsid w:val="00883AB0"/>
    <w:rsid w:val="00883F28"/>
    <w:rsid w:val="0088481E"/>
    <w:rsid w:val="008850EF"/>
    <w:rsid w:val="0088598F"/>
    <w:rsid w:val="00885C65"/>
    <w:rsid w:val="0088610E"/>
    <w:rsid w:val="0088636A"/>
    <w:rsid w:val="008867EC"/>
    <w:rsid w:val="00886DCB"/>
    <w:rsid w:val="00886EC6"/>
    <w:rsid w:val="00887278"/>
    <w:rsid w:val="00890046"/>
    <w:rsid w:val="008907C2"/>
    <w:rsid w:val="00890B14"/>
    <w:rsid w:val="008911DD"/>
    <w:rsid w:val="0089141B"/>
    <w:rsid w:val="00892AF0"/>
    <w:rsid w:val="00892B13"/>
    <w:rsid w:val="00892D1C"/>
    <w:rsid w:val="00892FEF"/>
    <w:rsid w:val="008936F1"/>
    <w:rsid w:val="00893A83"/>
    <w:rsid w:val="00893E94"/>
    <w:rsid w:val="00893EBC"/>
    <w:rsid w:val="00894108"/>
    <w:rsid w:val="0089473A"/>
    <w:rsid w:val="00894803"/>
    <w:rsid w:val="0089528F"/>
    <w:rsid w:val="008956AD"/>
    <w:rsid w:val="0089595D"/>
    <w:rsid w:val="00895ACF"/>
    <w:rsid w:val="00895B76"/>
    <w:rsid w:val="00895CBC"/>
    <w:rsid w:val="0089638F"/>
    <w:rsid w:val="0089676C"/>
    <w:rsid w:val="00896B18"/>
    <w:rsid w:val="008A0333"/>
    <w:rsid w:val="008A03A1"/>
    <w:rsid w:val="008A076F"/>
    <w:rsid w:val="008A0B17"/>
    <w:rsid w:val="008A0C43"/>
    <w:rsid w:val="008A191C"/>
    <w:rsid w:val="008A1DC7"/>
    <w:rsid w:val="008A1F87"/>
    <w:rsid w:val="008A1FAA"/>
    <w:rsid w:val="008A2AF3"/>
    <w:rsid w:val="008A36A6"/>
    <w:rsid w:val="008A3D25"/>
    <w:rsid w:val="008A3FB3"/>
    <w:rsid w:val="008A4630"/>
    <w:rsid w:val="008A4715"/>
    <w:rsid w:val="008A5359"/>
    <w:rsid w:val="008A59F9"/>
    <w:rsid w:val="008A6027"/>
    <w:rsid w:val="008A64F1"/>
    <w:rsid w:val="008A68FF"/>
    <w:rsid w:val="008A6A5F"/>
    <w:rsid w:val="008A6DD2"/>
    <w:rsid w:val="008A7266"/>
    <w:rsid w:val="008A7DA8"/>
    <w:rsid w:val="008A7E6B"/>
    <w:rsid w:val="008A7F6E"/>
    <w:rsid w:val="008B08C7"/>
    <w:rsid w:val="008B0BEE"/>
    <w:rsid w:val="008B1B23"/>
    <w:rsid w:val="008B1DFA"/>
    <w:rsid w:val="008B2149"/>
    <w:rsid w:val="008B24A3"/>
    <w:rsid w:val="008B28FE"/>
    <w:rsid w:val="008B2CE3"/>
    <w:rsid w:val="008B2F9D"/>
    <w:rsid w:val="008B348A"/>
    <w:rsid w:val="008B4758"/>
    <w:rsid w:val="008B5FA5"/>
    <w:rsid w:val="008B6311"/>
    <w:rsid w:val="008B6476"/>
    <w:rsid w:val="008B6770"/>
    <w:rsid w:val="008B6779"/>
    <w:rsid w:val="008B6B0A"/>
    <w:rsid w:val="008B6FAF"/>
    <w:rsid w:val="008C0B38"/>
    <w:rsid w:val="008C0F16"/>
    <w:rsid w:val="008C1733"/>
    <w:rsid w:val="008C2254"/>
    <w:rsid w:val="008C22C8"/>
    <w:rsid w:val="008C2450"/>
    <w:rsid w:val="008C2571"/>
    <w:rsid w:val="008C2CB7"/>
    <w:rsid w:val="008C2EB2"/>
    <w:rsid w:val="008C38C3"/>
    <w:rsid w:val="008C3BF0"/>
    <w:rsid w:val="008C4010"/>
    <w:rsid w:val="008C42EB"/>
    <w:rsid w:val="008C4425"/>
    <w:rsid w:val="008C47C6"/>
    <w:rsid w:val="008C483F"/>
    <w:rsid w:val="008C5587"/>
    <w:rsid w:val="008C5776"/>
    <w:rsid w:val="008C5B40"/>
    <w:rsid w:val="008C6216"/>
    <w:rsid w:val="008C62A5"/>
    <w:rsid w:val="008C6819"/>
    <w:rsid w:val="008C6DCF"/>
    <w:rsid w:val="008C6F15"/>
    <w:rsid w:val="008C6F29"/>
    <w:rsid w:val="008C7923"/>
    <w:rsid w:val="008C7D38"/>
    <w:rsid w:val="008D010E"/>
    <w:rsid w:val="008D0823"/>
    <w:rsid w:val="008D0CF3"/>
    <w:rsid w:val="008D0FB0"/>
    <w:rsid w:val="008D12AF"/>
    <w:rsid w:val="008D131A"/>
    <w:rsid w:val="008D1851"/>
    <w:rsid w:val="008D1CC8"/>
    <w:rsid w:val="008D1FA1"/>
    <w:rsid w:val="008D233E"/>
    <w:rsid w:val="008D2F34"/>
    <w:rsid w:val="008D30E0"/>
    <w:rsid w:val="008D3BE3"/>
    <w:rsid w:val="008D41B7"/>
    <w:rsid w:val="008D45DD"/>
    <w:rsid w:val="008D47D7"/>
    <w:rsid w:val="008D4A51"/>
    <w:rsid w:val="008D4B23"/>
    <w:rsid w:val="008D4EEF"/>
    <w:rsid w:val="008D4FBD"/>
    <w:rsid w:val="008D54B1"/>
    <w:rsid w:val="008D5BC0"/>
    <w:rsid w:val="008D5F90"/>
    <w:rsid w:val="008D6AE2"/>
    <w:rsid w:val="008D6F0F"/>
    <w:rsid w:val="008D7126"/>
    <w:rsid w:val="008D7208"/>
    <w:rsid w:val="008D7B1F"/>
    <w:rsid w:val="008D7D0F"/>
    <w:rsid w:val="008E0127"/>
    <w:rsid w:val="008E04B7"/>
    <w:rsid w:val="008E057F"/>
    <w:rsid w:val="008E0766"/>
    <w:rsid w:val="008E0892"/>
    <w:rsid w:val="008E10BB"/>
    <w:rsid w:val="008E15B0"/>
    <w:rsid w:val="008E1DEA"/>
    <w:rsid w:val="008E25F0"/>
    <w:rsid w:val="008E3002"/>
    <w:rsid w:val="008E3339"/>
    <w:rsid w:val="008E333F"/>
    <w:rsid w:val="008E3B89"/>
    <w:rsid w:val="008E3DD5"/>
    <w:rsid w:val="008E402A"/>
    <w:rsid w:val="008E4840"/>
    <w:rsid w:val="008E4F29"/>
    <w:rsid w:val="008E5046"/>
    <w:rsid w:val="008E5BBC"/>
    <w:rsid w:val="008E6654"/>
    <w:rsid w:val="008E7B2E"/>
    <w:rsid w:val="008E7D2F"/>
    <w:rsid w:val="008E7EF5"/>
    <w:rsid w:val="008F004E"/>
    <w:rsid w:val="008F038F"/>
    <w:rsid w:val="008F0861"/>
    <w:rsid w:val="008F0B90"/>
    <w:rsid w:val="008F15DC"/>
    <w:rsid w:val="008F1F30"/>
    <w:rsid w:val="008F2917"/>
    <w:rsid w:val="008F2B20"/>
    <w:rsid w:val="008F2B58"/>
    <w:rsid w:val="008F35AD"/>
    <w:rsid w:val="008F3838"/>
    <w:rsid w:val="008F3FDD"/>
    <w:rsid w:val="008F4147"/>
    <w:rsid w:val="008F4A2B"/>
    <w:rsid w:val="008F4F80"/>
    <w:rsid w:val="008F5E02"/>
    <w:rsid w:val="008F6B30"/>
    <w:rsid w:val="008F6BDB"/>
    <w:rsid w:val="008F79AE"/>
    <w:rsid w:val="008F7B60"/>
    <w:rsid w:val="008F7D7A"/>
    <w:rsid w:val="00900411"/>
    <w:rsid w:val="00900568"/>
    <w:rsid w:val="00900576"/>
    <w:rsid w:val="00900856"/>
    <w:rsid w:val="00901A47"/>
    <w:rsid w:val="009029E4"/>
    <w:rsid w:val="00903095"/>
    <w:rsid w:val="0090376E"/>
    <w:rsid w:val="009044B0"/>
    <w:rsid w:val="0090470B"/>
    <w:rsid w:val="00904779"/>
    <w:rsid w:val="00904955"/>
    <w:rsid w:val="0090575B"/>
    <w:rsid w:val="00906024"/>
    <w:rsid w:val="009063AE"/>
    <w:rsid w:val="00906921"/>
    <w:rsid w:val="00906BAB"/>
    <w:rsid w:val="00907D06"/>
    <w:rsid w:val="0091108C"/>
    <w:rsid w:val="009114E5"/>
    <w:rsid w:val="0091165E"/>
    <w:rsid w:val="0091259C"/>
    <w:rsid w:val="00912A52"/>
    <w:rsid w:val="00912C23"/>
    <w:rsid w:val="00913292"/>
    <w:rsid w:val="009141C2"/>
    <w:rsid w:val="00914672"/>
    <w:rsid w:val="00914B1D"/>
    <w:rsid w:val="00916814"/>
    <w:rsid w:val="0091711A"/>
    <w:rsid w:val="00917234"/>
    <w:rsid w:val="009175EA"/>
    <w:rsid w:val="00920136"/>
    <w:rsid w:val="009208BA"/>
    <w:rsid w:val="0092103B"/>
    <w:rsid w:val="0092132F"/>
    <w:rsid w:val="00921761"/>
    <w:rsid w:val="00921A41"/>
    <w:rsid w:val="00921AF7"/>
    <w:rsid w:val="00922525"/>
    <w:rsid w:val="009226E7"/>
    <w:rsid w:val="00922AFF"/>
    <w:rsid w:val="009245E6"/>
    <w:rsid w:val="0092468C"/>
    <w:rsid w:val="00924C18"/>
    <w:rsid w:val="00925133"/>
    <w:rsid w:val="009252D8"/>
    <w:rsid w:val="0092537D"/>
    <w:rsid w:val="009254A9"/>
    <w:rsid w:val="00925A31"/>
    <w:rsid w:val="00925AEA"/>
    <w:rsid w:val="00925B25"/>
    <w:rsid w:val="00925BFF"/>
    <w:rsid w:val="00925DB2"/>
    <w:rsid w:val="0092638F"/>
    <w:rsid w:val="0092678D"/>
    <w:rsid w:val="00926BCF"/>
    <w:rsid w:val="00927665"/>
    <w:rsid w:val="00927AE3"/>
    <w:rsid w:val="00930188"/>
    <w:rsid w:val="0093053A"/>
    <w:rsid w:val="00931F40"/>
    <w:rsid w:val="00932B08"/>
    <w:rsid w:val="009333CA"/>
    <w:rsid w:val="009336A5"/>
    <w:rsid w:val="009339B3"/>
    <w:rsid w:val="00933BFF"/>
    <w:rsid w:val="00934329"/>
    <w:rsid w:val="00935069"/>
    <w:rsid w:val="009350F7"/>
    <w:rsid w:val="00935445"/>
    <w:rsid w:val="009360AE"/>
    <w:rsid w:val="009363EF"/>
    <w:rsid w:val="00936B08"/>
    <w:rsid w:val="00937DFA"/>
    <w:rsid w:val="009405EA"/>
    <w:rsid w:val="0094064D"/>
    <w:rsid w:val="009409D9"/>
    <w:rsid w:val="00940E5B"/>
    <w:rsid w:val="00941A27"/>
    <w:rsid w:val="009421C0"/>
    <w:rsid w:val="00942A3C"/>
    <w:rsid w:val="00942A4D"/>
    <w:rsid w:val="00942FEC"/>
    <w:rsid w:val="00943A88"/>
    <w:rsid w:val="00943AFE"/>
    <w:rsid w:val="00944899"/>
    <w:rsid w:val="00944BE0"/>
    <w:rsid w:val="00944CBD"/>
    <w:rsid w:val="00944EBC"/>
    <w:rsid w:val="0094513B"/>
    <w:rsid w:val="009469DA"/>
    <w:rsid w:val="00947150"/>
    <w:rsid w:val="0094761F"/>
    <w:rsid w:val="00947A55"/>
    <w:rsid w:val="00947C77"/>
    <w:rsid w:val="0095012C"/>
    <w:rsid w:val="009509C0"/>
    <w:rsid w:val="00950BE1"/>
    <w:rsid w:val="00951AC4"/>
    <w:rsid w:val="00951E92"/>
    <w:rsid w:val="00954313"/>
    <w:rsid w:val="009545B6"/>
    <w:rsid w:val="0095492E"/>
    <w:rsid w:val="00954ABF"/>
    <w:rsid w:val="00954DA1"/>
    <w:rsid w:val="00954E69"/>
    <w:rsid w:val="00955976"/>
    <w:rsid w:val="00955C25"/>
    <w:rsid w:val="00955C8F"/>
    <w:rsid w:val="00956084"/>
    <w:rsid w:val="0095674C"/>
    <w:rsid w:val="00956CF8"/>
    <w:rsid w:val="00957B74"/>
    <w:rsid w:val="00957EF7"/>
    <w:rsid w:val="009618E2"/>
    <w:rsid w:val="0096197A"/>
    <w:rsid w:val="00961E6F"/>
    <w:rsid w:val="0096217C"/>
    <w:rsid w:val="009621FB"/>
    <w:rsid w:val="00963846"/>
    <w:rsid w:val="00963F1A"/>
    <w:rsid w:val="00964038"/>
    <w:rsid w:val="00964262"/>
    <w:rsid w:val="009648A6"/>
    <w:rsid w:val="00964A80"/>
    <w:rsid w:val="0096520E"/>
    <w:rsid w:val="009657A5"/>
    <w:rsid w:val="00965CCF"/>
    <w:rsid w:val="0096686B"/>
    <w:rsid w:val="00970147"/>
    <w:rsid w:val="009707DB"/>
    <w:rsid w:val="00970EFC"/>
    <w:rsid w:val="009714D5"/>
    <w:rsid w:val="00971FE5"/>
    <w:rsid w:val="00972484"/>
    <w:rsid w:val="0097283E"/>
    <w:rsid w:val="00972ECD"/>
    <w:rsid w:val="009740F3"/>
    <w:rsid w:val="009744B5"/>
    <w:rsid w:val="00974788"/>
    <w:rsid w:val="00974D3C"/>
    <w:rsid w:val="009752E1"/>
    <w:rsid w:val="00976815"/>
    <w:rsid w:val="00976AA0"/>
    <w:rsid w:val="0097728B"/>
    <w:rsid w:val="0098016E"/>
    <w:rsid w:val="00980EEC"/>
    <w:rsid w:val="00981037"/>
    <w:rsid w:val="009810AC"/>
    <w:rsid w:val="009812A8"/>
    <w:rsid w:val="00981E7F"/>
    <w:rsid w:val="009824BA"/>
    <w:rsid w:val="00982AF0"/>
    <w:rsid w:val="00983267"/>
    <w:rsid w:val="00983A18"/>
    <w:rsid w:val="00984453"/>
    <w:rsid w:val="009845E4"/>
    <w:rsid w:val="00984624"/>
    <w:rsid w:val="009848CB"/>
    <w:rsid w:val="0098548B"/>
    <w:rsid w:val="009854A9"/>
    <w:rsid w:val="00985598"/>
    <w:rsid w:val="0098695B"/>
    <w:rsid w:val="009871CD"/>
    <w:rsid w:val="009874F4"/>
    <w:rsid w:val="00990AB0"/>
    <w:rsid w:val="00990EEA"/>
    <w:rsid w:val="00990F6C"/>
    <w:rsid w:val="009914A4"/>
    <w:rsid w:val="0099177B"/>
    <w:rsid w:val="00991C08"/>
    <w:rsid w:val="0099240F"/>
    <w:rsid w:val="009926BA"/>
    <w:rsid w:val="00992AD8"/>
    <w:rsid w:val="00992B3D"/>
    <w:rsid w:val="00992CC9"/>
    <w:rsid w:val="00993125"/>
    <w:rsid w:val="0099373B"/>
    <w:rsid w:val="00995444"/>
    <w:rsid w:val="00995642"/>
    <w:rsid w:val="0099596D"/>
    <w:rsid w:val="00995E1F"/>
    <w:rsid w:val="00995E36"/>
    <w:rsid w:val="00996019"/>
    <w:rsid w:val="00996C06"/>
    <w:rsid w:val="00997496"/>
    <w:rsid w:val="00997537"/>
    <w:rsid w:val="009976D1"/>
    <w:rsid w:val="00997912"/>
    <w:rsid w:val="009A0303"/>
    <w:rsid w:val="009A0A20"/>
    <w:rsid w:val="009A0FD6"/>
    <w:rsid w:val="009A17A6"/>
    <w:rsid w:val="009A1BFC"/>
    <w:rsid w:val="009A2085"/>
    <w:rsid w:val="009A2202"/>
    <w:rsid w:val="009A22CA"/>
    <w:rsid w:val="009A2CFE"/>
    <w:rsid w:val="009A323A"/>
    <w:rsid w:val="009A34CD"/>
    <w:rsid w:val="009A3B1E"/>
    <w:rsid w:val="009A4BC6"/>
    <w:rsid w:val="009A5A71"/>
    <w:rsid w:val="009A6D56"/>
    <w:rsid w:val="009A77F9"/>
    <w:rsid w:val="009A78F3"/>
    <w:rsid w:val="009A7A42"/>
    <w:rsid w:val="009A7F75"/>
    <w:rsid w:val="009A7FF9"/>
    <w:rsid w:val="009B04A8"/>
    <w:rsid w:val="009B069C"/>
    <w:rsid w:val="009B0CAB"/>
    <w:rsid w:val="009B199E"/>
    <w:rsid w:val="009B21C2"/>
    <w:rsid w:val="009B2761"/>
    <w:rsid w:val="009B2C48"/>
    <w:rsid w:val="009B3336"/>
    <w:rsid w:val="009B3525"/>
    <w:rsid w:val="009B35F9"/>
    <w:rsid w:val="009B36F0"/>
    <w:rsid w:val="009B3C08"/>
    <w:rsid w:val="009B3EBA"/>
    <w:rsid w:val="009B3FA7"/>
    <w:rsid w:val="009B4C9A"/>
    <w:rsid w:val="009B5A7C"/>
    <w:rsid w:val="009B5DE0"/>
    <w:rsid w:val="009B5EBB"/>
    <w:rsid w:val="009B6295"/>
    <w:rsid w:val="009B681C"/>
    <w:rsid w:val="009B790F"/>
    <w:rsid w:val="009B7967"/>
    <w:rsid w:val="009B7C10"/>
    <w:rsid w:val="009B7D3A"/>
    <w:rsid w:val="009C0600"/>
    <w:rsid w:val="009C0B43"/>
    <w:rsid w:val="009C1125"/>
    <w:rsid w:val="009C1BE9"/>
    <w:rsid w:val="009C201C"/>
    <w:rsid w:val="009C2E09"/>
    <w:rsid w:val="009C2EA3"/>
    <w:rsid w:val="009C37E5"/>
    <w:rsid w:val="009C3EFC"/>
    <w:rsid w:val="009C47BC"/>
    <w:rsid w:val="009C4830"/>
    <w:rsid w:val="009C48EF"/>
    <w:rsid w:val="009C4D20"/>
    <w:rsid w:val="009C560A"/>
    <w:rsid w:val="009C5AB7"/>
    <w:rsid w:val="009C5B22"/>
    <w:rsid w:val="009C6438"/>
    <w:rsid w:val="009C6CC3"/>
    <w:rsid w:val="009C73DE"/>
    <w:rsid w:val="009C7DDD"/>
    <w:rsid w:val="009D0411"/>
    <w:rsid w:val="009D06C5"/>
    <w:rsid w:val="009D11A3"/>
    <w:rsid w:val="009D19F7"/>
    <w:rsid w:val="009D1AA7"/>
    <w:rsid w:val="009D1DA2"/>
    <w:rsid w:val="009D2A14"/>
    <w:rsid w:val="009D2C7D"/>
    <w:rsid w:val="009D2F85"/>
    <w:rsid w:val="009D3DBC"/>
    <w:rsid w:val="009D3ED4"/>
    <w:rsid w:val="009D441F"/>
    <w:rsid w:val="009D45CC"/>
    <w:rsid w:val="009D4771"/>
    <w:rsid w:val="009D534C"/>
    <w:rsid w:val="009D6A78"/>
    <w:rsid w:val="009D6D9F"/>
    <w:rsid w:val="009D728C"/>
    <w:rsid w:val="009D792A"/>
    <w:rsid w:val="009D7A50"/>
    <w:rsid w:val="009E040E"/>
    <w:rsid w:val="009E06F4"/>
    <w:rsid w:val="009E0946"/>
    <w:rsid w:val="009E09C2"/>
    <w:rsid w:val="009E0BB6"/>
    <w:rsid w:val="009E0DC8"/>
    <w:rsid w:val="009E1CDF"/>
    <w:rsid w:val="009E1D6C"/>
    <w:rsid w:val="009E2126"/>
    <w:rsid w:val="009E21FE"/>
    <w:rsid w:val="009E24CA"/>
    <w:rsid w:val="009E2601"/>
    <w:rsid w:val="009E34A1"/>
    <w:rsid w:val="009E3903"/>
    <w:rsid w:val="009E3A37"/>
    <w:rsid w:val="009E4146"/>
    <w:rsid w:val="009E45C2"/>
    <w:rsid w:val="009E4638"/>
    <w:rsid w:val="009E5051"/>
    <w:rsid w:val="009E589F"/>
    <w:rsid w:val="009E58A7"/>
    <w:rsid w:val="009E5B14"/>
    <w:rsid w:val="009E6855"/>
    <w:rsid w:val="009E6992"/>
    <w:rsid w:val="009E6D61"/>
    <w:rsid w:val="009E706E"/>
    <w:rsid w:val="009E7DC1"/>
    <w:rsid w:val="009E7E2C"/>
    <w:rsid w:val="009F0279"/>
    <w:rsid w:val="009F0DB4"/>
    <w:rsid w:val="009F14AC"/>
    <w:rsid w:val="009F1598"/>
    <w:rsid w:val="009F1697"/>
    <w:rsid w:val="009F1910"/>
    <w:rsid w:val="009F1CE9"/>
    <w:rsid w:val="009F2B37"/>
    <w:rsid w:val="009F2E64"/>
    <w:rsid w:val="009F2F0D"/>
    <w:rsid w:val="009F31F0"/>
    <w:rsid w:val="009F434B"/>
    <w:rsid w:val="009F4F15"/>
    <w:rsid w:val="009F59AF"/>
    <w:rsid w:val="009F5A98"/>
    <w:rsid w:val="009F5F37"/>
    <w:rsid w:val="009F66BC"/>
    <w:rsid w:val="009F7252"/>
    <w:rsid w:val="009F7754"/>
    <w:rsid w:val="009F7A32"/>
    <w:rsid w:val="009F7F93"/>
    <w:rsid w:val="00A0003E"/>
    <w:rsid w:val="00A00329"/>
    <w:rsid w:val="00A00692"/>
    <w:rsid w:val="00A00906"/>
    <w:rsid w:val="00A00EB9"/>
    <w:rsid w:val="00A018C0"/>
    <w:rsid w:val="00A01972"/>
    <w:rsid w:val="00A01E9A"/>
    <w:rsid w:val="00A02937"/>
    <w:rsid w:val="00A02CC1"/>
    <w:rsid w:val="00A03320"/>
    <w:rsid w:val="00A03551"/>
    <w:rsid w:val="00A03678"/>
    <w:rsid w:val="00A0373D"/>
    <w:rsid w:val="00A03962"/>
    <w:rsid w:val="00A04DEE"/>
    <w:rsid w:val="00A04E06"/>
    <w:rsid w:val="00A054FB"/>
    <w:rsid w:val="00A06226"/>
    <w:rsid w:val="00A06D89"/>
    <w:rsid w:val="00A0787C"/>
    <w:rsid w:val="00A101C8"/>
    <w:rsid w:val="00A106BB"/>
    <w:rsid w:val="00A10873"/>
    <w:rsid w:val="00A10891"/>
    <w:rsid w:val="00A1092A"/>
    <w:rsid w:val="00A10A23"/>
    <w:rsid w:val="00A10E1E"/>
    <w:rsid w:val="00A11F7B"/>
    <w:rsid w:val="00A1418D"/>
    <w:rsid w:val="00A153BD"/>
    <w:rsid w:val="00A1559E"/>
    <w:rsid w:val="00A16B6E"/>
    <w:rsid w:val="00A16CB0"/>
    <w:rsid w:val="00A17F26"/>
    <w:rsid w:val="00A2007D"/>
    <w:rsid w:val="00A20719"/>
    <w:rsid w:val="00A208E5"/>
    <w:rsid w:val="00A20AB7"/>
    <w:rsid w:val="00A20AF7"/>
    <w:rsid w:val="00A21442"/>
    <w:rsid w:val="00A21890"/>
    <w:rsid w:val="00A21A98"/>
    <w:rsid w:val="00A21AB6"/>
    <w:rsid w:val="00A21CE6"/>
    <w:rsid w:val="00A2202C"/>
    <w:rsid w:val="00A225AC"/>
    <w:rsid w:val="00A23150"/>
    <w:rsid w:val="00A232E3"/>
    <w:rsid w:val="00A234F0"/>
    <w:rsid w:val="00A2368F"/>
    <w:rsid w:val="00A23E21"/>
    <w:rsid w:val="00A23F70"/>
    <w:rsid w:val="00A243BE"/>
    <w:rsid w:val="00A24653"/>
    <w:rsid w:val="00A24B55"/>
    <w:rsid w:val="00A25253"/>
    <w:rsid w:val="00A25ADC"/>
    <w:rsid w:val="00A26958"/>
    <w:rsid w:val="00A27707"/>
    <w:rsid w:val="00A303CF"/>
    <w:rsid w:val="00A30F8D"/>
    <w:rsid w:val="00A3130C"/>
    <w:rsid w:val="00A31FD0"/>
    <w:rsid w:val="00A325EF"/>
    <w:rsid w:val="00A33009"/>
    <w:rsid w:val="00A33706"/>
    <w:rsid w:val="00A33DB3"/>
    <w:rsid w:val="00A34023"/>
    <w:rsid w:val="00A34971"/>
    <w:rsid w:val="00A34A59"/>
    <w:rsid w:val="00A35070"/>
    <w:rsid w:val="00A35CE8"/>
    <w:rsid w:val="00A362F0"/>
    <w:rsid w:val="00A37750"/>
    <w:rsid w:val="00A379DB"/>
    <w:rsid w:val="00A40DD8"/>
    <w:rsid w:val="00A41A03"/>
    <w:rsid w:val="00A41A74"/>
    <w:rsid w:val="00A41BED"/>
    <w:rsid w:val="00A421A9"/>
    <w:rsid w:val="00A42883"/>
    <w:rsid w:val="00A42D97"/>
    <w:rsid w:val="00A4304F"/>
    <w:rsid w:val="00A436F0"/>
    <w:rsid w:val="00A437C5"/>
    <w:rsid w:val="00A437C9"/>
    <w:rsid w:val="00A43BAB"/>
    <w:rsid w:val="00A43C11"/>
    <w:rsid w:val="00A43E77"/>
    <w:rsid w:val="00A440ED"/>
    <w:rsid w:val="00A449FC"/>
    <w:rsid w:val="00A45947"/>
    <w:rsid w:val="00A45F21"/>
    <w:rsid w:val="00A460C7"/>
    <w:rsid w:val="00A463C3"/>
    <w:rsid w:val="00A46475"/>
    <w:rsid w:val="00A4653D"/>
    <w:rsid w:val="00A46965"/>
    <w:rsid w:val="00A46CEF"/>
    <w:rsid w:val="00A46FE1"/>
    <w:rsid w:val="00A50206"/>
    <w:rsid w:val="00A503D0"/>
    <w:rsid w:val="00A50D3D"/>
    <w:rsid w:val="00A5154D"/>
    <w:rsid w:val="00A52200"/>
    <w:rsid w:val="00A525D7"/>
    <w:rsid w:val="00A52708"/>
    <w:rsid w:val="00A52FCB"/>
    <w:rsid w:val="00A5384F"/>
    <w:rsid w:val="00A53F7E"/>
    <w:rsid w:val="00A54148"/>
    <w:rsid w:val="00A544D1"/>
    <w:rsid w:val="00A55358"/>
    <w:rsid w:val="00A56217"/>
    <w:rsid w:val="00A565CA"/>
    <w:rsid w:val="00A56C9B"/>
    <w:rsid w:val="00A56E97"/>
    <w:rsid w:val="00A56F44"/>
    <w:rsid w:val="00A578B7"/>
    <w:rsid w:val="00A60280"/>
    <w:rsid w:val="00A609B2"/>
    <w:rsid w:val="00A60C03"/>
    <w:rsid w:val="00A61552"/>
    <w:rsid w:val="00A615CC"/>
    <w:rsid w:val="00A617EA"/>
    <w:rsid w:val="00A61876"/>
    <w:rsid w:val="00A61F09"/>
    <w:rsid w:val="00A61F38"/>
    <w:rsid w:val="00A6214C"/>
    <w:rsid w:val="00A629A5"/>
    <w:rsid w:val="00A62AB5"/>
    <w:rsid w:val="00A6310D"/>
    <w:rsid w:val="00A63976"/>
    <w:rsid w:val="00A63C9F"/>
    <w:rsid w:val="00A63D59"/>
    <w:rsid w:val="00A64076"/>
    <w:rsid w:val="00A6565F"/>
    <w:rsid w:val="00A65930"/>
    <w:rsid w:val="00A65CBF"/>
    <w:rsid w:val="00A661E9"/>
    <w:rsid w:val="00A665BF"/>
    <w:rsid w:val="00A66B22"/>
    <w:rsid w:val="00A67457"/>
    <w:rsid w:val="00A67557"/>
    <w:rsid w:val="00A67602"/>
    <w:rsid w:val="00A67A34"/>
    <w:rsid w:val="00A67A66"/>
    <w:rsid w:val="00A70220"/>
    <w:rsid w:val="00A70405"/>
    <w:rsid w:val="00A70472"/>
    <w:rsid w:val="00A704B9"/>
    <w:rsid w:val="00A711E8"/>
    <w:rsid w:val="00A71A85"/>
    <w:rsid w:val="00A71B4E"/>
    <w:rsid w:val="00A7262C"/>
    <w:rsid w:val="00A72777"/>
    <w:rsid w:val="00A72BE6"/>
    <w:rsid w:val="00A73630"/>
    <w:rsid w:val="00A73B6E"/>
    <w:rsid w:val="00A73F36"/>
    <w:rsid w:val="00A74EED"/>
    <w:rsid w:val="00A7534E"/>
    <w:rsid w:val="00A7564C"/>
    <w:rsid w:val="00A760D4"/>
    <w:rsid w:val="00A76294"/>
    <w:rsid w:val="00A7630A"/>
    <w:rsid w:val="00A76FCC"/>
    <w:rsid w:val="00A77342"/>
    <w:rsid w:val="00A77355"/>
    <w:rsid w:val="00A778EF"/>
    <w:rsid w:val="00A77A23"/>
    <w:rsid w:val="00A803BB"/>
    <w:rsid w:val="00A80687"/>
    <w:rsid w:val="00A80C85"/>
    <w:rsid w:val="00A81AC9"/>
    <w:rsid w:val="00A829FE"/>
    <w:rsid w:val="00A82A9E"/>
    <w:rsid w:val="00A83578"/>
    <w:rsid w:val="00A83A04"/>
    <w:rsid w:val="00A843A7"/>
    <w:rsid w:val="00A84486"/>
    <w:rsid w:val="00A845B6"/>
    <w:rsid w:val="00A84ACA"/>
    <w:rsid w:val="00A84E73"/>
    <w:rsid w:val="00A84EA5"/>
    <w:rsid w:val="00A86115"/>
    <w:rsid w:val="00A86311"/>
    <w:rsid w:val="00A865B1"/>
    <w:rsid w:val="00A86735"/>
    <w:rsid w:val="00A86ABA"/>
    <w:rsid w:val="00A874B3"/>
    <w:rsid w:val="00A87B01"/>
    <w:rsid w:val="00A87F7F"/>
    <w:rsid w:val="00A90A7A"/>
    <w:rsid w:val="00A91528"/>
    <w:rsid w:val="00A91AE2"/>
    <w:rsid w:val="00A91B2F"/>
    <w:rsid w:val="00A9212A"/>
    <w:rsid w:val="00A92136"/>
    <w:rsid w:val="00A92AC2"/>
    <w:rsid w:val="00A92B9E"/>
    <w:rsid w:val="00A92EAE"/>
    <w:rsid w:val="00A934C4"/>
    <w:rsid w:val="00A936C2"/>
    <w:rsid w:val="00A93C13"/>
    <w:rsid w:val="00A94A1B"/>
    <w:rsid w:val="00A94EBF"/>
    <w:rsid w:val="00A957A9"/>
    <w:rsid w:val="00A95F7B"/>
    <w:rsid w:val="00A95F7D"/>
    <w:rsid w:val="00A96423"/>
    <w:rsid w:val="00A9667E"/>
    <w:rsid w:val="00A97627"/>
    <w:rsid w:val="00AA227F"/>
    <w:rsid w:val="00AA2788"/>
    <w:rsid w:val="00AA28C7"/>
    <w:rsid w:val="00AA3038"/>
    <w:rsid w:val="00AA33AA"/>
    <w:rsid w:val="00AA3EBD"/>
    <w:rsid w:val="00AA437C"/>
    <w:rsid w:val="00AA543C"/>
    <w:rsid w:val="00AA5452"/>
    <w:rsid w:val="00AA54B1"/>
    <w:rsid w:val="00AA5BA5"/>
    <w:rsid w:val="00AA5C54"/>
    <w:rsid w:val="00AA6104"/>
    <w:rsid w:val="00AA6574"/>
    <w:rsid w:val="00AA65E3"/>
    <w:rsid w:val="00AA7A5C"/>
    <w:rsid w:val="00AB092A"/>
    <w:rsid w:val="00AB0A46"/>
    <w:rsid w:val="00AB0C4C"/>
    <w:rsid w:val="00AB13DA"/>
    <w:rsid w:val="00AB1559"/>
    <w:rsid w:val="00AB1A6C"/>
    <w:rsid w:val="00AB1E4F"/>
    <w:rsid w:val="00AB1F3C"/>
    <w:rsid w:val="00AB2754"/>
    <w:rsid w:val="00AB2A0A"/>
    <w:rsid w:val="00AB30E9"/>
    <w:rsid w:val="00AB310F"/>
    <w:rsid w:val="00AB43CE"/>
    <w:rsid w:val="00AB495D"/>
    <w:rsid w:val="00AB497E"/>
    <w:rsid w:val="00AB49E0"/>
    <w:rsid w:val="00AB51C6"/>
    <w:rsid w:val="00AB5230"/>
    <w:rsid w:val="00AB5930"/>
    <w:rsid w:val="00AB5F59"/>
    <w:rsid w:val="00AB65B2"/>
    <w:rsid w:val="00AB689B"/>
    <w:rsid w:val="00AB6CD7"/>
    <w:rsid w:val="00AB78F0"/>
    <w:rsid w:val="00AB7D44"/>
    <w:rsid w:val="00AB7FB1"/>
    <w:rsid w:val="00AC208B"/>
    <w:rsid w:val="00AC20F1"/>
    <w:rsid w:val="00AC292D"/>
    <w:rsid w:val="00AC2B85"/>
    <w:rsid w:val="00AC31B1"/>
    <w:rsid w:val="00AC32C2"/>
    <w:rsid w:val="00AC33E0"/>
    <w:rsid w:val="00AC3547"/>
    <w:rsid w:val="00AC3923"/>
    <w:rsid w:val="00AC3980"/>
    <w:rsid w:val="00AC4A7E"/>
    <w:rsid w:val="00AC4C2D"/>
    <w:rsid w:val="00AC4C90"/>
    <w:rsid w:val="00AC4E16"/>
    <w:rsid w:val="00AC5C52"/>
    <w:rsid w:val="00AC6027"/>
    <w:rsid w:val="00AC6B5E"/>
    <w:rsid w:val="00AC6F5A"/>
    <w:rsid w:val="00AC7001"/>
    <w:rsid w:val="00AC7C99"/>
    <w:rsid w:val="00AD00E4"/>
    <w:rsid w:val="00AD1C2C"/>
    <w:rsid w:val="00AD210D"/>
    <w:rsid w:val="00AD21FE"/>
    <w:rsid w:val="00AD2400"/>
    <w:rsid w:val="00AD2854"/>
    <w:rsid w:val="00AD289C"/>
    <w:rsid w:val="00AD2A24"/>
    <w:rsid w:val="00AD4272"/>
    <w:rsid w:val="00AD42AC"/>
    <w:rsid w:val="00AD4A84"/>
    <w:rsid w:val="00AD5795"/>
    <w:rsid w:val="00AD5D1C"/>
    <w:rsid w:val="00AD653F"/>
    <w:rsid w:val="00AD6750"/>
    <w:rsid w:val="00AD796A"/>
    <w:rsid w:val="00AD7D8C"/>
    <w:rsid w:val="00AE04A8"/>
    <w:rsid w:val="00AE09D6"/>
    <w:rsid w:val="00AE0D51"/>
    <w:rsid w:val="00AE1BA9"/>
    <w:rsid w:val="00AE1DC6"/>
    <w:rsid w:val="00AE33B2"/>
    <w:rsid w:val="00AE3D1B"/>
    <w:rsid w:val="00AE44A9"/>
    <w:rsid w:val="00AE4623"/>
    <w:rsid w:val="00AE4EF2"/>
    <w:rsid w:val="00AE57C1"/>
    <w:rsid w:val="00AE590E"/>
    <w:rsid w:val="00AE5B30"/>
    <w:rsid w:val="00AE68E8"/>
    <w:rsid w:val="00AE72E2"/>
    <w:rsid w:val="00AE77A4"/>
    <w:rsid w:val="00AF0074"/>
    <w:rsid w:val="00AF0F42"/>
    <w:rsid w:val="00AF184D"/>
    <w:rsid w:val="00AF23BE"/>
    <w:rsid w:val="00AF2A7A"/>
    <w:rsid w:val="00AF2AAD"/>
    <w:rsid w:val="00AF2C0D"/>
    <w:rsid w:val="00AF41DA"/>
    <w:rsid w:val="00AF4CBD"/>
    <w:rsid w:val="00AF4EA1"/>
    <w:rsid w:val="00AF4ED5"/>
    <w:rsid w:val="00AF5337"/>
    <w:rsid w:val="00AF5538"/>
    <w:rsid w:val="00AF5766"/>
    <w:rsid w:val="00AF5F4F"/>
    <w:rsid w:val="00AF6C15"/>
    <w:rsid w:val="00AF6C59"/>
    <w:rsid w:val="00AF782D"/>
    <w:rsid w:val="00AF7DBD"/>
    <w:rsid w:val="00B00633"/>
    <w:rsid w:val="00B00885"/>
    <w:rsid w:val="00B008DE"/>
    <w:rsid w:val="00B01293"/>
    <w:rsid w:val="00B01396"/>
    <w:rsid w:val="00B03A9C"/>
    <w:rsid w:val="00B03BFB"/>
    <w:rsid w:val="00B03FD8"/>
    <w:rsid w:val="00B04004"/>
    <w:rsid w:val="00B0417D"/>
    <w:rsid w:val="00B062D4"/>
    <w:rsid w:val="00B06341"/>
    <w:rsid w:val="00B06525"/>
    <w:rsid w:val="00B06976"/>
    <w:rsid w:val="00B07E78"/>
    <w:rsid w:val="00B100A2"/>
    <w:rsid w:val="00B117B0"/>
    <w:rsid w:val="00B11E8C"/>
    <w:rsid w:val="00B1224A"/>
    <w:rsid w:val="00B12584"/>
    <w:rsid w:val="00B12DEE"/>
    <w:rsid w:val="00B1354D"/>
    <w:rsid w:val="00B139FA"/>
    <w:rsid w:val="00B144D6"/>
    <w:rsid w:val="00B145D1"/>
    <w:rsid w:val="00B14F0E"/>
    <w:rsid w:val="00B1525A"/>
    <w:rsid w:val="00B1528F"/>
    <w:rsid w:val="00B15C0B"/>
    <w:rsid w:val="00B15E7B"/>
    <w:rsid w:val="00B16960"/>
    <w:rsid w:val="00B17169"/>
    <w:rsid w:val="00B17623"/>
    <w:rsid w:val="00B17EC1"/>
    <w:rsid w:val="00B20178"/>
    <w:rsid w:val="00B2039B"/>
    <w:rsid w:val="00B2072A"/>
    <w:rsid w:val="00B21625"/>
    <w:rsid w:val="00B21E33"/>
    <w:rsid w:val="00B22662"/>
    <w:rsid w:val="00B22C0E"/>
    <w:rsid w:val="00B230E2"/>
    <w:rsid w:val="00B23210"/>
    <w:rsid w:val="00B2358F"/>
    <w:rsid w:val="00B23948"/>
    <w:rsid w:val="00B23B6A"/>
    <w:rsid w:val="00B24163"/>
    <w:rsid w:val="00B2418B"/>
    <w:rsid w:val="00B25085"/>
    <w:rsid w:val="00B25631"/>
    <w:rsid w:val="00B2605C"/>
    <w:rsid w:val="00B2614E"/>
    <w:rsid w:val="00B26973"/>
    <w:rsid w:val="00B2737A"/>
    <w:rsid w:val="00B2754F"/>
    <w:rsid w:val="00B279F9"/>
    <w:rsid w:val="00B27B19"/>
    <w:rsid w:val="00B27E0B"/>
    <w:rsid w:val="00B3048D"/>
    <w:rsid w:val="00B30521"/>
    <w:rsid w:val="00B307D0"/>
    <w:rsid w:val="00B30B56"/>
    <w:rsid w:val="00B30C81"/>
    <w:rsid w:val="00B30EBA"/>
    <w:rsid w:val="00B31CD9"/>
    <w:rsid w:val="00B32C8F"/>
    <w:rsid w:val="00B338D0"/>
    <w:rsid w:val="00B33AD4"/>
    <w:rsid w:val="00B33F9D"/>
    <w:rsid w:val="00B341CF"/>
    <w:rsid w:val="00B34570"/>
    <w:rsid w:val="00B35525"/>
    <w:rsid w:val="00B36989"/>
    <w:rsid w:val="00B377EA"/>
    <w:rsid w:val="00B40553"/>
    <w:rsid w:val="00B40629"/>
    <w:rsid w:val="00B40EB4"/>
    <w:rsid w:val="00B40F78"/>
    <w:rsid w:val="00B41EC8"/>
    <w:rsid w:val="00B4220B"/>
    <w:rsid w:val="00B42242"/>
    <w:rsid w:val="00B42CA5"/>
    <w:rsid w:val="00B431ED"/>
    <w:rsid w:val="00B435BF"/>
    <w:rsid w:val="00B437FF"/>
    <w:rsid w:val="00B43933"/>
    <w:rsid w:val="00B443FF"/>
    <w:rsid w:val="00B44B77"/>
    <w:rsid w:val="00B44C82"/>
    <w:rsid w:val="00B453B1"/>
    <w:rsid w:val="00B45481"/>
    <w:rsid w:val="00B4592C"/>
    <w:rsid w:val="00B50545"/>
    <w:rsid w:val="00B50AEA"/>
    <w:rsid w:val="00B50F6C"/>
    <w:rsid w:val="00B51755"/>
    <w:rsid w:val="00B51BB8"/>
    <w:rsid w:val="00B51EC4"/>
    <w:rsid w:val="00B525CE"/>
    <w:rsid w:val="00B52D74"/>
    <w:rsid w:val="00B537ED"/>
    <w:rsid w:val="00B53ED0"/>
    <w:rsid w:val="00B54748"/>
    <w:rsid w:val="00B54B69"/>
    <w:rsid w:val="00B5543D"/>
    <w:rsid w:val="00B55B8D"/>
    <w:rsid w:val="00B55EE9"/>
    <w:rsid w:val="00B5666B"/>
    <w:rsid w:val="00B56D66"/>
    <w:rsid w:val="00B5718B"/>
    <w:rsid w:val="00B575E2"/>
    <w:rsid w:val="00B57660"/>
    <w:rsid w:val="00B6097B"/>
    <w:rsid w:val="00B60B28"/>
    <w:rsid w:val="00B61B0B"/>
    <w:rsid w:val="00B62442"/>
    <w:rsid w:val="00B62AA8"/>
    <w:rsid w:val="00B62C5F"/>
    <w:rsid w:val="00B62FAC"/>
    <w:rsid w:val="00B6316C"/>
    <w:rsid w:val="00B6363F"/>
    <w:rsid w:val="00B636DB"/>
    <w:rsid w:val="00B63D23"/>
    <w:rsid w:val="00B63E1D"/>
    <w:rsid w:val="00B6408E"/>
    <w:rsid w:val="00B64FFD"/>
    <w:rsid w:val="00B65616"/>
    <w:rsid w:val="00B65720"/>
    <w:rsid w:val="00B658C3"/>
    <w:rsid w:val="00B65E94"/>
    <w:rsid w:val="00B6656F"/>
    <w:rsid w:val="00B66CAE"/>
    <w:rsid w:val="00B7073C"/>
    <w:rsid w:val="00B715D3"/>
    <w:rsid w:val="00B71669"/>
    <w:rsid w:val="00B71B63"/>
    <w:rsid w:val="00B71BB0"/>
    <w:rsid w:val="00B72079"/>
    <w:rsid w:val="00B721DC"/>
    <w:rsid w:val="00B724E0"/>
    <w:rsid w:val="00B737E3"/>
    <w:rsid w:val="00B74547"/>
    <w:rsid w:val="00B747C7"/>
    <w:rsid w:val="00B74959"/>
    <w:rsid w:val="00B74C16"/>
    <w:rsid w:val="00B754B4"/>
    <w:rsid w:val="00B7593D"/>
    <w:rsid w:val="00B76387"/>
    <w:rsid w:val="00B763EE"/>
    <w:rsid w:val="00B77346"/>
    <w:rsid w:val="00B77509"/>
    <w:rsid w:val="00B7761B"/>
    <w:rsid w:val="00B80244"/>
    <w:rsid w:val="00B80F79"/>
    <w:rsid w:val="00B81174"/>
    <w:rsid w:val="00B8203E"/>
    <w:rsid w:val="00B8225A"/>
    <w:rsid w:val="00B8272B"/>
    <w:rsid w:val="00B83710"/>
    <w:rsid w:val="00B83BD4"/>
    <w:rsid w:val="00B83D4F"/>
    <w:rsid w:val="00B83D59"/>
    <w:rsid w:val="00B84916"/>
    <w:rsid w:val="00B84AF9"/>
    <w:rsid w:val="00B854E8"/>
    <w:rsid w:val="00B8559F"/>
    <w:rsid w:val="00B85629"/>
    <w:rsid w:val="00B858A1"/>
    <w:rsid w:val="00B85ED6"/>
    <w:rsid w:val="00B862CE"/>
    <w:rsid w:val="00B86420"/>
    <w:rsid w:val="00B86888"/>
    <w:rsid w:val="00B868CF"/>
    <w:rsid w:val="00B86E2E"/>
    <w:rsid w:val="00B874A5"/>
    <w:rsid w:val="00B876C6"/>
    <w:rsid w:val="00B87DF7"/>
    <w:rsid w:val="00B9143E"/>
    <w:rsid w:val="00B91C83"/>
    <w:rsid w:val="00B925DA"/>
    <w:rsid w:val="00B92C74"/>
    <w:rsid w:val="00B93600"/>
    <w:rsid w:val="00B93708"/>
    <w:rsid w:val="00B93B98"/>
    <w:rsid w:val="00B93CE9"/>
    <w:rsid w:val="00B942D6"/>
    <w:rsid w:val="00B94B00"/>
    <w:rsid w:val="00B94C4B"/>
    <w:rsid w:val="00B95A23"/>
    <w:rsid w:val="00B95A30"/>
    <w:rsid w:val="00B95B4F"/>
    <w:rsid w:val="00B95C2C"/>
    <w:rsid w:val="00B96FD6"/>
    <w:rsid w:val="00B96FD8"/>
    <w:rsid w:val="00B97888"/>
    <w:rsid w:val="00BA0575"/>
    <w:rsid w:val="00BA089A"/>
    <w:rsid w:val="00BA0927"/>
    <w:rsid w:val="00BA0E75"/>
    <w:rsid w:val="00BA1213"/>
    <w:rsid w:val="00BA12AE"/>
    <w:rsid w:val="00BA1351"/>
    <w:rsid w:val="00BA1784"/>
    <w:rsid w:val="00BA2126"/>
    <w:rsid w:val="00BA2AEA"/>
    <w:rsid w:val="00BA2B0A"/>
    <w:rsid w:val="00BA2BC4"/>
    <w:rsid w:val="00BA3974"/>
    <w:rsid w:val="00BA49BB"/>
    <w:rsid w:val="00BA4E27"/>
    <w:rsid w:val="00BA58A0"/>
    <w:rsid w:val="00BA5D7F"/>
    <w:rsid w:val="00BA68BC"/>
    <w:rsid w:val="00BA6DC7"/>
    <w:rsid w:val="00BA7351"/>
    <w:rsid w:val="00BA74AA"/>
    <w:rsid w:val="00BA7569"/>
    <w:rsid w:val="00BA77CF"/>
    <w:rsid w:val="00BA783D"/>
    <w:rsid w:val="00BB0BE9"/>
    <w:rsid w:val="00BB0C37"/>
    <w:rsid w:val="00BB0E9F"/>
    <w:rsid w:val="00BB12F3"/>
    <w:rsid w:val="00BB1D7C"/>
    <w:rsid w:val="00BB1E90"/>
    <w:rsid w:val="00BB1F27"/>
    <w:rsid w:val="00BB202C"/>
    <w:rsid w:val="00BB2CC0"/>
    <w:rsid w:val="00BB2CCE"/>
    <w:rsid w:val="00BB3903"/>
    <w:rsid w:val="00BB3F1C"/>
    <w:rsid w:val="00BB3FA8"/>
    <w:rsid w:val="00BB4228"/>
    <w:rsid w:val="00BB42F3"/>
    <w:rsid w:val="00BB4B1A"/>
    <w:rsid w:val="00BB4B70"/>
    <w:rsid w:val="00BB4E1F"/>
    <w:rsid w:val="00BB541C"/>
    <w:rsid w:val="00BB5BD1"/>
    <w:rsid w:val="00BB5FC9"/>
    <w:rsid w:val="00BB65AC"/>
    <w:rsid w:val="00BB66A3"/>
    <w:rsid w:val="00BB6703"/>
    <w:rsid w:val="00BB6794"/>
    <w:rsid w:val="00BB6948"/>
    <w:rsid w:val="00BB6DC4"/>
    <w:rsid w:val="00BB7264"/>
    <w:rsid w:val="00BB76BD"/>
    <w:rsid w:val="00BB79E7"/>
    <w:rsid w:val="00BB7B53"/>
    <w:rsid w:val="00BB7CC3"/>
    <w:rsid w:val="00BB7F8F"/>
    <w:rsid w:val="00BC1035"/>
    <w:rsid w:val="00BC1091"/>
    <w:rsid w:val="00BC1234"/>
    <w:rsid w:val="00BC12A7"/>
    <w:rsid w:val="00BC1560"/>
    <w:rsid w:val="00BC1F13"/>
    <w:rsid w:val="00BC2249"/>
    <w:rsid w:val="00BC252C"/>
    <w:rsid w:val="00BC2BD6"/>
    <w:rsid w:val="00BC2CF1"/>
    <w:rsid w:val="00BC2DBF"/>
    <w:rsid w:val="00BC3C62"/>
    <w:rsid w:val="00BC51C9"/>
    <w:rsid w:val="00BC577A"/>
    <w:rsid w:val="00BC57E3"/>
    <w:rsid w:val="00BC5AEB"/>
    <w:rsid w:val="00BC6E0E"/>
    <w:rsid w:val="00BC7838"/>
    <w:rsid w:val="00BC7AA5"/>
    <w:rsid w:val="00BC7C4B"/>
    <w:rsid w:val="00BD00CC"/>
    <w:rsid w:val="00BD02DC"/>
    <w:rsid w:val="00BD041E"/>
    <w:rsid w:val="00BD093C"/>
    <w:rsid w:val="00BD0949"/>
    <w:rsid w:val="00BD0A72"/>
    <w:rsid w:val="00BD1047"/>
    <w:rsid w:val="00BD1A0E"/>
    <w:rsid w:val="00BD1C77"/>
    <w:rsid w:val="00BD1D7C"/>
    <w:rsid w:val="00BD20B4"/>
    <w:rsid w:val="00BD2909"/>
    <w:rsid w:val="00BD29AC"/>
    <w:rsid w:val="00BD35AA"/>
    <w:rsid w:val="00BD3708"/>
    <w:rsid w:val="00BD3EED"/>
    <w:rsid w:val="00BD3FDC"/>
    <w:rsid w:val="00BD4166"/>
    <w:rsid w:val="00BD4BF3"/>
    <w:rsid w:val="00BD5336"/>
    <w:rsid w:val="00BD6953"/>
    <w:rsid w:val="00BD6A88"/>
    <w:rsid w:val="00BD6B41"/>
    <w:rsid w:val="00BD6DDB"/>
    <w:rsid w:val="00BD7911"/>
    <w:rsid w:val="00BD7D0D"/>
    <w:rsid w:val="00BE0969"/>
    <w:rsid w:val="00BE0A21"/>
    <w:rsid w:val="00BE1138"/>
    <w:rsid w:val="00BE1566"/>
    <w:rsid w:val="00BE1681"/>
    <w:rsid w:val="00BE17B2"/>
    <w:rsid w:val="00BE2FD1"/>
    <w:rsid w:val="00BE2FD4"/>
    <w:rsid w:val="00BE3B78"/>
    <w:rsid w:val="00BE3CFD"/>
    <w:rsid w:val="00BE4362"/>
    <w:rsid w:val="00BE4883"/>
    <w:rsid w:val="00BE4BB6"/>
    <w:rsid w:val="00BE4D0C"/>
    <w:rsid w:val="00BE5521"/>
    <w:rsid w:val="00BE597C"/>
    <w:rsid w:val="00BE5A45"/>
    <w:rsid w:val="00BE5DD3"/>
    <w:rsid w:val="00BE5F63"/>
    <w:rsid w:val="00BE6094"/>
    <w:rsid w:val="00BE70A4"/>
    <w:rsid w:val="00BE721C"/>
    <w:rsid w:val="00BF09BF"/>
    <w:rsid w:val="00BF0D48"/>
    <w:rsid w:val="00BF172F"/>
    <w:rsid w:val="00BF1BD1"/>
    <w:rsid w:val="00BF1CCA"/>
    <w:rsid w:val="00BF2E96"/>
    <w:rsid w:val="00BF3B91"/>
    <w:rsid w:val="00BF3E71"/>
    <w:rsid w:val="00BF41B4"/>
    <w:rsid w:val="00BF4374"/>
    <w:rsid w:val="00BF4F44"/>
    <w:rsid w:val="00BF4F72"/>
    <w:rsid w:val="00BF60CE"/>
    <w:rsid w:val="00BF6F1C"/>
    <w:rsid w:val="00BF7AD6"/>
    <w:rsid w:val="00BF7B10"/>
    <w:rsid w:val="00BF7FA2"/>
    <w:rsid w:val="00BF7FB1"/>
    <w:rsid w:val="00C00088"/>
    <w:rsid w:val="00C01521"/>
    <w:rsid w:val="00C0179F"/>
    <w:rsid w:val="00C01948"/>
    <w:rsid w:val="00C01993"/>
    <w:rsid w:val="00C025B7"/>
    <w:rsid w:val="00C02B9A"/>
    <w:rsid w:val="00C02CC4"/>
    <w:rsid w:val="00C03D64"/>
    <w:rsid w:val="00C03D79"/>
    <w:rsid w:val="00C053E9"/>
    <w:rsid w:val="00C06C56"/>
    <w:rsid w:val="00C073BF"/>
    <w:rsid w:val="00C07BBD"/>
    <w:rsid w:val="00C07F1B"/>
    <w:rsid w:val="00C101C4"/>
    <w:rsid w:val="00C106CB"/>
    <w:rsid w:val="00C10799"/>
    <w:rsid w:val="00C11098"/>
    <w:rsid w:val="00C1129D"/>
    <w:rsid w:val="00C116AE"/>
    <w:rsid w:val="00C11A2B"/>
    <w:rsid w:val="00C11C37"/>
    <w:rsid w:val="00C13A71"/>
    <w:rsid w:val="00C14B8D"/>
    <w:rsid w:val="00C1511C"/>
    <w:rsid w:val="00C157A2"/>
    <w:rsid w:val="00C15850"/>
    <w:rsid w:val="00C15EB7"/>
    <w:rsid w:val="00C179A6"/>
    <w:rsid w:val="00C17A49"/>
    <w:rsid w:val="00C17C42"/>
    <w:rsid w:val="00C201DA"/>
    <w:rsid w:val="00C20546"/>
    <w:rsid w:val="00C20776"/>
    <w:rsid w:val="00C208F3"/>
    <w:rsid w:val="00C21BBE"/>
    <w:rsid w:val="00C22035"/>
    <w:rsid w:val="00C22719"/>
    <w:rsid w:val="00C23534"/>
    <w:rsid w:val="00C23B45"/>
    <w:rsid w:val="00C23BEF"/>
    <w:rsid w:val="00C2424B"/>
    <w:rsid w:val="00C24BA0"/>
    <w:rsid w:val="00C2500A"/>
    <w:rsid w:val="00C25120"/>
    <w:rsid w:val="00C251D4"/>
    <w:rsid w:val="00C25C10"/>
    <w:rsid w:val="00C25EE1"/>
    <w:rsid w:val="00C270F4"/>
    <w:rsid w:val="00C2778D"/>
    <w:rsid w:val="00C279AA"/>
    <w:rsid w:val="00C30A72"/>
    <w:rsid w:val="00C3141A"/>
    <w:rsid w:val="00C317B9"/>
    <w:rsid w:val="00C31855"/>
    <w:rsid w:val="00C31CBD"/>
    <w:rsid w:val="00C31DF7"/>
    <w:rsid w:val="00C34688"/>
    <w:rsid w:val="00C34BEB"/>
    <w:rsid w:val="00C34C13"/>
    <w:rsid w:val="00C34CB2"/>
    <w:rsid w:val="00C34D5B"/>
    <w:rsid w:val="00C353B0"/>
    <w:rsid w:val="00C35F0F"/>
    <w:rsid w:val="00C36A0C"/>
    <w:rsid w:val="00C37D10"/>
    <w:rsid w:val="00C40305"/>
    <w:rsid w:val="00C40DCD"/>
    <w:rsid w:val="00C41739"/>
    <w:rsid w:val="00C41850"/>
    <w:rsid w:val="00C42305"/>
    <w:rsid w:val="00C42A16"/>
    <w:rsid w:val="00C43194"/>
    <w:rsid w:val="00C44502"/>
    <w:rsid w:val="00C4487E"/>
    <w:rsid w:val="00C4490C"/>
    <w:rsid w:val="00C44B5F"/>
    <w:rsid w:val="00C44D05"/>
    <w:rsid w:val="00C4519C"/>
    <w:rsid w:val="00C4528C"/>
    <w:rsid w:val="00C45B24"/>
    <w:rsid w:val="00C463CE"/>
    <w:rsid w:val="00C4653D"/>
    <w:rsid w:val="00C46565"/>
    <w:rsid w:val="00C47969"/>
    <w:rsid w:val="00C47E8A"/>
    <w:rsid w:val="00C51EE6"/>
    <w:rsid w:val="00C5227A"/>
    <w:rsid w:val="00C535A7"/>
    <w:rsid w:val="00C5371B"/>
    <w:rsid w:val="00C54DC6"/>
    <w:rsid w:val="00C55156"/>
    <w:rsid w:val="00C55D5A"/>
    <w:rsid w:val="00C569BA"/>
    <w:rsid w:val="00C56CA5"/>
    <w:rsid w:val="00C5708A"/>
    <w:rsid w:val="00C60A35"/>
    <w:rsid w:val="00C60EA5"/>
    <w:rsid w:val="00C60ED3"/>
    <w:rsid w:val="00C611D6"/>
    <w:rsid w:val="00C61DAA"/>
    <w:rsid w:val="00C62E44"/>
    <w:rsid w:val="00C62E77"/>
    <w:rsid w:val="00C63702"/>
    <w:rsid w:val="00C641E9"/>
    <w:rsid w:val="00C648B9"/>
    <w:rsid w:val="00C655D2"/>
    <w:rsid w:val="00C6618D"/>
    <w:rsid w:val="00C662C9"/>
    <w:rsid w:val="00C66EB3"/>
    <w:rsid w:val="00C700F8"/>
    <w:rsid w:val="00C70654"/>
    <w:rsid w:val="00C70AE5"/>
    <w:rsid w:val="00C70FCA"/>
    <w:rsid w:val="00C71875"/>
    <w:rsid w:val="00C73309"/>
    <w:rsid w:val="00C734DD"/>
    <w:rsid w:val="00C73E28"/>
    <w:rsid w:val="00C74426"/>
    <w:rsid w:val="00C74491"/>
    <w:rsid w:val="00C7471B"/>
    <w:rsid w:val="00C7484D"/>
    <w:rsid w:val="00C74FCD"/>
    <w:rsid w:val="00C75180"/>
    <w:rsid w:val="00C7571E"/>
    <w:rsid w:val="00C75D04"/>
    <w:rsid w:val="00C761B4"/>
    <w:rsid w:val="00C766D1"/>
    <w:rsid w:val="00C76AB8"/>
    <w:rsid w:val="00C77DB2"/>
    <w:rsid w:val="00C77F60"/>
    <w:rsid w:val="00C801FD"/>
    <w:rsid w:val="00C805E4"/>
    <w:rsid w:val="00C8098E"/>
    <w:rsid w:val="00C80A6F"/>
    <w:rsid w:val="00C80BF0"/>
    <w:rsid w:val="00C80DF9"/>
    <w:rsid w:val="00C811E4"/>
    <w:rsid w:val="00C8121C"/>
    <w:rsid w:val="00C81568"/>
    <w:rsid w:val="00C81DDE"/>
    <w:rsid w:val="00C8200E"/>
    <w:rsid w:val="00C829FB"/>
    <w:rsid w:val="00C82BC8"/>
    <w:rsid w:val="00C82E1D"/>
    <w:rsid w:val="00C830D4"/>
    <w:rsid w:val="00C833E6"/>
    <w:rsid w:val="00C83729"/>
    <w:rsid w:val="00C841D6"/>
    <w:rsid w:val="00C85995"/>
    <w:rsid w:val="00C85D0D"/>
    <w:rsid w:val="00C85F5F"/>
    <w:rsid w:val="00C86872"/>
    <w:rsid w:val="00C87271"/>
    <w:rsid w:val="00C872AC"/>
    <w:rsid w:val="00C8734A"/>
    <w:rsid w:val="00C875AF"/>
    <w:rsid w:val="00C8776F"/>
    <w:rsid w:val="00C9075C"/>
    <w:rsid w:val="00C90A51"/>
    <w:rsid w:val="00C91479"/>
    <w:rsid w:val="00C91BD8"/>
    <w:rsid w:val="00C92A3E"/>
    <w:rsid w:val="00C93D48"/>
    <w:rsid w:val="00C94023"/>
    <w:rsid w:val="00C94851"/>
    <w:rsid w:val="00C94948"/>
    <w:rsid w:val="00C94BA9"/>
    <w:rsid w:val="00C952EC"/>
    <w:rsid w:val="00C95359"/>
    <w:rsid w:val="00C95434"/>
    <w:rsid w:val="00C95BBE"/>
    <w:rsid w:val="00C95E43"/>
    <w:rsid w:val="00C966D8"/>
    <w:rsid w:val="00C96A97"/>
    <w:rsid w:val="00C96EE7"/>
    <w:rsid w:val="00C97B5C"/>
    <w:rsid w:val="00C97E71"/>
    <w:rsid w:val="00C97F78"/>
    <w:rsid w:val="00CA08AF"/>
    <w:rsid w:val="00CA0C07"/>
    <w:rsid w:val="00CA0C20"/>
    <w:rsid w:val="00CA10A9"/>
    <w:rsid w:val="00CA1E6C"/>
    <w:rsid w:val="00CA22B2"/>
    <w:rsid w:val="00CA272B"/>
    <w:rsid w:val="00CA2D25"/>
    <w:rsid w:val="00CA37F5"/>
    <w:rsid w:val="00CA391D"/>
    <w:rsid w:val="00CA5586"/>
    <w:rsid w:val="00CA56E3"/>
    <w:rsid w:val="00CA7B18"/>
    <w:rsid w:val="00CA7BCA"/>
    <w:rsid w:val="00CB0A65"/>
    <w:rsid w:val="00CB0AFE"/>
    <w:rsid w:val="00CB0B54"/>
    <w:rsid w:val="00CB0DEC"/>
    <w:rsid w:val="00CB1239"/>
    <w:rsid w:val="00CB1D7A"/>
    <w:rsid w:val="00CB1D92"/>
    <w:rsid w:val="00CB22F9"/>
    <w:rsid w:val="00CB2473"/>
    <w:rsid w:val="00CB2DFC"/>
    <w:rsid w:val="00CB2E13"/>
    <w:rsid w:val="00CB3669"/>
    <w:rsid w:val="00CB3AF6"/>
    <w:rsid w:val="00CB3B31"/>
    <w:rsid w:val="00CB3C13"/>
    <w:rsid w:val="00CB4BCD"/>
    <w:rsid w:val="00CB52D3"/>
    <w:rsid w:val="00CB5657"/>
    <w:rsid w:val="00CB5C04"/>
    <w:rsid w:val="00CB5C6B"/>
    <w:rsid w:val="00CB61CB"/>
    <w:rsid w:val="00CB7016"/>
    <w:rsid w:val="00CB762A"/>
    <w:rsid w:val="00CB7C5F"/>
    <w:rsid w:val="00CC0E52"/>
    <w:rsid w:val="00CC1B55"/>
    <w:rsid w:val="00CC2F62"/>
    <w:rsid w:val="00CC35EA"/>
    <w:rsid w:val="00CC3EA6"/>
    <w:rsid w:val="00CC3F45"/>
    <w:rsid w:val="00CC4278"/>
    <w:rsid w:val="00CC4D23"/>
    <w:rsid w:val="00CC5105"/>
    <w:rsid w:val="00CC5C4E"/>
    <w:rsid w:val="00CC63D0"/>
    <w:rsid w:val="00CC689F"/>
    <w:rsid w:val="00CC6CA7"/>
    <w:rsid w:val="00CC756D"/>
    <w:rsid w:val="00CC7694"/>
    <w:rsid w:val="00CD0375"/>
    <w:rsid w:val="00CD03C4"/>
    <w:rsid w:val="00CD1441"/>
    <w:rsid w:val="00CD166C"/>
    <w:rsid w:val="00CD1C61"/>
    <w:rsid w:val="00CD249C"/>
    <w:rsid w:val="00CD296E"/>
    <w:rsid w:val="00CD29F8"/>
    <w:rsid w:val="00CD3E32"/>
    <w:rsid w:val="00CD40C9"/>
    <w:rsid w:val="00CD4A5C"/>
    <w:rsid w:val="00CD4A9D"/>
    <w:rsid w:val="00CD5701"/>
    <w:rsid w:val="00CD5D97"/>
    <w:rsid w:val="00CD619E"/>
    <w:rsid w:val="00CD6362"/>
    <w:rsid w:val="00CD660A"/>
    <w:rsid w:val="00CD6611"/>
    <w:rsid w:val="00CD7324"/>
    <w:rsid w:val="00CD74B1"/>
    <w:rsid w:val="00CE0887"/>
    <w:rsid w:val="00CE11E7"/>
    <w:rsid w:val="00CE1378"/>
    <w:rsid w:val="00CE236E"/>
    <w:rsid w:val="00CE2779"/>
    <w:rsid w:val="00CE29C8"/>
    <w:rsid w:val="00CE2C1A"/>
    <w:rsid w:val="00CE35A7"/>
    <w:rsid w:val="00CE3B4E"/>
    <w:rsid w:val="00CE3C8A"/>
    <w:rsid w:val="00CE3EF8"/>
    <w:rsid w:val="00CE3FD1"/>
    <w:rsid w:val="00CE418E"/>
    <w:rsid w:val="00CE43EF"/>
    <w:rsid w:val="00CE4A27"/>
    <w:rsid w:val="00CE5155"/>
    <w:rsid w:val="00CE5B56"/>
    <w:rsid w:val="00CE620E"/>
    <w:rsid w:val="00CE6535"/>
    <w:rsid w:val="00CE68A0"/>
    <w:rsid w:val="00CE69F2"/>
    <w:rsid w:val="00CE6C94"/>
    <w:rsid w:val="00CE6FA9"/>
    <w:rsid w:val="00CE7604"/>
    <w:rsid w:val="00CF0610"/>
    <w:rsid w:val="00CF08A6"/>
    <w:rsid w:val="00CF0F68"/>
    <w:rsid w:val="00CF1054"/>
    <w:rsid w:val="00CF160F"/>
    <w:rsid w:val="00CF172C"/>
    <w:rsid w:val="00CF19B2"/>
    <w:rsid w:val="00CF1ED5"/>
    <w:rsid w:val="00CF42FA"/>
    <w:rsid w:val="00CF4479"/>
    <w:rsid w:val="00CF4FA1"/>
    <w:rsid w:val="00CF525B"/>
    <w:rsid w:val="00CF59FD"/>
    <w:rsid w:val="00CF60E3"/>
    <w:rsid w:val="00CF6B53"/>
    <w:rsid w:val="00CF6EF8"/>
    <w:rsid w:val="00CF7415"/>
    <w:rsid w:val="00CF74FC"/>
    <w:rsid w:val="00CF7527"/>
    <w:rsid w:val="00CF76BB"/>
    <w:rsid w:val="00CF79E0"/>
    <w:rsid w:val="00CF7B97"/>
    <w:rsid w:val="00D005C5"/>
    <w:rsid w:val="00D00A4C"/>
    <w:rsid w:val="00D00B75"/>
    <w:rsid w:val="00D011A9"/>
    <w:rsid w:val="00D01AD8"/>
    <w:rsid w:val="00D02AA9"/>
    <w:rsid w:val="00D03964"/>
    <w:rsid w:val="00D039F1"/>
    <w:rsid w:val="00D03A37"/>
    <w:rsid w:val="00D03D95"/>
    <w:rsid w:val="00D03E8F"/>
    <w:rsid w:val="00D040A8"/>
    <w:rsid w:val="00D04193"/>
    <w:rsid w:val="00D048D4"/>
    <w:rsid w:val="00D04E8C"/>
    <w:rsid w:val="00D053B1"/>
    <w:rsid w:val="00D068A7"/>
    <w:rsid w:val="00D06B79"/>
    <w:rsid w:val="00D06DE1"/>
    <w:rsid w:val="00D06EB6"/>
    <w:rsid w:val="00D0743E"/>
    <w:rsid w:val="00D07D23"/>
    <w:rsid w:val="00D10188"/>
    <w:rsid w:val="00D10795"/>
    <w:rsid w:val="00D11869"/>
    <w:rsid w:val="00D12075"/>
    <w:rsid w:val="00D123BF"/>
    <w:rsid w:val="00D12718"/>
    <w:rsid w:val="00D12D89"/>
    <w:rsid w:val="00D13225"/>
    <w:rsid w:val="00D13A82"/>
    <w:rsid w:val="00D13DB7"/>
    <w:rsid w:val="00D13E18"/>
    <w:rsid w:val="00D13EA0"/>
    <w:rsid w:val="00D1446C"/>
    <w:rsid w:val="00D14FD8"/>
    <w:rsid w:val="00D1574D"/>
    <w:rsid w:val="00D1586B"/>
    <w:rsid w:val="00D15A69"/>
    <w:rsid w:val="00D15BA6"/>
    <w:rsid w:val="00D15C84"/>
    <w:rsid w:val="00D15F93"/>
    <w:rsid w:val="00D163E8"/>
    <w:rsid w:val="00D16505"/>
    <w:rsid w:val="00D167C6"/>
    <w:rsid w:val="00D168C6"/>
    <w:rsid w:val="00D169F5"/>
    <w:rsid w:val="00D172D2"/>
    <w:rsid w:val="00D17A76"/>
    <w:rsid w:val="00D17E62"/>
    <w:rsid w:val="00D17FE4"/>
    <w:rsid w:val="00D21011"/>
    <w:rsid w:val="00D211EC"/>
    <w:rsid w:val="00D21ECF"/>
    <w:rsid w:val="00D22843"/>
    <w:rsid w:val="00D22E63"/>
    <w:rsid w:val="00D240AE"/>
    <w:rsid w:val="00D24154"/>
    <w:rsid w:val="00D247C1"/>
    <w:rsid w:val="00D24B44"/>
    <w:rsid w:val="00D24BDD"/>
    <w:rsid w:val="00D24E39"/>
    <w:rsid w:val="00D255DD"/>
    <w:rsid w:val="00D25D50"/>
    <w:rsid w:val="00D25E00"/>
    <w:rsid w:val="00D25F9D"/>
    <w:rsid w:val="00D26BD2"/>
    <w:rsid w:val="00D26CEE"/>
    <w:rsid w:val="00D270E2"/>
    <w:rsid w:val="00D3027F"/>
    <w:rsid w:val="00D30304"/>
    <w:rsid w:val="00D306F5"/>
    <w:rsid w:val="00D32789"/>
    <w:rsid w:val="00D32824"/>
    <w:rsid w:val="00D3471B"/>
    <w:rsid w:val="00D35A08"/>
    <w:rsid w:val="00D35EC5"/>
    <w:rsid w:val="00D35ECA"/>
    <w:rsid w:val="00D369BE"/>
    <w:rsid w:val="00D36F8A"/>
    <w:rsid w:val="00D3705E"/>
    <w:rsid w:val="00D371D7"/>
    <w:rsid w:val="00D41582"/>
    <w:rsid w:val="00D41DC0"/>
    <w:rsid w:val="00D41DD7"/>
    <w:rsid w:val="00D4262C"/>
    <w:rsid w:val="00D42C66"/>
    <w:rsid w:val="00D445A9"/>
    <w:rsid w:val="00D44750"/>
    <w:rsid w:val="00D4478F"/>
    <w:rsid w:val="00D44A72"/>
    <w:rsid w:val="00D4579D"/>
    <w:rsid w:val="00D457F0"/>
    <w:rsid w:val="00D4662A"/>
    <w:rsid w:val="00D51AD3"/>
    <w:rsid w:val="00D520FF"/>
    <w:rsid w:val="00D52143"/>
    <w:rsid w:val="00D522F9"/>
    <w:rsid w:val="00D526F0"/>
    <w:rsid w:val="00D52D35"/>
    <w:rsid w:val="00D535A2"/>
    <w:rsid w:val="00D53D1C"/>
    <w:rsid w:val="00D54638"/>
    <w:rsid w:val="00D54B78"/>
    <w:rsid w:val="00D5566A"/>
    <w:rsid w:val="00D56AC4"/>
    <w:rsid w:val="00D56BD7"/>
    <w:rsid w:val="00D5787C"/>
    <w:rsid w:val="00D57C9A"/>
    <w:rsid w:val="00D600CC"/>
    <w:rsid w:val="00D60C29"/>
    <w:rsid w:val="00D613FF"/>
    <w:rsid w:val="00D61F17"/>
    <w:rsid w:val="00D62494"/>
    <w:rsid w:val="00D62D8F"/>
    <w:rsid w:val="00D63768"/>
    <w:rsid w:val="00D6376E"/>
    <w:rsid w:val="00D64133"/>
    <w:rsid w:val="00D64155"/>
    <w:rsid w:val="00D6463B"/>
    <w:rsid w:val="00D65F51"/>
    <w:rsid w:val="00D6602F"/>
    <w:rsid w:val="00D66CEF"/>
    <w:rsid w:val="00D67732"/>
    <w:rsid w:val="00D677B9"/>
    <w:rsid w:val="00D67EE5"/>
    <w:rsid w:val="00D7092F"/>
    <w:rsid w:val="00D70BEF"/>
    <w:rsid w:val="00D728F3"/>
    <w:rsid w:val="00D729C8"/>
    <w:rsid w:val="00D733B8"/>
    <w:rsid w:val="00D736F5"/>
    <w:rsid w:val="00D737F9"/>
    <w:rsid w:val="00D73A5A"/>
    <w:rsid w:val="00D7427B"/>
    <w:rsid w:val="00D747A3"/>
    <w:rsid w:val="00D749B8"/>
    <w:rsid w:val="00D7558C"/>
    <w:rsid w:val="00D75A8F"/>
    <w:rsid w:val="00D7670F"/>
    <w:rsid w:val="00D777F5"/>
    <w:rsid w:val="00D80383"/>
    <w:rsid w:val="00D806F9"/>
    <w:rsid w:val="00D80F74"/>
    <w:rsid w:val="00D80FB7"/>
    <w:rsid w:val="00D82AB3"/>
    <w:rsid w:val="00D84364"/>
    <w:rsid w:val="00D85221"/>
    <w:rsid w:val="00D857C9"/>
    <w:rsid w:val="00D859FE"/>
    <w:rsid w:val="00D85C1F"/>
    <w:rsid w:val="00D85D00"/>
    <w:rsid w:val="00D85FEF"/>
    <w:rsid w:val="00D86014"/>
    <w:rsid w:val="00D868D4"/>
    <w:rsid w:val="00D87585"/>
    <w:rsid w:val="00D876A4"/>
    <w:rsid w:val="00D878C8"/>
    <w:rsid w:val="00D909CD"/>
    <w:rsid w:val="00D90DE0"/>
    <w:rsid w:val="00D90DEC"/>
    <w:rsid w:val="00D9184F"/>
    <w:rsid w:val="00D91CC3"/>
    <w:rsid w:val="00D925EE"/>
    <w:rsid w:val="00D92C08"/>
    <w:rsid w:val="00D92C98"/>
    <w:rsid w:val="00D93005"/>
    <w:rsid w:val="00D934DE"/>
    <w:rsid w:val="00D93644"/>
    <w:rsid w:val="00D937E1"/>
    <w:rsid w:val="00D93B74"/>
    <w:rsid w:val="00D94C7E"/>
    <w:rsid w:val="00D94E4C"/>
    <w:rsid w:val="00D95474"/>
    <w:rsid w:val="00D95B26"/>
    <w:rsid w:val="00D95CAC"/>
    <w:rsid w:val="00D96BCA"/>
    <w:rsid w:val="00D96C1B"/>
    <w:rsid w:val="00D970DF"/>
    <w:rsid w:val="00D97A53"/>
    <w:rsid w:val="00D97C32"/>
    <w:rsid w:val="00D97DB4"/>
    <w:rsid w:val="00DA0159"/>
    <w:rsid w:val="00DA1573"/>
    <w:rsid w:val="00DA160B"/>
    <w:rsid w:val="00DA18DE"/>
    <w:rsid w:val="00DA1F08"/>
    <w:rsid w:val="00DA2459"/>
    <w:rsid w:val="00DA278F"/>
    <w:rsid w:val="00DA27CC"/>
    <w:rsid w:val="00DA2E24"/>
    <w:rsid w:val="00DA2FC5"/>
    <w:rsid w:val="00DA30C7"/>
    <w:rsid w:val="00DA3269"/>
    <w:rsid w:val="00DA3AF0"/>
    <w:rsid w:val="00DA3DF2"/>
    <w:rsid w:val="00DA440D"/>
    <w:rsid w:val="00DA4494"/>
    <w:rsid w:val="00DA48A5"/>
    <w:rsid w:val="00DA4D07"/>
    <w:rsid w:val="00DA4D16"/>
    <w:rsid w:val="00DA4F11"/>
    <w:rsid w:val="00DA50C4"/>
    <w:rsid w:val="00DA53C2"/>
    <w:rsid w:val="00DA6411"/>
    <w:rsid w:val="00DA673D"/>
    <w:rsid w:val="00DA6798"/>
    <w:rsid w:val="00DA6B9E"/>
    <w:rsid w:val="00DA6BE5"/>
    <w:rsid w:val="00DA6FCC"/>
    <w:rsid w:val="00DA7D3D"/>
    <w:rsid w:val="00DA7FA1"/>
    <w:rsid w:val="00DB01EC"/>
    <w:rsid w:val="00DB0636"/>
    <w:rsid w:val="00DB1187"/>
    <w:rsid w:val="00DB128B"/>
    <w:rsid w:val="00DB1443"/>
    <w:rsid w:val="00DB178D"/>
    <w:rsid w:val="00DB1975"/>
    <w:rsid w:val="00DB1D01"/>
    <w:rsid w:val="00DB35D5"/>
    <w:rsid w:val="00DB36D5"/>
    <w:rsid w:val="00DB3A8E"/>
    <w:rsid w:val="00DB3C54"/>
    <w:rsid w:val="00DB3DC1"/>
    <w:rsid w:val="00DB407B"/>
    <w:rsid w:val="00DB4170"/>
    <w:rsid w:val="00DB44BF"/>
    <w:rsid w:val="00DB4556"/>
    <w:rsid w:val="00DB4664"/>
    <w:rsid w:val="00DB546B"/>
    <w:rsid w:val="00DB54E1"/>
    <w:rsid w:val="00DB5BAC"/>
    <w:rsid w:val="00DB5DED"/>
    <w:rsid w:val="00DB5F7D"/>
    <w:rsid w:val="00DB6DFE"/>
    <w:rsid w:val="00DB6EDD"/>
    <w:rsid w:val="00DB71AC"/>
    <w:rsid w:val="00DB7ACB"/>
    <w:rsid w:val="00DC00D1"/>
    <w:rsid w:val="00DC184A"/>
    <w:rsid w:val="00DC1B56"/>
    <w:rsid w:val="00DC24D2"/>
    <w:rsid w:val="00DC27CF"/>
    <w:rsid w:val="00DC2B60"/>
    <w:rsid w:val="00DC2B76"/>
    <w:rsid w:val="00DC34C4"/>
    <w:rsid w:val="00DC48BA"/>
    <w:rsid w:val="00DC58FC"/>
    <w:rsid w:val="00DC5A5B"/>
    <w:rsid w:val="00DC5A92"/>
    <w:rsid w:val="00DC5FAD"/>
    <w:rsid w:val="00DC601E"/>
    <w:rsid w:val="00DC60AB"/>
    <w:rsid w:val="00DC6A87"/>
    <w:rsid w:val="00DC6C37"/>
    <w:rsid w:val="00DC72C2"/>
    <w:rsid w:val="00DC7FC6"/>
    <w:rsid w:val="00DD012F"/>
    <w:rsid w:val="00DD02A4"/>
    <w:rsid w:val="00DD046D"/>
    <w:rsid w:val="00DD04EF"/>
    <w:rsid w:val="00DD0544"/>
    <w:rsid w:val="00DD09E3"/>
    <w:rsid w:val="00DD0ECE"/>
    <w:rsid w:val="00DD1B02"/>
    <w:rsid w:val="00DD1B9E"/>
    <w:rsid w:val="00DD2B53"/>
    <w:rsid w:val="00DD3695"/>
    <w:rsid w:val="00DD3A69"/>
    <w:rsid w:val="00DD3D2B"/>
    <w:rsid w:val="00DD588D"/>
    <w:rsid w:val="00DD5A7F"/>
    <w:rsid w:val="00DD672F"/>
    <w:rsid w:val="00DD67CA"/>
    <w:rsid w:val="00DD6D15"/>
    <w:rsid w:val="00DE04B3"/>
    <w:rsid w:val="00DE0FF2"/>
    <w:rsid w:val="00DE16DB"/>
    <w:rsid w:val="00DE191D"/>
    <w:rsid w:val="00DE196C"/>
    <w:rsid w:val="00DE1A02"/>
    <w:rsid w:val="00DE1E2A"/>
    <w:rsid w:val="00DE3423"/>
    <w:rsid w:val="00DE3537"/>
    <w:rsid w:val="00DE3CC4"/>
    <w:rsid w:val="00DE4092"/>
    <w:rsid w:val="00DE48CB"/>
    <w:rsid w:val="00DE602E"/>
    <w:rsid w:val="00DE6132"/>
    <w:rsid w:val="00DE6215"/>
    <w:rsid w:val="00DE6361"/>
    <w:rsid w:val="00DE6C17"/>
    <w:rsid w:val="00DE6CD3"/>
    <w:rsid w:val="00DE75A0"/>
    <w:rsid w:val="00DE7AA7"/>
    <w:rsid w:val="00DE7DBB"/>
    <w:rsid w:val="00DF07C5"/>
    <w:rsid w:val="00DF0F79"/>
    <w:rsid w:val="00DF0F90"/>
    <w:rsid w:val="00DF111A"/>
    <w:rsid w:val="00DF1A3A"/>
    <w:rsid w:val="00DF21E8"/>
    <w:rsid w:val="00DF2AFD"/>
    <w:rsid w:val="00DF2BD4"/>
    <w:rsid w:val="00DF306A"/>
    <w:rsid w:val="00DF38AE"/>
    <w:rsid w:val="00DF3CB1"/>
    <w:rsid w:val="00DF429F"/>
    <w:rsid w:val="00DF4B0D"/>
    <w:rsid w:val="00DF4F67"/>
    <w:rsid w:val="00DF5023"/>
    <w:rsid w:val="00DF581B"/>
    <w:rsid w:val="00DF583F"/>
    <w:rsid w:val="00DF638A"/>
    <w:rsid w:val="00DF676B"/>
    <w:rsid w:val="00DF6BDD"/>
    <w:rsid w:val="00DF6E7B"/>
    <w:rsid w:val="00DF7B7F"/>
    <w:rsid w:val="00E000A0"/>
    <w:rsid w:val="00E0041B"/>
    <w:rsid w:val="00E006DC"/>
    <w:rsid w:val="00E006F7"/>
    <w:rsid w:val="00E00B2C"/>
    <w:rsid w:val="00E01191"/>
    <w:rsid w:val="00E01E0B"/>
    <w:rsid w:val="00E02272"/>
    <w:rsid w:val="00E02339"/>
    <w:rsid w:val="00E0444A"/>
    <w:rsid w:val="00E04994"/>
    <w:rsid w:val="00E04C23"/>
    <w:rsid w:val="00E04D6B"/>
    <w:rsid w:val="00E0575E"/>
    <w:rsid w:val="00E05C6C"/>
    <w:rsid w:val="00E05EAD"/>
    <w:rsid w:val="00E05EC9"/>
    <w:rsid w:val="00E05FE3"/>
    <w:rsid w:val="00E06826"/>
    <w:rsid w:val="00E06B55"/>
    <w:rsid w:val="00E07942"/>
    <w:rsid w:val="00E07E93"/>
    <w:rsid w:val="00E11F20"/>
    <w:rsid w:val="00E12571"/>
    <w:rsid w:val="00E13019"/>
    <w:rsid w:val="00E134CC"/>
    <w:rsid w:val="00E13724"/>
    <w:rsid w:val="00E13A91"/>
    <w:rsid w:val="00E13DFE"/>
    <w:rsid w:val="00E1425B"/>
    <w:rsid w:val="00E14ABF"/>
    <w:rsid w:val="00E14E0C"/>
    <w:rsid w:val="00E15259"/>
    <w:rsid w:val="00E157E1"/>
    <w:rsid w:val="00E159A0"/>
    <w:rsid w:val="00E161C0"/>
    <w:rsid w:val="00E16589"/>
    <w:rsid w:val="00E16DFC"/>
    <w:rsid w:val="00E16F48"/>
    <w:rsid w:val="00E17D70"/>
    <w:rsid w:val="00E2021F"/>
    <w:rsid w:val="00E20274"/>
    <w:rsid w:val="00E207B9"/>
    <w:rsid w:val="00E207EC"/>
    <w:rsid w:val="00E208FD"/>
    <w:rsid w:val="00E2142A"/>
    <w:rsid w:val="00E21590"/>
    <w:rsid w:val="00E2182C"/>
    <w:rsid w:val="00E21A64"/>
    <w:rsid w:val="00E22E8D"/>
    <w:rsid w:val="00E23D12"/>
    <w:rsid w:val="00E243B8"/>
    <w:rsid w:val="00E25AF9"/>
    <w:rsid w:val="00E262EB"/>
    <w:rsid w:val="00E265D6"/>
    <w:rsid w:val="00E26672"/>
    <w:rsid w:val="00E26EFA"/>
    <w:rsid w:val="00E26F94"/>
    <w:rsid w:val="00E278B5"/>
    <w:rsid w:val="00E302F8"/>
    <w:rsid w:val="00E3075A"/>
    <w:rsid w:val="00E30B80"/>
    <w:rsid w:val="00E31038"/>
    <w:rsid w:val="00E320B8"/>
    <w:rsid w:val="00E324FC"/>
    <w:rsid w:val="00E325CF"/>
    <w:rsid w:val="00E326F7"/>
    <w:rsid w:val="00E32F17"/>
    <w:rsid w:val="00E331AE"/>
    <w:rsid w:val="00E3347E"/>
    <w:rsid w:val="00E33A48"/>
    <w:rsid w:val="00E33B3C"/>
    <w:rsid w:val="00E33B4C"/>
    <w:rsid w:val="00E33CC7"/>
    <w:rsid w:val="00E3413A"/>
    <w:rsid w:val="00E3426E"/>
    <w:rsid w:val="00E34470"/>
    <w:rsid w:val="00E345A4"/>
    <w:rsid w:val="00E34767"/>
    <w:rsid w:val="00E34B66"/>
    <w:rsid w:val="00E3533D"/>
    <w:rsid w:val="00E3534B"/>
    <w:rsid w:val="00E354E9"/>
    <w:rsid w:val="00E35F95"/>
    <w:rsid w:val="00E376EF"/>
    <w:rsid w:val="00E37DDF"/>
    <w:rsid w:val="00E4096A"/>
    <w:rsid w:val="00E40B0D"/>
    <w:rsid w:val="00E4129C"/>
    <w:rsid w:val="00E4132C"/>
    <w:rsid w:val="00E41397"/>
    <w:rsid w:val="00E41F64"/>
    <w:rsid w:val="00E421A6"/>
    <w:rsid w:val="00E421C9"/>
    <w:rsid w:val="00E42254"/>
    <w:rsid w:val="00E423C1"/>
    <w:rsid w:val="00E42A8A"/>
    <w:rsid w:val="00E4380D"/>
    <w:rsid w:val="00E43810"/>
    <w:rsid w:val="00E43CE6"/>
    <w:rsid w:val="00E4430D"/>
    <w:rsid w:val="00E448AA"/>
    <w:rsid w:val="00E44BB3"/>
    <w:rsid w:val="00E46034"/>
    <w:rsid w:val="00E464C3"/>
    <w:rsid w:val="00E46BD1"/>
    <w:rsid w:val="00E479DE"/>
    <w:rsid w:val="00E47A70"/>
    <w:rsid w:val="00E47C2C"/>
    <w:rsid w:val="00E5051E"/>
    <w:rsid w:val="00E5088B"/>
    <w:rsid w:val="00E50F59"/>
    <w:rsid w:val="00E52D83"/>
    <w:rsid w:val="00E539CB"/>
    <w:rsid w:val="00E53AE9"/>
    <w:rsid w:val="00E53BC6"/>
    <w:rsid w:val="00E54394"/>
    <w:rsid w:val="00E54E05"/>
    <w:rsid w:val="00E551F3"/>
    <w:rsid w:val="00E555FB"/>
    <w:rsid w:val="00E55E5B"/>
    <w:rsid w:val="00E56060"/>
    <w:rsid w:val="00E563E9"/>
    <w:rsid w:val="00E56B69"/>
    <w:rsid w:val="00E607D0"/>
    <w:rsid w:val="00E60DFE"/>
    <w:rsid w:val="00E61468"/>
    <w:rsid w:val="00E61A39"/>
    <w:rsid w:val="00E61BB6"/>
    <w:rsid w:val="00E61E26"/>
    <w:rsid w:val="00E62436"/>
    <w:rsid w:val="00E624C6"/>
    <w:rsid w:val="00E62740"/>
    <w:rsid w:val="00E629CA"/>
    <w:rsid w:val="00E630A4"/>
    <w:rsid w:val="00E630DF"/>
    <w:rsid w:val="00E63131"/>
    <w:rsid w:val="00E633A2"/>
    <w:rsid w:val="00E63A47"/>
    <w:rsid w:val="00E63CAC"/>
    <w:rsid w:val="00E63ED8"/>
    <w:rsid w:val="00E64FD0"/>
    <w:rsid w:val="00E65C10"/>
    <w:rsid w:val="00E67B66"/>
    <w:rsid w:val="00E67F6F"/>
    <w:rsid w:val="00E701EE"/>
    <w:rsid w:val="00E7120D"/>
    <w:rsid w:val="00E71420"/>
    <w:rsid w:val="00E71638"/>
    <w:rsid w:val="00E7190D"/>
    <w:rsid w:val="00E72947"/>
    <w:rsid w:val="00E72C92"/>
    <w:rsid w:val="00E74940"/>
    <w:rsid w:val="00E75317"/>
    <w:rsid w:val="00E766E6"/>
    <w:rsid w:val="00E7688F"/>
    <w:rsid w:val="00E7751C"/>
    <w:rsid w:val="00E7762C"/>
    <w:rsid w:val="00E77F32"/>
    <w:rsid w:val="00E77F36"/>
    <w:rsid w:val="00E80A38"/>
    <w:rsid w:val="00E811BC"/>
    <w:rsid w:val="00E81CF7"/>
    <w:rsid w:val="00E82177"/>
    <w:rsid w:val="00E82185"/>
    <w:rsid w:val="00E8221E"/>
    <w:rsid w:val="00E82F78"/>
    <w:rsid w:val="00E8315B"/>
    <w:rsid w:val="00E83236"/>
    <w:rsid w:val="00E83F83"/>
    <w:rsid w:val="00E84027"/>
    <w:rsid w:val="00E856FA"/>
    <w:rsid w:val="00E85795"/>
    <w:rsid w:val="00E86279"/>
    <w:rsid w:val="00E86461"/>
    <w:rsid w:val="00E86482"/>
    <w:rsid w:val="00E8693F"/>
    <w:rsid w:val="00E86AD3"/>
    <w:rsid w:val="00E87734"/>
    <w:rsid w:val="00E87948"/>
    <w:rsid w:val="00E87A0B"/>
    <w:rsid w:val="00E87D1C"/>
    <w:rsid w:val="00E904E6"/>
    <w:rsid w:val="00E907EB"/>
    <w:rsid w:val="00E90E0A"/>
    <w:rsid w:val="00E9113E"/>
    <w:rsid w:val="00E9191A"/>
    <w:rsid w:val="00E91A5F"/>
    <w:rsid w:val="00E91DDC"/>
    <w:rsid w:val="00E9268B"/>
    <w:rsid w:val="00E92F9F"/>
    <w:rsid w:val="00E9324B"/>
    <w:rsid w:val="00E93313"/>
    <w:rsid w:val="00E9347F"/>
    <w:rsid w:val="00E93731"/>
    <w:rsid w:val="00E93A89"/>
    <w:rsid w:val="00E94B75"/>
    <w:rsid w:val="00E94DA0"/>
    <w:rsid w:val="00E95068"/>
    <w:rsid w:val="00E95078"/>
    <w:rsid w:val="00E95820"/>
    <w:rsid w:val="00E95E63"/>
    <w:rsid w:val="00E95F91"/>
    <w:rsid w:val="00E96032"/>
    <w:rsid w:val="00E967BD"/>
    <w:rsid w:val="00E96B77"/>
    <w:rsid w:val="00E97562"/>
    <w:rsid w:val="00EA060C"/>
    <w:rsid w:val="00EA0DB6"/>
    <w:rsid w:val="00EA14E7"/>
    <w:rsid w:val="00EA1E56"/>
    <w:rsid w:val="00EA204F"/>
    <w:rsid w:val="00EA27A5"/>
    <w:rsid w:val="00EA2AC2"/>
    <w:rsid w:val="00EA2AF7"/>
    <w:rsid w:val="00EA2DAD"/>
    <w:rsid w:val="00EA3012"/>
    <w:rsid w:val="00EA515C"/>
    <w:rsid w:val="00EA5CC3"/>
    <w:rsid w:val="00EA6354"/>
    <w:rsid w:val="00EA6A78"/>
    <w:rsid w:val="00EA70B1"/>
    <w:rsid w:val="00EA7995"/>
    <w:rsid w:val="00EB0CB8"/>
    <w:rsid w:val="00EB0CBE"/>
    <w:rsid w:val="00EB0F34"/>
    <w:rsid w:val="00EB206B"/>
    <w:rsid w:val="00EB20F3"/>
    <w:rsid w:val="00EB306B"/>
    <w:rsid w:val="00EB3B26"/>
    <w:rsid w:val="00EB3BE1"/>
    <w:rsid w:val="00EB4084"/>
    <w:rsid w:val="00EB439A"/>
    <w:rsid w:val="00EB4D50"/>
    <w:rsid w:val="00EB5007"/>
    <w:rsid w:val="00EB5A62"/>
    <w:rsid w:val="00EB610D"/>
    <w:rsid w:val="00EB6280"/>
    <w:rsid w:val="00EB6984"/>
    <w:rsid w:val="00EB6C34"/>
    <w:rsid w:val="00EB6DA9"/>
    <w:rsid w:val="00EB6F6F"/>
    <w:rsid w:val="00EB72A9"/>
    <w:rsid w:val="00EB7D1F"/>
    <w:rsid w:val="00EC0139"/>
    <w:rsid w:val="00EC18AF"/>
    <w:rsid w:val="00EC18FF"/>
    <w:rsid w:val="00EC1FAE"/>
    <w:rsid w:val="00EC3950"/>
    <w:rsid w:val="00EC5782"/>
    <w:rsid w:val="00EC62AD"/>
    <w:rsid w:val="00EC658E"/>
    <w:rsid w:val="00EC67B9"/>
    <w:rsid w:val="00EC6CCC"/>
    <w:rsid w:val="00EC7122"/>
    <w:rsid w:val="00EC7265"/>
    <w:rsid w:val="00EC7846"/>
    <w:rsid w:val="00ED0487"/>
    <w:rsid w:val="00ED1A21"/>
    <w:rsid w:val="00ED2206"/>
    <w:rsid w:val="00ED33FE"/>
    <w:rsid w:val="00ED3B29"/>
    <w:rsid w:val="00ED3FA4"/>
    <w:rsid w:val="00ED47C1"/>
    <w:rsid w:val="00ED4F9D"/>
    <w:rsid w:val="00ED53EA"/>
    <w:rsid w:val="00ED593A"/>
    <w:rsid w:val="00ED6146"/>
    <w:rsid w:val="00ED63CB"/>
    <w:rsid w:val="00ED6FB8"/>
    <w:rsid w:val="00ED7425"/>
    <w:rsid w:val="00ED77F3"/>
    <w:rsid w:val="00ED7CD3"/>
    <w:rsid w:val="00ED7F8C"/>
    <w:rsid w:val="00EE0014"/>
    <w:rsid w:val="00EE0EF7"/>
    <w:rsid w:val="00EE1C17"/>
    <w:rsid w:val="00EE1C31"/>
    <w:rsid w:val="00EE1E85"/>
    <w:rsid w:val="00EE2C8A"/>
    <w:rsid w:val="00EE303B"/>
    <w:rsid w:val="00EE3316"/>
    <w:rsid w:val="00EE3817"/>
    <w:rsid w:val="00EE3E38"/>
    <w:rsid w:val="00EE482F"/>
    <w:rsid w:val="00EE561F"/>
    <w:rsid w:val="00EE5A05"/>
    <w:rsid w:val="00EE5D50"/>
    <w:rsid w:val="00EE5EED"/>
    <w:rsid w:val="00EE6027"/>
    <w:rsid w:val="00EE61B0"/>
    <w:rsid w:val="00EE6444"/>
    <w:rsid w:val="00EE666C"/>
    <w:rsid w:val="00EE67CA"/>
    <w:rsid w:val="00EE67E5"/>
    <w:rsid w:val="00EF077D"/>
    <w:rsid w:val="00EF08D4"/>
    <w:rsid w:val="00EF120D"/>
    <w:rsid w:val="00EF1861"/>
    <w:rsid w:val="00EF251D"/>
    <w:rsid w:val="00EF3496"/>
    <w:rsid w:val="00EF386E"/>
    <w:rsid w:val="00EF38AB"/>
    <w:rsid w:val="00EF4C9B"/>
    <w:rsid w:val="00EF4E7D"/>
    <w:rsid w:val="00EF50A8"/>
    <w:rsid w:val="00EF5613"/>
    <w:rsid w:val="00EF5BF9"/>
    <w:rsid w:val="00EF5E44"/>
    <w:rsid w:val="00EF6341"/>
    <w:rsid w:val="00EF6758"/>
    <w:rsid w:val="00EF762B"/>
    <w:rsid w:val="00EF77A1"/>
    <w:rsid w:val="00F0021C"/>
    <w:rsid w:val="00F005BB"/>
    <w:rsid w:val="00F00A3E"/>
    <w:rsid w:val="00F00B07"/>
    <w:rsid w:val="00F01680"/>
    <w:rsid w:val="00F019CD"/>
    <w:rsid w:val="00F01F67"/>
    <w:rsid w:val="00F02377"/>
    <w:rsid w:val="00F02C08"/>
    <w:rsid w:val="00F02C54"/>
    <w:rsid w:val="00F03139"/>
    <w:rsid w:val="00F037DE"/>
    <w:rsid w:val="00F03A23"/>
    <w:rsid w:val="00F0560A"/>
    <w:rsid w:val="00F0599C"/>
    <w:rsid w:val="00F05F31"/>
    <w:rsid w:val="00F0666A"/>
    <w:rsid w:val="00F06AA7"/>
    <w:rsid w:val="00F07331"/>
    <w:rsid w:val="00F07B88"/>
    <w:rsid w:val="00F10A0F"/>
    <w:rsid w:val="00F118AD"/>
    <w:rsid w:val="00F11AD9"/>
    <w:rsid w:val="00F12F68"/>
    <w:rsid w:val="00F1321F"/>
    <w:rsid w:val="00F135D7"/>
    <w:rsid w:val="00F136B2"/>
    <w:rsid w:val="00F13A92"/>
    <w:rsid w:val="00F142A7"/>
    <w:rsid w:val="00F14910"/>
    <w:rsid w:val="00F14C5B"/>
    <w:rsid w:val="00F14D21"/>
    <w:rsid w:val="00F1500B"/>
    <w:rsid w:val="00F155DB"/>
    <w:rsid w:val="00F157B7"/>
    <w:rsid w:val="00F158CE"/>
    <w:rsid w:val="00F158D7"/>
    <w:rsid w:val="00F1638E"/>
    <w:rsid w:val="00F16CF0"/>
    <w:rsid w:val="00F1774E"/>
    <w:rsid w:val="00F17D37"/>
    <w:rsid w:val="00F17DEE"/>
    <w:rsid w:val="00F20399"/>
    <w:rsid w:val="00F2096A"/>
    <w:rsid w:val="00F20EE5"/>
    <w:rsid w:val="00F21136"/>
    <w:rsid w:val="00F21D05"/>
    <w:rsid w:val="00F21DD4"/>
    <w:rsid w:val="00F22D38"/>
    <w:rsid w:val="00F22E9A"/>
    <w:rsid w:val="00F2319A"/>
    <w:rsid w:val="00F233F7"/>
    <w:rsid w:val="00F234E7"/>
    <w:rsid w:val="00F24263"/>
    <w:rsid w:val="00F249CA"/>
    <w:rsid w:val="00F24A08"/>
    <w:rsid w:val="00F24AF5"/>
    <w:rsid w:val="00F25305"/>
    <w:rsid w:val="00F25897"/>
    <w:rsid w:val="00F25A07"/>
    <w:rsid w:val="00F25B5D"/>
    <w:rsid w:val="00F25DBF"/>
    <w:rsid w:val="00F260E9"/>
    <w:rsid w:val="00F26366"/>
    <w:rsid w:val="00F265F5"/>
    <w:rsid w:val="00F26618"/>
    <w:rsid w:val="00F2691E"/>
    <w:rsid w:val="00F2694B"/>
    <w:rsid w:val="00F270D9"/>
    <w:rsid w:val="00F27468"/>
    <w:rsid w:val="00F278C5"/>
    <w:rsid w:val="00F278EE"/>
    <w:rsid w:val="00F305BC"/>
    <w:rsid w:val="00F309FE"/>
    <w:rsid w:val="00F30C75"/>
    <w:rsid w:val="00F31476"/>
    <w:rsid w:val="00F31DD0"/>
    <w:rsid w:val="00F31E7B"/>
    <w:rsid w:val="00F32AC2"/>
    <w:rsid w:val="00F32F03"/>
    <w:rsid w:val="00F331E2"/>
    <w:rsid w:val="00F3338E"/>
    <w:rsid w:val="00F33539"/>
    <w:rsid w:val="00F335F6"/>
    <w:rsid w:val="00F33DCC"/>
    <w:rsid w:val="00F33DDB"/>
    <w:rsid w:val="00F342E0"/>
    <w:rsid w:val="00F34DB7"/>
    <w:rsid w:val="00F34E16"/>
    <w:rsid w:val="00F35137"/>
    <w:rsid w:val="00F36088"/>
    <w:rsid w:val="00F360AD"/>
    <w:rsid w:val="00F3617D"/>
    <w:rsid w:val="00F36656"/>
    <w:rsid w:val="00F36B77"/>
    <w:rsid w:val="00F37686"/>
    <w:rsid w:val="00F37BFE"/>
    <w:rsid w:val="00F37D0D"/>
    <w:rsid w:val="00F37DCE"/>
    <w:rsid w:val="00F40EE3"/>
    <w:rsid w:val="00F4137B"/>
    <w:rsid w:val="00F42233"/>
    <w:rsid w:val="00F425CA"/>
    <w:rsid w:val="00F42B43"/>
    <w:rsid w:val="00F438D0"/>
    <w:rsid w:val="00F43D5E"/>
    <w:rsid w:val="00F442A2"/>
    <w:rsid w:val="00F44444"/>
    <w:rsid w:val="00F44696"/>
    <w:rsid w:val="00F44833"/>
    <w:rsid w:val="00F44D17"/>
    <w:rsid w:val="00F458FD"/>
    <w:rsid w:val="00F466FD"/>
    <w:rsid w:val="00F46F1B"/>
    <w:rsid w:val="00F471BE"/>
    <w:rsid w:val="00F471DF"/>
    <w:rsid w:val="00F47236"/>
    <w:rsid w:val="00F47AE9"/>
    <w:rsid w:val="00F47C5D"/>
    <w:rsid w:val="00F50CAB"/>
    <w:rsid w:val="00F514FD"/>
    <w:rsid w:val="00F526CD"/>
    <w:rsid w:val="00F52CEA"/>
    <w:rsid w:val="00F53258"/>
    <w:rsid w:val="00F53288"/>
    <w:rsid w:val="00F53BD7"/>
    <w:rsid w:val="00F53D88"/>
    <w:rsid w:val="00F53E31"/>
    <w:rsid w:val="00F544B0"/>
    <w:rsid w:val="00F5498C"/>
    <w:rsid w:val="00F54A11"/>
    <w:rsid w:val="00F54A4F"/>
    <w:rsid w:val="00F54C3C"/>
    <w:rsid w:val="00F5526E"/>
    <w:rsid w:val="00F55E8C"/>
    <w:rsid w:val="00F561C3"/>
    <w:rsid w:val="00F56427"/>
    <w:rsid w:val="00F56864"/>
    <w:rsid w:val="00F56D86"/>
    <w:rsid w:val="00F57912"/>
    <w:rsid w:val="00F57E12"/>
    <w:rsid w:val="00F609CB"/>
    <w:rsid w:val="00F609D5"/>
    <w:rsid w:val="00F61F99"/>
    <w:rsid w:val="00F622C9"/>
    <w:rsid w:val="00F627BB"/>
    <w:rsid w:val="00F62835"/>
    <w:rsid w:val="00F62C54"/>
    <w:rsid w:val="00F63664"/>
    <w:rsid w:val="00F63749"/>
    <w:rsid w:val="00F637C7"/>
    <w:rsid w:val="00F644FA"/>
    <w:rsid w:val="00F64C9F"/>
    <w:rsid w:val="00F655EC"/>
    <w:rsid w:val="00F65B06"/>
    <w:rsid w:val="00F65CB7"/>
    <w:rsid w:val="00F669D1"/>
    <w:rsid w:val="00F66E2A"/>
    <w:rsid w:val="00F6752E"/>
    <w:rsid w:val="00F676FC"/>
    <w:rsid w:val="00F67ACF"/>
    <w:rsid w:val="00F67C87"/>
    <w:rsid w:val="00F67E2E"/>
    <w:rsid w:val="00F70778"/>
    <w:rsid w:val="00F708FA"/>
    <w:rsid w:val="00F70BBB"/>
    <w:rsid w:val="00F71353"/>
    <w:rsid w:val="00F71547"/>
    <w:rsid w:val="00F716EF"/>
    <w:rsid w:val="00F71CFB"/>
    <w:rsid w:val="00F7212E"/>
    <w:rsid w:val="00F72B2C"/>
    <w:rsid w:val="00F7337F"/>
    <w:rsid w:val="00F740FE"/>
    <w:rsid w:val="00F74FB8"/>
    <w:rsid w:val="00F75792"/>
    <w:rsid w:val="00F75E0F"/>
    <w:rsid w:val="00F75F4D"/>
    <w:rsid w:val="00F7697F"/>
    <w:rsid w:val="00F76B9C"/>
    <w:rsid w:val="00F77032"/>
    <w:rsid w:val="00F7797A"/>
    <w:rsid w:val="00F77D2B"/>
    <w:rsid w:val="00F82248"/>
    <w:rsid w:val="00F82948"/>
    <w:rsid w:val="00F83F73"/>
    <w:rsid w:val="00F842F8"/>
    <w:rsid w:val="00F84C23"/>
    <w:rsid w:val="00F85130"/>
    <w:rsid w:val="00F8528A"/>
    <w:rsid w:val="00F86131"/>
    <w:rsid w:val="00F864FC"/>
    <w:rsid w:val="00F87F0D"/>
    <w:rsid w:val="00F90638"/>
    <w:rsid w:val="00F909D1"/>
    <w:rsid w:val="00F90BAE"/>
    <w:rsid w:val="00F90CF9"/>
    <w:rsid w:val="00F91979"/>
    <w:rsid w:val="00F91C4F"/>
    <w:rsid w:val="00F91D1F"/>
    <w:rsid w:val="00F9225E"/>
    <w:rsid w:val="00F9239B"/>
    <w:rsid w:val="00F926A4"/>
    <w:rsid w:val="00F92DB3"/>
    <w:rsid w:val="00F93290"/>
    <w:rsid w:val="00F9390D"/>
    <w:rsid w:val="00F94042"/>
    <w:rsid w:val="00F94098"/>
    <w:rsid w:val="00F94239"/>
    <w:rsid w:val="00F9576D"/>
    <w:rsid w:val="00F95EE8"/>
    <w:rsid w:val="00F95F8E"/>
    <w:rsid w:val="00F95F94"/>
    <w:rsid w:val="00F95FD7"/>
    <w:rsid w:val="00F96736"/>
    <w:rsid w:val="00F967EA"/>
    <w:rsid w:val="00F969CD"/>
    <w:rsid w:val="00FA01F7"/>
    <w:rsid w:val="00FA03AE"/>
    <w:rsid w:val="00FA07D9"/>
    <w:rsid w:val="00FA082D"/>
    <w:rsid w:val="00FA1654"/>
    <w:rsid w:val="00FA2EB0"/>
    <w:rsid w:val="00FA36EA"/>
    <w:rsid w:val="00FA3B52"/>
    <w:rsid w:val="00FA3F34"/>
    <w:rsid w:val="00FA4476"/>
    <w:rsid w:val="00FA456E"/>
    <w:rsid w:val="00FA58EC"/>
    <w:rsid w:val="00FA59A9"/>
    <w:rsid w:val="00FA6008"/>
    <w:rsid w:val="00FA6848"/>
    <w:rsid w:val="00FA778F"/>
    <w:rsid w:val="00FA7ADF"/>
    <w:rsid w:val="00FA7AF9"/>
    <w:rsid w:val="00FB016C"/>
    <w:rsid w:val="00FB10DF"/>
    <w:rsid w:val="00FB2CB1"/>
    <w:rsid w:val="00FB2FBD"/>
    <w:rsid w:val="00FB32A0"/>
    <w:rsid w:val="00FB3492"/>
    <w:rsid w:val="00FB3B7B"/>
    <w:rsid w:val="00FB446B"/>
    <w:rsid w:val="00FB45C0"/>
    <w:rsid w:val="00FB4F5E"/>
    <w:rsid w:val="00FB51BA"/>
    <w:rsid w:val="00FB51DC"/>
    <w:rsid w:val="00FB54E2"/>
    <w:rsid w:val="00FB5967"/>
    <w:rsid w:val="00FB5C84"/>
    <w:rsid w:val="00FB5CCA"/>
    <w:rsid w:val="00FB5FF5"/>
    <w:rsid w:val="00FB772F"/>
    <w:rsid w:val="00FB7C3E"/>
    <w:rsid w:val="00FC0AFF"/>
    <w:rsid w:val="00FC1157"/>
    <w:rsid w:val="00FC1C44"/>
    <w:rsid w:val="00FC1DB8"/>
    <w:rsid w:val="00FC397D"/>
    <w:rsid w:val="00FC3C82"/>
    <w:rsid w:val="00FC4A34"/>
    <w:rsid w:val="00FC5292"/>
    <w:rsid w:val="00FC5835"/>
    <w:rsid w:val="00FC5C8A"/>
    <w:rsid w:val="00FC5E80"/>
    <w:rsid w:val="00FC5E95"/>
    <w:rsid w:val="00FC61BD"/>
    <w:rsid w:val="00FC64F3"/>
    <w:rsid w:val="00FC7272"/>
    <w:rsid w:val="00FC7E9B"/>
    <w:rsid w:val="00FD0958"/>
    <w:rsid w:val="00FD0A61"/>
    <w:rsid w:val="00FD0D91"/>
    <w:rsid w:val="00FD0F2D"/>
    <w:rsid w:val="00FD14AC"/>
    <w:rsid w:val="00FD238F"/>
    <w:rsid w:val="00FD281D"/>
    <w:rsid w:val="00FD3DE0"/>
    <w:rsid w:val="00FD3E8A"/>
    <w:rsid w:val="00FD407D"/>
    <w:rsid w:val="00FD4142"/>
    <w:rsid w:val="00FD53DF"/>
    <w:rsid w:val="00FD57F2"/>
    <w:rsid w:val="00FD5E3B"/>
    <w:rsid w:val="00FD6299"/>
    <w:rsid w:val="00FD65FC"/>
    <w:rsid w:val="00FD7729"/>
    <w:rsid w:val="00FD7C22"/>
    <w:rsid w:val="00FE070F"/>
    <w:rsid w:val="00FE0A2B"/>
    <w:rsid w:val="00FE0E23"/>
    <w:rsid w:val="00FE10EE"/>
    <w:rsid w:val="00FE125E"/>
    <w:rsid w:val="00FE1B50"/>
    <w:rsid w:val="00FE1CB4"/>
    <w:rsid w:val="00FE2400"/>
    <w:rsid w:val="00FE31E8"/>
    <w:rsid w:val="00FE3EC2"/>
    <w:rsid w:val="00FE4541"/>
    <w:rsid w:val="00FE4E53"/>
    <w:rsid w:val="00FE5987"/>
    <w:rsid w:val="00FE5C58"/>
    <w:rsid w:val="00FE694A"/>
    <w:rsid w:val="00FE7263"/>
    <w:rsid w:val="00FF0363"/>
    <w:rsid w:val="00FF0496"/>
    <w:rsid w:val="00FF0566"/>
    <w:rsid w:val="00FF072A"/>
    <w:rsid w:val="00FF094A"/>
    <w:rsid w:val="00FF0F91"/>
    <w:rsid w:val="00FF2002"/>
    <w:rsid w:val="00FF20D2"/>
    <w:rsid w:val="00FF26D2"/>
    <w:rsid w:val="00FF328F"/>
    <w:rsid w:val="00FF3888"/>
    <w:rsid w:val="00FF38A1"/>
    <w:rsid w:val="00FF42D1"/>
    <w:rsid w:val="00FF4610"/>
    <w:rsid w:val="00FF4B2E"/>
    <w:rsid w:val="00FF528B"/>
    <w:rsid w:val="00FF5C37"/>
    <w:rsid w:val="00FF5D8A"/>
    <w:rsid w:val="00FF6B91"/>
    <w:rsid w:val="00FF7049"/>
    <w:rsid w:val="00FF72E7"/>
    <w:rsid w:val="00FF7DEE"/>
    <w:rsid w:val="00FF7E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4015643E-9197-C347-A3DB-2D5CF3165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9"/>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8122E2"/>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FE1B5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9"/>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character" w:customStyle="1" w:styleId="s1">
    <w:name w:val="s1"/>
    <w:basedOn w:val="DefaultParagraphFont"/>
    <w:rsid w:val="008867EC"/>
  </w:style>
  <w:style w:type="paragraph" w:styleId="Subtitle">
    <w:name w:val="Subtitle"/>
    <w:basedOn w:val="Normal"/>
    <w:next w:val="Normal"/>
    <w:link w:val="SubtitleChar"/>
    <w:uiPriority w:val="11"/>
    <w:qFormat/>
    <w:rsid w:val="00274E34"/>
    <w:pPr>
      <w:numPr>
        <w:ilvl w:val="1"/>
      </w:numPr>
    </w:pPr>
    <w:rPr>
      <w:rFonts w:asciiTheme="minorHAnsi" w:hAnsiTheme="minorHAnsi"/>
      <w:color w:val="5A5A5A" w:themeColor="text1" w:themeTint="A5"/>
      <w:spacing w:val="15"/>
    </w:rPr>
  </w:style>
  <w:style w:type="character" w:customStyle="1" w:styleId="SubtitleChar">
    <w:name w:val="Subtitle Char"/>
    <w:basedOn w:val="DefaultParagraphFont"/>
    <w:link w:val="Subtitle"/>
    <w:uiPriority w:val="11"/>
    <w:rsid w:val="00274E34"/>
    <w:rPr>
      <w:color w:val="5A5A5A" w:themeColor="text1" w:themeTint="A5"/>
      <w:spacing w:val="15"/>
    </w:rPr>
  </w:style>
  <w:style w:type="paragraph" w:styleId="Title">
    <w:name w:val="Title"/>
    <w:basedOn w:val="Normal"/>
    <w:next w:val="Normal"/>
    <w:link w:val="TitleChar"/>
    <w:uiPriority w:val="10"/>
    <w:qFormat/>
    <w:rsid w:val="00A46F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6FE1"/>
    <w:rPr>
      <w:rFonts w:asciiTheme="majorHAnsi" w:eastAsiaTheme="majorEastAsia" w:hAnsiTheme="majorHAnsi" w:cstheme="majorBidi"/>
      <w:spacing w:val="-10"/>
      <w:kern w:val="28"/>
      <w:sz w:val="56"/>
      <w:szCs w:val="56"/>
    </w:rPr>
  </w:style>
  <w:style w:type="paragraph" w:customStyle="1" w:styleId="p1">
    <w:name w:val="p1"/>
    <w:basedOn w:val="Normal"/>
    <w:rsid w:val="000348C6"/>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paragraph" w:customStyle="1" w:styleId="p2">
    <w:name w:val="p2"/>
    <w:basedOn w:val="Normal"/>
    <w:rsid w:val="000348C6"/>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2">
    <w:name w:val="s2"/>
    <w:basedOn w:val="DefaultParagraphFont"/>
    <w:rsid w:val="00474515"/>
  </w:style>
  <w:style w:type="paragraph" w:customStyle="1" w:styleId="p3">
    <w:name w:val="p3"/>
    <w:basedOn w:val="Normal"/>
    <w:rsid w:val="00936B08"/>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character" w:customStyle="1" w:styleId="s3">
    <w:name w:val="s3"/>
    <w:basedOn w:val="DefaultParagraphFont"/>
    <w:rsid w:val="009914A4"/>
  </w:style>
  <w:style w:type="character" w:customStyle="1" w:styleId="apple-converted-space">
    <w:name w:val="apple-converted-space"/>
    <w:basedOn w:val="DefaultParagraphFont"/>
    <w:rsid w:val="006E47E0"/>
  </w:style>
  <w:style w:type="character" w:customStyle="1" w:styleId="Heading5Char">
    <w:name w:val="Heading 5 Char"/>
    <w:basedOn w:val="DefaultParagraphFont"/>
    <w:link w:val="Heading5"/>
    <w:uiPriority w:val="9"/>
    <w:rsid w:val="008122E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FE1B50"/>
    <w:rPr>
      <w:rFonts w:asciiTheme="majorHAnsi" w:eastAsiaTheme="majorEastAsia" w:hAnsiTheme="majorHAnsi" w:cstheme="majorBidi"/>
      <w:color w:val="1F3763" w:themeColor="accent1" w:themeShade="7F"/>
    </w:rPr>
  </w:style>
  <w:style w:type="paragraph" w:customStyle="1" w:styleId="p4">
    <w:name w:val="p4"/>
    <w:basedOn w:val="Normal"/>
    <w:rsid w:val="000F52BE"/>
    <w:pPr>
      <w:spacing w:before="100" w:beforeAutospacing="1" w:after="100" w:afterAutospacing="1" w:line="240" w:lineRule="auto"/>
      <w:jc w:val="left"/>
    </w:pPr>
    <w:rPr>
      <w:rFonts w:ascii="Times New Roman" w:hAnsi="Times New Roman" w:cs="Times New Roman"/>
      <w:kern w:val="0"/>
      <w:sz w:val="24"/>
      <w:szCs w:val="24"/>
      <w:lang w:eastAsia="en-GB"/>
      <w14:ligatures w14:val="none"/>
    </w:rPr>
  </w:style>
  <w:style w:type="paragraph" w:styleId="NoSpacing">
    <w:name w:val="No Spacing"/>
    <w:uiPriority w:val="1"/>
    <w:qFormat/>
    <w:rsid w:val="004E06BF"/>
    <w:pPr>
      <w:spacing w:after="0" w:line="240" w:lineRule="auto"/>
      <w:jc w:val="both"/>
    </w:pPr>
    <w:rPr>
      <w:rFonts w:ascii="Aptos" w:hAnsi="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4072">
      <w:bodyDiv w:val="1"/>
      <w:marLeft w:val="0"/>
      <w:marRight w:val="0"/>
      <w:marTop w:val="0"/>
      <w:marBottom w:val="0"/>
      <w:divBdr>
        <w:top w:val="none" w:sz="0" w:space="0" w:color="auto"/>
        <w:left w:val="none" w:sz="0" w:space="0" w:color="auto"/>
        <w:bottom w:val="none" w:sz="0" w:space="0" w:color="auto"/>
        <w:right w:val="none" w:sz="0" w:space="0" w:color="auto"/>
      </w:divBdr>
    </w:div>
    <w:div w:id="6832961">
      <w:bodyDiv w:val="1"/>
      <w:marLeft w:val="0"/>
      <w:marRight w:val="0"/>
      <w:marTop w:val="0"/>
      <w:marBottom w:val="0"/>
      <w:divBdr>
        <w:top w:val="none" w:sz="0" w:space="0" w:color="auto"/>
        <w:left w:val="none" w:sz="0" w:space="0" w:color="auto"/>
        <w:bottom w:val="none" w:sz="0" w:space="0" w:color="auto"/>
        <w:right w:val="none" w:sz="0" w:space="0" w:color="auto"/>
      </w:divBdr>
    </w:div>
    <w:div w:id="27340736">
      <w:bodyDiv w:val="1"/>
      <w:marLeft w:val="0"/>
      <w:marRight w:val="0"/>
      <w:marTop w:val="0"/>
      <w:marBottom w:val="0"/>
      <w:divBdr>
        <w:top w:val="none" w:sz="0" w:space="0" w:color="auto"/>
        <w:left w:val="none" w:sz="0" w:space="0" w:color="auto"/>
        <w:bottom w:val="none" w:sz="0" w:space="0" w:color="auto"/>
        <w:right w:val="none" w:sz="0" w:space="0" w:color="auto"/>
      </w:divBdr>
    </w:div>
    <w:div w:id="46533659">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59328856">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78334462">
      <w:bodyDiv w:val="1"/>
      <w:marLeft w:val="0"/>
      <w:marRight w:val="0"/>
      <w:marTop w:val="0"/>
      <w:marBottom w:val="0"/>
      <w:divBdr>
        <w:top w:val="none" w:sz="0" w:space="0" w:color="auto"/>
        <w:left w:val="none" w:sz="0" w:space="0" w:color="auto"/>
        <w:bottom w:val="none" w:sz="0" w:space="0" w:color="auto"/>
        <w:right w:val="none" w:sz="0" w:space="0" w:color="auto"/>
      </w:divBdr>
    </w:div>
    <w:div w:id="128405818">
      <w:bodyDiv w:val="1"/>
      <w:marLeft w:val="0"/>
      <w:marRight w:val="0"/>
      <w:marTop w:val="0"/>
      <w:marBottom w:val="0"/>
      <w:divBdr>
        <w:top w:val="none" w:sz="0" w:space="0" w:color="auto"/>
        <w:left w:val="none" w:sz="0" w:space="0" w:color="auto"/>
        <w:bottom w:val="none" w:sz="0" w:space="0" w:color="auto"/>
        <w:right w:val="none" w:sz="0" w:space="0" w:color="auto"/>
      </w:divBdr>
      <w:divsChild>
        <w:div w:id="304552357">
          <w:marLeft w:val="0"/>
          <w:marRight w:val="0"/>
          <w:marTop w:val="0"/>
          <w:marBottom w:val="0"/>
          <w:divBdr>
            <w:top w:val="none" w:sz="0" w:space="0" w:color="auto"/>
            <w:left w:val="none" w:sz="0" w:space="0" w:color="auto"/>
            <w:bottom w:val="none" w:sz="0" w:space="0" w:color="auto"/>
            <w:right w:val="none" w:sz="0" w:space="0" w:color="auto"/>
          </w:divBdr>
        </w:div>
        <w:div w:id="656496388">
          <w:marLeft w:val="0"/>
          <w:marRight w:val="0"/>
          <w:marTop w:val="0"/>
          <w:marBottom w:val="0"/>
          <w:divBdr>
            <w:top w:val="none" w:sz="0" w:space="0" w:color="auto"/>
            <w:left w:val="none" w:sz="0" w:space="0" w:color="auto"/>
            <w:bottom w:val="none" w:sz="0" w:space="0" w:color="auto"/>
            <w:right w:val="none" w:sz="0" w:space="0" w:color="auto"/>
          </w:divBdr>
        </w:div>
      </w:divsChild>
    </w:div>
    <w:div w:id="133373048">
      <w:bodyDiv w:val="1"/>
      <w:marLeft w:val="0"/>
      <w:marRight w:val="0"/>
      <w:marTop w:val="0"/>
      <w:marBottom w:val="0"/>
      <w:divBdr>
        <w:top w:val="none" w:sz="0" w:space="0" w:color="auto"/>
        <w:left w:val="none" w:sz="0" w:space="0" w:color="auto"/>
        <w:bottom w:val="none" w:sz="0" w:space="0" w:color="auto"/>
        <w:right w:val="none" w:sz="0" w:space="0" w:color="auto"/>
      </w:divBdr>
    </w:div>
    <w:div w:id="134378480">
      <w:bodyDiv w:val="1"/>
      <w:marLeft w:val="0"/>
      <w:marRight w:val="0"/>
      <w:marTop w:val="0"/>
      <w:marBottom w:val="0"/>
      <w:divBdr>
        <w:top w:val="none" w:sz="0" w:space="0" w:color="auto"/>
        <w:left w:val="none" w:sz="0" w:space="0" w:color="auto"/>
        <w:bottom w:val="none" w:sz="0" w:space="0" w:color="auto"/>
        <w:right w:val="none" w:sz="0" w:space="0" w:color="auto"/>
      </w:divBdr>
    </w:div>
    <w:div w:id="135297278">
      <w:bodyDiv w:val="1"/>
      <w:marLeft w:val="0"/>
      <w:marRight w:val="0"/>
      <w:marTop w:val="0"/>
      <w:marBottom w:val="0"/>
      <w:divBdr>
        <w:top w:val="none" w:sz="0" w:space="0" w:color="auto"/>
        <w:left w:val="none" w:sz="0" w:space="0" w:color="auto"/>
        <w:bottom w:val="none" w:sz="0" w:space="0" w:color="auto"/>
        <w:right w:val="none" w:sz="0" w:space="0" w:color="auto"/>
      </w:divBdr>
    </w:div>
    <w:div w:id="13946919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2161845">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961263">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3154">
      <w:bodyDiv w:val="1"/>
      <w:marLeft w:val="0"/>
      <w:marRight w:val="0"/>
      <w:marTop w:val="0"/>
      <w:marBottom w:val="0"/>
      <w:divBdr>
        <w:top w:val="none" w:sz="0" w:space="0" w:color="auto"/>
        <w:left w:val="none" w:sz="0" w:space="0" w:color="auto"/>
        <w:bottom w:val="none" w:sz="0" w:space="0" w:color="auto"/>
        <w:right w:val="none" w:sz="0" w:space="0" w:color="auto"/>
      </w:divBdr>
    </w:div>
    <w:div w:id="180823850">
      <w:bodyDiv w:val="1"/>
      <w:marLeft w:val="0"/>
      <w:marRight w:val="0"/>
      <w:marTop w:val="0"/>
      <w:marBottom w:val="0"/>
      <w:divBdr>
        <w:top w:val="none" w:sz="0" w:space="0" w:color="auto"/>
        <w:left w:val="none" w:sz="0" w:space="0" w:color="auto"/>
        <w:bottom w:val="none" w:sz="0" w:space="0" w:color="auto"/>
        <w:right w:val="none" w:sz="0" w:space="0" w:color="auto"/>
      </w:divBdr>
    </w:div>
    <w:div w:id="182325698">
      <w:bodyDiv w:val="1"/>
      <w:marLeft w:val="0"/>
      <w:marRight w:val="0"/>
      <w:marTop w:val="0"/>
      <w:marBottom w:val="0"/>
      <w:divBdr>
        <w:top w:val="none" w:sz="0" w:space="0" w:color="auto"/>
        <w:left w:val="none" w:sz="0" w:space="0" w:color="auto"/>
        <w:bottom w:val="none" w:sz="0" w:space="0" w:color="auto"/>
        <w:right w:val="none" w:sz="0" w:space="0" w:color="auto"/>
      </w:divBdr>
    </w:div>
    <w:div w:id="186917069">
      <w:bodyDiv w:val="1"/>
      <w:marLeft w:val="0"/>
      <w:marRight w:val="0"/>
      <w:marTop w:val="0"/>
      <w:marBottom w:val="0"/>
      <w:divBdr>
        <w:top w:val="none" w:sz="0" w:space="0" w:color="auto"/>
        <w:left w:val="none" w:sz="0" w:space="0" w:color="auto"/>
        <w:bottom w:val="none" w:sz="0" w:space="0" w:color="auto"/>
        <w:right w:val="none" w:sz="0" w:space="0" w:color="auto"/>
      </w:divBdr>
    </w:div>
    <w:div w:id="197353639">
      <w:bodyDiv w:val="1"/>
      <w:marLeft w:val="0"/>
      <w:marRight w:val="0"/>
      <w:marTop w:val="0"/>
      <w:marBottom w:val="0"/>
      <w:divBdr>
        <w:top w:val="none" w:sz="0" w:space="0" w:color="auto"/>
        <w:left w:val="none" w:sz="0" w:space="0" w:color="auto"/>
        <w:bottom w:val="none" w:sz="0" w:space="0" w:color="auto"/>
        <w:right w:val="none" w:sz="0" w:space="0" w:color="auto"/>
      </w:divBdr>
    </w:div>
    <w:div w:id="200213234">
      <w:bodyDiv w:val="1"/>
      <w:marLeft w:val="0"/>
      <w:marRight w:val="0"/>
      <w:marTop w:val="0"/>
      <w:marBottom w:val="0"/>
      <w:divBdr>
        <w:top w:val="none" w:sz="0" w:space="0" w:color="auto"/>
        <w:left w:val="none" w:sz="0" w:space="0" w:color="auto"/>
        <w:bottom w:val="none" w:sz="0" w:space="0" w:color="auto"/>
        <w:right w:val="none" w:sz="0" w:space="0" w:color="auto"/>
      </w:divBdr>
    </w:div>
    <w:div w:id="207232420">
      <w:bodyDiv w:val="1"/>
      <w:marLeft w:val="0"/>
      <w:marRight w:val="0"/>
      <w:marTop w:val="0"/>
      <w:marBottom w:val="0"/>
      <w:divBdr>
        <w:top w:val="none" w:sz="0" w:space="0" w:color="auto"/>
        <w:left w:val="none" w:sz="0" w:space="0" w:color="auto"/>
        <w:bottom w:val="none" w:sz="0" w:space="0" w:color="auto"/>
        <w:right w:val="none" w:sz="0" w:space="0" w:color="auto"/>
      </w:divBdr>
    </w:div>
    <w:div w:id="226189666">
      <w:bodyDiv w:val="1"/>
      <w:marLeft w:val="0"/>
      <w:marRight w:val="0"/>
      <w:marTop w:val="0"/>
      <w:marBottom w:val="0"/>
      <w:divBdr>
        <w:top w:val="none" w:sz="0" w:space="0" w:color="auto"/>
        <w:left w:val="none" w:sz="0" w:space="0" w:color="auto"/>
        <w:bottom w:val="none" w:sz="0" w:space="0" w:color="auto"/>
        <w:right w:val="none" w:sz="0" w:space="0" w:color="auto"/>
      </w:divBdr>
    </w:div>
    <w:div w:id="229658973">
      <w:bodyDiv w:val="1"/>
      <w:marLeft w:val="0"/>
      <w:marRight w:val="0"/>
      <w:marTop w:val="0"/>
      <w:marBottom w:val="0"/>
      <w:divBdr>
        <w:top w:val="none" w:sz="0" w:space="0" w:color="auto"/>
        <w:left w:val="none" w:sz="0" w:space="0" w:color="auto"/>
        <w:bottom w:val="none" w:sz="0" w:space="0" w:color="auto"/>
        <w:right w:val="none" w:sz="0" w:space="0" w:color="auto"/>
      </w:divBdr>
    </w:div>
    <w:div w:id="230233539">
      <w:bodyDiv w:val="1"/>
      <w:marLeft w:val="0"/>
      <w:marRight w:val="0"/>
      <w:marTop w:val="0"/>
      <w:marBottom w:val="0"/>
      <w:divBdr>
        <w:top w:val="none" w:sz="0" w:space="0" w:color="auto"/>
        <w:left w:val="none" w:sz="0" w:space="0" w:color="auto"/>
        <w:bottom w:val="none" w:sz="0" w:space="0" w:color="auto"/>
        <w:right w:val="none" w:sz="0" w:space="0" w:color="auto"/>
      </w:divBdr>
      <w:divsChild>
        <w:div w:id="687948827">
          <w:marLeft w:val="0"/>
          <w:marRight w:val="0"/>
          <w:marTop w:val="0"/>
          <w:marBottom w:val="0"/>
          <w:divBdr>
            <w:top w:val="none" w:sz="0" w:space="0" w:color="auto"/>
            <w:left w:val="none" w:sz="0" w:space="0" w:color="auto"/>
            <w:bottom w:val="none" w:sz="0" w:space="0" w:color="auto"/>
            <w:right w:val="none" w:sz="0" w:space="0" w:color="auto"/>
          </w:divBdr>
        </w:div>
      </w:divsChild>
    </w:div>
    <w:div w:id="231160397">
      <w:bodyDiv w:val="1"/>
      <w:marLeft w:val="0"/>
      <w:marRight w:val="0"/>
      <w:marTop w:val="0"/>
      <w:marBottom w:val="0"/>
      <w:divBdr>
        <w:top w:val="none" w:sz="0" w:space="0" w:color="auto"/>
        <w:left w:val="none" w:sz="0" w:space="0" w:color="auto"/>
        <w:bottom w:val="none" w:sz="0" w:space="0" w:color="auto"/>
        <w:right w:val="none" w:sz="0" w:space="0" w:color="auto"/>
      </w:divBdr>
    </w:div>
    <w:div w:id="235361676">
      <w:bodyDiv w:val="1"/>
      <w:marLeft w:val="0"/>
      <w:marRight w:val="0"/>
      <w:marTop w:val="0"/>
      <w:marBottom w:val="0"/>
      <w:divBdr>
        <w:top w:val="none" w:sz="0" w:space="0" w:color="auto"/>
        <w:left w:val="none" w:sz="0" w:space="0" w:color="auto"/>
        <w:bottom w:val="none" w:sz="0" w:space="0" w:color="auto"/>
        <w:right w:val="none" w:sz="0" w:space="0" w:color="auto"/>
      </w:divBdr>
    </w:div>
    <w:div w:id="246699223">
      <w:bodyDiv w:val="1"/>
      <w:marLeft w:val="0"/>
      <w:marRight w:val="0"/>
      <w:marTop w:val="0"/>
      <w:marBottom w:val="0"/>
      <w:divBdr>
        <w:top w:val="none" w:sz="0" w:space="0" w:color="auto"/>
        <w:left w:val="none" w:sz="0" w:space="0" w:color="auto"/>
        <w:bottom w:val="none" w:sz="0" w:space="0" w:color="auto"/>
        <w:right w:val="none" w:sz="0" w:space="0" w:color="auto"/>
      </w:divBdr>
    </w:div>
    <w:div w:id="248775944">
      <w:bodyDiv w:val="1"/>
      <w:marLeft w:val="0"/>
      <w:marRight w:val="0"/>
      <w:marTop w:val="0"/>
      <w:marBottom w:val="0"/>
      <w:divBdr>
        <w:top w:val="none" w:sz="0" w:space="0" w:color="auto"/>
        <w:left w:val="none" w:sz="0" w:space="0" w:color="auto"/>
        <w:bottom w:val="none" w:sz="0" w:space="0" w:color="auto"/>
        <w:right w:val="none" w:sz="0" w:space="0" w:color="auto"/>
      </w:divBdr>
    </w:div>
    <w:div w:id="252587819">
      <w:bodyDiv w:val="1"/>
      <w:marLeft w:val="0"/>
      <w:marRight w:val="0"/>
      <w:marTop w:val="0"/>
      <w:marBottom w:val="0"/>
      <w:divBdr>
        <w:top w:val="none" w:sz="0" w:space="0" w:color="auto"/>
        <w:left w:val="none" w:sz="0" w:space="0" w:color="auto"/>
        <w:bottom w:val="none" w:sz="0" w:space="0" w:color="auto"/>
        <w:right w:val="none" w:sz="0" w:space="0" w:color="auto"/>
      </w:divBdr>
    </w:div>
    <w:div w:id="253318840">
      <w:bodyDiv w:val="1"/>
      <w:marLeft w:val="0"/>
      <w:marRight w:val="0"/>
      <w:marTop w:val="0"/>
      <w:marBottom w:val="0"/>
      <w:divBdr>
        <w:top w:val="none" w:sz="0" w:space="0" w:color="auto"/>
        <w:left w:val="none" w:sz="0" w:space="0" w:color="auto"/>
        <w:bottom w:val="none" w:sz="0" w:space="0" w:color="auto"/>
        <w:right w:val="none" w:sz="0" w:space="0" w:color="auto"/>
      </w:divBdr>
    </w:div>
    <w:div w:id="257061032">
      <w:bodyDiv w:val="1"/>
      <w:marLeft w:val="0"/>
      <w:marRight w:val="0"/>
      <w:marTop w:val="0"/>
      <w:marBottom w:val="0"/>
      <w:divBdr>
        <w:top w:val="none" w:sz="0" w:space="0" w:color="auto"/>
        <w:left w:val="none" w:sz="0" w:space="0" w:color="auto"/>
        <w:bottom w:val="none" w:sz="0" w:space="0" w:color="auto"/>
        <w:right w:val="none" w:sz="0" w:space="0" w:color="auto"/>
      </w:divBdr>
    </w:div>
    <w:div w:id="257912996">
      <w:bodyDiv w:val="1"/>
      <w:marLeft w:val="0"/>
      <w:marRight w:val="0"/>
      <w:marTop w:val="0"/>
      <w:marBottom w:val="0"/>
      <w:divBdr>
        <w:top w:val="none" w:sz="0" w:space="0" w:color="auto"/>
        <w:left w:val="none" w:sz="0" w:space="0" w:color="auto"/>
        <w:bottom w:val="none" w:sz="0" w:space="0" w:color="auto"/>
        <w:right w:val="none" w:sz="0" w:space="0" w:color="auto"/>
      </w:divBdr>
    </w:div>
    <w:div w:id="260071710">
      <w:bodyDiv w:val="1"/>
      <w:marLeft w:val="0"/>
      <w:marRight w:val="0"/>
      <w:marTop w:val="0"/>
      <w:marBottom w:val="0"/>
      <w:divBdr>
        <w:top w:val="none" w:sz="0" w:space="0" w:color="auto"/>
        <w:left w:val="none" w:sz="0" w:space="0" w:color="auto"/>
        <w:bottom w:val="none" w:sz="0" w:space="0" w:color="auto"/>
        <w:right w:val="none" w:sz="0" w:space="0" w:color="auto"/>
      </w:divBdr>
    </w:div>
    <w:div w:id="260575700">
      <w:bodyDiv w:val="1"/>
      <w:marLeft w:val="0"/>
      <w:marRight w:val="0"/>
      <w:marTop w:val="0"/>
      <w:marBottom w:val="0"/>
      <w:divBdr>
        <w:top w:val="none" w:sz="0" w:space="0" w:color="auto"/>
        <w:left w:val="none" w:sz="0" w:space="0" w:color="auto"/>
        <w:bottom w:val="none" w:sz="0" w:space="0" w:color="auto"/>
        <w:right w:val="none" w:sz="0" w:space="0" w:color="auto"/>
      </w:divBdr>
    </w:div>
    <w:div w:id="272128586">
      <w:bodyDiv w:val="1"/>
      <w:marLeft w:val="0"/>
      <w:marRight w:val="0"/>
      <w:marTop w:val="0"/>
      <w:marBottom w:val="0"/>
      <w:divBdr>
        <w:top w:val="none" w:sz="0" w:space="0" w:color="auto"/>
        <w:left w:val="none" w:sz="0" w:space="0" w:color="auto"/>
        <w:bottom w:val="none" w:sz="0" w:space="0" w:color="auto"/>
        <w:right w:val="none" w:sz="0" w:space="0" w:color="auto"/>
      </w:divBdr>
    </w:div>
    <w:div w:id="272903636">
      <w:bodyDiv w:val="1"/>
      <w:marLeft w:val="0"/>
      <w:marRight w:val="0"/>
      <w:marTop w:val="0"/>
      <w:marBottom w:val="0"/>
      <w:divBdr>
        <w:top w:val="none" w:sz="0" w:space="0" w:color="auto"/>
        <w:left w:val="none" w:sz="0" w:space="0" w:color="auto"/>
        <w:bottom w:val="none" w:sz="0" w:space="0" w:color="auto"/>
        <w:right w:val="none" w:sz="0" w:space="0" w:color="auto"/>
      </w:divBdr>
    </w:div>
    <w:div w:id="277179041">
      <w:bodyDiv w:val="1"/>
      <w:marLeft w:val="0"/>
      <w:marRight w:val="0"/>
      <w:marTop w:val="0"/>
      <w:marBottom w:val="0"/>
      <w:divBdr>
        <w:top w:val="none" w:sz="0" w:space="0" w:color="auto"/>
        <w:left w:val="none" w:sz="0" w:space="0" w:color="auto"/>
        <w:bottom w:val="none" w:sz="0" w:space="0" w:color="auto"/>
        <w:right w:val="none" w:sz="0" w:space="0" w:color="auto"/>
      </w:divBdr>
    </w:div>
    <w:div w:id="277379006">
      <w:bodyDiv w:val="1"/>
      <w:marLeft w:val="0"/>
      <w:marRight w:val="0"/>
      <w:marTop w:val="0"/>
      <w:marBottom w:val="0"/>
      <w:divBdr>
        <w:top w:val="none" w:sz="0" w:space="0" w:color="auto"/>
        <w:left w:val="none" w:sz="0" w:space="0" w:color="auto"/>
        <w:bottom w:val="none" w:sz="0" w:space="0" w:color="auto"/>
        <w:right w:val="none" w:sz="0" w:space="0" w:color="auto"/>
      </w:divBdr>
    </w:div>
    <w:div w:id="299269816">
      <w:bodyDiv w:val="1"/>
      <w:marLeft w:val="0"/>
      <w:marRight w:val="0"/>
      <w:marTop w:val="0"/>
      <w:marBottom w:val="0"/>
      <w:divBdr>
        <w:top w:val="none" w:sz="0" w:space="0" w:color="auto"/>
        <w:left w:val="none" w:sz="0" w:space="0" w:color="auto"/>
        <w:bottom w:val="none" w:sz="0" w:space="0" w:color="auto"/>
        <w:right w:val="none" w:sz="0" w:space="0" w:color="auto"/>
      </w:divBdr>
    </w:div>
    <w:div w:id="306864557">
      <w:bodyDiv w:val="1"/>
      <w:marLeft w:val="0"/>
      <w:marRight w:val="0"/>
      <w:marTop w:val="0"/>
      <w:marBottom w:val="0"/>
      <w:divBdr>
        <w:top w:val="none" w:sz="0" w:space="0" w:color="auto"/>
        <w:left w:val="none" w:sz="0" w:space="0" w:color="auto"/>
        <w:bottom w:val="none" w:sz="0" w:space="0" w:color="auto"/>
        <w:right w:val="none" w:sz="0" w:space="0" w:color="auto"/>
      </w:divBdr>
    </w:div>
    <w:div w:id="308949473">
      <w:bodyDiv w:val="1"/>
      <w:marLeft w:val="0"/>
      <w:marRight w:val="0"/>
      <w:marTop w:val="0"/>
      <w:marBottom w:val="0"/>
      <w:divBdr>
        <w:top w:val="none" w:sz="0" w:space="0" w:color="auto"/>
        <w:left w:val="none" w:sz="0" w:space="0" w:color="auto"/>
        <w:bottom w:val="none" w:sz="0" w:space="0" w:color="auto"/>
        <w:right w:val="none" w:sz="0" w:space="0" w:color="auto"/>
      </w:divBdr>
    </w:div>
    <w:div w:id="309676863">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47871889">
      <w:bodyDiv w:val="1"/>
      <w:marLeft w:val="0"/>
      <w:marRight w:val="0"/>
      <w:marTop w:val="0"/>
      <w:marBottom w:val="0"/>
      <w:divBdr>
        <w:top w:val="none" w:sz="0" w:space="0" w:color="auto"/>
        <w:left w:val="none" w:sz="0" w:space="0" w:color="auto"/>
        <w:bottom w:val="none" w:sz="0" w:space="0" w:color="auto"/>
        <w:right w:val="none" w:sz="0" w:space="0" w:color="auto"/>
      </w:divBdr>
    </w:div>
    <w:div w:id="350568562">
      <w:bodyDiv w:val="1"/>
      <w:marLeft w:val="0"/>
      <w:marRight w:val="0"/>
      <w:marTop w:val="0"/>
      <w:marBottom w:val="0"/>
      <w:divBdr>
        <w:top w:val="none" w:sz="0" w:space="0" w:color="auto"/>
        <w:left w:val="none" w:sz="0" w:space="0" w:color="auto"/>
        <w:bottom w:val="none" w:sz="0" w:space="0" w:color="auto"/>
        <w:right w:val="none" w:sz="0" w:space="0" w:color="auto"/>
      </w:divBdr>
    </w:div>
    <w:div w:id="360783479">
      <w:bodyDiv w:val="1"/>
      <w:marLeft w:val="0"/>
      <w:marRight w:val="0"/>
      <w:marTop w:val="0"/>
      <w:marBottom w:val="0"/>
      <w:divBdr>
        <w:top w:val="none" w:sz="0" w:space="0" w:color="auto"/>
        <w:left w:val="none" w:sz="0" w:space="0" w:color="auto"/>
        <w:bottom w:val="none" w:sz="0" w:space="0" w:color="auto"/>
        <w:right w:val="none" w:sz="0" w:space="0" w:color="auto"/>
      </w:divBdr>
    </w:div>
    <w:div w:id="369692790">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72729640">
      <w:bodyDiv w:val="1"/>
      <w:marLeft w:val="0"/>
      <w:marRight w:val="0"/>
      <w:marTop w:val="0"/>
      <w:marBottom w:val="0"/>
      <w:divBdr>
        <w:top w:val="none" w:sz="0" w:space="0" w:color="auto"/>
        <w:left w:val="none" w:sz="0" w:space="0" w:color="auto"/>
        <w:bottom w:val="none" w:sz="0" w:space="0" w:color="auto"/>
        <w:right w:val="none" w:sz="0" w:space="0" w:color="auto"/>
      </w:divBdr>
    </w:div>
    <w:div w:id="386490355">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25151679">
      <w:bodyDiv w:val="1"/>
      <w:marLeft w:val="0"/>
      <w:marRight w:val="0"/>
      <w:marTop w:val="0"/>
      <w:marBottom w:val="0"/>
      <w:divBdr>
        <w:top w:val="none" w:sz="0" w:space="0" w:color="auto"/>
        <w:left w:val="none" w:sz="0" w:space="0" w:color="auto"/>
        <w:bottom w:val="none" w:sz="0" w:space="0" w:color="auto"/>
        <w:right w:val="none" w:sz="0" w:space="0" w:color="auto"/>
      </w:divBdr>
    </w:div>
    <w:div w:id="431052543">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42771282">
      <w:bodyDiv w:val="1"/>
      <w:marLeft w:val="0"/>
      <w:marRight w:val="0"/>
      <w:marTop w:val="0"/>
      <w:marBottom w:val="0"/>
      <w:divBdr>
        <w:top w:val="none" w:sz="0" w:space="0" w:color="auto"/>
        <w:left w:val="none" w:sz="0" w:space="0" w:color="auto"/>
        <w:bottom w:val="none" w:sz="0" w:space="0" w:color="auto"/>
        <w:right w:val="none" w:sz="0" w:space="0" w:color="auto"/>
      </w:divBdr>
    </w:div>
    <w:div w:id="456458997">
      <w:bodyDiv w:val="1"/>
      <w:marLeft w:val="0"/>
      <w:marRight w:val="0"/>
      <w:marTop w:val="0"/>
      <w:marBottom w:val="0"/>
      <w:divBdr>
        <w:top w:val="none" w:sz="0" w:space="0" w:color="auto"/>
        <w:left w:val="none" w:sz="0" w:space="0" w:color="auto"/>
        <w:bottom w:val="none" w:sz="0" w:space="0" w:color="auto"/>
        <w:right w:val="none" w:sz="0" w:space="0" w:color="auto"/>
      </w:divBdr>
      <w:divsChild>
        <w:div w:id="2065059599">
          <w:marLeft w:val="0"/>
          <w:marRight w:val="0"/>
          <w:marTop w:val="0"/>
          <w:marBottom w:val="0"/>
          <w:divBdr>
            <w:top w:val="none" w:sz="0" w:space="0" w:color="auto"/>
            <w:left w:val="none" w:sz="0" w:space="0" w:color="auto"/>
            <w:bottom w:val="none" w:sz="0" w:space="0" w:color="auto"/>
            <w:right w:val="none" w:sz="0" w:space="0" w:color="auto"/>
          </w:divBdr>
        </w:div>
      </w:divsChild>
    </w:div>
    <w:div w:id="472647418">
      <w:bodyDiv w:val="1"/>
      <w:marLeft w:val="0"/>
      <w:marRight w:val="0"/>
      <w:marTop w:val="0"/>
      <w:marBottom w:val="0"/>
      <w:divBdr>
        <w:top w:val="none" w:sz="0" w:space="0" w:color="auto"/>
        <w:left w:val="none" w:sz="0" w:space="0" w:color="auto"/>
        <w:bottom w:val="none" w:sz="0" w:space="0" w:color="auto"/>
        <w:right w:val="none" w:sz="0" w:space="0" w:color="auto"/>
      </w:divBdr>
      <w:divsChild>
        <w:div w:id="794257367">
          <w:marLeft w:val="0"/>
          <w:marRight w:val="0"/>
          <w:marTop w:val="0"/>
          <w:marBottom w:val="0"/>
          <w:divBdr>
            <w:top w:val="none" w:sz="0" w:space="0" w:color="auto"/>
            <w:left w:val="none" w:sz="0" w:space="0" w:color="auto"/>
            <w:bottom w:val="none" w:sz="0" w:space="0" w:color="auto"/>
            <w:right w:val="none" w:sz="0" w:space="0" w:color="auto"/>
          </w:divBdr>
          <w:divsChild>
            <w:div w:id="764571665">
              <w:marLeft w:val="0"/>
              <w:marRight w:val="0"/>
              <w:marTop w:val="0"/>
              <w:marBottom w:val="0"/>
              <w:divBdr>
                <w:top w:val="none" w:sz="0" w:space="0" w:color="auto"/>
                <w:left w:val="none" w:sz="0" w:space="0" w:color="auto"/>
                <w:bottom w:val="none" w:sz="0" w:space="0" w:color="auto"/>
                <w:right w:val="none" w:sz="0" w:space="0" w:color="auto"/>
              </w:divBdr>
            </w:div>
            <w:div w:id="833567626">
              <w:marLeft w:val="0"/>
              <w:marRight w:val="0"/>
              <w:marTop w:val="0"/>
              <w:marBottom w:val="0"/>
              <w:divBdr>
                <w:top w:val="none" w:sz="0" w:space="0" w:color="auto"/>
                <w:left w:val="none" w:sz="0" w:space="0" w:color="auto"/>
                <w:bottom w:val="none" w:sz="0" w:space="0" w:color="auto"/>
                <w:right w:val="none" w:sz="0" w:space="0" w:color="auto"/>
              </w:divBdr>
            </w:div>
            <w:div w:id="879246027">
              <w:marLeft w:val="0"/>
              <w:marRight w:val="0"/>
              <w:marTop w:val="0"/>
              <w:marBottom w:val="0"/>
              <w:divBdr>
                <w:top w:val="none" w:sz="0" w:space="0" w:color="auto"/>
                <w:left w:val="none" w:sz="0" w:space="0" w:color="auto"/>
                <w:bottom w:val="none" w:sz="0" w:space="0" w:color="auto"/>
                <w:right w:val="none" w:sz="0" w:space="0" w:color="auto"/>
              </w:divBdr>
            </w:div>
            <w:div w:id="914362893">
              <w:marLeft w:val="0"/>
              <w:marRight w:val="0"/>
              <w:marTop w:val="0"/>
              <w:marBottom w:val="0"/>
              <w:divBdr>
                <w:top w:val="none" w:sz="0" w:space="0" w:color="auto"/>
                <w:left w:val="none" w:sz="0" w:space="0" w:color="auto"/>
                <w:bottom w:val="none" w:sz="0" w:space="0" w:color="auto"/>
                <w:right w:val="none" w:sz="0" w:space="0" w:color="auto"/>
              </w:divBdr>
            </w:div>
            <w:div w:id="1766027196">
              <w:marLeft w:val="0"/>
              <w:marRight w:val="0"/>
              <w:marTop w:val="0"/>
              <w:marBottom w:val="0"/>
              <w:divBdr>
                <w:top w:val="none" w:sz="0" w:space="0" w:color="auto"/>
                <w:left w:val="none" w:sz="0" w:space="0" w:color="auto"/>
                <w:bottom w:val="none" w:sz="0" w:space="0" w:color="auto"/>
                <w:right w:val="none" w:sz="0" w:space="0" w:color="auto"/>
              </w:divBdr>
            </w:div>
          </w:divsChild>
        </w:div>
        <w:div w:id="2048093736">
          <w:marLeft w:val="0"/>
          <w:marRight w:val="0"/>
          <w:marTop w:val="0"/>
          <w:marBottom w:val="0"/>
          <w:divBdr>
            <w:top w:val="none" w:sz="0" w:space="0" w:color="auto"/>
            <w:left w:val="none" w:sz="0" w:space="0" w:color="auto"/>
            <w:bottom w:val="none" w:sz="0" w:space="0" w:color="auto"/>
            <w:right w:val="none" w:sz="0" w:space="0" w:color="auto"/>
          </w:divBdr>
        </w:div>
      </w:divsChild>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89252057">
      <w:bodyDiv w:val="1"/>
      <w:marLeft w:val="0"/>
      <w:marRight w:val="0"/>
      <w:marTop w:val="0"/>
      <w:marBottom w:val="0"/>
      <w:divBdr>
        <w:top w:val="none" w:sz="0" w:space="0" w:color="auto"/>
        <w:left w:val="none" w:sz="0" w:space="0" w:color="auto"/>
        <w:bottom w:val="none" w:sz="0" w:space="0" w:color="auto"/>
        <w:right w:val="none" w:sz="0" w:space="0" w:color="auto"/>
      </w:divBdr>
      <w:divsChild>
        <w:div w:id="1328094385">
          <w:marLeft w:val="0"/>
          <w:marRight w:val="0"/>
          <w:marTop w:val="0"/>
          <w:marBottom w:val="0"/>
          <w:divBdr>
            <w:top w:val="none" w:sz="0" w:space="0" w:color="auto"/>
            <w:left w:val="none" w:sz="0" w:space="0" w:color="auto"/>
            <w:bottom w:val="none" w:sz="0" w:space="0" w:color="auto"/>
            <w:right w:val="none" w:sz="0" w:space="0" w:color="auto"/>
          </w:divBdr>
        </w:div>
      </w:divsChild>
    </w:div>
    <w:div w:id="491600021">
      <w:bodyDiv w:val="1"/>
      <w:marLeft w:val="0"/>
      <w:marRight w:val="0"/>
      <w:marTop w:val="0"/>
      <w:marBottom w:val="0"/>
      <w:divBdr>
        <w:top w:val="none" w:sz="0" w:space="0" w:color="auto"/>
        <w:left w:val="none" w:sz="0" w:space="0" w:color="auto"/>
        <w:bottom w:val="none" w:sz="0" w:space="0" w:color="auto"/>
        <w:right w:val="none" w:sz="0" w:space="0" w:color="auto"/>
      </w:divBdr>
    </w:div>
    <w:div w:id="496001087">
      <w:bodyDiv w:val="1"/>
      <w:marLeft w:val="0"/>
      <w:marRight w:val="0"/>
      <w:marTop w:val="0"/>
      <w:marBottom w:val="0"/>
      <w:divBdr>
        <w:top w:val="none" w:sz="0" w:space="0" w:color="auto"/>
        <w:left w:val="none" w:sz="0" w:space="0" w:color="auto"/>
        <w:bottom w:val="none" w:sz="0" w:space="0" w:color="auto"/>
        <w:right w:val="none" w:sz="0" w:space="0" w:color="auto"/>
      </w:divBdr>
    </w:div>
    <w:div w:id="500196226">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16190763">
      <w:bodyDiv w:val="1"/>
      <w:marLeft w:val="0"/>
      <w:marRight w:val="0"/>
      <w:marTop w:val="0"/>
      <w:marBottom w:val="0"/>
      <w:divBdr>
        <w:top w:val="none" w:sz="0" w:space="0" w:color="auto"/>
        <w:left w:val="none" w:sz="0" w:space="0" w:color="auto"/>
        <w:bottom w:val="none" w:sz="0" w:space="0" w:color="auto"/>
        <w:right w:val="none" w:sz="0" w:space="0" w:color="auto"/>
      </w:divBdr>
    </w:div>
    <w:div w:id="537353375">
      <w:bodyDiv w:val="1"/>
      <w:marLeft w:val="0"/>
      <w:marRight w:val="0"/>
      <w:marTop w:val="0"/>
      <w:marBottom w:val="0"/>
      <w:divBdr>
        <w:top w:val="none" w:sz="0" w:space="0" w:color="auto"/>
        <w:left w:val="none" w:sz="0" w:space="0" w:color="auto"/>
        <w:bottom w:val="none" w:sz="0" w:space="0" w:color="auto"/>
        <w:right w:val="none" w:sz="0" w:space="0" w:color="auto"/>
      </w:divBdr>
      <w:divsChild>
        <w:div w:id="1323848575">
          <w:marLeft w:val="0"/>
          <w:marRight w:val="0"/>
          <w:marTop w:val="0"/>
          <w:marBottom w:val="0"/>
          <w:divBdr>
            <w:top w:val="none" w:sz="0" w:space="0" w:color="auto"/>
            <w:left w:val="none" w:sz="0" w:space="0" w:color="auto"/>
            <w:bottom w:val="none" w:sz="0" w:space="0" w:color="auto"/>
            <w:right w:val="none" w:sz="0" w:space="0" w:color="auto"/>
          </w:divBdr>
        </w:div>
      </w:divsChild>
    </w:div>
    <w:div w:id="542324735">
      <w:bodyDiv w:val="1"/>
      <w:marLeft w:val="0"/>
      <w:marRight w:val="0"/>
      <w:marTop w:val="0"/>
      <w:marBottom w:val="0"/>
      <w:divBdr>
        <w:top w:val="none" w:sz="0" w:space="0" w:color="auto"/>
        <w:left w:val="none" w:sz="0" w:space="0" w:color="auto"/>
        <w:bottom w:val="none" w:sz="0" w:space="0" w:color="auto"/>
        <w:right w:val="none" w:sz="0" w:space="0" w:color="auto"/>
      </w:divBdr>
    </w:div>
    <w:div w:id="553083423">
      <w:bodyDiv w:val="1"/>
      <w:marLeft w:val="0"/>
      <w:marRight w:val="0"/>
      <w:marTop w:val="0"/>
      <w:marBottom w:val="0"/>
      <w:divBdr>
        <w:top w:val="none" w:sz="0" w:space="0" w:color="auto"/>
        <w:left w:val="none" w:sz="0" w:space="0" w:color="auto"/>
        <w:bottom w:val="none" w:sz="0" w:space="0" w:color="auto"/>
        <w:right w:val="none" w:sz="0" w:space="0" w:color="auto"/>
      </w:divBdr>
    </w:div>
    <w:div w:id="563758633">
      <w:bodyDiv w:val="1"/>
      <w:marLeft w:val="0"/>
      <w:marRight w:val="0"/>
      <w:marTop w:val="0"/>
      <w:marBottom w:val="0"/>
      <w:divBdr>
        <w:top w:val="none" w:sz="0" w:space="0" w:color="auto"/>
        <w:left w:val="none" w:sz="0" w:space="0" w:color="auto"/>
        <w:bottom w:val="none" w:sz="0" w:space="0" w:color="auto"/>
        <w:right w:val="none" w:sz="0" w:space="0" w:color="auto"/>
      </w:divBdr>
      <w:divsChild>
        <w:div w:id="338627112">
          <w:marLeft w:val="0"/>
          <w:marRight w:val="0"/>
          <w:marTop w:val="0"/>
          <w:marBottom w:val="0"/>
          <w:divBdr>
            <w:top w:val="none" w:sz="0" w:space="0" w:color="auto"/>
            <w:left w:val="none" w:sz="0" w:space="0" w:color="auto"/>
            <w:bottom w:val="none" w:sz="0" w:space="0" w:color="auto"/>
            <w:right w:val="none" w:sz="0" w:space="0" w:color="auto"/>
          </w:divBdr>
        </w:div>
      </w:divsChild>
    </w:div>
    <w:div w:id="570962829">
      <w:bodyDiv w:val="1"/>
      <w:marLeft w:val="0"/>
      <w:marRight w:val="0"/>
      <w:marTop w:val="0"/>
      <w:marBottom w:val="0"/>
      <w:divBdr>
        <w:top w:val="none" w:sz="0" w:space="0" w:color="auto"/>
        <w:left w:val="none" w:sz="0" w:space="0" w:color="auto"/>
        <w:bottom w:val="none" w:sz="0" w:space="0" w:color="auto"/>
        <w:right w:val="none" w:sz="0" w:space="0" w:color="auto"/>
      </w:divBdr>
    </w:div>
    <w:div w:id="591550154">
      <w:bodyDiv w:val="1"/>
      <w:marLeft w:val="0"/>
      <w:marRight w:val="0"/>
      <w:marTop w:val="0"/>
      <w:marBottom w:val="0"/>
      <w:divBdr>
        <w:top w:val="none" w:sz="0" w:space="0" w:color="auto"/>
        <w:left w:val="none" w:sz="0" w:space="0" w:color="auto"/>
        <w:bottom w:val="none" w:sz="0" w:space="0" w:color="auto"/>
        <w:right w:val="none" w:sz="0" w:space="0" w:color="auto"/>
      </w:divBdr>
    </w:div>
    <w:div w:id="596593996">
      <w:bodyDiv w:val="1"/>
      <w:marLeft w:val="0"/>
      <w:marRight w:val="0"/>
      <w:marTop w:val="0"/>
      <w:marBottom w:val="0"/>
      <w:divBdr>
        <w:top w:val="none" w:sz="0" w:space="0" w:color="auto"/>
        <w:left w:val="none" w:sz="0" w:space="0" w:color="auto"/>
        <w:bottom w:val="none" w:sz="0" w:space="0" w:color="auto"/>
        <w:right w:val="none" w:sz="0" w:space="0" w:color="auto"/>
      </w:divBdr>
    </w:div>
    <w:div w:id="602226681">
      <w:bodyDiv w:val="1"/>
      <w:marLeft w:val="0"/>
      <w:marRight w:val="0"/>
      <w:marTop w:val="0"/>
      <w:marBottom w:val="0"/>
      <w:divBdr>
        <w:top w:val="none" w:sz="0" w:space="0" w:color="auto"/>
        <w:left w:val="none" w:sz="0" w:space="0" w:color="auto"/>
        <w:bottom w:val="none" w:sz="0" w:space="0" w:color="auto"/>
        <w:right w:val="none" w:sz="0" w:space="0" w:color="auto"/>
      </w:divBdr>
    </w:div>
    <w:div w:id="607781737">
      <w:bodyDiv w:val="1"/>
      <w:marLeft w:val="0"/>
      <w:marRight w:val="0"/>
      <w:marTop w:val="0"/>
      <w:marBottom w:val="0"/>
      <w:divBdr>
        <w:top w:val="none" w:sz="0" w:space="0" w:color="auto"/>
        <w:left w:val="none" w:sz="0" w:space="0" w:color="auto"/>
        <w:bottom w:val="none" w:sz="0" w:space="0" w:color="auto"/>
        <w:right w:val="none" w:sz="0" w:space="0" w:color="auto"/>
      </w:divBdr>
    </w:div>
    <w:div w:id="627399996">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30986053">
      <w:bodyDiv w:val="1"/>
      <w:marLeft w:val="0"/>
      <w:marRight w:val="0"/>
      <w:marTop w:val="0"/>
      <w:marBottom w:val="0"/>
      <w:divBdr>
        <w:top w:val="none" w:sz="0" w:space="0" w:color="auto"/>
        <w:left w:val="none" w:sz="0" w:space="0" w:color="auto"/>
        <w:bottom w:val="none" w:sz="0" w:space="0" w:color="auto"/>
        <w:right w:val="none" w:sz="0" w:space="0" w:color="auto"/>
      </w:divBdr>
    </w:div>
    <w:div w:id="644162980">
      <w:bodyDiv w:val="1"/>
      <w:marLeft w:val="0"/>
      <w:marRight w:val="0"/>
      <w:marTop w:val="0"/>
      <w:marBottom w:val="0"/>
      <w:divBdr>
        <w:top w:val="none" w:sz="0" w:space="0" w:color="auto"/>
        <w:left w:val="none" w:sz="0" w:space="0" w:color="auto"/>
        <w:bottom w:val="none" w:sz="0" w:space="0" w:color="auto"/>
        <w:right w:val="none" w:sz="0" w:space="0" w:color="auto"/>
      </w:divBdr>
    </w:div>
    <w:div w:id="649873169">
      <w:bodyDiv w:val="1"/>
      <w:marLeft w:val="0"/>
      <w:marRight w:val="0"/>
      <w:marTop w:val="0"/>
      <w:marBottom w:val="0"/>
      <w:divBdr>
        <w:top w:val="none" w:sz="0" w:space="0" w:color="auto"/>
        <w:left w:val="none" w:sz="0" w:space="0" w:color="auto"/>
        <w:bottom w:val="none" w:sz="0" w:space="0" w:color="auto"/>
        <w:right w:val="none" w:sz="0" w:space="0" w:color="auto"/>
      </w:divBdr>
    </w:div>
    <w:div w:id="663439174">
      <w:bodyDiv w:val="1"/>
      <w:marLeft w:val="0"/>
      <w:marRight w:val="0"/>
      <w:marTop w:val="0"/>
      <w:marBottom w:val="0"/>
      <w:divBdr>
        <w:top w:val="none" w:sz="0" w:space="0" w:color="auto"/>
        <w:left w:val="none" w:sz="0" w:space="0" w:color="auto"/>
        <w:bottom w:val="none" w:sz="0" w:space="0" w:color="auto"/>
        <w:right w:val="none" w:sz="0" w:space="0" w:color="auto"/>
      </w:divBdr>
    </w:div>
    <w:div w:id="666059003">
      <w:bodyDiv w:val="1"/>
      <w:marLeft w:val="0"/>
      <w:marRight w:val="0"/>
      <w:marTop w:val="0"/>
      <w:marBottom w:val="0"/>
      <w:divBdr>
        <w:top w:val="none" w:sz="0" w:space="0" w:color="auto"/>
        <w:left w:val="none" w:sz="0" w:space="0" w:color="auto"/>
        <w:bottom w:val="none" w:sz="0" w:space="0" w:color="auto"/>
        <w:right w:val="none" w:sz="0" w:space="0" w:color="auto"/>
      </w:divBdr>
    </w:div>
    <w:div w:id="672756014">
      <w:bodyDiv w:val="1"/>
      <w:marLeft w:val="0"/>
      <w:marRight w:val="0"/>
      <w:marTop w:val="0"/>
      <w:marBottom w:val="0"/>
      <w:divBdr>
        <w:top w:val="none" w:sz="0" w:space="0" w:color="auto"/>
        <w:left w:val="none" w:sz="0" w:space="0" w:color="auto"/>
        <w:bottom w:val="none" w:sz="0" w:space="0" w:color="auto"/>
        <w:right w:val="none" w:sz="0" w:space="0" w:color="auto"/>
      </w:divBdr>
    </w:div>
    <w:div w:id="680359309">
      <w:bodyDiv w:val="1"/>
      <w:marLeft w:val="0"/>
      <w:marRight w:val="0"/>
      <w:marTop w:val="0"/>
      <w:marBottom w:val="0"/>
      <w:divBdr>
        <w:top w:val="none" w:sz="0" w:space="0" w:color="auto"/>
        <w:left w:val="none" w:sz="0" w:space="0" w:color="auto"/>
        <w:bottom w:val="none" w:sz="0" w:space="0" w:color="auto"/>
        <w:right w:val="none" w:sz="0" w:space="0" w:color="auto"/>
      </w:divBdr>
    </w:div>
    <w:div w:id="687489818">
      <w:bodyDiv w:val="1"/>
      <w:marLeft w:val="0"/>
      <w:marRight w:val="0"/>
      <w:marTop w:val="0"/>
      <w:marBottom w:val="0"/>
      <w:divBdr>
        <w:top w:val="none" w:sz="0" w:space="0" w:color="auto"/>
        <w:left w:val="none" w:sz="0" w:space="0" w:color="auto"/>
        <w:bottom w:val="none" w:sz="0" w:space="0" w:color="auto"/>
        <w:right w:val="none" w:sz="0" w:space="0" w:color="auto"/>
      </w:divBdr>
    </w:div>
    <w:div w:id="687878574">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696740710">
      <w:bodyDiv w:val="1"/>
      <w:marLeft w:val="0"/>
      <w:marRight w:val="0"/>
      <w:marTop w:val="0"/>
      <w:marBottom w:val="0"/>
      <w:divBdr>
        <w:top w:val="none" w:sz="0" w:space="0" w:color="auto"/>
        <w:left w:val="none" w:sz="0" w:space="0" w:color="auto"/>
        <w:bottom w:val="none" w:sz="0" w:space="0" w:color="auto"/>
        <w:right w:val="none" w:sz="0" w:space="0" w:color="auto"/>
      </w:divBdr>
    </w:div>
    <w:div w:id="714933771">
      <w:bodyDiv w:val="1"/>
      <w:marLeft w:val="0"/>
      <w:marRight w:val="0"/>
      <w:marTop w:val="0"/>
      <w:marBottom w:val="0"/>
      <w:divBdr>
        <w:top w:val="none" w:sz="0" w:space="0" w:color="auto"/>
        <w:left w:val="none" w:sz="0" w:space="0" w:color="auto"/>
        <w:bottom w:val="none" w:sz="0" w:space="0" w:color="auto"/>
        <w:right w:val="none" w:sz="0" w:space="0" w:color="auto"/>
      </w:divBdr>
    </w:div>
    <w:div w:id="727070137">
      <w:bodyDiv w:val="1"/>
      <w:marLeft w:val="0"/>
      <w:marRight w:val="0"/>
      <w:marTop w:val="0"/>
      <w:marBottom w:val="0"/>
      <w:divBdr>
        <w:top w:val="none" w:sz="0" w:space="0" w:color="auto"/>
        <w:left w:val="none" w:sz="0" w:space="0" w:color="auto"/>
        <w:bottom w:val="none" w:sz="0" w:space="0" w:color="auto"/>
        <w:right w:val="none" w:sz="0" w:space="0" w:color="auto"/>
      </w:divBdr>
    </w:div>
    <w:div w:id="732895333">
      <w:bodyDiv w:val="1"/>
      <w:marLeft w:val="0"/>
      <w:marRight w:val="0"/>
      <w:marTop w:val="0"/>
      <w:marBottom w:val="0"/>
      <w:divBdr>
        <w:top w:val="none" w:sz="0" w:space="0" w:color="auto"/>
        <w:left w:val="none" w:sz="0" w:space="0" w:color="auto"/>
        <w:bottom w:val="none" w:sz="0" w:space="0" w:color="auto"/>
        <w:right w:val="none" w:sz="0" w:space="0" w:color="auto"/>
      </w:divBdr>
    </w:div>
    <w:div w:id="753667430">
      <w:bodyDiv w:val="1"/>
      <w:marLeft w:val="0"/>
      <w:marRight w:val="0"/>
      <w:marTop w:val="0"/>
      <w:marBottom w:val="0"/>
      <w:divBdr>
        <w:top w:val="none" w:sz="0" w:space="0" w:color="auto"/>
        <w:left w:val="none" w:sz="0" w:space="0" w:color="auto"/>
        <w:bottom w:val="none" w:sz="0" w:space="0" w:color="auto"/>
        <w:right w:val="none" w:sz="0" w:space="0" w:color="auto"/>
      </w:divBdr>
    </w:div>
    <w:div w:id="776216740">
      <w:bodyDiv w:val="1"/>
      <w:marLeft w:val="0"/>
      <w:marRight w:val="0"/>
      <w:marTop w:val="0"/>
      <w:marBottom w:val="0"/>
      <w:divBdr>
        <w:top w:val="none" w:sz="0" w:space="0" w:color="auto"/>
        <w:left w:val="none" w:sz="0" w:space="0" w:color="auto"/>
        <w:bottom w:val="none" w:sz="0" w:space="0" w:color="auto"/>
        <w:right w:val="none" w:sz="0" w:space="0" w:color="auto"/>
      </w:divBdr>
    </w:div>
    <w:div w:id="779881055">
      <w:bodyDiv w:val="1"/>
      <w:marLeft w:val="0"/>
      <w:marRight w:val="0"/>
      <w:marTop w:val="0"/>
      <w:marBottom w:val="0"/>
      <w:divBdr>
        <w:top w:val="none" w:sz="0" w:space="0" w:color="auto"/>
        <w:left w:val="none" w:sz="0" w:space="0" w:color="auto"/>
        <w:bottom w:val="none" w:sz="0" w:space="0" w:color="auto"/>
        <w:right w:val="none" w:sz="0" w:space="0" w:color="auto"/>
      </w:divBdr>
    </w:div>
    <w:div w:id="780030069">
      <w:bodyDiv w:val="1"/>
      <w:marLeft w:val="0"/>
      <w:marRight w:val="0"/>
      <w:marTop w:val="0"/>
      <w:marBottom w:val="0"/>
      <w:divBdr>
        <w:top w:val="none" w:sz="0" w:space="0" w:color="auto"/>
        <w:left w:val="none" w:sz="0" w:space="0" w:color="auto"/>
        <w:bottom w:val="none" w:sz="0" w:space="0" w:color="auto"/>
        <w:right w:val="none" w:sz="0" w:space="0" w:color="auto"/>
      </w:divBdr>
    </w:div>
    <w:div w:id="785849915">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794446090">
      <w:bodyDiv w:val="1"/>
      <w:marLeft w:val="0"/>
      <w:marRight w:val="0"/>
      <w:marTop w:val="0"/>
      <w:marBottom w:val="0"/>
      <w:divBdr>
        <w:top w:val="none" w:sz="0" w:space="0" w:color="auto"/>
        <w:left w:val="none" w:sz="0" w:space="0" w:color="auto"/>
        <w:bottom w:val="none" w:sz="0" w:space="0" w:color="auto"/>
        <w:right w:val="none" w:sz="0" w:space="0" w:color="auto"/>
      </w:divBdr>
    </w:div>
    <w:div w:id="820192215">
      <w:bodyDiv w:val="1"/>
      <w:marLeft w:val="0"/>
      <w:marRight w:val="0"/>
      <w:marTop w:val="0"/>
      <w:marBottom w:val="0"/>
      <w:divBdr>
        <w:top w:val="none" w:sz="0" w:space="0" w:color="auto"/>
        <w:left w:val="none" w:sz="0" w:space="0" w:color="auto"/>
        <w:bottom w:val="none" w:sz="0" w:space="0" w:color="auto"/>
        <w:right w:val="none" w:sz="0" w:space="0" w:color="auto"/>
      </w:divBdr>
    </w:div>
    <w:div w:id="836187799">
      <w:bodyDiv w:val="1"/>
      <w:marLeft w:val="0"/>
      <w:marRight w:val="0"/>
      <w:marTop w:val="0"/>
      <w:marBottom w:val="0"/>
      <w:divBdr>
        <w:top w:val="none" w:sz="0" w:space="0" w:color="auto"/>
        <w:left w:val="none" w:sz="0" w:space="0" w:color="auto"/>
        <w:bottom w:val="none" w:sz="0" w:space="0" w:color="auto"/>
        <w:right w:val="none" w:sz="0" w:space="0" w:color="auto"/>
      </w:divBdr>
    </w:div>
    <w:div w:id="853108165">
      <w:bodyDiv w:val="1"/>
      <w:marLeft w:val="0"/>
      <w:marRight w:val="0"/>
      <w:marTop w:val="0"/>
      <w:marBottom w:val="0"/>
      <w:divBdr>
        <w:top w:val="none" w:sz="0" w:space="0" w:color="auto"/>
        <w:left w:val="none" w:sz="0" w:space="0" w:color="auto"/>
        <w:bottom w:val="none" w:sz="0" w:space="0" w:color="auto"/>
        <w:right w:val="none" w:sz="0" w:space="0" w:color="auto"/>
      </w:divBdr>
    </w:div>
    <w:div w:id="858542935">
      <w:bodyDiv w:val="1"/>
      <w:marLeft w:val="0"/>
      <w:marRight w:val="0"/>
      <w:marTop w:val="0"/>
      <w:marBottom w:val="0"/>
      <w:divBdr>
        <w:top w:val="none" w:sz="0" w:space="0" w:color="auto"/>
        <w:left w:val="none" w:sz="0" w:space="0" w:color="auto"/>
        <w:bottom w:val="none" w:sz="0" w:space="0" w:color="auto"/>
        <w:right w:val="none" w:sz="0" w:space="0" w:color="auto"/>
      </w:divBdr>
    </w:div>
    <w:div w:id="859733288">
      <w:bodyDiv w:val="1"/>
      <w:marLeft w:val="0"/>
      <w:marRight w:val="0"/>
      <w:marTop w:val="0"/>
      <w:marBottom w:val="0"/>
      <w:divBdr>
        <w:top w:val="none" w:sz="0" w:space="0" w:color="auto"/>
        <w:left w:val="none" w:sz="0" w:space="0" w:color="auto"/>
        <w:bottom w:val="none" w:sz="0" w:space="0" w:color="auto"/>
        <w:right w:val="none" w:sz="0" w:space="0" w:color="auto"/>
      </w:divBdr>
    </w:div>
    <w:div w:id="872184073">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78514514">
      <w:bodyDiv w:val="1"/>
      <w:marLeft w:val="0"/>
      <w:marRight w:val="0"/>
      <w:marTop w:val="0"/>
      <w:marBottom w:val="0"/>
      <w:divBdr>
        <w:top w:val="none" w:sz="0" w:space="0" w:color="auto"/>
        <w:left w:val="none" w:sz="0" w:space="0" w:color="auto"/>
        <w:bottom w:val="none" w:sz="0" w:space="0" w:color="auto"/>
        <w:right w:val="none" w:sz="0" w:space="0" w:color="auto"/>
      </w:divBdr>
    </w:div>
    <w:div w:id="888687555">
      <w:bodyDiv w:val="1"/>
      <w:marLeft w:val="0"/>
      <w:marRight w:val="0"/>
      <w:marTop w:val="0"/>
      <w:marBottom w:val="0"/>
      <w:divBdr>
        <w:top w:val="none" w:sz="0" w:space="0" w:color="auto"/>
        <w:left w:val="none" w:sz="0" w:space="0" w:color="auto"/>
        <w:bottom w:val="none" w:sz="0" w:space="0" w:color="auto"/>
        <w:right w:val="none" w:sz="0" w:space="0" w:color="auto"/>
      </w:divBdr>
      <w:divsChild>
        <w:div w:id="642660078">
          <w:marLeft w:val="0"/>
          <w:marRight w:val="0"/>
          <w:marTop w:val="0"/>
          <w:marBottom w:val="0"/>
          <w:divBdr>
            <w:top w:val="none" w:sz="0" w:space="0" w:color="auto"/>
            <w:left w:val="none" w:sz="0" w:space="0" w:color="auto"/>
            <w:bottom w:val="none" w:sz="0" w:space="0" w:color="auto"/>
            <w:right w:val="none" w:sz="0" w:space="0" w:color="auto"/>
          </w:divBdr>
          <w:divsChild>
            <w:div w:id="298995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939892">
      <w:bodyDiv w:val="1"/>
      <w:marLeft w:val="0"/>
      <w:marRight w:val="0"/>
      <w:marTop w:val="0"/>
      <w:marBottom w:val="0"/>
      <w:divBdr>
        <w:top w:val="none" w:sz="0" w:space="0" w:color="auto"/>
        <w:left w:val="none" w:sz="0" w:space="0" w:color="auto"/>
        <w:bottom w:val="none" w:sz="0" w:space="0" w:color="auto"/>
        <w:right w:val="none" w:sz="0" w:space="0" w:color="auto"/>
      </w:divBdr>
    </w:div>
    <w:div w:id="919944240">
      <w:bodyDiv w:val="1"/>
      <w:marLeft w:val="0"/>
      <w:marRight w:val="0"/>
      <w:marTop w:val="0"/>
      <w:marBottom w:val="0"/>
      <w:divBdr>
        <w:top w:val="none" w:sz="0" w:space="0" w:color="auto"/>
        <w:left w:val="none" w:sz="0" w:space="0" w:color="auto"/>
        <w:bottom w:val="none" w:sz="0" w:space="0" w:color="auto"/>
        <w:right w:val="none" w:sz="0" w:space="0" w:color="auto"/>
      </w:divBdr>
      <w:divsChild>
        <w:div w:id="1384713660">
          <w:marLeft w:val="0"/>
          <w:marRight w:val="0"/>
          <w:marTop w:val="0"/>
          <w:marBottom w:val="0"/>
          <w:divBdr>
            <w:top w:val="none" w:sz="0" w:space="0" w:color="auto"/>
            <w:left w:val="none" w:sz="0" w:space="0" w:color="auto"/>
            <w:bottom w:val="none" w:sz="0" w:space="0" w:color="auto"/>
            <w:right w:val="none" w:sz="0" w:space="0" w:color="auto"/>
          </w:divBdr>
        </w:div>
      </w:divsChild>
    </w:div>
    <w:div w:id="924995749">
      <w:bodyDiv w:val="1"/>
      <w:marLeft w:val="0"/>
      <w:marRight w:val="0"/>
      <w:marTop w:val="0"/>
      <w:marBottom w:val="0"/>
      <w:divBdr>
        <w:top w:val="none" w:sz="0" w:space="0" w:color="auto"/>
        <w:left w:val="none" w:sz="0" w:space="0" w:color="auto"/>
        <w:bottom w:val="none" w:sz="0" w:space="0" w:color="auto"/>
        <w:right w:val="none" w:sz="0" w:space="0" w:color="auto"/>
      </w:divBdr>
    </w:div>
    <w:div w:id="935526732">
      <w:bodyDiv w:val="1"/>
      <w:marLeft w:val="0"/>
      <w:marRight w:val="0"/>
      <w:marTop w:val="0"/>
      <w:marBottom w:val="0"/>
      <w:divBdr>
        <w:top w:val="none" w:sz="0" w:space="0" w:color="auto"/>
        <w:left w:val="none" w:sz="0" w:space="0" w:color="auto"/>
        <w:bottom w:val="none" w:sz="0" w:space="0" w:color="auto"/>
        <w:right w:val="none" w:sz="0" w:space="0" w:color="auto"/>
      </w:divBdr>
    </w:div>
    <w:div w:id="939334642">
      <w:bodyDiv w:val="1"/>
      <w:marLeft w:val="0"/>
      <w:marRight w:val="0"/>
      <w:marTop w:val="0"/>
      <w:marBottom w:val="0"/>
      <w:divBdr>
        <w:top w:val="none" w:sz="0" w:space="0" w:color="auto"/>
        <w:left w:val="none" w:sz="0" w:space="0" w:color="auto"/>
        <w:bottom w:val="none" w:sz="0" w:space="0" w:color="auto"/>
        <w:right w:val="none" w:sz="0" w:space="0" w:color="auto"/>
      </w:divBdr>
    </w:div>
    <w:div w:id="944965446">
      <w:bodyDiv w:val="1"/>
      <w:marLeft w:val="0"/>
      <w:marRight w:val="0"/>
      <w:marTop w:val="0"/>
      <w:marBottom w:val="0"/>
      <w:divBdr>
        <w:top w:val="none" w:sz="0" w:space="0" w:color="auto"/>
        <w:left w:val="none" w:sz="0" w:space="0" w:color="auto"/>
        <w:bottom w:val="none" w:sz="0" w:space="0" w:color="auto"/>
        <w:right w:val="none" w:sz="0" w:space="0" w:color="auto"/>
      </w:divBdr>
    </w:div>
    <w:div w:id="966087544">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976372192">
      <w:bodyDiv w:val="1"/>
      <w:marLeft w:val="0"/>
      <w:marRight w:val="0"/>
      <w:marTop w:val="0"/>
      <w:marBottom w:val="0"/>
      <w:divBdr>
        <w:top w:val="none" w:sz="0" w:space="0" w:color="auto"/>
        <w:left w:val="none" w:sz="0" w:space="0" w:color="auto"/>
        <w:bottom w:val="none" w:sz="0" w:space="0" w:color="auto"/>
        <w:right w:val="none" w:sz="0" w:space="0" w:color="auto"/>
      </w:divBdr>
    </w:div>
    <w:div w:id="978460715">
      <w:bodyDiv w:val="1"/>
      <w:marLeft w:val="0"/>
      <w:marRight w:val="0"/>
      <w:marTop w:val="0"/>
      <w:marBottom w:val="0"/>
      <w:divBdr>
        <w:top w:val="none" w:sz="0" w:space="0" w:color="auto"/>
        <w:left w:val="none" w:sz="0" w:space="0" w:color="auto"/>
        <w:bottom w:val="none" w:sz="0" w:space="0" w:color="auto"/>
        <w:right w:val="none" w:sz="0" w:space="0" w:color="auto"/>
      </w:divBdr>
    </w:div>
    <w:div w:id="1000622281">
      <w:bodyDiv w:val="1"/>
      <w:marLeft w:val="0"/>
      <w:marRight w:val="0"/>
      <w:marTop w:val="0"/>
      <w:marBottom w:val="0"/>
      <w:divBdr>
        <w:top w:val="none" w:sz="0" w:space="0" w:color="auto"/>
        <w:left w:val="none" w:sz="0" w:space="0" w:color="auto"/>
        <w:bottom w:val="none" w:sz="0" w:space="0" w:color="auto"/>
        <w:right w:val="none" w:sz="0" w:space="0" w:color="auto"/>
      </w:divBdr>
    </w:div>
    <w:div w:id="1024482305">
      <w:bodyDiv w:val="1"/>
      <w:marLeft w:val="0"/>
      <w:marRight w:val="0"/>
      <w:marTop w:val="0"/>
      <w:marBottom w:val="0"/>
      <w:divBdr>
        <w:top w:val="none" w:sz="0" w:space="0" w:color="auto"/>
        <w:left w:val="none" w:sz="0" w:space="0" w:color="auto"/>
        <w:bottom w:val="none" w:sz="0" w:space="0" w:color="auto"/>
        <w:right w:val="none" w:sz="0" w:space="0" w:color="auto"/>
      </w:divBdr>
    </w:div>
    <w:div w:id="102767587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37924367">
      <w:bodyDiv w:val="1"/>
      <w:marLeft w:val="0"/>
      <w:marRight w:val="0"/>
      <w:marTop w:val="0"/>
      <w:marBottom w:val="0"/>
      <w:divBdr>
        <w:top w:val="none" w:sz="0" w:space="0" w:color="auto"/>
        <w:left w:val="none" w:sz="0" w:space="0" w:color="auto"/>
        <w:bottom w:val="none" w:sz="0" w:space="0" w:color="auto"/>
        <w:right w:val="none" w:sz="0" w:space="0" w:color="auto"/>
      </w:divBdr>
    </w:div>
    <w:div w:id="1039161679">
      <w:bodyDiv w:val="1"/>
      <w:marLeft w:val="0"/>
      <w:marRight w:val="0"/>
      <w:marTop w:val="0"/>
      <w:marBottom w:val="0"/>
      <w:divBdr>
        <w:top w:val="none" w:sz="0" w:space="0" w:color="auto"/>
        <w:left w:val="none" w:sz="0" w:space="0" w:color="auto"/>
        <w:bottom w:val="none" w:sz="0" w:space="0" w:color="auto"/>
        <w:right w:val="none" w:sz="0" w:space="0" w:color="auto"/>
      </w:divBdr>
    </w:div>
    <w:div w:id="1077166700">
      <w:bodyDiv w:val="1"/>
      <w:marLeft w:val="0"/>
      <w:marRight w:val="0"/>
      <w:marTop w:val="0"/>
      <w:marBottom w:val="0"/>
      <w:divBdr>
        <w:top w:val="none" w:sz="0" w:space="0" w:color="auto"/>
        <w:left w:val="none" w:sz="0" w:space="0" w:color="auto"/>
        <w:bottom w:val="none" w:sz="0" w:space="0" w:color="auto"/>
        <w:right w:val="none" w:sz="0" w:space="0" w:color="auto"/>
      </w:divBdr>
    </w:div>
    <w:div w:id="1098064542">
      <w:bodyDiv w:val="1"/>
      <w:marLeft w:val="0"/>
      <w:marRight w:val="0"/>
      <w:marTop w:val="0"/>
      <w:marBottom w:val="0"/>
      <w:divBdr>
        <w:top w:val="none" w:sz="0" w:space="0" w:color="auto"/>
        <w:left w:val="none" w:sz="0" w:space="0" w:color="auto"/>
        <w:bottom w:val="none" w:sz="0" w:space="0" w:color="auto"/>
        <w:right w:val="none" w:sz="0" w:space="0" w:color="auto"/>
      </w:divBdr>
    </w:div>
    <w:div w:id="1099328503">
      <w:bodyDiv w:val="1"/>
      <w:marLeft w:val="0"/>
      <w:marRight w:val="0"/>
      <w:marTop w:val="0"/>
      <w:marBottom w:val="0"/>
      <w:divBdr>
        <w:top w:val="none" w:sz="0" w:space="0" w:color="auto"/>
        <w:left w:val="none" w:sz="0" w:space="0" w:color="auto"/>
        <w:bottom w:val="none" w:sz="0" w:space="0" w:color="auto"/>
        <w:right w:val="none" w:sz="0" w:space="0" w:color="auto"/>
      </w:divBdr>
    </w:div>
    <w:div w:id="1106315714">
      <w:bodyDiv w:val="1"/>
      <w:marLeft w:val="0"/>
      <w:marRight w:val="0"/>
      <w:marTop w:val="0"/>
      <w:marBottom w:val="0"/>
      <w:divBdr>
        <w:top w:val="none" w:sz="0" w:space="0" w:color="auto"/>
        <w:left w:val="none" w:sz="0" w:space="0" w:color="auto"/>
        <w:bottom w:val="none" w:sz="0" w:space="0" w:color="auto"/>
        <w:right w:val="none" w:sz="0" w:space="0" w:color="auto"/>
      </w:divBdr>
    </w:div>
    <w:div w:id="1108699638">
      <w:bodyDiv w:val="1"/>
      <w:marLeft w:val="0"/>
      <w:marRight w:val="0"/>
      <w:marTop w:val="0"/>
      <w:marBottom w:val="0"/>
      <w:divBdr>
        <w:top w:val="none" w:sz="0" w:space="0" w:color="auto"/>
        <w:left w:val="none" w:sz="0" w:space="0" w:color="auto"/>
        <w:bottom w:val="none" w:sz="0" w:space="0" w:color="auto"/>
        <w:right w:val="none" w:sz="0" w:space="0" w:color="auto"/>
      </w:divBdr>
    </w:div>
    <w:div w:id="1111323394">
      <w:bodyDiv w:val="1"/>
      <w:marLeft w:val="0"/>
      <w:marRight w:val="0"/>
      <w:marTop w:val="0"/>
      <w:marBottom w:val="0"/>
      <w:divBdr>
        <w:top w:val="none" w:sz="0" w:space="0" w:color="auto"/>
        <w:left w:val="none" w:sz="0" w:space="0" w:color="auto"/>
        <w:bottom w:val="none" w:sz="0" w:space="0" w:color="auto"/>
        <w:right w:val="none" w:sz="0" w:space="0" w:color="auto"/>
      </w:divBdr>
    </w:div>
    <w:div w:id="1111363769">
      <w:bodyDiv w:val="1"/>
      <w:marLeft w:val="0"/>
      <w:marRight w:val="0"/>
      <w:marTop w:val="0"/>
      <w:marBottom w:val="0"/>
      <w:divBdr>
        <w:top w:val="none" w:sz="0" w:space="0" w:color="auto"/>
        <w:left w:val="none" w:sz="0" w:space="0" w:color="auto"/>
        <w:bottom w:val="none" w:sz="0" w:space="0" w:color="auto"/>
        <w:right w:val="none" w:sz="0" w:space="0" w:color="auto"/>
      </w:divBdr>
    </w:div>
    <w:div w:id="1141340619">
      <w:bodyDiv w:val="1"/>
      <w:marLeft w:val="0"/>
      <w:marRight w:val="0"/>
      <w:marTop w:val="0"/>
      <w:marBottom w:val="0"/>
      <w:divBdr>
        <w:top w:val="none" w:sz="0" w:space="0" w:color="auto"/>
        <w:left w:val="none" w:sz="0" w:space="0" w:color="auto"/>
        <w:bottom w:val="none" w:sz="0" w:space="0" w:color="auto"/>
        <w:right w:val="none" w:sz="0" w:space="0" w:color="auto"/>
      </w:divBdr>
    </w:div>
    <w:div w:id="1144741353">
      <w:bodyDiv w:val="1"/>
      <w:marLeft w:val="0"/>
      <w:marRight w:val="0"/>
      <w:marTop w:val="0"/>
      <w:marBottom w:val="0"/>
      <w:divBdr>
        <w:top w:val="none" w:sz="0" w:space="0" w:color="auto"/>
        <w:left w:val="none" w:sz="0" w:space="0" w:color="auto"/>
        <w:bottom w:val="none" w:sz="0" w:space="0" w:color="auto"/>
        <w:right w:val="none" w:sz="0" w:space="0" w:color="auto"/>
      </w:divBdr>
    </w:div>
    <w:div w:id="1154834301">
      <w:bodyDiv w:val="1"/>
      <w:marLeft w:val="0"/>
      <w:marRight w:val="0"/>
      <w:marTop w:val="0"/>
      <w:marBottom w:val="0"/>
      <w:divBdr>
        <w:top w:val="none" w:sz="0" w:space="0" w:color="auto"/>
        <w:left w:val="none" w:sz="0" w:space="0" w:color="auto"/>
        <w:bottom w:val="none" w:sz="0" w:space="0" w:color="auto"/>
        <w:right w:val="none" w:sz="0" w:space="0" w:color="auto"/>
      </w:divBdr>
    </w:div>
    <w:div w:id="1157070720">
      <w:bodyDiv w:val="1"/>
      <w:marLeft w:val="0"/>
      <w:marRight w:val="0"/>
      <w:marTop w:val="0"/>
      <w:marBottom w:val="0"/>
      <w:divBdr>
        <w:top w:val="none" w:sz="0" w:space="0" w:color="auto"/>
        <w:left w:val="none" w:sz="0" w:space="0" w:color="auto"/>
        <w:bottom w:val="none" w:sz="0" w:space="0" w:color="auto"/>
        <w:right w:val="none" w:sz="0" w:space="0" w:color="auto"/>
      </w:divBdr>
    </w:div>
    <w:div w:id="1163669007">
      <w:bodyDiv w:val="1"/>
      <w:marLeft w:val="0"/>
      <w:marRight w:val="0"/>
      <w:marTop w:val="0"/>
      <w:marBottom w:val="0"/>
      <w:divBdr>
        <w:top w:val="none" w:sz="0" w:space="0" w:color="auto"/>
        <w:left w:val="none" w:sz="0" w:space="0" w:color="auto"/>
        <w:bottom w:val="none" w:sz="0" w:space="0" w:color="auto"/>
        <w:right w:val="none" w:sz="0" w:space="0" w:color="auto"/>
      </w:divBdr>
    </w:div>
    <w:div w:id="1167016660">
      <w:bodyDiv w:val="1"/>
      <w:marLeft w:val="0"/>
      <w:marRight w:val="0"/>
      <w:marTop w:val="0"/>
      <w:marBottom w:val="0"/>
      <w:divBdr>
        <w:top w:val="none" w:sz="0" w:space="0" w:color="auto"/>
        <w:left w:val="none" w:sz="0" w:space="0" w:color="auto"/>
        <w:bottom w:val="none" w:sz="0" w:space="0" w:color="auto"/>
        <w:right w:val="none" w:sz="0" w:space="0" w:color="auto"/>
      </w:divBdr>
    </w:div>
    <w:div w:id="1172530141">
      <w:bodyDiv w:val="1"/>
      <w:marLeft w:val="0"/>
      <w:marRight w:val="0"/>
      <w:marTop w:val="0"/>
      <w:marBottom w:val="0"/>
      <w:divBdr>
        <w:top w:val="none" w:sz="0" w:space="0" w:color="auto"/>
        <w:left w:val="none" w:sz="0" w:space="0" w:color="auto"/>
        <w:bottom w:val="none" w:sz="0" w:space="0" w:color="auto"/>
        <w:right w:val="none" w:sz="0" w:space="0" w:color="auto"/>
      </w:divBdr>
    </w:div>
    <w:div w:id="1174497767">
      <w:bodyDiv w:val="1"/>
      <w:marLeft w:val="0"/>
      <w:marRight w:val="0"/>
      <w:marTop w:val="0"/>
      <w:marBottom w:val="0"/>
      <w:divBdr>
        <w:top w:val="none" w:sz="0" w:space="0" w:color="auto"/>
        <w:left w:val="none" w:sz="0" w:space="0" w:color="auto"/>
        <w:bottom w:val="none" w:sz="0" w:space="0" w:color="auto"/>
        <w:right w:val="none" w:sz="0" w:space="0" w:color="auto"/>
      </w:divBdr>
    </w:div>
    <w:div w:id="1188836553">
      <w:bodyDiv w:val="1"/>
      <w:marLeft w:val="0"/>
      <w:marRight w:val="0"/>
      <w:marTop w:val="0"/>
      <w:marBottom w:val="0"/>
      <w:divBdr>
        <w:top w:val="none" w:sz="0" w:space="0" w:color="auto"/>
        <w:left w:val="none" w:sz="0" w:space="0" w:color="auto"/>
        <w:bottom w:val="none" w:sz="0" w:space="0" w:color="auto"/>
        <w:right w:val="none" w:sz="0" w:space="0" w:color="auto"/>
      </w:divBdr>
    </w:div>
    <w:div w:id="1203713026">
      <w:bodyDiv w:val="1"/>
      <w:marLeft w:val="0"/>
      <w:marRight w:val="0"/>
      <w:marTop w:val="0"/>
      <w:marBottom w:val="0"/>
      <w:divBdr>
        <w:top w:val="none" w:sz="0" w:space="0" w:color="auto"/>
        <w:left w:val="none" w:sz="0" w:space="0" w:color="auto"/>
        <w:bottom w:val="none" w:sz="0" w:space="0" w:color="auto"/>
        <w:right w:val="none" w:sz="0" w:space="0" w:color="auto"/>
      </w:divBdr>
    </w:div>
    <w:div w:id="1206406216">
      <w:bodyDiv w:val="1"/>
      <w:marLeft w:val="0"/>
      <w:marRight w:val="0"/>
      <w:marTop w:val="0"/>
      <w:marBottom w:val="0"/>
      <w:divBdr>
        <w:top w:val="none" w:sz="0" w:space="0" w:color="auto"/>
        <w:left w:val="none" w:sz="0" w:space="0" w:color="auto"/>
        <w:bottom w:val="none" w:sz="0" w:space="0" w:color="auto"/>
        <w:right w:val="none" w:sz="0" w:space="0" w:color="auto"/>
      </w:divBdr>
    </w:div>
    <w:div w:id="1206865451">
      <w:bodyDiv w:val="1"/>
      <w:marLeft w:val="0"/>
      <w:marRight w:val="0"/>
      <w:marTop w:val="0"/>
      <w:marBottom w:val="0"/>
      <w:divBdr>
        <w:top w:val="none" w:sz="0" w:space="0" w:color="auto"/>
        <w:left w:val="none" w:sz="0" w:space="0" w:color="auto"/>
        <w:bottom w:val="none" w:sz="0" w:space="0" w:color="auto"/>
        <w:right w:val="none" w:sz="0" w:space="0" w:color="auto"/>
      </w:divBdr>
    </w:div>
    <w:div w:id="1231884212">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33200861">
      <w:bodyDiv w:val="1"/>
      <w:marLeft w:val="0"/>
      <w:marRight w:val="0"/>
      <w:marTop w:val="0"/>
      <w:marBottom w:val="0"/>
      <w:divBdr>
        <w:top w:val="none" w:sz="0" w:space="0" w:color="auto"/>
        <w:left w:val="none" w:sz="0" w:space="0" w:color="auto"/>
        <w:bottom w:val="none" w:sz="0" w:space="0" w:color="auto"/>
        <w:right w:val="none" w:sz="0" w:space="0" w:color="auto"/>
      </w:divBdr>
    </w:div>
    <w:div w:id="1235579693">
      <w:bodyDiv w:val="1"/>
      <w:marLeft w:val="0"/>
      <w:marRight w:val="0"/>
      <w:marTop w:val="0"/>
      <w:marBottom w:val="0"/>
      <w:divBdr>
        <w:top w:val="none" w:sz="0" w:space="0" w:color="auto"/>
        <w:left w:val="none" w:sz="0" w:space="0" w:color="auto"/>
        <w:bottom w:val="none" w:sz="0" w:space="0" w:color="auto"/>
        <w:right w:val="none" w:sz="0" w:space="0" w:color="auto"/>
      </w:divBdr>
      <w:divsChild>
        <w:div w:id="677391323">
          <w:marLeft w:val="0"/>
          <w:marRight w:val="0"/>
          <w:marTop w:val="0"/>
          <w:marBottom w:val="0"/>
          <w:divBdr>
            <w:top w:val="none" w:sz="0" w:space="0" w:color="auto"/>
            <w:left w:val="none" w:sz="0" w:space="0" w:color="auto"/>
            <w:bottom w:val="none" w:sz="0" w:space="0" w:color="auto"/>
            <w:right w:val="none" w:sz="0" w:space="0" w:color="auto"/>
          </w:divBdr>
        </w:div>
        <w:div w:id="1830246984">
          <w:marLeft w:val="0"/>
          <w:marRight w:val="0"/>
          <w:marTop w:val="0"/>
          <w:marBottom w:val="0"/>
          <w:divBdr>
            <w:top w:val="none" w:sz="0" w:space="0" w:color="auto"/>
            <w:left w:val="none" w:sz="0" w:space="0" w:color="auto"/>
            <w:bottom w:val="none" w:sz="0" w:space="0" w:color="auto"/>
            <w:right w:val="none" w:sz="0" w:space="0" w:color="auto"/>
          </w:divBdr>
        </w:div>
      </w:divsChild>
    </w:div>
    <w:div w:id="1241601073">
      <w:bodyDiv w:val="1"/>
      <w:marLeft w:val="0"/>
      <w:marRight w:val="0"/>
      <w:marTop w:val="0"/>
      <w:marBottom w:val="0"/>
      <w:divBdr>
        <w:top w:val="none" w:sz="0" w:space="0" w:color="auto"/>
        <w:left w:val="none" w:sz="0" w:space="0" w:color="auto"/>
        <w:bottom w:val="none" w:sz="0" w:space="0" w:color="auto"/>
        <w:right w:val="none" w:sz="0" w:space="0" w:color="auto"/>
      </w:divBdr>
    </w:div>
    <w:div w:id="1242985968">
      <w:bodyDiv w:val="1"/>
      <w:marLeft w:val="0"/>
      <w:marRight w:val="0"/>
      <w:marTop w:val="0"/>
      <w:marBottom w:val="0"/>
      <w:divBdr>
        <w:top w:val="none" w:sz="0" w:space="0" w:color="auto"/>
        <w:left w:val="none" w:sz="0" w:space="0" w:color="auto"/>
        <w:bottom w:val="none" w:sz="0" w:space="0" w:color="auto"/>
        <w:right w:val="none" w:sz="0" w:space="0" w:color="auto"/>
      </w:divBdr>
    </w:div>
    <w:div w:id="1261983017">
      <w:bodyDiv w:val="1"/>
      <w:marLeft w:val="0"/>
      <w:marRight w:val="0"/>
      <w:marTop w:val="0"/>
      <w:marBottom w:val="0"/>
      <w:divBdr>
        <w:top w:val="none" w:sz="0" w:space="0" w:color="auto"/>
        <w:left w:val="none" w:sz="0" w:space="0" w:color="auto"/>
        <w:bottom w:val="none" w:sz="0" w:space="0" w:color="auto"/>
        <w:right w:val="none" w:sz="0" w:space="0" w:color="auto"/>
      </w:divBdr>
    </w:div>
    <w:div w:id="1272275829">
      <w:bodyDiv w:val="1"/>
      <w:marLeft w:val="0"/>
      <w:marRight w:val="0"/>
      <w:marTop w:val="0"/>
      <w:marBottom w:val="0"/>
      <w:divBdr>
        <w:top w:val="none" w:sz="0" w:space="0" w:color="auto"/>
        <w:left w:val="none" w:sz="0" w:space="0" w:color="auto"/>
        <w:bottom w:val="none" w:sz="0" w:space="0" w:color="auto"/>
        <w:right w:val="none" w:sz="0" w:space="0" w:color="auto"/>
      </w:divBdr>
    </w:div>
    <w:div w:id="1273439264">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76208771">
      <w:bodyDiv w:val="1"/>
      <w:marLeft w:val="0"/>
      <w:marRight w:val="0"/>
      <w:marTop w:val="0"/>
      <w:marBottom w:val="0"/>
      <w:divBdr>
        <w:top w:val="none" w:sz="0" w:space="0" w:color="auto"/>
        <w:left w:val="none" w:sz="0" w:space="0" w:color="auto"/>
        <w:bottom w:val="none" w:sz="0" w:space="0" w:color="auto"/>
        <w:right w:val="none" w:sz="0" w:space="0" w:color="auto"/>
      </w:divBdr>
    </w:div>
    <w:div w:id="1282146328">
      <w:bodyDiv w:val="1"/>
      <w:marLeft w:val="0"/>
      <w:marRight w:val="0"/>
      <w:marTop w:val="0"/>
      <w:marBottom w:val="0"/>
      <w:divBdr>
        <w:top w:val="none" w:sz="0" w:space="0" w:color="auto"/>
        <w:left w:val="none" w:sz="0" w:space="0" w:color="auto"/>
        <w:bottom w:val="none" w:sz="0" w:space="0" w:color="auto"/>
        <w:right w:val="none" w:sz="0" w:space="0" w:color="auto"/>
      </w:divBdr>
    </w:div>
    <w:div w:id="1305701114">
      <w:bodyDiv w:val="1"/>
      <w:marLeft w:val="0"/>
      <w:marRight w:val="0"/>
      <w:marTop w:val="0"/>
      <w:marBottom w:val="0"/>
      <w:divBdr>
        <w:top w:val="none" w:sz="0" w:space="0" w:color="auto"/>
        <w:left w:val="none" w:sz="0" w:space="0" w:color="auto"/>
        <w:bottom w:val="none" w:sz="0" w:space="0" w:color="auto"/>
        <w:right w:val="none" w:sz="0" w:space="0" w:color="auto"/>
      </w:divBdr>
    </w:div>
    <w:div w:id="1308393299">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39769873">
      <w:bodyDiv w:val="1"/>
      <w:marLeft w:val="0"/>
      <w:marRight w:val="0"/>
      <w:marTop w:val="0"/>
      <w:marBottom w:val="0"/>
      <w:divBdr>
        <w:top w:val="none" w:sz="0" w:space="0" w:color="auto"/>
        <w:left w:val="none" w:sz="0" w:space="0" w:color="auto"/>
        <w:bottom w:val="none" w:sz="0" w:space="0" w:color="auto"/>
        <w:right w:val="none" w:sz="0" w:space="0" w:color="auto"/>
      </w:divBdr>
    </w:div>
    <w:div w:id="1355157608">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64400710">
      <w:bodyDiv w:val="1"/>
      <w:marLeft w:val="0"/>
      <w:marRight w:val="0"/>
      <w:marTop w:val="0"/>
      <w:marBottom w:val="0"/>
      <w:divBdr>
        <w:top w:val="none" w:sz="0" w:space="0" w:color="auto"/>
        <w:left w:val="none" w:sz="0" w:space="0" w:color="auto"/>
        <w:bottom w:val="none" w:sz="0" w:space="0" w:color="auto"/>
        <w:right w:val="none" w:sz="0" w:space="0" w:color="auto"/>
      </w:divBdr>
    </w:div>
    <w:div w:id="1386099404">
      <w:bodyDiv w:val="1"/>
      <w:marLeft w:val="0"/>
      <w:marRight w:val="0"/>
      <w:marTop w:val="0"/>
      <w:marBottom w:val="0"/>
      <w:divBdr>
        <w:top w:val="none" w:sz="0" w:space="0" w:color="auto"/>
        <w:left w:val="none" w:sz="0" w:space="0" w:color="auto"/>
        <w:bottom w:val="none" w:sz="0" w:space="0" w:color="auto"/>
        <w:right w:val="none" w:sz="0" w:space="0" w:color="auto"/>
      </w:divBdr>
    </w:div>
    <w:div w:id="1388605428">
      <w:bodyDiv w:val="1"/>
      <w:marLeft w:val="0"/>
      <w:marRight w:val="0"/>
      <w:marTop w:val="0"/>
      <w:marBottom w:val="0"/>
      <w:divBdr>
        <w:top w:val="none" w:sz="0" w:space="0" w:color="auto"/>
        <w:left w:val="none" w:sz="0" w:space="0" w:color="auto"/>
        <w:bottom w:val="none" w:sz="0" w:space="0" w:color="auto"/>
        <w:right w:val="none" w:sz="0" w:space="0" w:color="auto"/>
      </w:divBdr>
      <w:divsChild>
        <w:div w:id="2024092479">
          <w:marLeft w:val="0"/>
          <w:marRight w:val="0"/>
          <w:marTop w:val="0"/>
          <w:marBottom w:val="0"/>
          <w:divBdr>
            <w:top w:val="none" w:sz="0" w:space="0" w:color="auto"/>
            <w:left w:val="none" w:sz="0" w:space="0" w:color="auto"/>
            <w:bottom w:val="none" w:sz="0" w:space="0" w:color="auto"/>
            <w:right w:val="none" w:sz="0" w:space="0" w:color="auto"/>
          </w:divBdr>
        </w:div>
      </w:divsChild>
    </w:div>
    <w:div w:id="1396004123">
      <w:bodyDiv w:val="1"/>
      <w:marLeft w:val="0"/>
      <w:marRight w:val="0"/>
      <w:marTop w:val="0"/>
      <w:marBottom w:val="0"/>
      <w:divBdr>
        <w:top w:val="none" w:sz="0" w:space="0" w:color="auto"/>
        <w:left w:val="none" w:sz="0" w:space="0" w:color="auto"/>
        <w:bottom w:val="none" w:sz="0" w:space="0" w:color="auto"/>
        <w:right w:val="none" w:sz="0" w:space="0" w:color="auto"/>
      </w:divBdr>
    </w:div>
    <w:div w:id="1397776915">
      <w:bodyDiv w:val="1"/>
      <w:marLeft w:val="0"/>
      <w:marRight w:val="0"/>
      <w:marTop w:val="0"/>
      <w:marBottom w:val="0"/>
      <w:divBdr>
        <w:top w:val="none" w:sz="0" w:space="0" w:color="auto"/>
        <w:left w:val="none" w:sz="0" w:space="0" w:color="auto"/>
        <w:bottom w:val="none" w:sz="0" w:space="0" w:color="auto"/>
        <w:right w:val="none" w:sz="0" w:space="0" w:color="auto"/>
      </w:divBdr>
    </w:div>
    <w:div w:id="1429736619">
      <w:bodyDiv w:val="1"/>
      <w:marLeft w:val="0"/>
      <w:marRight w:val="0"/>
      <w:marTop w:val="0"/>
      <w:marBottom w:val="0"/>
      <w:divBdr>
        <w:top w:val="none" w:sz="0" w:space="0" w:color="auto"/>
        <w:left w:val="none" w:sz="0" w:space="0" w:color="auto"/>
        <w:bottom w:val="none" w:sz="0" w:space="0" w:color="auto"/>
        <w:right w:val="none" w:sz="0" w:space="0" w:color="auto"/>
      </w:divBdr>
      <w:divsChild>
        <w:div w:id="263534878">
          <w:marLeft w:val="0"/>
          <w:marRight w:val="0"/>
          <w:marTop w:val="0"/>
          <w:marBottom w:val="0"/>
          <w:divBdr>
            <w:top w:val="none" w:sz="0" w:space="0" w:color="auto"/>
            <w:left w:val="none" w:sz="0" w:space="0" w:color="auto"/>
            <w:bottom w:val="none" w:sz="0" w:space="0" w:color="auto"/>
            <w:right w:val="none" w:sz="0" w:space="0" w:color="auto"/>
          </w:divBdr>
        </w:div>
      </w:divsChild>
    </w:div>
    <w:div w:id="1437796135">
      <w:bodyDiv w:val="1"/>
      <w:marLeft w:val="0"/>
      <w:marRight w:val="0"/>
      <w:marTop w:val="0"/>
      <w:marBottom w:val="0"/>
      <w:divBdr>
        <w:top w:val="none" w:sz="0" w:space="0" w:color="auto"/>
        <w:left w:val="none" w:sz="0" w:space="0" w:color="auto"/>
        <w:bottom w:val="none" w:sz="0" w:space="0" w:color="auto"/>
        <w:right w:val="none" w:sz="0" w:space="0" w:color="auto"/>
      </w:divBdr>
    </w:div>
    <w:div w:id="1442186756">
      <w:bodyDiv w:val="1"/>
      <w:marLeft w:val="0"/>
      <w:marRight w:val="0"/>
      <w:marTop w:val="0"/>
      <w:marBottom w:val="0"/>
      <w:divBdr>
        <w:top w:val="none" w:sz="0" w:space="0" w:color="auto"/>
        <w:left w:val="none" w:sz="0" w:space="0" w:color="auto"/>
        <w:bottom w:val="none" w:sz="0" w:space="0" w:color="auto"/>
        <w:right w:val="none" w:sz="0" w:space="0" w:color="auto"/>
      </w:divBdr>
    </w:div>
    <w:div w:id="1465736908">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4008790">
      <w:bodyDiv w:val="1"/>
      <w:marLeft w:val="0"/>
      <w:marRight w:val="0"/>
      <w:marTop w:val="0"/>
      <w:marBottom w:val="0"/>
      <w:divBdr>
        <w:top w:val="none" w:sz="0" w:space="0" w:color="auto"/>
        <w:left w:val="none" w:sz="0" w:space="0" w:color="auto"/>
        <w:bottom w:val="none" w:sz="0" w:space="0" w:color="auto"/>
        <w:right w:val="none" w:sz="0" w:space="0" w:color="auto"/>
      </w:divBdr>
    </w:div>
    <w:div w:id="1484080220">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490485834">
      <w:bodyDiv w:val="1"/>
      <w:marLeft w:val="0"/>
      <w:marRight w:val="0"/>
      <w:marTop w:val="0"/>
      <w:marBottom w:val="0"/>
      <w:divBdr>
        <w:top w:val="none" w:sz="0" w:space="0" w:color="auto"/>
        <w:left w:val="none" w:sz="0" w:space="0" w:color="auto"/>
        <w:bottom w:val="none" w:sz="0" w:space="0" w:color="auto"/>
        <w:right w:val="none" w:sz="0" w:space="0" w:color="auto"/>
      </w:divBdr>
    </w:div>
    <w:div w:id="1521696800">
      <w:bodyDiv w:val="1"/>
      <w:marLeft w:val="0"/>
      <w:marRight w:val="0"/>
      <w:marTop w:val="0"/>
      <w:marBottom w:val="0"/>
      <w:divBdr>
        <w:top w:val="none" w:sz="0" w:space="0" w:color="auto"/>
        <w:left w:val="none" w:sz="0" w:space="0" w:color="auto"/>
        <w:bottom w:val="none" w:sz="0" w:space="0" w:color="auto"/>
        <w:right w:val="none" w:sz="0" w:space="0" w:color="auto"/>
      </w:divBdr>
      <w:divsChild>
        <w:div w:id="1040403720">
          <w:marLeft w:val="0"/>
          <w:marRight w:val="0"/>
          <w:marTop w:val="0"/>
          <w:marBottom w:val="0"/>
          <w:divBdr>
            <w:top w:val="none" w:sz="0" w:space="0" w:color="auto"/>
            <w:left w:val="none" w:sz="0" w:space="0" w:color="auto"/>
            <w:bottom w:val="none" w:sz="0" w:space="0" w:color="auto"/>
            <w:right w:val="none" w:sz="0" w:space="0" w:color="auto"/>
          </w:divBdr>
        </w:div>
      </w:divsChild>
    </w:div>
    <w:div w:id="1530146023">
      <w:bodyDiv w:val="1"/>
      <w:marLeft w:val="0"/>
      <w:marRight w:val="0"/>
      <w:marTop w:val="0"/>
      <w:marBottom w:val="0"/>
      <w:divBdr>
        <w:top w:val="none" w:sz="0" w:space="0" w:color="auto"/>
        <w:left w:val="none" w:sz="0" w:space="0" w:color="auto"/>
        <w:bottom w:val="none" w:sz="0" w:space="0" w:color="auto"/>
        <w:right w:val="none" w:sz="0" w:space="0" w:color="auto"/>
      </w:divBdr>
    </w:div>
    <w:div w:id="1538202797">
      <w:bodyDiv w:val="1"/>
      <w:marLeft w:val="0"/>
      <w:marRight w:val="0"/>
      <w:marTop w:val="0"/>
      <w:marBottom w:val="0"/>
      <w:divBdr>
        <w:top w:val="none" w:sz="0" w:space="0" w:color="auto"/>
        <w:left w:val="none" w:sz="0" w:space="0" w:color="auto"/>
        <w:bottom w:val="none" w:sz="0" w:space="0" w:color="auto"/>
        <w:right w:val="none" w:sz="0" w:space="0" w:color="auto"/>
      </w:divBdr>
    </w:div>
    <w:div w:id="1540627073">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71231401">
      <w:bodyDiv w:val="1"/>
      <w:marLeft w:val="0"/>
      <w:marRight w:val="0"/>
      <w:marTop w:val="0"/>
      <w:marBottom w:val="0"/>
      <w:divBdr>
        <w:top w:val="none" w:sz="0" w:space="0" w:color="auto"/>
        <w:left w:val="none" w:sz="0" w:space="0" w:color="auto"/>
        <w:bottom w:val="none" w:sz="0" w:space="0" w:color="auto"/>
        <w:right w:val="none" w:sz="0" w:space="0" w:color="auto"/>
      </w:divBdr>
    </w:div>
    <w:div w:id="1573853227">
      <w:bodyDiv w:val="1"/>
      <w:marLeft w:val="0"/>
      <w:marRight w:val="0"/>
      <w:marTop w:val="0"/>
      <w:marBottom w:val="0"/>
      <w:divBdr>
        <w:top w:val="none" w:sz="0" w:space="0" w:color="auto"/>
        <w:left w:val="none" w:sz="0" w:space="0" w:color="auto"/>
        <w:bottom w:val="none" w:sz="0" w:space="0" w:color="auto"/>
        <w:right w:val="none" w:sz="0" w:space="0" w:color="auto"/>
      </w:divBdr>
    </w:div>
    <w:div w:id="1589727043">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27160127">
      <w:bodyDiv w:val="1"/>
      <w:marLeft w:val="0"/>
      <w:marRight w:val="0"/>
      <w:marTop w:val="0"/>
      <w:marBottom w:val="0"/>
      <w:divBdr>
        <w:top w:val="none" w:sz="0" w:space="0" w:color="auto"/>
        <w:left w:val="none" w:sz="0" w:space="0" w:color="auto"/>
        <w:bottom w:val="none" w:sz="0" w:space="0" w:color="auto"/>
        <w:right w:val="none" w:sz="0" w:space="0" w:color="auto"/>
      </w:divBdr>
    </w:div>
    <w:div w:id="1627350562">
      <w:bodyDiv w:val="1"/>
      <w:marLeft w:val="0"/>
      <w:marRight w:val="0"/>
      <w:marTop w:val="0"/>
      <w:marBottom w:val="0"/>
      <w:divBdr>
        <w:top w:val="none" w:sz="0" w:space="0" w:color="auto"/>
        <w:left w:val="none" w:sz="0" w:space="0" w:color="auto"/>
        <w:bottom w:val="none" w:sz="0" w:space="0" w:color="auto"/>
        <w:right w:val="none" w:sz="0" w:space="0" w:color="auto"/>
      </w:divBdr>
    </w:div>
    <w:div w:id="1637180741">
      <w:bodyDiv w:val="1"/>
      <w:marLeft w:val="0"/>
      <w:marRight w:val="0"/>
      <w:marTop w:val="0"/>
      <w:marBottom w:val="0"/>
      <w:divBdr>
        <w:top w:val="none" w:sz="0" w:space="0" w:color="auto"/>
        <w:left w:val="none" w:sz="0" w:space="0" w:color="auto"/>
        <w:bottom w:val="none" w:sz="0" w:space="0" w:color="auto"/>
        <w:right w:val="none" w:sz="0" w:space="0" w:color="auto"/>
      </w:divBdr>
    </w:div>
    <w:div w:id="1637294611">
      <w:bodyDiv w:val="1"/>
      <w:marLeft w:val="0"/>
      <w:marRight w:val="0"/>
      <w:marTop w:val="0"/>
      <w:marBottom w:val="0"/>
      <w:divBdr>
        <w:top w:val="none" w:sz="0" w:space="0" w:color="auto"/>
        <w:left w:val="none" w:sz="0" w:space="0" w:color="auto"/>
        <w:bottom w:val="none" w:sz="0" w:space="0" w:color="auto"/>
        <w:right w:val="none" w:sz="0" w:space="0" w:color="auto"/>
      </w:divBdr>
      <w:divsChild>
        <w:div w:id="1826820583">
          <w:marLeft w:val="0"/>
          <w:marRight w:val="0"/>
          <w:marTop w:val="0"/>
          <w:marBottom w:val="0"/>
          <w:divBdr>
            <w:top w:val="none" w:sz="0" w:space="0" w:color="auto"/>
            <w:left w:val="none" w:sz="0" w:space="0" w:color="auto"/>
            <w:bottom w:val="none" w:sz="0" w:space="0" w:color="auto"/>
            <w:right w:val="none" w:sz="0" w:space="0" w:color="auto"/>
          </w:divBdr>
        </w:div>
      </w:divsChild>
    </w:div>
    <w:div w:id="1642347367">
      <w:bodyDiv w:val="1"/>
      <w:marLeft w:val="0"/>
      <w:marRight w:val="0"/>
      <w:marTop w:val="0"/>
      <w:marBottom w:val="0"/>
      <w:divBdr>
        <w:top w:val="none" w:sz="0" w:space="0" w:color="auto"/>
        <w:left w:val="none" w:sz="0" w:space="0" w:color="auto"/>
        <w:bottom w:val="none" w:sz="0" w:space="0" w:color="auto"/>
        <w:right w:val="none" w:sz="0" w:space="0" w:color="auto"/>
      </w:divBdr>
    </w:div>
    <w:div w:id="1653024647">
      <w:bodyDiv w:val="1"/>
      <w:marLeft w:val="0"/>
      <w:marRight w:val="0"/>
      <w:marTop w:val="0"/>
      <w:marBottom w:val="0"/>
      <w:divBdr>
        <w:top w:val="none" w:sz="0" w:space="0" w:color="auto"/>
        <w:left w:val="none" w:sz="0" w:space="0" w:color="auto"/>
        <w:bottom w:val="none" w:sz="0" w:space="0" w:color="auto"/>
        <w:right w:val="none" w:sz="0" w:space="0" w:color="auto"/>
      </w:divBdr>
    </w:div>
    <w:div w:id="1671175924">
      <w:bodyDiv w:val="1"/>
      <w:marLeft w:val="0"/>
      <w:marRight w:val="0"/>
      <w:marTop w:val="0"/>
      <w:marBottom w:val="0"/>
      <w:divBdr>
        <w:top w:val="none" w:sz="0" w:space="0" w:color="auto"/>
        <w:left w:val="none" w:sz="0" w:space="0" w:color="auto"/>
        <w:bottom w:val="none" w:sz="0" w:space="0" w:color="auto"/>
        <w:right w:val="none" w:sz="0" w:space="0" w:color="auto"/>
      </w:divBdr>
    </w:div>
    <w:div w:id="1672104691">
      <w:bodyDiv w:val="1"/>
      <w:marLeft w:val="0"/>
      <w:marRight w:val="0"/>
      <w:marTop w:val="0"/>
      <w:marBottom w:val="0"/>
      <w:divBdr>
        <w:top w:val="none" w:sz="0" w:space="0" w:color="auto"/>
        <w:left w:val="none" w:sz="0" w:space="0" w:color="auto"/>
        <w:bottom w:val="none" w:sz="0" w:space="0" w:color="auto"/>
        <w:right w:val="none" w:sz="0" w:space="0" w:color="auto"/>
      </w:divBdr>
    </w:div>
    <w:div w:id="1673332146">
      <w:bodyDiv w:val="1"/>
      <w:marLeft w:val="0"/>
      <w:marRight w:val="0"/>
      <w:marTop w:val="0"/>
      <w:marBottom w:val="0"/>
      <w:divBdr>
        <w:top w:val="none" w:sz="0" w:space="0" w:color="auto"/>
        <w:left w:val="none" w:sz="0" w:space="0" w:color="auto"/>
        <w:bottom w:val="none" w:sz="0" w:space="0" w:color="auto"/>
        <w:right w:val="none" w:sz="0" w:space="0" w:color="auto"/>
      </w:divBdr>
    </w:div>
    <w:div w:id="1683237869">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688822520">
      <w:bodyDiv w:val="1"/>
      <w:marLeft w:val="0"/>
      <w:marRight w:val="0"/>
      <w:marTop w:val="0"/>
      <w:marBottom w:val="0"/>
      <w:divBdr>
        <w:top w:val="none" w:sz="0" w:space="0" w:color="auto"/>
        <w:left w:val="none" w:sz="0" w:space="0" w:color="auto"/>
        <w:bottom w:val="none" w:sz="0" w:space="0" w:color="auto"/>
        <w:right w:val="none" w:sz="0" w:space="0" w:color="auto"/>
      </w:divBdr>
    </w:div>
    <w:div w:id="1695231729">
      <w:bodyDiv w:val="1"/>
      <w:marLeft w:val="0"/>
      <w:marRight w:val="0"/>
      <w:marTop w:val="0"/>
      <w:marBottom w:val="0"/>
      <w:divBdr>
        <w:top w:val="none" w:sz="0" w:space="0" w:color="auto"/>
        <w:left w:val="none" w:sz="0" w:space="0" w:color="auto"/>
        <w:bottom w:val="none" w:sz="0" w:space="0" w:color="auto"/>
        <w:right w:val="none" w:sz="0" w:space="0" w:color="auto"/>
      </w:divBdr>
    </w:div>
    <w:div w:id="1700888227">
      <w:bodyDiv w:val="1"/>
      <w:marLeft w:val="0"/>
      <w:marRight w:val="0"/>
      <w:marTop w:val="0"/>
      <w:marBottom w:val="0"/>
      <w:divBdr>
        <w:top w:val="none" w:sz="0" w:space="0" w:color="auto"/>
        <w:left w:val="none" w:sz="0" w:space="0" w:color="auto"/>
        <w:bottom w:val="none" w:sz="0" w:space="0" w:color="auto"/>
        <w:right w:val="none" w:sz="0" w:space="0" w:color="auto"/>
      </w:divBdr>
    </w:div>
    <w:div w:id="1703827436">
      <w:bodyDiv w:val="1"/>
      <w:marLeft w:val="0"/>
      <w:marRight w:val="0"/>
      <w:marTop w:val="0"/>
      <w:marBottom w:val="0"/>
      <w:divBdr>
        <w:top w:val="none" w:sz="0" w:space="0" w:color="auto"/>
        <w:left w:val="none" w:sz="0" w:space="0" w:color="auto"/>
        <w:bottom w:val="none" w:sz="0" w:space="0" w:color="auto"/>
        <w:right w:val="none" w:sz="0" w:space="0" w:color="auto"/>
      </w:divBdr>
    </w:div>
    <w:div w:id="1724406976">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35814739">
      <w:bodyDiv w:val="1"/>
      <w:marLeft w:val="0"/>
      <w:marRight w:val="0"/>
      <w:marTop w:val="0"/>
      <w:marBottom w:val="0"/>
      <w:divBdr>
        <w:top w:val="none" w:sz="0" w:space="0" w:color="auto"/>
        <w:left w:val="none" w:sz="0" w:space="0" w:color="auto"/>
        <w:bottom w:val="none" w:sz="0" w:space="0" w:color="auto"/>
        <w:right w:val="none" w:sz="0" w:space="0" w:color="auto"/>
      </w:divBdr>
    </w:div>
    <w:div w:id="1766338708">
      <w:bodyDiv w:val="1"/>
      <w:marLeft w:val="0"/>
      <w:marRight w:val="0"/>
      <w:marTop w:val="0"/>
      <w:marBottom w:val="0"/>
      <w:divBdr>
        <w:top w:val="none" w:sz="0" w:space="0" w:color="auto"/>
        <w:left w:val="none" w:sz="0" w:space="0" w:color="auto"/>
        <w:bottom w:val="none" w:sz="0" w:space="0" w:color="auto"/>
        <w:right w:val="none" w:sz="0" w:space="0" w:color="auto"/>
      </w:divBdr>
    </w:div>
    <w:div w:id="1775636624">
      <w:bodyDiv w:val="1"/>
      <w:marLeft w:val="0"/>
      <w:marRight w:val="0"/>
      <w:marTop w:val="0"/>
      <w:marBottom w:val="0"/>
      <w:divBdr>
        <w:top w:val="none" w:sz="0" w:space="0" w:color="auto"/>
        <w:left w:val="none" w:sz="0" w:space="0" w:color="auto"/>
        <w:bottom w:val="none" w:sz="0" w:space="0" w:color="auto"/>
        <w:right w:val="none" w:sz="0" w:space="0" w:color="auto"/>
      </w:divBdr>
    </w:div>
    <w:div w:id="1786658422">
      <w:bodyDiv w:val="1"/>
      <w:marLeft w:val="0"/>
      <w:marRight w:val="0"/>
      <w:marTop w:val="0"/>
      <w:marBottom w:val="0"/>
      <w:divBdr>
        <w:top w:val="none" w:sz="0" w:space="0" w:color="auto"/>
        <w:left w:val="none" w:sz="0" w:space="0" w:color="auto"/>
        <w:bottom w:val="none" w:sz="0" w:space="0" w:color="auto"/>
        <w:right w:val="none" w:sz="0" w:space="0" w:color="auto"/>
      </w:divBdr>
    </w:div>
    <w:div w:id="1790514303">
      <w:bodyDiv w:val="1"/>
      <w:marLeft w:val="0"/>
      <w:marRight w:val="0"/>
      <w:marTop w:val="0"/>
      <w:marBottom w:val="0"/>
      <w:divBdr>
        <w:top w:val="none" w:sz="0" w:space="0" w:color="auto"/>
        <w:left w:val="none" w:sz="0" w:space="0" w:color="auto"/>
        <w:bottom w:val="none" w:sz="0" w:space="0" w:color="auto"/>
        <w:right w:val="none" w:sz="0" w:space="0" w:color="auto"/>
      </w:divBdr>
    </w:div>
    <w:div w:id="1801801640">
      <w:bodyDiv w:val="1"/>
      <w:marLeft w:val="0"/>
      <w:marRight w:val="0"/>
      <w:marTop w:val="0"/>
      <w:marBottom w:val="0"/>
      <w:divBdr>
        <w:top w:val="none" w:sz="0" w:space="0" w:color="auto"/>
        <w:left w:val="none" w:sz="0" w:space="0" w:color="auto"/>
        <w:bottom w:val="none" w:sz="0" w:space="0" w:color="auto"/>
        <w:right w:val="none" w:sz="0" w:space="0" w:color="auto"/>
      </w:divBdr>
    </w:div>
    <w:div w:id="1817648201">
      <w:bodyDiv w:val="1"/>
      <w:marLeft w:val="0"/>
      <w:marRight w:val="0"/>
      <w:marTop w:val="0"/>
      <w:marBottom w:val="0"/>
      <w:divBdr>
        <w:top w:val="none" w:sz="0" w:space="0" w:color="auto"/>
        <w:left w:val="none" w:sz="0" w:space="0" w:color="auto"/>
        <w:bottom w:val="none" w:sz="0" w:space="0" w:color="auto"/>
        <w:right w:val="none" w:sz="0" w:space="0" w:color="auto"/>
      </w:divBdr>
    </w:div>
    <w:div w:id="1821800438">
      <w:bodyDiv w:val="1"/>
      <w:marLeft w:val="0"/>
      <w:marRight w:val="0"/>
      <w:marTop w:val="0"/>
      <w:marBottom w:val="0"/>
      <w:divBdr>
        <w:top w:val="none" w:sz="0" w:space="0" w:color="auto"/>
        <w:left w:val="none" w:sz="0" w:space="0" w:color="auto"/>
        <w:bottom w:val="none" w:sz="0" w:space="0" w:color="auto"/>
        <w:right w:val="none" w:sz="0" w:space="0" w:color="auto"/>
      </w:divBdr>
    </w:div>
    <w:div w:id="1824931625">
      <w:bodyDiv w:val="1"/>
      <w:marLeft w:val="0"/>
      <w:marRight w:val="0"/>
      <w:marTop w:val="0"/>
      <w:marBottom w:val="0"/>
      <w:divBdr>
        <w:top w:val="none" w:sz="0" w:space="0" w:color="auto"/>
        <w:left w:val="none" w:sz="0" w:space="0" w:color="auto"/>
        <w:bottom w:val="none" w:sz="0" w:space="0" w:color="auto"/>
        <w:right w:val="none" w:sz="0" w:space="0" w:color="auto"/>
      </w:divBdr>
    </w:div>
    <w:div w:id="1831365608">
      <w:bodyDiv w:val="1"/>
      <w:marLeft w:val="0"/>
      <w:marRight w:val="0"/>
      <w:marTop w:val="0"/>
      <w:marBottom w:val="0"/>
      <w:divBdr>
        <w:top w:val="none" w:sz="0" w:space="0" w:color="auto"/>
        <w:left w:val="none" w:sz="0" w:space="0" w:color="auto"/>
        <w:bottom w:val="none" w:sz="0" w:space="0" w:color="auto"/>
        <w:right w:val="none" w:sz="0" w:space="0" w:color="auto"/>
      </w:divBdr>
    </w:div>
    <w:div w:id="1838836541">
      <w:bodyDiv w:val="1"/>
      <w:marLeft w:val="0"/>
      <w:marRight w:val="0"/>
      <w:marTop w:val="0"/>
      <w:marBottom w:val="0"/>
      <w:divBdr>
        <w:top w:val="none" w:sz="0" w:space="0" w:color="auto"/>
        <w:left w:val="none" w:sz="0" w:space="0" w:color="auto"/>
        <w:bottom w:val="none" w:sz="0" w:space="0" w:color="auto"/>
        <w:right w:val="none" w:sz="0" w:space="0" w:color="auto"/>
      </w:divBdr>
    </w:div>
    <w:div w:id="1841194064">
      <w:bodyDiv w:val="1"/>
      <w:marLeft w:val="0"/>
      <w:marRight w:val="0"/>
      <w:marTop w:val="0"/>
      <w:marBottom w:val="0"/>
      <w:divBdr>
        <w:top w:val="none" w:sz="0" w:space="0" w:color="auto"/>
        <w:left w:val="none" w:sz="0" w:space="0" w:color="auto"/>
        <w:bottom w:val="none" w:sz="0" w:space="0" w:color="auto"/>
        <w:right w:val="none" w:sz="0" w:space="0" w:color="auto"/>
      </w:divBdr>
    </w:div>
    <w:div w:id="1872257271">
      <w:bodyDiv w:val="1"/>
      <w:marLeft w:val="0"/>
      <w:marRight w:val="0"/>
      <w:marTop w:val="0"/>
      <w:marBottom w:val="0"/>
      <w:divBdr>
        <w:top w:val="none" w:sz="0" w:space="0" w:color="auto"/>
        <w:left w:val="none" w:sz="0" w:space="0" w:color="auto"/>
        <w:bottom w:val="none" w:sz="0" w:space="0" w:color="auto"/>
        <w:right w:val="none" w:sz="0" w:space="0" w:color="auto"/>
      </w:divBdr>
    </w:div>
    <w:div w:id="1874806226">
      <w:bodyDiv w:val="1"/>
      <w:marLeft w:val="0"/>
      <w:marRight w:val="0"/>
      <w:marTop w:val="0"/>
      <w:marBottom w:val="0"/>
      <w:divBdr>
        <w:top w:val="none" w:sz="0" w:space="0" w:color="auto"/>
        <w:left w:val="none" w:sz="0" w:space="0" w:color="auto"/>
        <w:bottom w:val="none" w:sz="0" w:space="0" w:color="auto"/>
        <w:right w:val="none" w:sz="0" w:space="0" w:color="auto"/>
      </w:divBdr>
      <w:divsChild>
        <w:div w:id="246501898">
          <w:marLeft w:val="0"/>
          <w:marRight w:val="0"/>
          <w:marTop w:val="0"/>
          <w:marBottom w:val="0"/>
          <w:divBdr>
            <w:top w:val="none" w:sz="0" w:space="0" w:color="auto"/>
            <w:left w:val="none" w:sz="0" w:space="0" w:color="auto"/>
            <w:bottom w:val="none" w:sz="0" w:space="0" w:color="auto"/>
            <w:right w:val="none" w:sz="0" w:space="0" w:color="auto"/>
          </w:divBdr>
          <w:divsChild>
            <w:div w:id="893613798">
              <w:marLeft w:val="0"/>
              <w:marRight w:val="0"/>
              <w:marTop w:val="0"/>
              <w:marBottom w:val="0"/>
              <w:divBdr>
                <w:top w:val="none" w:sz="0" w:space="0" w:color="auto"/>
                <w:left w:val="none" w:sz="0" w:space="0" w:color="auto"/>
                <w:bottom w:val="none" w:sz="0" w:space="0" w:color="auto"/>
                <w:right w:val="none" w:sz="0" w:space="0" w:color="auto"/>
              </w:divBdr>
            </w:div>
          </w:divsChild>
        </w:div>
        <w:div w:id="849685486">
          <w:marLeft w:val="0"/>
          <w:marRight w:val="0"/>
          <w:marTop w:val="0"/>
          <w:marBottom w:val="0"/>
          <w:divBdr>
            <w:top w:val="none" w:sz="0" w:space="0" w:color="auto"/>
            <w:left w:val="none" w:sz="0" w:space="0" w:color="auto"/>
            <w:bottom w:val="none" w:sz="0" w:space="0" w:color="auto"/>
            <w:right w:val="none" w:sz="0" w:space="0" w:color="auto"/>
          </w:divBdr>
        </w:div>
      </w:divsChild>
    </w:div>
    <w:div w:id="1876194378">
      <w:bodyDiv w:val="1"/>
      <w:marLeft w:val="0"/>
      <w:marRight w:val="0"/>
      <w:marTop w:val="0"/>
      <w:marBottom w:val="0"/>
      <w:divBdr>
        <w:top w:val="none" w:sz="0" w:space="0" w:color="auto"/>
        <w:left w:val="none" w:sz="0" w:space="0" w:color="auto"/>
        <w:bottom w:val="none" w:sz="0" w:space="0" w:color="auto"/>
        <w:right w:val="none" w:sz="0" w:space="0" w:color="auto"/>
      </w:divBdr>
    </w:div>
    <w:div w:id="1880969899">
      <w:bodyDiv w:val="1"/>
      <w:marLeft w:val="0"/>
      <w:marRight w:val="0"/>
      <w:marTop w:val="0"/>
      <w:marBottom w:val="0"/>
      <w:divBdr>
        <w:top w:val="none" w:sz="0" w:space="0" w:color="auto"/>
        <w:left w:val="none" w:sz="0" w:space="0" w:color="auto"/>
        <w:bottom w:val="none" w:sz="0" w:space="0" w:color="auto"/>
        <w:right w:val="none" w:sz="0" w:space="0" w:color="auto"/>
      </w:divBdr>
      <w:divsChild>
        <w:div w:id="1955822328">
          <w:marLeft w:val="0"/>
          <w:marRight w:val="0"/>
          <w:marTop w:val="0"/>
          <w:marBottom w:val="0"/>
          <w:divBdr>
            <w:top w:val="none" w:sz="0" w:space="0" w:color="auto"/>
            <w:left w:val="none" w:sz="0" w:space="0" w:color="auto"/>
            <w:bottom w:val="none" w:sz="0" w:space="0" w:color="auto"/>
            <w:right w:val="none" w:sz="0" w:space="0" w:color="auto"/>
          </w:divBdr>
        </w:div>
      </w:divsChild>
    </w:div>
    <w:div w:id="1884907146">
      <w:bodyDiv w:val="1"/>
      <w:marLeft w:val="0"/>
      <w:marRight w:val="0"/>
      <w:marTop w:val="0"/>
      <w:marBottom w:val="0"/>
      <w:divBdr>
        <w:top w:val="none" w:sz="0" w:space="0" w:color="auto"/>
        <w:left w:val="none" w:sz="0" w:space="0" w:color="auto"/>
        <w:bottom w:val="none" w:sz="0" w:space="0" w:color="auto"/>
        <w:right w:val="none" w:sz="0" w:space="0" w:color="auto"/>
      </w:divBdr>
    </w:div>
    <w:div w:id="1892181986">
      <w:bodyDiv w:val="1"/>
      <w:marLeft w:val="0"/>
      <w:marRight w:val="0"/>
      <w:marTop w:val="0"/>
      <w:marBottom w:val="0"/>
      <w:divBdr>
        <w:top w:val="none" w:sz="0" w:space="0" w:color="auto"/>
        <w:left w:val="none" w:sz="0" w:space="0" w:color="auto"/>
        <w:bottom w:val="none" w:sz="0" w:space="0" w:color="auto"/>
        <w:right w:val="none" w:sz="0" w:space="0" w:color="auto"/>
      </w:divBdr>
    </w:div>
    <w:div w:id="1892961321">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0999177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19053707">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47079484">
      <w:bodyDiv w:val="1"/>
      <w:marLeft w:val="0"/>
      <w:marRight w:val="0"/>
      <w:marTop w:val="0"/>
      <w:marBottom w:val="0"/>
      <w:divBdr>
        <w:top w:val="none" w:sz="0" w:space="0" w:color="auto"/>
        <w:left w:val="none" w:sz="0" w:space="0" w:color="auto"/>
        <w:bottom w:val="none" w:sz="0" w:space="0" w:color="auto"/>
        <w:right w:val="none" w:sz="0" w:space="0" w:color="auto"/>
      </w:divBdr>
    </w:div>
    <w:div w:id="1950353117">
      <w:bodyDiv w:val="1"/>
      <w:marLeft w:val="0"/>
      <w:marRight w:val="0"/>
      <w:marTop w:val="0"/>
      <w:marBottom w:val="0"/>
      <w:divBdr>
        <w:top w:val="none" w:sz="0" w:space="0" w:color="auto"/>
        <w:left w:val="none" w:sz="0" w:space="0" w:color="auto"/>
        <w:bottom w:val="none" w:sz="0" w:space="0" w:color="auto"/>
        <w:right w:val="none" w:sz="0" w:space="0" w:color="auto"/>
      </w:divBdr>
    </w:div>
    <w:div w:id="1955018668">
      <w:bodyDiv w:val="1"/>
      <w:marLeft w:val="0"/>
      <w:marRight w:val="0"/>
      <w:marTop w:val="0"/>
      <w:marBottom w:val="0"/>
      <w:divBdr>
        <w:top w:val="none" w:sz="0" w:space="0" w:color="auto"/>
        <w:left w:val="none" w:sz="0" w:space="0" w:color="auto"/>
        <w:bottom w:val="none" w:sz="0" w:space="0" w:color="auto"/>
        <w:right w:val="none" w:sz="0" w:space="0" w:color="auto"/>
      </w:divBdr>
    </w:div>
    <w:div w:id="1958022247">
      <w:bodyDiv w:val="1"/>
      <w:marLeft w:val="0"/>
      <w:marRight w:val="0"/>
      <w:marTop w:val="0"/>
      <w:marBottom w:val="0"/>
      <w:divBdr>
        <w:top w:val="none" w:sz="0" w:space="0" w:color="auto"/>
        <w:left w:val="none" w:sz="0" w:space="0" w:color="auto"/>
        <w:bottom w:val="none" w:sz="0" w:space="0" w:color="auto"/>
        <w:right w:val="none" w:sz="0" w:space="0" w:color="auto"/>
      </w:divBdr>
    </w:div>
    <w:div w:id="1959874935">
      <w:bodyDiv w:val="1"/>
      <w:marLeft w:val="0"/>
      <w:marRight w:val="0"/>
      <w:marTop w:val="0"/>
      <w:marBottom w:val="0"/>
      <w:divBdr>
        <w:top w:val="none" w:sz="0" w:space="0" w:color="auto"/>
        <w:left w:val="none" w:sz="0" w:space="0" w:color="auto"/>
        <w:bottom w:val="none" w:sz="0" w:space="0" w:color="auto"/>
        <w:right w:val="none" w:sz="0" w:space="0" w:color="auto"/>
      </w:divBdr>
    </w:div>
    <w:div w:id="1973557034">
      <w:bodyDiv w:val="1"/>
      <w:marLeft w:val="0"/>
      <w:marRight w:val="0"/>
      <w:marTop w:val="0"/>
      <w:marBottom w:val="0"/>
      <w:divBdr>
        <w:top w:val="none" w:sz="0" w:space="0" w:color="auto"/>
        <w:left w:val="none" w:sz="0" w:space="0" w:color="auto"/>
        <w:bottom w:val="none" w:sz="0" w:space="0" w:color="auto"/>
        <w:right w:val="none" w:sz="0" w:space="0" w:color="auto"/>
      </w:divBdr>
    </w:div>
    <w:div w:id="1979265716">
      <w:bodyDiv w:val="1"/>
      <w:marLeft w:val="0"/>
      <w:marRight w:val="0"/>
      <w:marTop w:val="0"/>
      <w:marBottom w:val="0"/>
      <w:divBdr>
        <w:top w:val="none" w:sz="0" w:space="0" w:color="auto"/>
        <w:left w:val="none" w:sz="0" w:space="0" w:color="auto"/>
        <w:bottom w:val="none" w:sz="0" w:space="0" w:color="auto"/>
        <w:right w:val="none" w:sz="0" w:space="0" w:color="auto"/>
      </w:divBdr>
    </w:div>
    <w:div w:id="1986202391">
      <w:bodyDiv w:val="1"/>
      <w:marLeft w:val="0"/>
      <w:marRight w:val="0"/>
      <w:marTop w:val="0"/>
      <w:marBottom w:val="0"/>
      <w:divBdr>
        <w:top w:val="none" w:sz="0" w:space="0" w:color="auto"/>
        <w:left w:val="none" w:sz="0" w:space="0" w:color="auto"/>
        <w:bottom w:val="none" w:sz="0" w:space="0" w:color="auto"/>
        <w:right w:val="none" w:sz="0" w:space="0" w:color="auto"/>
      </w:divBdr>
    </w:div>
    <w:div w:id="1994216332">
      <w:bodyDiv w:val="1"/>
      <w:marLeft w:val="0"/>
      <w:marRight w:val="0"/>
      <w:marTop w:val="0"/>
      <w:marBottom w:val="0"/>
      <w:divBdr>
        <w:top w:val="none" w:sz="0" w:space="0" w:color="auto"/>
        <w:left w:val="none" w:sz="0" w:space="0" w:color="auto"/>
        <w:bottom w:val="none" w:sz="0" w:space="0" w:color="auto"/>
        <w:right w:val="none" w:sz="0" w:space="0" w:color="auto"/>
      </w:divBdr>
    </w:div>
    <w:div w:id="1998800595">
      <w:bodyDiv w:val="1"/>
      <w:marLeft w:val="0"/>
      <w:marRight w:val="0"/>
      <w:marTop w:val="0"/>
      <w:marBottom w:val="0"/>
      <w:divBdr>
        <w:top w:val="none" w:sz="0" w:space="0" w:color="auto"/>
        <w:left w:val="none" w:sz="0" w:space="0" w:color="auto"/>
        <w:bottom w:val="none" w:sz="0" w:space="0" w:color="auto"/>
        <w:right w:val="none" w:sz="0" w:space="0" w:color="auto"/>
      </w:divBdr>
    </w:div>
    <w:div w:id="2015841059">
      <w:bodyDiv w:val="1"/>
      <w:marLeft w:val="0"/>
      <w:marRight w:val="0"/>
      <w:marTop w:val="0"/>
      <w:marBottom w:val="0"/>
      <w:divBdr>
        <w:top w:val="none" w:sz="0" w:space="0" w:color="auto"/>
        <w:left w:val="none" w:sz="0" w:space="0" w:color="auto"/>
        <w:bottom w:val="none" w:sz="0" w:space="0" w:color="auto"/>
        <w:right w:val="none" w:sz="0" w:space="0" w:color="auto"/>
      </w:divBdr>
    </w:div>
    <w:div w:id="2024162893">
      <w:bodyDiv w:val="1"/>
      <w:marLeft w:val="0"/>
      <w:marRight w:val="0"/>
      <w:marTop w:val="0"/>
      <w:marBottom w:val="0"/>
      <w:divBdr>
        <w:top w:val="none" w:sz="0" w:space="0" w:color="auto"/>
        <w:left w:val="none" w:sz="0" w:space="0" w:color="auto"/>
        <w:bottom w:val="none" w:sz="0" w:space="0" w:color="auto"/>
        <w:right w:val="none" w:sz="0" w:space="0" w:color="auto"/>
      </w:divBdr>
    </w:div>
    <w:div w:id="2038264096">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52880807">
      <w:bodyDiv w:val="1"/>
      <w:marLeft w:val="0"/>
      <w:marRight w:val="0"/>
      <w:marTop w:val="0"/>
      <w:marBottom w:val="0"/>
      <w:divBdr>
        <w:top w:val="none" w:sz="0" w:space="0" w:color="auto"/>
        <w:left w:val="none" w:sz="0" w:space="0" w:color="auto"/>
        <w:bottom w:val="none" w:sz="0" w:space="0" w:color="auto"/>
        <w:right w:val="none" w:sz="0" w:space="0" w:color="auto"/>
      </w:divBdr>
    </w:div>
    <w:div w:id="2068451908">
      <w:bodyDiv w:val="1"/>
      <w:marLeft w:val="0"/>
      <w:marRight w:val="0"/>
      <w:marTop w:val="0"/>
      <w:marBottom w:val="0"/>
      <w:divBdr>
        <w:top w:val="none" w:sz="0" w:space="0" w:color="auto"/>
        <w:left w:val="none" w:sz="0" w:space="0" w:color="auto"/>
        <w:bottom w:val="none" w:sz="0" w:space="0" w:color="auto"/>
        <w:right w:val="none" w:sz="0" w:space="0" w:color="auto"/>
      </w:divBdr>
    </w:div>
    <w:div w:id="2073653595">
      <w:bodyDiv w:val="1"/>
      <w:marLeft w:val="0"/>
      <w:marRight w:val="0"/>
      <w:marTop w:val="0"/>
      <w:marBottom w:val="0"/>
      <w:divBdr>
        <w:top w:val="none" w:sz="0" w:space="0" w:color="auto"/>
        <w:left w:val="none" w:sz="0" w:space="0" w:color="auto"/>
        <w:bottom w:val="none" w:sz="0" w:space="0" w:color="auto"/>
        <w:right w:val="none" w:sz="0" w:space="0" w:color="auto"/>
      </w:divBdr>
      <w:divsChild>
        <w:div w:id="1315597759">
          <w:marLeft w:val="0"/>
          <w:marRight w:val="0"/>
          <w:marTop w:val="0"/>
          <w:marBottom w:val="0"/>
          <w:divBdr>
            <w:top w:val="none" w:sz="0" w:space="0" w:color="auto"/>
            <w:left w:val="none" w:sz="0" w:space="0" w:color="auto"/>
            <w:bottom w:val="none" w:sz="0" w:space="0" w:color="auto"/>
            <w:right w:val="none" w:sz="0" w:space="0" w:color="auto"/>
          </w:divBdr>
        </w:div>
      </w:divsChild>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092577895">
      <w:bodyDiv w:val="1"/>
      <w:marLeft w:val="0"/>
      <w:marRight w:val="0"/>
      <w:marTop w:val="0"/>
      <w:marBottom w:val="0"/>
      <w:divBdr>
        <w:top w:val="none" w:sz="0" w:space="0" w:color="auto"/>
        <w:left w:val="none" w:sz="0" w:space="0" w:color="auto"/>
        <w:bottom w:val="none" w:sz="0" w:space="0" w:color="auto"/>
        <w:right w:val="none" w:sz="0" w:space="0" w:color="auto"/>
      </w:divBdr>
    </w:div>
    <w:div w:id="2097240492">
      <w:bodyDiv w:val="1"/>
      <w:marLeft w:val="0"/>
      <w:marRight w:val="0"/>
      <w:marTop w:val="0"/>
      <w:marBottom w:val="0"/>
      <w:divBdr>
        <w:top w:val="none" w:sz="0" w:space="0" w:color="auto"/>
        <w:left w:val="none" w:sz="0" w:space="0" w:color="auto"/>
        <w:bottom w:val="none" w:sz="0" w:space="0" w:color="auto"/>
        <w:right w:val="none" w:sz="0" w:space="0" w:color="auto"/>
      </w:divBdr>
    </w:div>
    <w:div w:id="2107384443">
      <w:bodyDiv w:val="1"/>
      <w:marLeft w:val="0"/>
      <w:marRight w:val="0"/>
      <w:marTop w:val="0"/>
      <w:marBottom w:val="0"/>
      <w:divBdr>
        <w:top w:val="none" w:sz="0" w:space="0" w:color="auto"/>
        <w:left w:val="none" w:sz="0" w:space="0" w:color="auto"/>
        <w:bottom w:val="none" w:sz="0" w:space="0" w:color="auto"/>
        <w:right w:val="none" w:sz="0" w:space="0" w:color="auto"/>
      </w:divBdr>
    </w:div>
    <w:div w:id="2123449617">
      <w:bodyDiv w:val="1"/>
      <w:marLeft w:val="0"/>
      <w:marRight w:val="0"/>
      <w:marTop w:val="0"/>
      <w:marBottom w:val="0"/>
      <w:divBdr>
        <w:top w:val="none" w:sz="0" w:space="0" w:color="auto"/>
        <w:left w:val="none" w:sz="0" w:space="0" w:color="auto"/>
        <w:bottom w:val="none" w:sz="0" w:space="0" w:color="auto"/>
        <w:right w:val="none" w:sz="0" w:space="0" w:color="auto"/>
      </w:divBdr>
    </w:div>
    <w:div w:id="213971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jpeg"/><Relationship Id="rId26" Type="http://schemas.openxmlformats.org/officeDocument/2006/relationships/hyperlink" Target="https://diabetesatlas.org" TargetMode="External"/><Relationship Id="rId21" Type="http://schemas.openxmlformats.org/officeDocument/2006/relationships/image" Target="media/image9.png"/><Relationship Id="rId34" Type="http://schemas.openxmlformats.org/officeDocument/2006/relationships/hyperlink" Target="https://www.who.int"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hyperlink" Target="https://www.diabetes.org.uk" TargetMode="External"/><Relationship Id="rId33" Type="http://schemas.openxmlformats.org/officeDocument/2006/relationships/hyperlink" Target="https://www.who.int" TargetMode="External"/><Relationship Id="rId38"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hyperlink" Target="https://www.nice.org.uk/guidance/ng2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irmingham.gov.uk" TargetMode="External"/><Relationship Id="rId32" Type="http://schemas.openxmlformats.org/officeDocument/2006/relationships/hyperlink" Target="https://fingertips.phe.org.uk"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hyperlink" Target="https://diabetesatlas.or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longtermplan.nhs.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530/JOE-21-0067" TargetMode="External"/><Relationship Id="rId22" Type="http://schemas.openxmlformats.org/officeDocument/2006/relationships/image" Target="media/image10.png"/><Relationship Id="rId27" Type="http://schemas.openxmlformats.org/officeDocument/2006/relationships/hyperlink" Target="https://www.nice.org.uk/guidance/ng28" TargetMode="External"/><Relationship Id="rId30" Type="http://schemas.openxmlformats.org/officeDocument/2006/relationships/hyperlink" Target="https://digital.nhs.uk" TargetMode="External"/><Relationship Id="rId35" Type="http://schemas.openxmlformats.org/officeDocument/2006/relationships/hyperlink" Target="https://www.who.int/health-topics/social-determinants-of-health"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3076a606cb8a286f1cc1e9a1f529ef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ebc69fb787dbb025fd386319b9b7f10d"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432B015-B21E-4DFC-A1C4-5DF97D20F77A}">
  <ds:schemaRefs>
    <ds:schemaRef ds:uri="http://schemas.microsoft.com/sharepoint/v3/contenttype/forms"/>
  </ds:schemaRefs>
</ds:datastoreItem>
</file>

<file path=customXml/itemProps2.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B37BB6CA-91FA-4C74-95CF-633DDDEDBEDA}">
  <ds:schemaRefs>
    <ds:schemaRef ds:uri="http://schemas.microsoft.com/office/2006/metadata/properties"/>
    <ds:schemaRef ds:uri="http://www.w3.org/2000/xmlns/"/>
    <ds:schemaRef ds:uri="ad7316b1-23f1-480c-8fa6-cbf037f4db9c"/>
    <ds:schemaRef ds:uri="http://www.w3.org/2001/XMLSchema-instance"/>
  </ds:schemaRefs>
</ds:datastoreItem>
</file>

<file path=customXml/itemProps4.xml><?xml version="1.0" encoding="utf-8"?>
<ds:datastoreItem xmlns:ds="http://schemas.openxmlformats.org/officeDocument/2006/customXml" ds:itemID="{169CFDD2-7793-4B72-8424-79D09FC09C25}">
  <ds:schemaRefs>
    <ds:schemaRef ds:uri="http://schemas.microsoft.com/office/2006/metadata/contentType"/>
    <ds:schemaRef ds:uri="http://schemas.microsoft.com/office/2006/metadata/properties/metaAttributes"/>
    <ds:schemaRef ds:uri="http://www.w3.org/2000/xmlns/"/>
    <ds:schemaRef ds:uri="http://www.w3.org/2001/XMLSchema"/>
    <ds:schemaRef ds:uri="ad7316b1-23f1-480c-8fa6-cbf037f4db9c"/>
    <ds:schemaRef ds:uri="bd2b2a82-bc2e-4fcc-b8ad-fd63686c78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16124</Words>
  <Characters>91910</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Shamaila Sakhawat (2309140)</cp:lastModifiedBy>
  <cp:revision>2</cp:revision>
  <dcterms:created xsi:type="dcterms:W3CDTF">2026-07-25T02:23:00Z</dcterms:created>
  <dcterms:modified xsi:type="dcterms:W3CDTF">2026-07-25T02:23:00Z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