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F53BA2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1433C">
        <w:rPr>
          <w:rFonts w:asciiTheme="minorBidi" w:hAnsiTheme="minorBidi"/>
          <w:sz w:val="28"/>
          <w:szCs w:val="28"/>
        </w:rPr>
        <w:t>Teodora Stoyanova Ganchevska</w:t>
      </w:r>
    </w:p>
    <w:p w14:paraId="485B6F49" w14:textId="1737249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1433C">
        <w:rPr>
          <w:rFonts w:asciiTheme="minorBidi" w:hAnsiTheme="minorBidi"/>
          <w:sz w:val="28"/>
          <w:szCs w:val="28"/>
        </w:rPr>
        <w:t>2532550</w:t>
      </w:r>
    </w:p>
    <w:p w14:paraId="3C1E7A20" w14:textId="72986F8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55606" w:rsidRPr="00C55606">
        <w:rPr>
          <w:rFonts w:asciiTheme="minorBidi" w:hAnsiTheme="minorBidi"/>
          <w:sz w:val="28"/>
          <w:szCs w:val="28"/>
        </w:rPr>
        <w:t>LCHS4001</w:t>
      </w:r>
    </w:p>
    <w:p w14:paraId="4EEB2DA3" w14:textId="26E22D8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55606" w:rsidRPr="00C55606">
        <w:rPr>
          <w:rFonts w:asciiTheme="minorBidi" w:hAnsiTheme="minorBidi"/>
          <w:sz w:val="28"/>
          <w:szCs w:val="28"/>
        </w:rPr>
        <w:t xml:space="preserve">Academic and Employability </w:t>
      </w:r>
      <w:r w:rsidR="00C55606">
        <w:rPr>
          <w:rFonts w:asciiTheme="minorBidi" w:hAnsiTheme="minorBidi"/>
          <w:sz w:val="28"/>
          <w:szCs w:val="28"/>
        </w:rPr>
        <w:t>Skills</w:t>
      </w:r>
    </w:p>
    <w:p w14:paraId="112342CB" w14:textId="049716E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55606">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7E817B09" w14:textId="79FA6A5A" w:rsidR="00A035CD" w:rsidRPr="00301632" w:rsidRDefault="002E71BA" w:rsidP="00301632">
      <w:pPr>
        <w:rPr>
          <w:b/>
          <w:bCs/>
          <w:sz w:val="28"/>
          <w:szCs w:val="28"/>
        </w:rPr>
      </w:pPr>
      <w:r w:rsidRPr="00242974">
        <w:rPr>
          <w:b/>
          <w:bCs/>
          <w:sz w:val="21"/>
          <w:szCs w:val="21"/>
        </w:rPr>
        <w:br w:type="page"/>
      </w:r>
      <w:bookmarkStart w:id="0" w:name="_Toc695233283"/>
      <w:r w:rsidR="00AA77C8" w:rsidRPr="00301632">
        <w:rPr>
          <w:color w:val="4471C4"/>
          <w:sz w:val="28"/>
          <w:szCs w:val="28"/>
        </w:rPr>
        <w:lastRenderedPageBreak/>
        <w:t>1</w:t>
      </w:r>
      <w:r w:rsidR="00500295" w:rsidRPr="00301632">
        <w:rPr>
          <w:color w:val="4471C4"/>
          <w:sz w:val="28"/>
          <w:szCs w:val="28"/>
        </w:rPr>
        <w:t xml:space="preserve">.1 </w:t>
      </w:r>
      <w:r w:rsidR="00A035CD" w:rsidRPr="00301632">
        <w:rPr>
          <w:color w:val="4471C4"/>
          <w:sz w:val="28"/>
          <w:szCs w:val="28"/>
        </w:rPr>
        <w:t>Introduction</w:t>
      </w:r>
      <w:bookmarkEnd w:id="0"/>
    </w:p>
    <w:p w14:paraId="4CC61BC1" w14:textId="66508C36" w:rsidR="00F36ADC" w:rsidRDefault="00813954" w:rsidP="00813954">
      <w:pPr>
        <w:spacing w:after="0" w:line="360" w:lineRule="auto"/>
        <w:rPr>
          <w:sz w:val="22"/>
        </w:rPr>
      </w:pPr>
      <w:r w:rsidRPr="00813954">
        <w:rPr>
          <w:rFonts w:ascii="Arial" w:hAnsi="Arial" w:cs="Arial"/>
          <w:sz w:val="22"/>
        </w:rPr>
        <w:t xml:space="preserve">Provision of safe, effective, person-centred care across health and social care services depends on the contributions of several different role types, and nursing is one of the most important positions, which is responsible for ensuring individuals receive support for their physical, emotional and social wellbeing, and working across </w:t>
      </w:r>
      <w:proofErr w:type="gramStart"/>
      <w:r w:rsidRPr="00813954">
        <w:rPr>
          <w:rFonts w:ascii="Arial" w:hAnsi="Arial" w:cs="Arial"/>
          <w:sz w:val="22"/>
        </w:rPr>
        <w:t>the majority of</w:t>
      </w:r>
      <w:proofErr w:type="gramEnd"/>
      <w:r w:rsidRPr="00813954">
        <w:rPr>
          <w:rFonts w:ascii="Arial" w:hAnsi="Arial" w:cs="Arial"/>
          <w:sz w:val="22"/>
        </w:rPr>
        <w:t xml:space="preserve"> healthcare settings. I will write about nursing by examining their role in health and social care, the importance of that role, their responsibilities and skillsets. I will then discuss key skills of the role and ways to develop these skills. I will conclude with a summary of my points</w:t>
      </w:r>
      <w:r w:rsidRPr="00813954">
        <w:rPr>
          <w:sz w:val="22"/>
        </w:rPr>
        <w:t>.</w:t>
      </w:r>
    </w:p>
    <w:p w14:paraId="66B28E1A" w14:textId="77777777" w:rsidR="00813954" w:rsidRPr="00242974" w:rsidRDefault="00813954" w:rsidP="00813954">
      <w:pPr>
        <w:spacing w:after="0" w:line="360" w:lineRule="auto"/>
        <w:rPr>
          <w:sz w:val="22"/>
        </w:rPr>
      </w:pPr>
    </w:p>
    <w:p w14:paraId="64F36E68" w14:textId="6433DD38" w:rsidR="3C659699" w:rsidRDefault="3C659699" w:rsidP="0CF501EC">
      <w:pPr>
        <w:pStyle w:val="Heading2"/>
        <w:rPr>
          <w:color w:val="4472C4" w:themeColor="accent1"/>
        </w:rPr>
      </w:pPr>
      <w:bookmarkStart w:id="1" w:name="_Toc1915621813"/>
      <w:r w:rsidRPr="0CF501EC">
        <w:rPr>
          <w:color w:val="4471C4"/>
        </w:rPr>
        <w:t xml:space="preserve">2 </w:t>
      </w:r>
      <w:r w:rsidR="000D730F">
        <w:rPr>
          <w:color w:val="4471C4"/>
        </w:rPr>
        <w:t>Nurse Role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05054A7F"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D730F">
        <w:rPr>
          <w:color w:val="4471C4"/>
        </w:rPr>
        <w:t>Nurse Role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0E9E13F0" w14:textId="0EEBD3D7" w:rsidR="0156E134" w:rsidRDefault="0156E134" w:rsidP="0156E134">
      <w:pPr>
        <w:pStyle w:val="ListParagraph"/>
        <w:spacing w:after="0" w:line="240" w:lineRule="auto"/>
        <w:jc w:val="both"/>
        <w:rPr>
          <w:sz w:val="22"/>
        </w:rPr>
      </w:pPr>
    </w:p>
    <w:p w14:paraId="77FECA61" w14:textId="77777777" w:rsidR="005A1DE3" w:rsidRDefault="005A1DE3" w:rsidP="0156E134">
      <w:pPr>
        <w:spacing w:after="0" w:line="240" w:lineRule="auto"/>
        <w:jc w:val="both"/>
        <w:rPr>
          <w:sz w:val="22"/>
        </w:rPr>
      </w:pPr>
    </w:p>
    <w:p w14:paraId="377290DB" w14:textId="77777777" w:rsidR="00D659A2" w:rsidRPr="00434740" w:rsidRDefault="00D659A2" w:rsidP="00434740">
      <w:pPr>
        <w:spacing w:after="0" w:line="360" w:lineRule="auto"/>
        <w:jc w:val="both"/>
        <w:rPr>
          <w:rFonts w:ascii="Arial" w:hAnsi="Arial" w:cs="Arial"/>
          <w:sz w:val="22"/>
        </w:rPr>
      </w:pPr>
      <w:r w:rsidRPr="00434740">
        <w:rPr>
          <w:rFonts w:ascii="Arial" w:hAnsi="Arial" w:cs="Arial"/>
          <w:sz w:val="22"/>
        </w:rPr>
        <w:t>Nursing professionals provide an essential service to the overall health and safety of patients through their active participation within both the community and hospital systems, as well as within residential and long-term care settings. Nurses are generally considered the initial point of access for patients and typically the provider who remains in contact with patients throughout their experience with a health system, from initial contact to discharge.</w:t>
      </w:r>
    </w:p>
    <w:p w14:paraId="412BE2D2" w14:textId="77777777" w:rsidR="00D659A2" w:rsidRPr="00434740" w:rsidRDefault="00D659A2" w:rsidP="00434740">
      <w:pPr>
        <w:spacing w:after="0" w:line="360" w:lineRule="auto"/>
        <w:jc w:val="both"/>
        <w:rPr>
          <w:rFonts w:ascii="Arial" w:hAnsi="Arial" w:cs="Arial"/>
          <w:sz w:val="22"/>
        </w:rPr>
      </w:pPr>
      <w:r w:rsidRPr="00434740">
        <w:rPr>
          <w:rFonts w:ascii="Arial" w:hAnsi="Arial" w:cs="Arial"/>
          <w:sz w:val="22"/>
        </w:rPr>
        <w:t> </w:t>
      </w:r>
    </w:p>
    <w:p w14:paraId="4BA97425" w14:textId="77777777" w:rsidR="00D659A2" w:rsidRPr="00434740" w:rsidRDefault="00D659A2" w:rsidP="00434740">
      <w:pPr>
        <w:spacing w:after="0" w:line="360" w:lineRule="auto"/>
        <w:jc w:val="both"/>
        <w:rPr>
          <w:rFonts w:ascii="Arial" w:hAnsi="Arial" w:cs="Arial"/>
          <w:sz w:val="22"/>
        </w:rPr>
      </w:pPr>
      <w:r w:rsidRPr="00434740">
        <w:rPr>
          <w:rFonts w:ascii="Arial" w:hAnsi="Arial" w:cs="Arial"/>
          <w:sz w:val="22"/>
        </w:rPr>
        <w:t>A nurse's role includes assessing patient needs; checking vital signs and other health measures; administering medication; and helping patients with their daily activities, including moving, taking a bath, and mobilisation. The nurse develops, implements nursing care plans, documents accurately, and collaborates with other members of the health care team. The nurse supports patients and families via kind words and deeds when caring for difficult patients.</w:t>
      </w:r>
    </w:p>
    <w:p w14:paraId="3ED991D3" w14:textId="77777777" w:rsidR="00D659A2" w:rsidRPr="00434740" w:rsidRDefault="00D659A2" w:rsidP="00434740">
      <w:pPr>
        <w:spacing w:after="0" w:line="360" w:lineRule="auto"/>
        <w:jc w:val="both"/>
        <w:rPr>
          <w:rFonts w:ascii="Arial" w:hAnsi="Arial" w:cs="Arial"/>
          <w:sz w:val="22"/>
        </w:rPr>
      </w:pPr>
      <w:r w:rsidRPr="00434740">
        <w:rPr>
          <w:rFonts w:ascii="Arial" w:hAnsi="Arial" w:cs="Arial"/>
          <w:sz w:val="22"/>
        </w:rPr>
        <w:t> </w:t>
      </w:r>
    </w:p>
    <w:p w14:paraId="3BBC1216" w14:textId="77777777" w:rsidR="00D659A2" w:rsidRPr="00434740" w:rsidRDefault="00D659A2" w:rsidP="00434740">
      <w:pPr>
        <w:spacing w:after="0" w:line="360" w:lineRule="auto"/>
        <w:jc w:val="both"/>
        <w:rPr>
          <w:rFonts w:ascii="Arial" w:hAnsi="Arial" w:cs="Arial"/>
          <w:sz w:val="22"/>
        </w:rPr>
      </w:pPr>
      <w:r w:rsidRPr="00434740">
        <w:rPr>
          <w:rFonts w:ascii="Arial" w:hAnsi="Arial" w:cs="Arial"/>
          <w:sz w:val="22"/>
        </w:rPr>
        <w:t>A nurse who provides care to people will need both clinical skills and interpersonal skills, such as good communication, teamwork, consensus-building, problem-solving, attention to detail, compassion, and many others. This nurse needs to be aware of their role in ensuring that the patient receives care in a safe and dignified manner</w:t>
      </w:r>
    </w:p>
    <w:p w14:paraId="1CB8B0F1" w14:textId="34C40497" w:rsidR="0156E134" w:rsidRDefault="0156E134" w:rsidP="0156E134">
      <w:pPr>
        <w:spacing w:after="0" w:line="240" w:lineRule="auto"/>
        <w:jc w:val="both"/>
        <w:rPr>
          <w:sz w:val="22"/>
        </w:rPr>
      </w:pPr>
    </w:p>
    <w:p w14:paraId="4010C35E" w14:textId="750BAEC9"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B6112">
        <w:rPr>
          <w:color w:val="4471C4"/>
        </w:rPr>
        <w:t>Nurse Role</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5907564C" w14:textId="77777777" w:rsidR="00D34CEE" w:rsidRDefault="00D34CEE" w:rsidP="0156E134">
      <w:pPr>
        <w:spacing w:after="0" w:line="240" w:lineRule="auto"/>
        <w:jc w:val="both"/>
        <w:rPr>
          <w:sz w:val="22"/>
        </w:rPr>
      </w:pPr>
    </w:p>
    <w:p w14:paraId="0A309C42" w14:textId="366C320B" w:rsidR="00D34CEE" w:rsidRPr="00434740" w:rsidRDefault="005A196B" w:rsidP="00434740">
      <w:pPr>
        <w:spacing w:after="0" w:line="360" w:lineRule="auto"/>
        <w:jc w:val="both"/>
        <w:rPr>
          <w:rFonts w:ascii="Arial" w:hAnsi="Arial" w:cs="Arial"/>
          <w:sz w:val="22"/>
        </w:rPr>
      </w:pPr>
      <w:r w:rsidRPr="00434740">
        <w:rPr>
          <w:rFonts w:ascii="Arial" w:hAnsi="Arial" w:cs="Arial"/>
          <w:sz w:val="22"/>
        </w:rPr>
        <w:t xml:space="preserve">Nurses’ communication skills. This is an important competence of nursing because it touches on every other area of the nurse’s work, applying to those to whom she nurses and to other </w:t>
      </w:r>
      <w:r w:rsidRPr="00434740">
        <w:rPr>
          <w:rFonts w:ascii="Arial" w:hAnsi="Arial" w:cs="Arial"/>
          <w:sz w:val="22"/>
        </w:rPr>
        <w:lastRenderedPageBreak/>
        <w:t>personnel. Rightly delivered messages are necessary for the nurse to obtain data from the patient, to inform the patient of the necessity for the procedure being carried out, and to help gain rapport with the patient. It is one part of the nurse’s work in which more clearly the chances of a medication error are less, and patient compliance is” improved. The Committee of Nursing and Midwifery (2018) lists communication as one of the vital professional responsibilities owing to its importance for patient safety, as well as for the quality of the patient experience. Good communication by nurses assists team building and the efficiency of patient care.</w:t>
      </w:r>
    </w:p>
    <w:p w14:paraId="3F207542" w14:textId="77777777" w:rsidR="005A196B" w:rsidRPr="00D34CEE" w:rsidRDefault="005A196B" w:rsidP="00434740">
      <w:pPr>
        <w:spacing w:after="0" w:line="360" w:lineRule="auto"/>
        <w:jc w:val="both"/>
        <w:rPr>
          <w:rFonts w:ascii="Arial" w:hAnsi="Arial" w:cs="Arial"/>
          <w:sz w:val="22"/>
        </w:rPr>
      </w:pPr>
    </w:p>
    <w:p w14:paraId="66F425E9" w14:textId="17FBD804" w:rsidR="004F116B" w:rsidRDefault="00263392" w:rsidP="00434740">
      <w:pPr>
        <w:spacing w:after="0" w:line="360" w:lineRule="auto"/>
        <w:jc w:val="both"/>
        <w:rPr>
          <w:rFonts w:ascii="Arial" w:hAnsi="Arial" w:cs="Arial"/>
          <w:sz w:val="22"/>
        </w:rPr>
      </w:pPr>
      <w:r w:rsidRPr="00263392">
        <w:rPr>
          <w:rFonts w:ascii="Arial" w:hAnsi="Arial" w:cs="Arial"/>
          <w:sz w:val="22"/>
        </w:rPr>
        <w:t xml:space="preserve">A vital skill in nursing is clinical competence, which ensures that nursing professionals practice </w:t>
      </w:r>
      <w:r w:rsidR="00EA5BD8">
        <w:rPr>
          <w:rFonts w:ascii="Arial" w:hAnsi="Arial" w:cs="Arial"/>
          <w:sz w:val="22"/>
        </w:rPr>
        <w:t>safely and effectively</w:t>
      </w:r>
      <w:r w:rsidRPr="00263392">
        <w:rPr>
          <w:rFonts w:ascii="Arial" w:hAnsi="Arial" w:cs="Arial"/>
          <w:sz w:val="22"/>
        </w:rPr>
        <w:t>. Clinical competence refers to the knowledge and skills necessary for the safe administration of drugs, use of devices, and detection of changes in a patient’s condition. Prompt recognition of abnormal vital signs may lead to corrective intervention</w:t>
      </w:r>
      <w:r w:rsidR="00EA5BD8">
        <w:rPr>
          <w:rFonts w:ascii="Arial" w:hAnsi="Arial" w:cs="Arial"/>
          <w:sz w:val="22"/>
        </w:rPr>
        <w:t>, which may avert</w:t>
      </w:r>
      <w:r w:rsidRPr="00263392">
        <w:rPr>
          <w:rFonts w:ascii="Arial" w:hAnsi="Arial" w:cs="Arial"/>
          <w:sz w:val="22"/>
        </w:rPr>
        <w:t xml:space="preserve"> disaster. Benner (1984) describes stages in the growth of clinical competence, through experience and education, whereby nurses evolve from infant novices to masters. Improvements in clinical competence result in more refined care and fewer errors</w:t>
      </w:r>
      <w:r>
        <w:rPr>
          <w:rFonts w:ascii="Arial" w:hAnsi="Arial" w:cs="Arial"/>
          <w:sz w:val="22"/>
        </w:rPr>
        <w:t>.</w:t>
      </w:r>
    </w:p>
    <w:p w14:paraId="763B27FF" w14:textId="77777777" w:rsidR="00263392" w:rsidRPr="00434740" w:rsidRDefault="00263392" w:rsidP="00434740">
      <w:pPr>
        <w:spacing w:after="0" w:line="360" w:lineRule="auto"/>
        <w:jc w:val="both"/>
        <w:rPr>
          <w:rFonts w:ascii="Arial" w:hAnsi="Arial" w:cs="Arial"/>
          <w:sz w:val="22"/>
        </w:rPr>
      </w:pPr>
    </w:p>
    <w:p w14:paraId="76E6F22C" w14:textId="34AFDB6C" w:rsidR="0017311E" w:rsidRPr="00434740" w:rsidRDefault="004F116B" w:rsidP="00434740">
      <w:pPr>
        <w:spacing w:after="0" w:line="360" w:lineRule="auto"/>
        <w:jc w:val="both"/>
        <w:rPr>
          <w:rFonts w:ascii="Arial" w:hAnsi="Arial" w:cs="Arial"/>
          <w:sz w:val="22"/>
        </w:rPr>
      </w:pPr>
      <w:r w:rsidRPr="004F116B">
        <w:rPr>
          <w:rFonts w:ascii="Arial" w:hAnsi="Arial" w:cs="Arial"/>
          <w:sz w:val="22"/>
        </w:rPr>
        <w:t xml:space="preserve">Collaboration is key to healthcare services. Nurses work closely with many other professional teams and must collaborate with colleagues from other disciplines, including physicians and support staff, using the same language to ensure comprehensive and coordinated patient care. Effective communication during patient handover is crucial for continuity of care. The World Health </w:t>
      </w:r>
      <w:r w:rsidRPr="00434740">
        <w:rPr>
          <w:rFonts w:ascii="Arial" w:hAnsi="Arial" w:cs="Arial"/>
          <w:sz w:val="22"/>
        </w:rPr>
        <w:t>Organisation</w:t>
      </w:r>
      <w:r w:rsidRPr="004F116B">
        <w:rPr>
          <w:rFonts w:ascii="Arial" w:hAnsi="Arial" w:cs="Arial"/>
          <w:sz w:val="22"/>
        </w:rPr>
        <w:t xml:space="preserve"> (WHO, 20</w:t>
      </w:r>
      <w:r w:rsidR="00E1433C">
        <w:rPr>
          <w:rFonts w:ascii="Arial" w:hAnsi="Arial" w:cs="Arial"/>
          <w:sz w:val="22"/>
        </w:rPr>
        <w:t>23</w:t>
      </w:r>
      <w:r w:rsidRPr="004F116B">
        <w:rPr>
          <w:rFonts w:ascii="Arial" w:hAnsi="Arial" w:cs="Arial"/>
          <w:sz w:val="22"/>
        </w:rPr>
        <w:t>) states that effective teams improve patient safety and reduce the risk of adverse events. Developing collaborative teams creates a supportive work environment for staff and positively impacts their productivity and overall well-being.</w:t>
      </w:r>
    </w:p>
    <w:p w14:paraId="1167E38D" w14:textId="77777777" w:rsidR="0017311E" w:rsidRPr="00434740" w:rsidRDefault="0017311E" w:rsidP="00434740">
      <w:pPr>
        <w:spacing w:after="0" w:line="360" w:lineRule="auto"/>
        <w:jc w:val="both"/>
        <w:rPr>
          <w:rFonts w:ascii="Arial" w:hAnsi="Arial" w:cs="Arial"/>
          <w:sz w:val="22"/>
        </w:rPr>
      </w:pPr>
    </w:p>
    <w:p w14:paraId="39C67906" w14:textId="206A0134" w:rsidR="0017311E" w:rsidRPr="00434740" w:rsidRDefault="0017311E" w:rsidP="00434740">
      <w:pPr>
        <w:spacing w:after="0" w:line="360" w:lineRule="auto"/>
        <w:jc w:val="both"/>
        <w:rPr>
          <w:rFonts w:ascii="Arial" w:hAnsi="Arial" w:cs="Arial"/>
          <w:sz w:val="22"/>
        </w:rPr>
      </w:pPr>
      <w:r w:rsidRPr="00434740">
        <w:rPr>
          <w:rFonts w:ascii="Arial" w:hAnsi="Arial" w:cs="Arial"/>
          <w:sz w:val="22"/>
        </w:rPr>
        <w:t>The deficiency of communication, clinical competence and collaboration skill</w:t>
      </w:r>
      <w:r w:rsidR="00194F1C" w:rsidRPr="00434740">
        <w:rPr>
          <w:rFonts w:ascii="Arial" w:hAnsi="Arial" w:cs="Arial"/>
          <w:sz w:val="22"/>
        </w:rPr>
        <w:t xml:space="preserve">s </w:t>
      </w:r>
      <w:r w:rsidRPr="00434740">
        <w:rPr>
          <w:rFonts w:ascii="Arial" w:hAnsi="Arial" w:cs="Arial"/>
          <w:sz w:val="22"/>
        </w:rPr>
        <w:t xml:space="preserve">in </w:t>
      </w:r>
      <w:r w:rsidR="00434740" w:rsidRPr="00434740">
        <w:rPr>
          <w:rFonts w:ascii="Arial" w:hAnsi="Arial" w:cs="Arial"/>
          <w:sz w:val="22"/>
        </w:rPr>
        <w:t xml:space="preserve">the </w:t>
      </w:r>
      <w:r w:rsidRPr="00434740">
        <w:rPr>
          <w:rFonts w:ascii="Arial" w:hAnsi="Arial" w:cs="Arial"/>
          <w:sz w:val="22"/>
        </w:rPr>
        <w:t>nurse role can potentially affect patient care and safety</w:t>
      </w:r>
      <w:r w:rsidR="00434740" w:rsidRPr="00434740">
        <w:rPr>
          <w:rFonts w:ascii="Arial" w:hAnsi="Arial" w:cs="Arial"/>
          <w:sz w:val="22"/>
        </w:rPr>
        <w:t>.</w:t>
      </w:r>
    </w:p>
    <w:p w14:paraId="73941BA9" w14:textId="4B49C04D" w:rsidR="00434740" w:rsidRPr="004F116B" w:rsidRDefault="00434740" w:rsidP="00434740">
      <w:pPr>
        <w:spacing w:after="0" w:line="360" w:lineRule="auto"/>
        <w:jc w:val="both"/>
        <w:rPr>
          <w:rFonts w:ascii="Arial" w:hAnsi="Arial" w:cs="Arial"/>
          <w:sz w:val="22"/>
        </w:rPr>
      </w:pPr>
      <w:r w:rsidRPr="00434740">
        <w:rPr>
          <w:rFonts w:ascii="Arial" w:hAnsi="Arial" w:cs="Arial"/>
          <w:sz w:val="22"/>
        </w:rPr>
        <w:t>Without the ability to communicate well, patients may not understand the directions given to them; this can result in miscommunication, inappropriate treatment, and unhappy patients. When a nurse lacks clinical competence, they may also make mistakes when providing care and reduce the quality of care provided. Inadequate teamwork between nurses and others may create a lack of effective care and increase the risk of harm to patients. These concerns highlight the necessity of acquiring and maintaining essential nursing skills to provide safe and effective care.</w:t>
      </w:r>
    </w:p>
    <w:p w14:paraId="23442E6C" w14:textId="77777777" w:rsidR="004F116B" w:rsidRPr="004F116B" w:rsidRDefault="004F116B" w:rsidP="004F116B">
      <w:pPr>
        <w:spacing w:after="0" w:line="240" w:lineRule="auto"/>
        <w:jc w:val="both"/>
        <w:rPr>
          <w:sz w:val="22"/>
        </w:rPr>
      </w:pPr>
    </w:p>
    <w:p w14:paraId="05CA3D18" w14:textId="77777777" w:rsidR="007D3C13" w:rsidRDefault="007D3C13" w:rsidP="0156E134">
      <w:pPr>
        <w:spacing w:after="0" w:line="240" w:lineRule="auto"/>
        <w:jc w:val="both"/>
        <w:rPr>
          <w:sz w:val="22"/>
        </w:rPr>
      </w:pPr>
    </w:p>
    <w:p w14:paraId="2CAEA1EC" w14:textId="6FAD7ED7" w:rsidR="002370CE" w:rsidRPr="002976D4" w:rsidRDefault="1F09BC6E" w:rsidP="0CF501EC">
      <w:pPr>
        <w:pStyle w:val="Heading2"/>
        <w:rPr>
          <w:color w:val="4472C4" w:themeColor="accent1"/>
        </w:rPr>
      </w:pPr>
      <w:bookmarkStart w:id="4" w:name="_Toc992114325"/>
      <w:r w:rsidRPr="0CF501EC">
        <w:rPr>
          <w:color w:val="4471C4"/>
        </w:rPr>
        <w:lastRenderedPageBreak/>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E1433C">
        <w:rPr>
          <w:color w:val="4471C4"/>
        </w:rPr>
        <w:t>the Nurse Role</w:t>
      </w:r>
    </w:p>
    <w:p w14:paraId="01C49510" w14:textId="5C57295F"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w:t>
      </w:r>
      <w:bookmarkEnd w:id="5"/>
      <w:r w:rsidR="00E1433C">
        <w:rPr>
          <w:color w:val="4471C4"/>
        </w:rPr>
        <w:t xml:space="preserve"> Nurse Role</w:t>
      </w:r>
    </w:p>
    <w:p w14:paraId="2204D933" w14:textId="77777777" w:rsidR="00813954" w:rsidRDefault="00813954" w:rsidP="00813954"/>
    <w:p w14:paraId="33CD858B" w14:textId="77777777" w:rsidR="00813954" w:rsidRPr="00813954" w:rsidRDefault="00813954" w:rsidP="00813954">
      <w:pPr>
        <w:spacing w:line="360" w:lineRule="auto"/>
        <w:rPr>
          <w:rFonts w:ascii="Arial" w:hAnsi="Arial" w:cs="Arial"/>
          <w:sz w:val="22"/>
        </w:rPr>
      </w:pPr>
      <w:r w:rsidRPr="00813954">
        <w:rPr>
          <w:rFonts w:ascii="Arial" w:hAnsi="Arial" w:cs="Arial"/>
          <w:sz w:val="22"/>
        </w:rPr>
        <w:t>One of the best ways to improve nurses' ability to communicate well is through training that involves simulation, where a structured communication model (like SBAR, which stands for Situation, Background, Assessment, Recommendation) can be used. While participating in realistic clinical scenarios under controlled conditions, nurses become better prepared to communicate clearly and confidently. An example of an effective simulation-based practice and tool that can be used to improve communication clarity and reduce the risk of error during patient handover is SBAR. In research conducted by Haig (2006), it has been shown that using structured communication tools to communicate improves information transfer and keeps patients safe.</w:t>
      </w:r>
    </w:p>
    <w:p w14:paraId="6E88F2BF" w14:textId="77777777" w:rsidR="00813954" w:rsidRPr="00813954" w:rsidRDefault="00813954" w:rsidP="00813954">
      <w:pPr>
        <w:spacing w:line="360" w:lineRule="auto"/>
        <w:rPr>
          <w:rFonts w:ascii="Arial" w:hAnsi="Arial" w:cs="Arial"/>
          <w:sz w:val="22"/>
        </w:rPr>
      </w:pPr>
    </w:p>
    <w:p w14:paraId="16D56DA5" w14:textId="77777777" w:rsidR="00813954" w:rsidRPr="00813954" w:rsidRDefault="00813954" w:rsidP="00813954">
      <w:pPr>
        <w:spacing w:line="360" w:lineRule="auto"/>
        <w:rPr>
          <w:rFonts w:ascii="Arial" w:hAnsi="Arial" w:cs="Arial"/>
          <w:sz w:val="22"/>
        </w:rPr>
      </w:pPr>
      <w:r w:rsidRPr="00813954">
        <w:rPr>
          <w:rFonts w:ascii="Arial" w:hAnsi="Arial" w:cs="Arial"/>
          <w:sz w:val="22"/>
        </w:rPr>
        <w:t>Continuing professional development (CPD) helps support clinical skills through a variety of ways, including attending classes, attending workshops and participating in hands-on activities. By taking part in these activities through CPD, nurses can stay up to date with new procedures and new policies, as well as keep up with technology changes that produce better results within the profession. An example of this is how nurses constantly need new training in medication administration and infection control, which helps to ensure the highest quality of care. The Royal College of Nursing (2020) has emphasised the importance of continuing professional development to maintain continuing professional competence and improve patient outcomes.</w:t>
      </w:r>
    </w:p>
    <w:p w14:paraId="14DC07EB" w14:textId="77777777" w:rsidR="00813954" w:rsidRPr="00813954" w:rsidRDefault="00813954" w:rsidP="00813954">
      <w:pPr>
        <w:spacing w:line="360" w:lineRule="auto"/>
        <w:rPr>
          <w:rFonts w:ascii="Arial" w:hAnsi="Arial" w:cs="Arial"/>
          <w:sz w:val="22"/>
        </w:rPr>
      </w:pPr>
    </w:p>
    <w:p w14:paraId="582885F5" w14:textId="77777777" w:rsidR="00813954" w:rsidRPr="00813954" w:rsidRDefault="00813954" w:rsidP="00813954">
      <w:pPr>
        <w:spacing w:line="360" w:lineRule="auto"/>
        <w:rPr>
          <w:rFonts w:ascii="Arial" w:hAnsi="Arial" w:cs="Arial"/>
          <w:sz w:val="22"/>
        </w:rPr>
      </w:pPr>
      <w:r w:rsidRPr="00813954">
        <w:rPr>
          <w:rFonts w:ascii="Arial" w:hAnsi="Arial" w:cs="Arial"/>
          <w:sz w:val="22"/>
        </w:rPr>
        <w:t>Improving teamwork skills will be achieved through team collaborations and interdisciplinary education. This method of developing a common understanding of the roles/responsibilities of health care professionals includes training across two or more disciplines using a team-based approach. For example, team-based meetings provide opportunities for nurses to share information and collaborate in the direct care of patients, and through these meetings, the potential exists for improved communication and decreased conflict between disciplines and better patient care (Reeves 2017).</w:t>
      </w:r>
    </w:p>
    <w:p w14:paraId="25A7DBB3" w14:textId="77777777" w:rsidR="00813954" w:rsidRPr="00813954" w:rsidRDefault="00813954" w:rsidP="00813954">
      <w:pPr>
        <w:spacing w:line="360" w:lineRule="auto"/>
        <w:rPr>
          <w:rFonts w:ascii="Arial" w:hAnsi="Arial" w:cs="Arial"/>
          <w:sz w:val="22"/>
        </w:rPr>
      </w:pPr>
    </w:p>
    <w:p w14:paraId="2992595F" w14:textId="33A437BF" w:rsidR="00813954" w:rsidRPr="00813954" w:rsidRDefault="00813954" w:rsidP="00813954">
      <w:pPr>
        <w:spacing w:line="360" w:lineRule="auto"/>
        <w:rPr>
          <w:rFonts w:ascii="Arial" w:hAnsi="Arial" w:cs="Arial"/>
          <w:sz w:val="22"/>
        </w:rPr>
      </w:pPr>
      <w:r w:rsidRPr="00813954">
        <w:rPr>
          <w:rFonts w:ascii="Arial" w:hAnsi="Arial" w:cs="Arial"/>
          <w:sz w:val="22"/>
        </w:rPr>
        <w:t xml:space="preserve">Overall, these methods are highly successful at building the basic skills necessary for nursing practice. Improved communication, clinical and teamwork skills increase nurses' ability to provide safe, effective and patient-centred care. Therefore, the importance of </w:t>
      </w:r>
      <w:r w:rsidRPr="00813954">
        <w:rPr>
          <w:rFonts w:ascii="Arial" w:hAnsi="Arial" w:cs="Arial"/>
          <w:sz w:val="22"/>
        </w:rPr>
        <w:lastRenderedPageBreak/>
        <w:t>lifelong learning for overcoming the obstacles presented by today's health care system cannot be overstated.</w:t>
      </w:r>
    </w:p>
    <w:p w14:paraId="58A1B501" w14:textId="2F942CCF" w:rsidR="0156E134" w:rsidRDefault="0156E134" w:rsidP="005A0A78">
      <w:pPr>
        <w:pStyle w:val="ListParagraph"/>
        <w:spacing w:after="0" w:line="360" w:lineRule="auto"/>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62B200B2" w14:textId="77777777" w:rsidR="00813954" w:rsidRDefault="00813954" w:rsidP="00813954">
      <w:pPr>
        <w:rPr>
          <w:rFonts w:ascii="Arial" w:hAnsi="Arial" w:cs="Arial"/>
          <w:sz w:val="22"/>
        </w:rPr>
      </w:pPr>
    </w:p>
    <w:p w14:paraId="2B397C43" w14:textId="62C2B54C" w:rsidR="00813954" w:rsidRPr="00813954" w:rsidRDefault="00813954" w:rsidP="00813954">
      <w:pPr>
        <w:spacing w:line="360" w:lineRule="auto"/>
        <w:rPr>
          <w:rFonts w:ascii="Arial" w:hAnsi="Arial" w:cs="Arial"/>
          <w:sz w:val="22"/>
        </w:rPr>
      </w:pPr>
      <w:r w:rsidRPr="00813954">
        <w:rPr>
          <w:rFonts w:ascii="Arial" w:hAnsi="Arial" w:cs="Arial"/>
          <w:sz w:val="22"/>
        </w:rPr>
        <w:t xml:space="preserve">In conclusion, Nurses' contribution to medical and social care is extremely important. They must help meet their patients’ need for that physical, emotional and psychological help by ensuring good standards of care are delivered to them. Strengthening core competencies - those basic elements within nursing practice that enable the nurse’s work - makes it possible for nurses to give high-quality care, respond to the needs of their patients and for them to work together with other health professionals. Some of the competencies necessary in nursing practice are effective communication, clinical </w:t>
      </w:r>
      <w:proofErr w:type="spellStart"/>
      <w:r w:rsidRPr="00813954">
        <w:rPr>
          <w:rFonts w:ascii="Arial" w:hAnsi="Arial" w:cs="Arial"/>
          <w:sz w:val="22"/>
        </w:rPr>
        <w:t>skillfulness</w:t>
      </w:r>
      <w:proofErr w:type="spellEnd"/>
      <w:r w:rsidRPr="00813954">
        <w:rPr>
          <w:rFonts w:ascii="Arial" w:hAnsi="Arial" w:cs="Arial"/>
          <w:sz w:val="22"/>
        </w:rPr>
        <w:t>, and teamwork. Ongoing education, simulation training and collaboration among healthcare professionals can help strengthen these important competencies. Lapses in core competencies lead to poor quality of care. Thus, the continuing improvement of competencies in practice for the benefit of the care of patients, improved health for patients, and more efficient use of resources.</w:t>
      </w: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14563A00" w14:textId="77777777" w:rsidR="00813954" w:rsidRDefault="00813954" w:rsidP="00C248DA">
      <w:pPr>
        <w:rPr>
          <w:rFonts w:ascii="Arial" w:hAnsi="Arial" w:cs="Arial"/>
          <w:color w:val="000000" w:themeColor="text1"/>
          <w:sz w:val="22"/>
        </w:rPr>
      </w:pPr>
    </w:p>
    <w:p w14:paraId="13C24A4B" w14:textId="77777777" w:rsidR="00813954" w:rsidRPr="00813954" w:rsidRDefault="00813954" w:rsidP="00813954">
      <w:pPr>
        <w:rPr>
          <w:rFonts w:ascii="Arial" w:hAnsi="Arial" w:cs="Arial"/>
          <w:color w:val="000000" w:themeColor="text1"/>
          <w:sz w:val="22"/>
        </w:rPr>
      </w:pPr>
      <w:r w:rsidRPr="00813954">
        <w:rPr>
          <w:rFonts w:ascii="Arial" w:hAnsi="Arial" w:cs="Arial"/>
          <w:color w:val="000000" w:themeColor="text1"/>
          <w:sz w:val="22"/>
        </w:rPr>
        <w:t xml:space="preserve">Benner, P. (1984) </w:t>
      </w:r>
      <w:r w:rsidRPr="00813954">
        <w:rPr>
          <w:rFonts w:ascii="Arial" w:hAnsi="Arial" w:cs="Arial"/>
          <w:i/>
          <w:iCs/>
          <w:color w:val="000000" w:themeColor="text1"/>
          <w:sz w:val="22"/>
        </w:rPr>
        <w:t>From novice to expert: Excellence and power in clinical nursing practice</w:t>
      </w:r>
      <w:r w:rsidRPr="00813954">
        <w:rPr>
          <w:rFonts w:ascii="Arial" w:hAnsi="Arial" w:cs="Arial"/>
          <w:color w:val="000000" w:themeColor="text1"/>
          <w:sz w:val="22"/>
        </w:rPr>
        <w:t>. Menlo Park: Addison-Wesley.</w:t>
      </w:r>
    </w:p>
    <w:p w14:paraId="1FA8D413" w14:textId="77777777" w:rsidR="00813954" w:rsidRDefault="00813954" w:rsidP="00813954">
      <w:pPr>
        <w:rPr>
          <w:rFonts w:ascii="Arial" w:hAnsi="Arial" w:cs="Arial"/>
          <w:color w:val="000000" w:themeColor="text1"/>
          <w:sz w:val="22"/>
        </w:rPr>
      </w:pPr>
      <w:r w:rsidRPr="00813954">
        <w:rPr>
          <w:rFonts w:ascii="Arial" w:hAnsi="Arial" w:cs="Arial"/>
          <w:color w:val="000000" w:themeColor="text1"/>
          <w:sz w:val="22"/>
        </w:rPr>
        <w:t xml:space="preserve">Haig, K.M., Sutton, S. and Whittington, J. (2006) ‘SBAR: A shared mental model for improving communication between clinicians’, </w:t>
      </w:r>
      <w:r w:rsidRPr="00813954">
        <w:rPr>
          <w:rFonts w:ascii="Arial" w:hAnsi="Arial" w:cs="Arial"/>
          <w:i/>
          <w:iCs/>
          <w:color w:val="000000" w:themeColor="text1"/>
          <w:sz w:val="22"/>
        </w:rPr>
        <w:t>Joint Commission Journal on Quality and Patient Safety</w:t>
      </w:r>
      <w:r w:rsidRPr="00813954">
        <w:rPr>
          <w:rFonts w:ascii="Arial" w:hAnsi="Arial" w:cs="Arial"/>
          <w:color w:val="000000" w:themeColor="text1"/>
          <w:sz w:val="22"/>
        </w:rPr>
        <w:t>, 32(3), pp. 167–175.</w:t>
      </w:r>
    </w:p>
    <w:p w14:paraId="2ADC928D" w14:textId="75DC63F1" w:rsidR="00813954" w:rsidRPr="00813954" w:rsidRDefault="00CC666A" w:rsidP="00813954">
      <w:pPr>
        <w:rPr>
          <w:rFonts w:ascii="Arial" w:hAnsi="Arial" w:cs="Arial"/>
          <w:color w:val="000000" w:themeColor="text1"/>
          <w:sz w:val="22"/>
        </w:rPr>
      </w:pPr>
      <w:r w:rsidRPr="00813954">
        <w:rPr>
          <w:rFonts w:ascii="Arial" w:hAnsi="Arial" w:cs="Arial"/>
          <w:color w:val="000000" w:themeColor="text1"/>
          <w:sz w:val="22"/>
        </w:rPr>
        <w:t xml:space="preserve">Nursing and Midwifery Council </w:t>
      </w:r>
      <w:r w:rsidRPr="00E1433C">
        <w:rPr>
          <w:rFonts w:ascii="Arial" w:hAnsi="Arial" w:cs="Arial"/>
          <w:color w:val="000000" w:themeColor="text1"/>
          <w:sz w:val="22"/>
        </w:rPr>
        <w:t xml:space="preserve">(2018) </w:t>
      </w:r>
      <w:r w:rsidRPr="00E1433C">
        <w:rPr>
          <w:rFonts w:ascii="Arial" w:hAnsi="Arial" w:cs="Arial"/>
          <w:i/>
          <w:iCs/>
          <w:color w:val="000000" w:themeColor="text1"/>
          <w:sz w:val="22"/>
        </w:rPr>
        <w:t>The Code: Professional standards of practice and behaviour for nurses, midwives and nursing associates</w:t>
      </w:r>
      <w:r w:rsidRPr="00E1433C">
        <w:rPr>
          <w:rFonts w:ascii="Arial" w:hAnsi="Arial" w:cs="Arial"/>
          <w:color w:val="000000" w:themeColor="text1"/>
          <w:sz w:val="22"/>
        </w:rPr>
        <w:t xml:space="preserve">. London: NMC. Available at: </w:t>
      </w:r>
      <w:hyperlink r:id="rId9" w:tgtFrame="_new" w:history="1">
        <w:r w:rsidRPr="00E1433C">
          <w:rPr>
            <w:rStyle w:val="Hyperlink"/>
            <w:rFonts w:ascii="Arial" w:hAnsi="Arial" w:cs="Arial"/>
            <w:color w:val="000000" w:themeColor="text1"/>
            <w:sz w:val="22"/>
          </w:rPr>
          <w:t>https://www.nmc.org.uk/standards/code/</w:t>
        </w:r>
      </w:hyperlink>
      <w:r w:rsidRPr="00E1433C">
        <w:rPr>
          <w:rFonts w:ascii="Arial" w:hAnsi="Arial" w:cs="Arial"/>
          <w:color w:val="000000" w:themeColor="text1"/>
          <w:sz w:val="22"/>
        </w:rPr>
        <w:t xml:space="preserve"> (Accessed: 4 April 2026).</w:t>
      </w:r>
    </w:p>
    <w:p w14:paraId="6AEF0728" w14:textId="77777777" w:rsidR="00813954" w:rsidRDefault="00813954" w:rsidP="00813954">
      <w:pPr>
        <w:rPr>
          <w:rFonts w:ascii="Arial" w:hAnsi="Arial" w:cs="Arial"/>
          <w:color w:val="000000" w:themeColor="text1"/>
          <w:sz w:val="22"/>
        </w:rPr>
      </w:pPr>
      <w:r w:rsidRPr="00813954">
        <w:rPr>
          <w:rFonts w:ascii="Arial" w:hAnsi="Arial" w:cs="Arial"/>
          <w:color w:val="000000" w:themeColor="text1"/>
          <w:sz w:val="22"/>
        </w:rPr>
        <w:t xml:space="preserve">Reeves, S., </w:t>
      </w:r>
      <w:proofErr w:type="spellStart"/>
      <w:r w:rsidRPr="00813954">
        <w:rPr>
          <w:rFonts w:ascii="Arial" w:hAnsi="Arial" w:cs="Arial"/>
          <w:color w:val="000000" w:themeColor="text1"/>
          <w:sz w:val="22"/>
        </w:rPr>
        <w:t>Pelone</w:t>
      </w:r>
      <w:proofErr w:type="spellEnd"/>
      <w:r w:rsidRPr="00813954">
        <w:rPr>
          <w:rFonts w:ascii="Arial" w:hAnsi="Arial" w:cs="Arial"/>
          <w:color w:val="000000" w:themeColor="text1"/>
          <w:sz w:val="22"/>
        </w:rPr>
        <w:t xml:space="preserve">, F., Harrison, R., Goldman, J. and </w:t>
      </w:r>
      <w:proofErr w:type="spellStart"/>
      <w:r w:rsidRPr="00813954">
        <w:rPr>
          <w:rFonts w:ascii="Arial" w:hAnsi="Arial" w:cs="Arial"/>
          <w:color w:val="000000" w:themeColor="text1"/>
          <w:sz w:val="22"/>
        </w:rPr>
        <w:t>Zwarenstein</w:t>
      </w:r>
      <w:proofErr w:type="spellEnd"/>
      <w:r w:rsidRPr="00813954">
        <w:rPr>
          <w:rFonts w:ascii="Arial" w:hAnsi="Arial" w:cs="Arial"/>
          <w:color w:val="000000" w:themeColor="text1"/>
          <w:sz w:val="22"/>
        </w:rPr>
        <w:t xml:space="preserve">, M. (2017) ‘Interprofessional collaboration to improve professional practice and healthcare outcomes’, </w:t>
      </w:r>
      <w:r w:rsidRPr="00813954">
        <w:rPr>
          <w:rFonts w:ascii="Arial" w:hAnsi="Arial" w:cs="Arial"/>
          <w:i/>
          <w:iCs/>
          <w:color w:val="000000" w:themeColor="text1"/>
          <w:sz w:val="22"/>
        </w:rPr>
        <w:t>Cochrane Database of Systematic Reviews</w:t>
      </w:r>
      <w:r w:rsidRPr="00813954">
        <w:rPr>
          <w:rFonts w:ascii="Arial" w:hAnsi="Arial" w:cs="Arial"/>
          <w:color w:val="000000" w:themeColor="text1"/>
          <w:sz w:val="22"/>
        </w:rPr>
        <w:t>, Issue 6, pp. 1–47.</w:t>
      </w:r>
    </w:p>
    <w:p w14:paraId="74F78A3D" w14:textId="27683787" w:rsidR="00CC666A" w:rsidRPr="00672703" w:rsidRDefault="00CC666A" w:rsidP="00CC666A">
      <w:pPr>
        <w:suppressAutoHyphens/>
        <w:autoSpaceDN w:val="0"/>
        <w:spacing w:line="254" w:lineRule="auto"/>
        <w:rPr>
          <w:rFonts w:ascii="Arial" w:hAnsi="Arial" w:cs="Arial"/>
          <w:sz w:val="22"/>
        </w:rPr>
      </w:pPr>
      <w:r w:rsidRPr="00E1433C">
        <w:rPr>
          <w:rFonts w:ascii="Arial" w:hAnsi="Arial" w:cs="Arial"/>
          <w:color w:val="000000" w:themeColor="text1"/>
          <w:sz w:val="22"/>
        </w:rPr>
        <w:t xml:space="preserve">Royal College of Nursing (2023) </w:t>
      </w:r>
      <w:r w:rsidRPr="00E1433C">
        <w:rPr>
          <w:rFonts w:ascii="Arial" w:hAnsi="Arial" w:cs="Arial"/>
          <w:i/>
          <w:iCs/>
          <w:color w:val="000000" w:themeColor="text1"/>
          <w:sz w:val="22"/>
        </w:rPr>
        <w:t>The principles of nursing</w:t>
      </w:r>
      <w:r w:rsidRPr="00E1433C">
        <w:rPr>
          <w:rFonts w:ascii="Arial" w:hAnsi="Arial" w:cs="Arial"/>
          <w:color w:val="000000" w:themeColor="text1"/>
          <w:sz w:val="22"/>
        </w:rPr>
        <w:t xml:space="preserve">. Available at: </w:t>
      </w:r>
      <w:hyperlink r:id="rId10" w:tgtFrame="_new" w:history="1">
        <w:r w:rsidRPr="00E1433C">
          <w:rPr>
            <w:rStyle w:val="Hyperlink"/>
            <w:rFonts w:ascii="Arial" w:hAnsi="Arial" w:cs="Arial"/>
            <w:color w:val="000000" w:themeColor="text1"/>
            <w:sz w:val="22"/>
          </w:rPr>
          <w:t>https://www.rcn.org.uk/Professional-Development/Definition-and-principles-of-nursing</w:t>
        </w:r>
      </w:hyperlink>
      <w:r w:rsidRPr="00CC666A">
        <w:rPr>
          <w:rFonts w:ascii="Arial" w:hAnsi="Arial" w:cs="Arial"/>
          <w:sz w:val="22"/>
        </w:rPr>
        <w:t xml:space="preserve"> (Accessed: </w:t>
      </w:r>
      <w:r w:rsidR="00C55606">
        <w:rPr>
          <w:rFonts w:ascii="Arial" w:hAnsi="Arial" w:cs="Arial"/>
          <w:sz w:val="22"/>
        </w:rPr>
        <w:t>30</w:t>
      </w:r>
      <w:r w:rsidRPr="00CC666A">
        <w:rPr>
          <w:rFonts w:ascii="Arial" w:hAnsi="Arial" w:cs="Arial"/>
          <w:sz w:val="22"/>
        </w:rPr>
        <w:t xml:space="preserve"> </w:t>
      </w:r>
      <w:r w:rsidR="00C55606">
        <w:rPr>
          <w:rFonts w:ascii="Arial" w:hAnsi="Arial" w:cs="Arial"/>
          <w:sz w:val="22"/>
        </w:rPr>
        <w:t>March</w:t>
      </w:r>
      <w:r w:rsidRPr="00CC666A">
        <w:rPr>
          <w:rFonts w:ascii="Arial" w:hAnsi="Arial" w:cs="Arial"/>
          <w:sz w:val="22"/>
        </w:rPr>
        <w:t xml:space="preserve"> 2026).</w:t>
      </w:r>
    </w:p>
    <w:p w14:paraId="5F5980E5" w14:textId="77777777" w:rsidR="00C248DA" w:rsidRDefault="00C248DA" w:rsidP="005E44B5">
      <w:pPr>
        <w:rPr>
          <w:rFonts w:ascii="Arial" w:hAnsi="Arial" w:cs="Arial"/>
          <w:sz w:val="22"/>
        </w:rPr>
      </w:pPr>
    </w:p>
    <w:p w14:paraId="1502E7BF" w14:textId="450C2846" w:rsidR="00E1433C" w:rsidRPr="00E1433C" w:rsidRDefault="00E1433C" w:rsidP="005E44B5">
      <w:pPr>
        <w:rPr>
          <w:rFonts w:ascii="Arial" w:hAnsi="Arial" w:cs="Arial"/>
          <w:color w:val="000000" w:themeColor="text1"/>
          <w:sz w:val="22"/>
        </w:rPr>
      </w:pPr>
      <w:r w:rsidRPr="00E1433C">
        <w:rPr>
          <w:rFonts w:ascii="Arial" w:hAnsi="Arial" w:cs="Arial"/>
          <w:color w:val="000000" w:themeColor="text1"/>
          <w:sz w:val="22"/>
        </w:rPr>
        <w:t xml:space="preserve">World Health Organisation </w:t>
      </w:r>
      <w:r w:rsidRPr="00E1433C">
        <w:rPr>
          <w:rFonts w:ascii="Arial" w:hAnsi="Arial" w:cs="Arial"/>
          <w:b/>
          <w:bCs/>
          <w:color w:val="000000" w:themeColor="text1"/>
          <w:sz w:val="22"/>
        </w:rPr>
        <w:t>(2023)</w:t>
      </w:r>
      <w:r w:rsidRPr="00E1433C">
        <w:rPr>
          <w:rFonts w:ascii="Arial" w:hAnsi="Arial" w:cs="Arial"/>
          <w:color w:val="000000" w:themeColor="text1"/>
          <w:sz w:val="22"/>
        </w:rPr>
        <w:t xml:space="preserve"> </w:t>
      </w:r>
      <w:r w:rsidRPr="00E1433C">
        <w:rPr>
          <w:rFonts w:ascii="Arial" w:hAnsi="Arial" w:cs="Arial"/>
          <w:i/>
          <w:iCs/>
          <w:color w:val="000000" w:themeColor="text1"/>
          <w:sz w:val="22"/>
        </w:rPr>
        <w:t>World Patient Safety Day 2023: Engaging patients for patient safety</w:t>
      </w:r>
      <w:r w:rsidRPr="00E1433C">
        <w:rPr>
          <w:rFonts w:ascii="Arial" w:hAnsi="Arial" w:cs="Arial"/>
          <w:color w:val="000000" w:themeColor="text1"/>
          <w:sz w:val="22"/>
        </w:rPr>
        <w:t xml:space="preserve">. Available at: </w:t>
      </w:r>
      <w:hyperlink r:id="rId11" w:tgtFrame="_new" w:history="1">
        <w:r w:rsidRPr="00E1433C">
          <w:rPr>
            <w:rStyle w:val="Hyperlink"/>
            <w:rFonts w:ascii="Arial" w:hAnsi="Arial" w:cs="Arial"/>
            <w:color w:val="000000" w:themeColor="text1"/>
            <w:sz w:val="22"/>
          </w:rPr>
          <w:t>https://www.who.int</w:t>
        </w:r>
      </w:hyperlink>
      <w:r w:rsidRPr="00E1433C">
        <w:rPr>
          <w:rFonts w:ascii="Arial" w:hAnsi="Arial" w:cs="Arial"/>
          <w:color w:val="000000" w:themeColor="text1"/>
          <w:sz w:val="22"/>
        </w:rPr>
        <w:t xml:space="preserve"> (Accessed: </w:t>
      </w:r>
      <w:r w:rsidR="00C55606">
        <w:rPr>
          <w:rFonts w:ascii="Arial" w:hAnsi="Arial" w:cs="Arial"/>
          <w:color w:val="000000" w:themeColor="text1"/>
          <w:sz w:val="22"/>
        </w:rPr>
        <w:t>2</w:t>
      </w:r>
      <w:r w:rsidRPr="00E1433C">
        <w:rPr>
          <w:rFonts w:ascii="Arial" w:hAnsi="Arial" w:cs="Arial"/>
          <w:color w:val="000000" w:themeColor="text1"/>
          <w:sz w:val="22"/>
        </w:rPr>
        <w:t xml:space="preserve"> April 2026).</w:t>
      </w:r>
    </w:p>
    <w:sectPr w:rsidR="00E1433C" w:rsidRPr="00E1433C"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BCB8" w14:textId="77777777" w:rsidR="00794965" w:rsidRDefault="00794965" w:rsidP="003C7C97">
      <w:pPr>
        <w:spacing w:after="0" w:line="240" w:lineRule="auto"/>
      </w:pPr>
      <w:r>
        <w:separator/>
      </w:r>
    </w:p>
  </w:endnote>
  <w:endnote w:type="continuationSeparator" w:id="0">
    <w:p w14:paraId="1633407A" w14:textId="77777777" w:rsidR="00794965" w:rsidRDefault="0079496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D7C6D" w14:textId="77777777" w:rsidR="00794965" w:rsidRDefault="00794965" w:rsidP="003C7C97">
      <w:pPr>
        <w:spacing w:after="0" w:line="240" w:lineRule="auto"/>
      </w:pPr>
      <w:r>
        <w:separator/>
      </w:r>
    </w:p>
  </w:footnote>
  <w:footnote w:type="continuationSeparator" w:id="0">
    <w:p w14:paraId="2A3CF3D7" w14:textId="77777777" w:rsidR="00794965" w:rsidRDefault="0079496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42254E0"/>
    <w:lvl w:ilvl="0" w:tplc="729AF2FC">
      <w:start w:val="1"/>
      <w:numFmt w:val="bullet"/>
      <w:lvlText w:val=""/>
      <w:lvlJc w:val="left"/>
      <w:pPr>
        <w:ind w:left="720" w:hanging="360"/>
      </w:pPr>
      <w:rPr>
        <w:rFonts w:ascii="Symbol" w:hAnsi="Symbol" w:hint="default"/>
      </w:rPr>
    </w:lvl>
    <w:lvl w:ilvl="1" w:tplc="59987FAE">
      <w:start w:val="1"/>
      <w:numFmt w:val="bullet"/>
      <w:lvlText w:val="o"/>
      <w:lvlJc w:val="left"/>
      <w:pPr>
        <w:ind w:left="1440" w:hanging="360"/>
      </w:pPr>
      <w:rPr>
        <w:rFonts w:ascii="Courier New" w:hAnsi="Courier New" w:hint="default"/>
      </w:rPr>
    </w:lvl>
    <w:lvl w:ilvl="2" w:tplc="C1EE7514">
      <w:start w:val="1"/>
      <w:numFmt w:val="bullet"/>
      <w:lvlText w:val=""/>
      <w:lvlJc w:val="left"/>
      <w:pPr>
        <w:ind w:left="2160" w:hanging="360"/>
      </w:pPr>
      <w:rPr>
        <w:rFonts w:ascii="Wingdings" w:hAnsi="Wingdings" w:hint="default"/>
      </w:rPr>
    </w:lvl>
    <w:lvl w:ilvl="3" w:tplc="1F347BDA">
      <w:start w:val="1"/>
      <w:numFmt w:val="bullet"/>
      <w:lvlText w:val=""/>
      <w:lvlJc w:val="left"/>
      <w:pPr>
        <w:ind w:left="2880" w:hanging="360"/>
      </w:pPr>
      <w:rPr>
        <w:rFonts w:ascii="Symbol" w:hAnsi="Symbol" w:hint="default"/>
      </w:rPr>
    </w:lvl>
    <w:lvl w:ilvl="4" w:tplc="BE542F80">
      <w:start w:val="1"/>
      <w:numFmt w:val="bullet"/>
      <w:lvlText w:val="o"/>
      <w:lvlJc w:val="left"/>
      <w:pPr>
        <w:ind w:left="3600" w:hanging="360"/>
      </w:pPr>
      <w:rPr>
        <w:rFonts w:ascii="Courier New" w:hAnsi="Courier New" w:hint="default"/>
      </w:rPr>
    </w:lvl>
    <w:lvl w:ilvl="5" w:tplc="CAC0DB34">
      <w:start w:val="1"/>
      <w:numFmt w:val="bullet"/>
      <w:lvlText w:val=""/>
      <w:lvlJc w:val="left"/>
      <w:pPr>
        <w:ind w:left="4320" w:hanging="360"/>
      </w:pPr>
      <w:rPr>
        <w:rFonts w:ascii="Wingdings" w:hAnsi="Wingdings" w:hint="default"/>
      </w:rPr>
    </w:lvl>
    <w:lvl w:ilvl="6" w:tplc="D504A0F4">
      <w:start w:val="1"/>
      <w:numFmt w:val="bullet"/>
      <w:lvlText w:val=""/>
      <w:lvlJc w:val="left"/>
      <w:pPr>
        <w:ind w:left="5040" w:hanging="360"/>
      </w:pPr>
      <w:rPr>
        <w:rFonts w:ascii="Symbol" w:hAnsi="Symbol" w:hint="default"/>
      </w:rPr>
    </w:lvl>
    <w:lvl w:ilvl="7" w:tplc="5CFC907A">
      <w:start w:val="1"/>
      <w:numFmt w:val="bullet"/>
      <w:lvlText w:val="o"/>
      <w:lvlJc w:val="left"/>
      <w:pPr>
        <w:ind w:left="5760" w:hanging="360"/>
      </w:pPr>
      <w:rPr>
        <w:rFonts w:ascii="Courier New" w:hAnsi="Courier New" w:hint="default"/>
      </w:rPr>
    </w:lvl>
    <w:lvl w:ilvl="8" w:tplc="0E80A21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4CA8A58"/>
    <w:lvl w:ilvl="0" w:tplc="DD5A7EC4">
      <w:start w:val="1"/>
      <w:numFmt w:val="bullet"/>
      <w:lvlText w:val=""/>
      <w:lvlJc w:val="left"/>
      <w:pPr>
        <w:ind w:left="720" w:hanging="360"/>
      </w:pPr>
      <w:rPr>
        <w:rFonts w:ascii="Symbol" w:hAnsi="Symbol" w:hint="default"/>
      </w:rPr>
    </w:lvl>
    <w:lvl w:ilvl="1" w:tplc="9ABA48F2">
      <w:start w:val="1"/>
      <w:numFmt w:val="bullet"/>
      <w:lvlText w:val="o"/>
      <w:lvlJc w:val="left"/>
      <w:pPr>
        <w:ind w:left="1440" w:hanging="360"/>
      </w:pPr>
      <w:rPr>
        <w:rFonts w:ascii="Courier New" w:hAnsi="Courier New" w:hint="default"/>
      </w:rPr>
    </w:lvl>
    <w:lvl w:ilvl="2" w:tplc="03063C14">
      <w:start w:val="1"/>
      <w:numFmt w:val="bullet"/>
      <w:lvlText w:val=""/>
      <w:lvlJc w:val="left"/>
      <w:pPr>
        <w:ind w:left="2160" w:hanging="360"/>
      </w:pPr>
      <w:rPr>
        <w:rFonts w:ascii="Wingdings" w:hAnsi="Wingdings" w:hint="default"/>
      </w:rPr>
    </w:lvl>
    <w:lvl w:ilvl="3" w:tplc="5FCEEF98">
      <w:start w:val="1"/>
      <w:numFmt w:val="bullet"/>
      <w:lvlText w:val=""/>
      <w:lvlJc w:val="left"/>
      <w:pPr>
        <w:ind w:left="2880" w:hanging="360"/>
      </w:pPr>
      <w:rPr>
        <w:rFonts w:ascii="Symbol" w:hAnsi="Symbol" w:hint="default"/>
      </w:rPr>
    </w:lvl>
    <w:lvl w:ilvl="4" w:tplc="250ED194">
      <w:start w:val="1"/>
      <w:numFmt w:val="bullet"/>
      <w:lvlText w:val="o"/>
      <w:lvlJc w:val="left"/>
      <w:pPr>
        <w:ind w:left="3600" w:hanging="360"/>
      </w:pPr>
      <w:rPr>
        <w:rFonts w:ascii="Courier New" w:hAnsi="Courier New" w:hint="default"/>
      </w:rPr>
    </w:lvl>
    <w:lvl w:ilvl="5" w:tplc="A844D4EC">
      <w:start w:val="1"/>
      <w:numFmt w:val="bullet"/>
      <w:lvlText w:val=""/>
      <w:lvlJc w:val="left"/>
      <w:pPr>
        <w:ind w:left="4320" w:hanging="360"/>
      </w:pPr>
      <w:rPr>
        <w:rFonts w:ascii="Wingdings" w:hAnsi="Wingdings" w:hint="default"/>
      </w:rPr>
    </w:lvl>
    <w:lvl w:ilvl="6" w:tplc="E3188D8E">
      <w:start w:val="1"/>
      <w:numFmt w:val="bullet"/>
      <w:lvlText w:val=""/>
      <w:lvlJc w:val="left"/>
      <w:pPr>
        <w:ind w:left="5040" w:hanging="360"/>
      </w:pPr>
      <w:rPr>
        <w:rFonts w:ascii="Symbol" w:hAnsi="Symbol" w:hint="default"/>
      </w:rPr>
    </w:lvl>
    <w:lvl w:ilvl="7" w:tplc="E592CC0A">
      <w:start w:val="1"/>
      <w:numFmt w:val="bullet"/>
      <w:lvlText w:val="o"/>
      <w:lvlJc w:val="left"/>
      <w:pPr>
        <w:ind w:left="5760" w:hanging="360"/>
      </w:pPr>
      <w:rPr>
        <w:rFonts w:ascii="Courier New" w:hAnsi="Courier New" w:hint="default"/>
      </w:rPr>
    </w:lvl>
    <w:lvl w:ilvl="8" w:tplc="53FA26B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9BAED6AE"/>
    <w:lvl w:ilvl="0" w:tplc="926EF4A6">
      <w:start w:val="1"/>
      <w:numFmt w:val="bullet"/>
      <w:lvlText w:val=""/>
      <w:lvlJc w:val="left"/>
      <w:pPr>
        <w:ind w:left="720" w:hanging="360"/>
      </w:pPr>
      <w:rPr>
        <w:rFonts w:ascii="Symbol" w:hAnsi="Symbol" w:hint="default"/>
      </w:rPr>
    </w:lvl>
    <w:lvl w:ilvl="1" w:tplc="30AA71D4">
      <w:start w:val="1"/>
      <w:numFmt w:val="bullet"/>
      <w:lvlText w:val="o"/>
      <w:lvlJc w:val="left"/>
      <w:pPr>
        <w:ind w:left="1440" w:hanging="360"/>
      </w:pPr>
      <w:rPr>
        <w:rFonts w:ascii="Courier New" w:hAnsi="Courier New" w:hint="default"/>
      </w:rPr>
    </w:lvl>
    <w:lvl w:ilvl="2" w:tplc="2EBC4686">
      <w:start w:val="1"/>
      <w:numFmt w:val="bullet"/>
      <w:lvlText w:val=""/>
      <w:lvlJc w:val="left"/>
      <w:pPr>
        <w:ind w:left="2160" w:hanging="360"/>
      </w:pPr>
      <w:rPr>
        <w:rFonts w:ascii="Wingdings" w:hAnsi="Wingdings" w:hint="default"/>
      </w:rPr>
    </w:lvl>
    <w:lvl w:ilvl="3" w:tplc="E738D55E">
      <w:start w:val="1"/>
      <w:numFmt w:val="bullet"/>
      <w:lvlText w:val=""/>
      <w:lvlJc w:val="left"/>
      <w:pPr>
        <w:ind w:left="2880" w:hanging="360"/>
      </w:pPr>
      <w:rPr>
        <w:rFonts w:ascii="Symbol" w:hAnsi="Symbol" w:hint="default"/>
      </w:rPr>
    </w:lvl>
    <w:lvl w:ilvl="4" w:tplc="F04663E6">
      <w:start w:val="1"/>
      <w:numFmt w:val="bullet"/>
      <w:lvlText w:val="o"/>
      <w:lvlJc w:val="left"/>
      <w:pPr>
        <w:ind w:left="3600" w:hanging="360"/>
      </w:pPr>
      <w:rPr>
        <w:rFonts w:ascii="Courier New" w:hAnsi="Courier New" w:hint="default"/>
      </w:rPr>
    </w:lvl>
    <w:lvl w:ilvl="5" w:tplc="C434B760">
      <w:start w:val="1"/>
      <w:numFmt w:val="bullet"/>
      <w:lvlText w:val=""/>
      <w:lvlJc w:val="left"/>
      <w:pPr>
        <w:ind w:left="4320" w:hanging="360"/>
      </w:pPr>
      <w:rPr>
        <w:rFonts w:ascii="Wingdings" w:hAnsi="Wingdings" w:hint="default"/>
      </w:rPr>
    </w:lvl>
    <w:lvl w:ilvl="6" w:tplc="8F8A1654">
      <w:start w:val="1"/>
      <w:numFmt w:val="bullet"/>
      <w:lvlText w:val=""/>
      <w:lvlJc w:val="left"/>
      <w:pPr>
        <w:ind w:left="5040" w:hanging="360"/>
      </w:pPr>
      <w:rPr>
        <w:rFonts w:ascii="Symbol" w:hAnsi="Symbol" w:hint="default"/>
      </w:rPr>
    </w:lvl>
    <w:lvl w:ilvl="7" w:tplc="D2686FFA">
      <w:start w:val="1"/>
      <w:numFmt w:val="bullet"/>
      <w:lvlText w:val="o"/>
      <w:lvlJc w:val="left"/>
      <w:pPr>
        <w:ind w:left="5760" w:hanging="360"/>
      </w:pPr>
      <w:rPr>
        <w:rFonts w:ascii="Courier New" w:hAnsi="Courier New" w:hint="default"/>
      </w:rPr>
    </w:lvl>
    <w:lvl w:ilvl="8" w:tplc="3AE6F7E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0ADC0E34"/>
    <w:lvl w:ilvl="0" w:tplc="4536B520">
      <w:start w:val="1"/>
      <w:numFmt w:val="bullet"/>
      <w:lvlText w:val=""/>
      <w:lvlJc w:val="left"/>
      <w:pPr>
        <w:ind w:left="720" w:hanging="360"/>
      </w:pPr>
      <w:rPr>
        <w:rFonts w:ascii="Symbol" w:hAnsi="Symbol" w:hint="default"/>
      </w:rPr>
    </w:lvl>
    <w:lvl w:ilvl="1" w:tplc="13B8EBFC">
      <w:start w:val="1"/>
      <w:numFmt w:val="bullet"/>
      <w:lvlText w:val="o"/>
      <w:lvlJc w:val="left"/>
      <w:pPr>
        <w:ind w:left="1440" w:hanging="360"/>
      </w:pPr>
      <w:rPr>
        <w:rFonts w:ascii="Courier New" w:hAnsi="Courier New" w:hint="default"/>
      </w:rPr>
    </w:lvl>
    <w:lvl w:ilvl="2" w:tplc="A4E2EB3C">
      <w:start w:val="1"/>
      <w:numFmt w:val="bullet"/>
      <w:lvlText w:val=""/>
      <w:lvlJc w:val="left"/>
      <w:pPr>
        <w:ind w:left="2160" w:hanging="360"/>
      </w:pPr>
      <w:rPr>
        <w:rFonts w:ascii="Wingdings" w:hAnsi="Wingdings" w:hint="default"/>
      </w:rPr>
    </w:lvl>
    <w:lvl w:ilvl="3" w:tplc="16AADC90">
      <w:start w:val="1"/>
      <w:numFmt w:val="bullet"/>
      <w:lvlText w:val=""/>
      <w:lvlJc w:val="left"/>
      <w:pPr>
        <w:ind w:left="2880" w:hanging="360"/>
      </w:pPr>
      <w:rPr>
        <w:rFonts w:ascii="Symbol" w:hAnsi="Symbol" w:hint="default"/>
      </w:rPr>
    </w:lvl>
    <w:lvl w:ilvl="4" w:tplc="2D626032">
      <w:start w:val="1"/>
      <w:numFmt w:val="bullet"/>
      <w:lvlText w:val="o"/>
      <w:lvlJc w:val="left"/>
      <w:pPr>
        <w:ind w:left="3600" w:hanging="360"/>
      </w:pPr>
      <w:rPr>
        <w:rFonts w:ascii="Courier New" w:hAnsi="Courier New" w:hint="default"/>
      </w:rPr>
    </w:lvl>
    <w:lvl w:ilvl="5" w:tplc="BCCA2FC2">
      <w:start w:val="1"/>
      <w:numFmt w:val="bullet"/>
      <w:lvlText w:val=""/>
      <w:lvlJc w:val="left"/>
      <w:pPr>
        <w:ind w:left="4320" w:hanging="360"/>
      </w:pPr>
      <w:rPr>
        <w:rFonts w:ascii="Wingdings" w:hAnsi="Wingdings" w:hint="default"/>
      </w:rPr>
    </w:lvl>
    <w:lvl w:ilvl="6" w:tplc="B4222664">
      <w:start w:val="1"/>
      <w:numFmt w:val="bullet"/>
      <w:lvlText w:val=""/>
      <w:lvlJc w:val="left"/>
      <w:pPr>
        <w:ind w:left="5040" w:hanging="360"/>
      </w:pPr>
      <w:rPr>
        <w:rFonts w:ascii="Symbol" w:hAnsi="Symbol" w:hint="default"/>
      </w:rPr>
    </w:lvl>
    <w:lvl w:ilvl="7" w:tplc="1186C140">
      <w:start w:val="1"/>
      <w:numFmt w:val="bullet"/>
      <w:lvlText w:val="o"/>
      <w:lvlJc w:val="left"/>
      <w:pPr>
        <w:ind w:left="5760" w:hanging="360"/>
      </w:pPr>
      <w:rPr>
        <w:rFonts w:ascii="Courier New" w:hAnsi="Courier New" w:hint="default"/>
      </w:rPr>
    </w:lvl>
    <w:lvl w:ilvl="8" w:tplc="65A853B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2D349760"/>
    <w:lvl w:ilvl="0" w:tplc="CC3801D2">
      <w:start w:val="1"/>
      <w:numFmt w:val="bullet"/>
      <w:lvlText w:val=""/>
      <w:lvlJc w:val="left"/>
      <w:pPr>
        <w:ind w:left="720" w:hanging="360"/>
      </w:pPr>
      <w:rPr>
        <w:rFonts w:ascii="Symbol" w:hAnsi="Symbol" w:hint="default"/>
      </w:rPr>
    </w:lvl>
    <w:lvl w:ilvl="1" w:tplc="525C0BC6">
      <w:start w:val="1"/>
      <w:numFmt w:val="bullet"/>
      <w:lvlText w:val="o"/>
      <w:lvlJc w:val="left"/>
      <w:pPr>
        <w:ind w:left="1440" w:hanging="360"/>
      </w:pPr>
      <w:rPr>
        <w:rFonts w:ascii="Courier New" w:hAnsi="Courier New" w:hint="default"/>
      </w:rPr>
    </w:lvl>
    <w:lvl w:ilvl="2" w:tplc="E5545398">
      <w:start w:val="1"/>
      <w:numFmt w:val="bullet"/>
      <w:lvlText w:val=""/>
      <w:lvlJc w:val="left"/>
      <w:pPr>
        <w:ind w:left="2160" w:hanging="360"/>
      </w:pPr>
      <w:rPr>
        <w:rFonts w:ascii="Wingdings" w:hAnsi="Wingdings" w:hint="default"/>
      </w:rPr>
    </w:lvl>
    <w:lvl w:ilvl="3" w:tplc="897E08B6">
      <w:start w:val="1"/>
      <w:numFmt w:val="bullet"/>
      <w:lvlText w:val=""/>
      <w:lvlJc w:val="left"/>
      <w:pPr>
        <w:ind w:left="2880" w:hanging="360"/>
      </w:pPr>
      <w:rPr>
        <w:rFonts w:ascii="Symbol" w:hAnsi="Symbol" w:hint="default"/>
      </w:rPr>
    </w:lvl>
    <w:lvl w:ilvl="4" w:tplc="899A75A0">
      <w:start w:val="1"/>
      <w:numFmt w:val="bullet"/>
      <w:lvlText w:val="o"/>
      <w:lvlJc w:val="left"/>
      <w:pPr>
        <w:ind w:left="3600" w:hanging="360"/>
      </w:pPr>
      <w:rPr>
        <w:rFonts w:ascii="Courier New" w:hAnsi="Courier New" w:hint="default"/>
      </w:rPr>
    </w:lvl>
    <w:lvl w:ilvl="5" w:tplc="E4726D8A">
      <w:start w:val="1"/>
      <w:numFmt w:val="bullet"/>
      <w:lvlText w:val=""/>
      <w:lvlJc w:val="left"/>
      <w:pPr>
        <w:ind w:left="4320" w:hanging="360"/>
      </w:pPr>
      <w:rPr>
        <w:rFonts w:ascii="Wingdings" w:hAnsi="Wingdings" w:hint="default"/>
      </w:rPr>
    </w:lvl>
    <w:lvl w:ilvl="6" w:tplc="DBC49ECA">
      <w:start w:val="1"/>
      <w:numFmt w:val="bullet"/>
      <w:lvlText w:val=""/>
      <w:lvlJc w:val="left"/>
      <w:pPr>
        <w:ind w:left="5040" w:hanging="360"/>
      </w:pPr>
      <w:rPr>
        <w:rFonts w:ascii="Symbol" w:hAnsi="Symbol" w:hint="default"/>
      </w:rPr>
    </w:lvl>
    <w:lvl w:ilvl="7" w:tplc="1FF2CABA">
      <w:start w:val="1"/>
      <w:numFmt w:val="bullet"/>
      <w:lvlText w:val="o"/>
      <w:lvlJc w:val="left"/>
      <w:pPr>
        <w:ind w:left="5760" w:hanging="360"/>
      </w:pPr>
      <w:rPr>
        <w:rFonts w:ascii="Courier New" w:hAnsi="Courier New" w:hint="default"/>
      </w:rPr>
    </w:lvl>
    <w:lvl w:ilvl="8" w:tplc="C23882D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6CBCC8F8"/>
    <w:lvl w:ilvl="0" w:tplc="595C7814">
      <w:start w:val="1"/>
      <w:numFmt w:val="bullet"/>
      <w:lvlText w:val=""/>
      <w:lvlJc w:val="left"/>
      <w:pPr>
        <w:ind w:left="720" w:hanging="360"/>
      </w:pPr>
      <w:rPr>
        <w:rFonts w:ascii="Symbol" w:hAnsi="Symbol" w:hint="default"/>
      </w:rPr>
    </w:lvl>
    <w:lvl w:ilvl="1" w:tplc="293EABEC">
      <w:start w:val="1"/>
      <w:numFmt w:val="bullet"/>
      <w:lvlText w:val="o"/>
      <w:lvlJc w:val="left"/>
      <w:pPr>
        <w:ind w:left="1440" w:hanging="360"/>
      </w:pPr>
      <w:rPr>
        <w:rFonts w:ascii="Courier New" w:hAnsi="Courier New" w:hint="default"/>
      </w:rPr>
    </w:lvl>
    <w:lvl w:ilvl="2" w:tplc="F23CA86C">
      <w:start w:val="1"/>
      <w:numFmt w:val="bullet"/>
      <w:lvlText w:val=""/>
      <w:lvlJc w:val="left"/>
      <w:pPr>
        <w:ind w:left="2160" w:hanging="360"/>
      </w:pPr>
      <w:rPr>
        <w:rFonts w:ascii="Wingdings" w:hAnsi="Wingdings" w:hint="default"/>
      </w:rPr>
    </w:lvl>
    <w:lvl w:ilvl="3" w:tplc="D0A62382">
      <w:start w:val="1"/>
      <w:numFmt w:val="bullet"/>
      <w:lvlText w:val=""/>
      <w:lvlJc w:val="left"/>
      <w:pPr>
        <w:ind w:left="2880" w:hanging="360"/>
      </w:pPr>
      <w:rPr>
        <w:rFonts w:ascii="Symbol" w:hAnsi="Symbol" w:hint="default"/>
      </w:rPr>
    </w:lvl>
    <w:lvl w:ilvl="4" w:tplc="B0E849AC">
      <w:start w:val="1"/>
      <w:numFmt w:val="bullet"/>
      <w:lvlText w:val="o"/>
      <w:lvlJc w:val="left"/>
      <w:pPr>
        <w:ind w:left="3600" w:hanging="360"/>
      </w:pPr>
      <w:rPr>
        <w:rFonts w:ascii="Courier New" w:hAnsi="Courier New" w:hint="default"/>
      </w:rPr>
    </w:lvl>
    <w:lvl w:ilvl="5" w:tplc="B908D982">
      <w:start w:val="1"/>
      <w:numFmt w:val="bullet"/>
      <w:lvlText w:val=""/>
      <w:lvlJc w:val="left"/>
      <w:pPr>
        <w:ind w:left="4320" w:hanging="360"/>
      </w:pPr>
      <w:rPr>
        <w:rFonts w:ascii="Wingdings" w:hAnsi="Wingdings" w:hint="default"/>
      </w:rPr>
    </w:lvl>
    <w:lvl w:ilvl="6" w:tplc="F09E6CFC">
      <w:start w:val="1"/>
      <w:numFmt w:val="bullet"/>
      <w:lvlText w:val=""/>
      <w:lvlJc w:val="left"/>
      <w:pPr>
        <w:ind w:left="5040" w:hanging="360"/>
      </w:pPr>
      <w:rPr>
        <w:rFonts w:ascii="Symbol" w:hAnsi="Symbol" w:hint="default"/>
      </w:rPr>
    </w:lvl>
    <w:lvl w:ilvl="7" w:tplc="6A1C1ACE">
      <w:start w:val="1"/>
      <w:numFmt w:val="bullet"/>
      <w:lvlText w:val="o"/>
      <w:lvlJc w:val="left"/>
      <w:pPr>
        <w:ind w:left="5760" w:hanging="360"/>
      </w:pPr>
      <w:rPr>
        <w:rFonts w:ascii="Courier New" w:hAnsi="Courier New" w:hint="default"/>
      </w:rPr>
    </w:lvl>
    <w:lvl w:ilvl="8" w:tplc="BD980FD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6113466">
    <w:abstractNumId w:val="11"/>
  </w:num>
  <w:num w:numId="2" w16cid:durableId="1349140760">
    <w:abstractNumId w:val="12"/>
  </w:num>
  <w:num w:numId="3" w16cid:durableId="1937711184">
    <w:abstractNumId w:val="1"/>
  </w:num>
  <w:num w:numId="4" w16cid:durableId="801188614">
    <w:abstractNumId w:val="3"/>
  </w:num>
  <w:num w:numId="5" w16cid:durableId="1621648479">
    <w:abstractNumId w:val="15"/>
  </w:num>
  <w:num w:numId="6" w16cid:durableId="188293599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D730F"/>
    <w:rsid w:val="000F7C0B"/>
    <w:rsid w:val="00125D37"/>
    <w:rsid w:val="00127C1A"/>
    <w:rsid w:val="00150D81"/>
    <w:rsid w:val="00153358"/>
    <w:rsid w:val="0015595E"/>
    <w:rsid w:val="00166CEB"/>
    <w:rsid w:val="0017311E"/>
    <w:rsid w:val="00183CB9"/>
    <w:rsid w:val="00184A9A"/>
    <w:rsid w:val="001947DF"/>
    <w:rsid w:val="00194F1C"/>
    <w:rsid w:val="001B22BB"/>
    <w:rsid w:val="001B619C"/>
    <w:rsid w:val="001D1209"/>
    <w:rsid w:val="001D1D3C"/>
    <w:rsid w:val="002205D4"/>
    <w:rsid w:val="00222C3A"/>
    <w:rsid w:val="00226D31"/>
    <w:rsid w:val="00236401"/>
    <w:rsid w:val="002370CE"/>
    <w:rsid w:val="00242974"/>
    <w:rsid w:val="00263392"/>
    <w:rsid w:val="002976D4"/>
    <w:rsid w:val="002A5577"/>
    <w:rsid w:val="002B4AA4"/>
    <w:rsid w:val="002E4DAD"/>
    <w:rsid w:val="002E71BA"/>
    <w:rsid w:val="002F40EF"/>
    <w:rsid w:val="002F5066"/>
    <w:rsid w:val="003003FD"/>
    <w:rsid w:val="00301632"/>
    <w:rsid w:val="00310245"/>
    <w:rsid w:val="00316C95"/>
    <w:rsid w:val="003458DB"/>
    <w:rsid w:val="003523D3"/>
    <w:rsid w:val="00364C35"/>
    <w:rsid w:val="00396F60"/>
    <w:rsid w:val="003A51D6"/>
    <w:rsid w:val="003B125E"/>
    <w:rsid w:val="003B2A5E"/>
    <w:rsid w:val="003B3D92"/>
    <w:rsid w:val="003C7C97"/>
    <w:rsid w:val="003E44D5"/>
    <w:rsid w:val="00406B8D"/>
    <w:rsid w:val="00410068"/>
    <w:rsid w:val="0041618E"/>
    <w:rsid w:val="0042295C"/>
    <w:rsid w:val="00426EEC"/>
    <w:rsid w:val="00434740"/>
    <w:rsid w:val="004466C3"/>
    <w:rsid w:val="004552CE"/>
    <w:rsid w:val="0047578A"/>
    <w:rsid w:val="00481FF7"/>
    <w:rsid w:val="004F116B"/>
    <w:rsid w:val="004F57AA"/>
    <w:rsid w:val="00500295"/>
    <w:rsid w:val="00501AAF"/>
    <w:rsid w:val="00507AAC"/>
    <w:rsid w:val="00527AFA"/>
    <w:rsid w:val="005419DA"/>
    <w:rsid w:val="005678AC"/>
    <w:rsid w:val="005679BD"/>
    <w:rsid w:val="005709B1"/>
    <w:rsid w:val="00572B3B"/>
    <w:rsid w:val="005836D2"/>
    <w:rsid w:val="00587C58"/>
    <w:rsid w:val="005955BE"/>
    <w:rsid w:val="005A0A78"/>
    <w:rsid w:val="005A196B"/>
    <w:rsid w:val="005A1DE3"/>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1F68"/>
    <w:rsid w:val="006A5CFC"/>
    <w:rsid w:val="006C5138"/>
    <w:rsid w:val="006C689B"/>
    <w:rsid w:val="006E005C"/>
    <w:rsid w:val="006E6EE5"/>
    <w:rsid w:val="006F0029"/>
    <w:rsid w:val="006F0A8A"/>
    <w:rsid w:val="007138EF"/>
    <w:rsid w:val="007632A9"/>
    <w:rsid w:val="00774092"/>
    <w:rsid w:val="00782830"/>
    <w:rsid w:val="0078664A"/>
    <w:rsid w:val="007879C2"/>
    <w:rsid w:val="00794965"/>
    <w:rsid w:val="007B0F6D"/>
    <w:rsid w:val="007C62C3"/>
    <w:rsid w:val="007D25AA"/>
    <w:rsid w:val="007D3C13"/>
    <w:rsid w:val="007F0873"/>
    <w:rsid w:val="00805726"/>
    <w:rsid w:val="00813954"/>
    <w:rsid w:val="00815117"/>
    <w:rsid w:val="00824CB1"/>
    <w:rsid w:val="008520F8"/>
    <w:rsid w:val="00855F34"/>
    <w:rsid w:val="008826B6"/>
    <w:rsid w:val="008B0B22"/>
    <w:rsid w:val="008C58B0"/>
    <w:rsid w:val="008C591B"/>
    <w:rsid w:val="008C6182"/>
    <w:rsid w:val="0090779E"/>
    <w:rsid w:val="00926458"/>
    <w:rsid w:val="00933720"/>
    <w:rsid w:val="009C7E52"/>
    <w:rsid w:val="009E04ED"/>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62937"/>
    <w:rsid w:val="00B63F9D"/>
    <w:rsid w:val="00B81790"/>
    <w:rsid w:val="00B81BBC"/>
    <w:rsid w:val="00BD03D5"/>
    <w:rsid w:val="00BE0103"/>
    <w:rsid w:val="00C136FE"/>
    <w:rsid w:val="00C165E6"/>
    <w:rsid w:val="00C248DA"/>
    <w:rsid w:val="00C3215E"/>
    <w:rsid w:val="00C45272"/>
    <w:rsid w:val="00C47770"/>
    <w:rsid w:val="00C55606"/>
    <w:rsid w:val="00C75856"/>
    <w:rsid w:val="00C85A7C"/>
    <w:rsid w:val="00C95214"/>
    <w:rsid w:val="00CC3F59"/>
    <w:rsid w:val="00CC666A"/>
    <w:rsid w:val="00CD4774"/>
    <w:rsid w:val="00CE1732"/>
    <w:rsid w:val="00D10AAF"/>
    <w:rsid w:val="00D27540"/>
    <w:rsid w:val="00D34CEE"/>
    <w:rsid w:val="00D4006B"/>
    <w:rsid w:val="00D40D7A"/>
    <w:rsid w:val="00D64A0D"/>
    <w:rsid w:val="00D659A2"/>
    <w:rsid w:val="00D676C3"/>
    <w:rsid w:val="00D750B4"/>
    <w:rsid w:val="00D81C18"/>
    <w:rsid w:val="00D8461A"/>
    <w:rsid w:val="00D95CAF"/>
    <w:rsid w:val="00DB60B6"/>
    <w:rsid w:val="00DC1CC6"/>
    <w:rsid w:val="00DD5135"/>
    <w:rsid w:val="00E067A8"/>
    <w:rsid w:val="00E13924"/>
    <w:rsid w:val="00E1433C"/>
    <w:rsid w:val="00E15FD5"/>
    <w:rsid w:val="00E1725A"/>
    <w:rsid w:val="00E33758"/>
    <w:rsid w:val="00E439C8"/>
    <w:rsid w:val="00E53E5E"/>
    <w:rsid w:val="00E64325"/>
    <w:rsid w:val="00E673C5"/>
    <w:rsid w:val="00E67967"/>
    <w:rsid w:val="00E82723"/>
    <w:rsid w:val="00EA29A5"/>
    <w:rsid w:val="00EA5BD8"/>
    <w:rsid w:val="00EC107C"/>
    <w:rsid w:val="00EC7EBE"/>
    <w:rsid w:val="00EC7FD2"/>
    <w:rsid w:val="00ED5964"/>
    <w:rsid w:val="00F16754"/>
    <w:rsid w:val="00F1720B"/>
    <w:rsid w:val="00F36ADC"/>
    <w:rsid w:val="00F605C6"/>
    <w:rsid w:val="00F6785B"/>
    <w:rsid w:val="00F9012D"/>
    <w:rsid w:val="00F915D6"/>
    <w:rsid w:val="00FB6112"/>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CC6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cn.org.uk/Professional-Development/Definition-and-principles-of-nursing" TargetMode="External"/><Relationship Id="rId4" Type="http://schemas.openxmlformats.org/officeDocument/2006/relationships/settings" Target="settings.xml"/><Relationship Id="rId9" Type="http://schemas.openxmlformats.org/officeDocument/2006/relationships/hyperlink" Target="https://www.nmc.org.uk/standards/co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742F91-8046-4E28-8006-A2CA7EBE5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7645</TotalTime>
  <Pages>6</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Teodora Stoyanova Ganchevska (2532550)</cp:lastModifiedBy>
  <cp:revision>17</cp:revision>
  <dcterms:created xsi:type="dcterms:W3CDTF">2025-11-19T18:30:00Z</dcterms:created>
  <dcterms:modified xsi:type="dcterms:W3CDTF">2026-04-05T14:28:00Z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d4000d72-f9e6-49f2-ab09-a33ec1198c34</vt:lpwstr>
  </property>
</Properties>
</file>