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4F2F2DB" w14:textId="5C3CF059" w:rsidR="007D1947" w:rsidRDefault="00235F3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235F3D">
                <w:rPr>
                  <w:rFonts w:asciiTheme="majorHAnsi" w:eastAsiaTheme="majorEastAsia" w:hAnsiTheme="majorHAnsi" w:cstheme="majorBidi"/>
                  <w:caps/>
                  <w:color w:val="5B9BD5" w:themeColor="accent1"/>
                  <w:sz w:val="72"/>
                  <w:szCs w:val="72"/>
                </w:rPr>
                <w:t>ACMA5007 – Approaches</w:t>
              </w:r>
              <w:r>
                <w:rPr>
                  <w:rFonts w:asciiTheme="majorHAnsi" w:eastAsiaTheme="majorEastAsia" w:hAnsiTheme="majorHAnsi" w:cstheme="majorBidi"/>
                  <w:caps/>
                  <w:color w:val="5B9BD5" w:themeColor="accent1"/>
                  <w:sz w:val="72"/>
                  <w:szCs w:val="72"/>
                </w:rPr>
                <w:t xml:space="preserve"> </w:t>
              </w:r>
              <w:r w:rsidRPr="00235F3D">
                <w:rPr>
                  <w:rFonts w:asciiTheme="majorHAnsi" w:eastAsiaTheme="majorEastAsia" w:hAnsiTheme="majorHAnsi" w:cstheme="majorBidi"/>
                  <w:caps/>
                  <w:color w:val="5B9BD5" w:themeColor="accent1"/>
                  <w:sz w:val="72"/>
                  <w:szCs w:val="72"/>
                </w:rPr>
                <w:t>to Innovation</w:t>
              </w:r>
              <w:r>
                <w:rPr>
                  <w:rFonts w:asciiTheme="majorHAnsi" w:eastAsiaTheme="majorEastAsia" w:hAnsiTheme="majorHAnsi" w:cstheme="majorBidi"/>
                  <w:caps/>
                  <w:color w:val="5B9BD5" w:themeColor="accent1"/>
                  <w:sz w:val="72"/>
                  <w:szCs w:val="72"/>
                </w:rPr>
                <w:t xml:space="preserve"> </w:t>
              </w:r>
              <w:r w:rsidRPr="00235F3D">
                <w:rPr>
                  <w:rFonts w:asciiTheme="majorHAnsi" w:eastAsiaTheme="majorEastAsia" w:hAnsiTheme="majorHAnsi" w:cstheme="majorBidi"/>
                  <w:caps/>
                  <w:color w:val="5B9BD5" w:themeColor="accent1"/>
                  <w:sz w:val="72"/>
                  <w:szCs w:val="72"/>
                </w:rPr>
                <w:t>and Organisational Change</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373A3D6C" w:rsidR="007D1947" w:rsidRDefault="00385A31">
              <w:pPr>
                <w:pStyle w:val="NoSpacing"/>
                <w:jc w:val="center"/>
                <w:rPr>
                  <w:color w:val="5B9BD5" w:themeColor="accent1"/>
                  <w:sz w:val="28"/>
                  <w:szCs w:val="28"/>
                </w:rPr>
              </w:pPr>
              <w:r>
                <w:rPr>
                  <w:color w:val="5B9BD5" w:themeColor="accent1"/>
                  <w:sz w:val="28"/>
                  <w:szCs w:val="28"/>
                </w:rPr>
                <w:t>Joseph James</w:t>
              </w:r>
              <w:r w:rsidR="00E9063D">
                <w:rPr>
                  <w:color w:val="5B9BD5" w:themeColor="accent1"/>
                  <w:sz w:val="28"/>
                  <w:szCs w:val="28"/>
                </w:rPr>
                <w:t xml:space="preserve"> - 2320115</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EndPr/>
                                <w:sdtContent>
                                  <w:p w14:paraId="52BAF8D9" w14:textId="635DBB62" w:rsidR="007D1947" w:rsidRDefault="00385A31">
                                    <w:pPr>
                                      <w:pStyle w:val="NoSpacing"/>
                                      <w:spacing w:after="40"/>
                                      <w:jc w:val="center"/>
                                      <w:rPr>
                                        <w:caps/>
                                        <w:color w:val="5B9BD5" w:themeColor="accent1"/>
                                        <w:sz w:val="28"/>
                                        <w:szCs w:val="28"/>
                                      </w:rPr>
                                    </w:pPr>
                                    <w:r>
                                      <w:rPr>
                                        <w:caps/>
                                        <w:color w:val="5B9BD5" w:themeColor="accent1"/>
                                        <w:sz w:val="28"/>
                                        <w:szCs w:val="28"/>
                                      </w:rPr>
                                      <w:t>May 12, 2025</w:t>
                                    </w:r>
                                  </w:p>
                                </w:sdtContent>
                              </w:sdt>
                              <w:p w14:paraId="69E98CB3" w14:textId="763201B1" w:rsidR="007D1947" w:rsidRDefault="00AE32C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AE32C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EndPr/>
                          <w:sdtContent>
                            <w:p w14:paraId="52BAF8D9" w14:textId="635DBB62" w:rsidR="007D1947" w:rsidRDefault="00385A31">
                              <w:pPr>
                                <w:pStyle w:val="NoSpacing"/>
                                <w:spacing w:after="40"/>
                                <w:jc w:val="center"/>
                                <w:rPr>
                                  <w:caps/>
                                  <w:color w:val="5B9BD5" w:themeColor="accent1"/>
                                  <w:sz w:val="28"/>
                                  <w:szCs w:val="28"/>
                                </w:rPr>
                              </w:pPr>
                              <w:r>
                                <w:rPr>
                                  <w:caps/>
                                  <w:color w:val="5B9BD5" w:themeColor="accent1"/>
                                  <w:sz w:val="28"/>
                                  <w:szCs w:val="28"/>
                                </w:rPr>
                                <w:t>May 12, 2025</w:t>
                              </w:r>
                            </w:p>
                          </w:sdtContent>
                        </w:sdt>
                        <w:p w14:paraId="69E98CB3" w14:textId="763201B1" w:rsidR="007D1947" w:rsidRDefault="00AE32C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AE32C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97806415"/>
          <w:r>
            <w:lastRenderedPageBreak/>
            <w:t>Executive Summary</w:t>
          </w:r>
          <w:bookmarkEnd w:id="0"/>
        </w:p>
        <w:p w14:paraId="62AB7F7D" w14:textId="69F3B093" w:rsidR="007D1947" w:rsidRDefault="007D1947"/>
        <w:p w14:paraId="04F62B00" w14:textId="77777777" w:rsidR="004A511F" w:rsidRDefault="008678FA">
          <w:r>
            <w:t>This report examines a departmental reassignment within a large oil refinery, in which an individual was transferred from the Integrity Maintenance Planning team to the Turnaround Planning t</w:t>
          </w:r>
          <w:r w:rsidR="00284723">
            <w:t>eam</w:t>
          </w:r>
          <w:r>
            <w:t xml:space="preserve">. The change introduced a significant increase in responsibility, system complexity and scrutiny coinciding with the preparation and execution of a high-value </w:t>
          </w:r>
          <w:r w:rsidR="00B808B0">
            <w:t>Turnaround event</w:t>
          </w:r>
          <w:r>
            <w:t>. The reassignment took place with limited consultation or structured support, presenting challenges in adaptation and performance delivery.</w:t>
          </w:r>
        </w:p>
        <w:p w14:paraId="4AF13093" w14:textId="572015EE" w:rsidR="004A511F" w:rsidRDefault="004A511F">
          <w:r>
            <w:t>The analysis explores the organisational, leadership and motivational challenges experienced during this transition, using established management and change theories to assess the effectiveness of the change implementation.</w:t>
          </w:r>
        </w:p>
        <w:p w14:paraId="55343FE4" w14:textId="59766FA2" w:rsidR="000128C6" w:rsidRDefault="003C701D">
          <w:r>
            <w:t>Kotter’s (2016)</w:t>
          </w:r>
          <w:r w:rsidR="000128C6">
            <w:t xml:space="preserve"> Eight-Step Change Model is used to structure the evaluation of the change process. The analysis reveals that</w:t>
          </w:r>
          <w:r>
            <w:t>,</w:t>
          </w:r>
          <w:r w:rsidR="000128C6">
            <w:t xml:space="preserve"> while the reassignment was operationally urgent and aligned with business needs, key stages of the change model</w:t>
          </w:r>
          <w:r>
            <w:t>, p</w:t>
          </w:r>
          <w:r w:rsidR="000128C6">
            <w:t>articularly around communication, support and employee involvement</w:t>
          </w:r>
          <w:r>
            <w:t xml:space="preserve"> were neglected.</w:t>
          </w:r>
          <w:r w:rsidR="000128C6">
            <w:t xml:space="preserve"> Lewin’s (1951) Forcefield Analysis is </w:t>
          </w:r>
          <w:r>
            <w:t>use</w:t>
          </w:r>
          <w:r w:rsidR="000128C6">
            <w:t xml:space="preserve">d to examine the driving and restraining forces, highlighting the lack of transitional training and consultation as </w:t>
          </w:r>
          <w:r>
            <w:t>significant</w:t>
          </w:r>
          <w:r w:rsidR="000128C6">
            <w:t xml:space="preserve"> barriers to employee engagement.</w:t>
          </w:r>
        </w:p>
        <w:p w14:paraId="60D5C78B" w14:textId="0D43A267" w:rsidR="000128C6" w:rsidRDefault="003C701D">
          <w:r>
            <w:t>Herzberg’s (2017)</w:t>
          </w:r>
          <w:r w:rsidR="000128C6">
            <w:t xml:space="preserve"> Two-Factor Theory provides insight into the motivational impacts of the reassignment. While basic working conditions (hygiene factors) were maintained, the </w:t>
          </w:r>
          <w:r>
            <w:t>lack</w:t>
          </w:r>
          <w:r w:rsidR="000128C6">
            <w:t xml:space="preserve"> of intrinsic motivators such as recognition, development and autonomy limited job satisfaction and engagement. The Path-Goal Theory </w:t>
          </w:r>
          <w:sdt>
            <w:sdtPr>
              <w:id w:val="-667934051"/>
              <w:citation/>
            </w:sdtPr>
            <w:sdtEndPr/>
            <w:sdtContent>
              <w:r w:rsidR="000128C6">
                <w:fldChar w:fldCharType="begin"/>
              </w:r>
              <w:r w:rsidR="000128C6">
                <w:instrText xml:space="preserve"> CITATION Hou96 \l 2057 </w:instrText>
              </w:r>
              <w:r w:rsidR="000128C6">
                <w:fldChar w:fldCharType="separate"/>
              </w:r>
              <w:r w:rsidR="000128C6" w:rsidRPr="000128C6">
                <w:rPr>
                  <w:noProof/>
                </w:rPr>
                <w:t>(House, 1996)</w:t>
              </w:r>
              <w:r w:rsidR="000128C6">
                <w:fldChar w:fldCharType="end"/>
              </w:r>
            </w:sdtContent>
          </w:sdt>
          <w:r w:rsidR="000128C6">
            <w:t xml:space="preserve"> further highlights the narrow leadership approach used during the change. Leadership behaviours were overly directive and failed to adapt to the individual’s situational needs, resulting in missed opportunities to build confidence and commitment.</w:t>
          </w:r>
        </w:p>
        <w:p w14:paraId="59EC53A7" w14:textId="377D9370" w:rsidR="008678FA" w:rsidRDefault="00856B2D">
          <w:r>
            <w:t xml:space="preserve"> </w:t>
          </w:r>
        </w:p>
        <w:p w14:paraId="6846CF66" w14:textId="1A536880" w:rsidR="00F4327A" w:rsidRDefault="00F4327A">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1F289917" w14:textId="77777777" w:rsidR="00856B2D" w:rsidRPr="00856B2D" w:rsidRDefault="00856B2D" w:rsidP="00856B2D">
              <w:pPr>
                <w:rPr>
                  <w:lang w:val="en-US"/>
                </w:rPr>
              </w:pPr>
            </w:p>
            <w:p w14:paraId="0628BC42" w14:textId="5885F2B1" w:rsidR="00AE32CB"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7806415" w:history="1">
                <w:r w:rsidR="00AE32CB" w:rsidRPr="006E2683">
                  <w:rPr>
                    <w:rStyle w:val="Hyperlink"/>
                    <w:noProof/>
                  </w:rPr>
                  <w:t>Executive Summary</w:t>
                </w:r>
                <w:r w:rsidR="00AE32CB">
                  <w:rPr>
                    <w:noProof/>
                    <w:webHidden/>
                  </w:rPr>
                  <w:tab/>
                </w:r>
                <w:r w:rsidR="00AE32CB">
                  <w:rPr>
                    <w:noProof/>
                    <w:webHidden/>
                  </w:rPr>
                  <w:fldChar w:fldCharType="begin"/>
                </w:r>
                <w:r w:rsidR="00AE32CB">
                  <w:rPr>
                    <w:noProof/>
                    <w:webHidden/>
                  </w:rPr>
                  <w:instrText xml:space="preserve"> PAGEREF _Toc197806415 \h </w:instrText>
                </w:r>
                <w:r w:rsidR="00AE32CB">
                  <w:rPr>
                    <w:noProof/>
                    <w:webHidden/>
                  </w:rPr>
                </w:r>
                <w:r w:rsidR="00AE32CB">
                  <w:rPr>
                    <w:noProof/>
                    <w:webHidden/>
                  </w:rPr>
                  <w:fldChar w:fldCharType="separate"/>
                </w:r>
                <w:r w:rsidR="00AE32CB">
                  <w:rPr>
                    <w:noProof/>
                    <w:webHidden/>
                  </w:rPr>
                  <w:t>1</w:t>
                </w:r>
                <w:r w:rsidR="00AE32CB">
                  <w:rPr>
                    <w:noProof/>
                    <w:webHidden/>
                  </w:rPr>
                  <w:fldChar w:fldCharType="end"/>
                </w:r>
              </w:hyperlink>
            </w:p>
            <w:p w14:paraId="63CAF2E3" w14:textId="6E326AE1" w:rsidR="00AE32CB" w:rsidRDefault="00AE32CB">
              <w:pPr>
                <w:pStyle w:val="TOC1"/>
                <w:tabs>
                  <w:tab w:val="right" w:leader="dot" w:pos="9016"/>
                </w:tabs>
                <w:rPr>
                  <w:rFonts w:eastAsiaTheme="minorEastAsia"/>
                  <w:noProof/>
                  <w:kern w:val="2"/>
                  <w:sz w:val="24"/>
                  <w:szCs w:val="24"/>
                  <w:lang w:eastAsia="en-GB"/>
                  <w14:ligatures w14:val="standardContextual"/>
                </w:rPr>
              </w:pPr>
              <w:hyperlink w:anchor="_Toc197806416" w:history="1">
                <w:r w:rsidRPr="006E2683">
                  <w:rPr>
                    <w:rStyle w:val="Hyperlink"/>
                    <w:noProof/>
                  </w:rPr>
                  <w:t>Introduction</w:t>
                </w:r>
                <w:r>
                  <w:rPr>
                    <w:noProof/>
                    <w:webHidden/>
                  </w:rPr>
                  <w:tab/>
                </w:r>
                <w:r>
                  <w:rPr>
                    <w:noProof/>
                    <w:webHidden/>
                  </w:rPr>
                  <w:fldChar w:fldCharType="begin"/>
                </w:r>
                <w:r>
                  <w:rPr>
                    <w:noProof/>
                    <w:webHidden/>
                  </w:rPr>
                  <w:instrText xml:space="preserve"> PAGEREF _Toc197806416 \h </w:instrText>
                </w:r>
                <w:r>
                  <w:rPr>
                    <w:noProof/>
                    <w:webHidden/>
                  </w:rPr>
                </w:r>
                <w:r>
                  <w:rPr>
                    <w:noProof/>
                    <w:webHidden/>
                  </w:rPr>
                  <w:fldChar w:fldCharType="separate"/>
                </w:r>
                <w:r>
                  <w:rPr>
                    <w:noProof/>
                    <w:webHidden/>
                  </w:rPr>
                  <w:t>3</w:t>
                </w:r>
                <w:r>
                  <w:rPr>
                    <w:noProof/>
                    <w:webHidden/>
                  </w:rPr>
                  <w:fldChar w:fldCharType="end"/>
                </w:r>
              </w:hyperlink>
            </w:p>
            <w:p w14:paraId="7BD4D02B" w14:textId="564F8D94" w:rsidR="00AE32CB" w:rsidRDefault="00AE32CB">
              <w:pPr>
                <w:pStyle w:val="TOC1"/>
                <w:tabs>
                  <w:tab w:val="right" w:leader="dot" w:pos="9016"/>
                </w:tabs>
                <w:rPr>
                  <w:rFonts w:eastAsiaTheme="minorEastAsia"/>
                  <w:noProof/>
                  <w:kern w:val="2"/>
                  <w:sz w:val="24"/>
                  <w:szCs w:val="24"/>
                  <w:lang w:eastAsia="en-GB"/>
                  <w14:ligatures w14:val="standardContextual"/>
                </w:rPr>
              </w:pPr>
              <w:hyperlink w:anchor="_Toc197806417" w:history="1">
                <w:r w:rsidRPr="006E2683">
                  <w:rPr>
                    <w:rStyle w:val="Hyperlink"/>
                    <w:noProof/>
                  </w:rPr>
                  <w:t>Main Findings</w:t>
                </w:r>
                <w:r>
                  <w:rPr>
                    <w:noProof/>
                    <w:webHidden/>
                  </w:rPr>
                  <w:tab/>
                </w:r>
                <w:r>
                  <w:rPr>
                    <w:noProof/>
                    <w:webHidden/>
                  </w:rPr>
                  <w:fldChar w:fldCharType="begin"/>
                </w:r>
                <w:r>
                  <w:rPr>
                    <w:noProof/>
                    <w:webHidden/>
                  </w:rPr>
                  <w:instrText xml:space="preserve"> PAGEREF _Toc197806417 \h </w:instrText>
                </w:r>
                <w:r>
                  <w:rPr>
                    <w:noProof/>
                    <w:webHidden/>
                  </w:rPr>
                </w:r>
                <w:r>
                  <w:rPr>
                    <w:noProof/>
                    <w:webHidden/>
                  </w:rPr>
                  <w:fldChar w:fldCharType="separate"/>
                </w:r>
                <w:r>
                  <w:rPr>
                    <w:noProof/>
                    <w:webHidden/>
                  </w:rPr>
                  <w:t>4</w:t>
                </w:r>
                <w:r>
                  <w:rPr>
                    <w:noProof/>
                    <w:webHidden/>
                  </w:rPr>
                  <w:fldChar w:fldCharType="end"/>
                </w:r>
              </w:hyperlink>
            </w:p>
            <w:p w14:paraId="2E42FC6E" w14:textId="15C284AD" w:rsidR="00AE32CB" w:rsidRDefault="00AE32CB">
              <w:pPr>
                <w:pStyle w:val="TOC2"/>
                <w:tabs>
                  <w:tab w:val="right" w:leader="dot" w:pos="9016"/>
                </w:tabs>
                <w:rPr>
                  <w:rFonts w:eastAsiaTheme="minorEastAsia"/>
                  <w:noProof/>
                  <w:kern w:val="2"/>
                  <w:sz w:val="24"/>
                  <w:szCs w:val="24"/>
                  <w:lang w:eastAsia="en-GB"/>
                  <w14:ligatures w14:val="standardContextual"/>
                </w:rPr>
              </w:pPr>
              <w:hyperlink w:anchor="_Toc197806418" w:history="1">
                <w:r w:rsidRPr="006E2683">
                  <w:rPr>
                    <w:rStyle w:val="Hyperlink"/>
                    <w:noProof/>
                  </w:rPr>
                  <w:t>Overview of the Change</w:t>
                </w:r>
                <w:r>
                  <w:rPr>
                    <w:noProof/>
                    <w:webHidden/>
                  </w:rPr>
                  <w:tab/>
                </w:r>
                <w:r>
                  <w:rPr>
                    <w:noProof/>
                    <w:webHidden/>
                  </w:rPr>
                  <w:fldChar w:fldCharType="begin"/>
                </w:r>
                <w:r>
                  <w:rPr>
                    <w:noProof/>
                    <w:webHidden/>
                  </w:rPr>
                  <w:instrText xml:space="preserve"> PAGEREF _Toc197806418 \h </w:instrText>
                </w:r>
                <w:r>
                  <w:rPr>
                    <w:noProof/>
                    <w:webHidden/>
                  </w:rPr>
                </w:r>
                <w:r>
                  <w:rPr>
                    <w:noProof/>
                    <w:webHidden/>
                  </w:rPr>
                  <w:fldChar w:fldCharType="separate"/>
                </w:r>
                <w:r>
                  <w:rPr>
                    <w:noProof/>
                    <w:webHidden/>
                  </w:rPr>
                  <w:t>4</w:t>
                </w:r>
                <w:r>
                  <w:rPr>
                    <w:noProof/>
                    <w:webHidden/>
                  </w:rPr>
                  <w:fldChar w:fldCharType="end"/>
                </w:r>
              </w:hyperlink>
            </w:p>
            <w:p w14:paraId="5ADAD6B6" w14:textId="6D316F75" w:rsidR="00AE32CB" w:rsidRDefault="00AE32CB">
              <w:pPr>
                <w:pStyle w:val="TOC2"/>
                <w:tabs>
                  <w:tab w:val="right" w:leader="dot" w:pos="9016"/>
                </w:tabs>
                <w:rPr>
                  <w:rFonts w:eastAsiaTheme="minorEastAsia"/>
                  <w:noProof/>
                  <w:kern w:val="2"/>
                  <w:sz w:val="24"/>
                  <w:szCs w:val="24"/>
                  <w:lang w:eastAsia="en-GB"/>
                  <w14:ligatures w14:val="standardContextual"/>
                </w:rPr>
              </w:pPr>
              <w:hyperlink w:anchor="_Toc197806419" w:history="1">
                <w:r w:rsidRPr="006E2683">
                  <w:rPr>
                    <w:rStyle w:val="Hyperlink"/>
                    <w:noProof/>
                  </w:rPr>
                  <w:t>Assessment of the change process</w:t>
                </w:r>
                <w:r>
                  <w:rPr>
                    <w:noProof/>
                    <w:webHidden/>
                  </w:rPr>
                  <w:tab/>
                </w:r>
                <w:r>
                  <w:rPr>
                    <w:noProof/>
                    <w:webHidden/>
                  </w:rPr>
                  <w:fldChar w:fldCharType="begin"/>
                </w:r>
                <w:r>
                  <w:rPr>
                    <w:noProof/>
                    <w:webHidden/>
                  </w:rPr>
                  <w:instrText xml:space="preserve"> PAGEREF _Toc197806419 \h </w:instrText>
                </w:r>
                <w:r>
                  <w:rPr>
                    <w:noProof/>
                    <w:webHidden/>
                  </w:rPr>
                </w:r>
                <w:r>
                  <w:rPr>
                    <w:noProof/>
                    <w:webHidden/>
                  </w:rPr>
                  <w:fldChar w:fldCharType="separate"/>
                </w:r>
                <w:r>
                  <w:rPr>
                    <w:noProof/>
                    <w:webHidden/>
                  </w:rPr>
                  <w:t>5</w:t>
                </w:r>
                <w:r>
                  <w:rPr>
                    <w:noProof/>
                    <w:webHidden/>
                  </w:rPr>
                  <w:fldChar w:fldCharType="end"/>
                </w:r>
              </w:hyperlink>
            </w:p>
            <w:p w14:paraId="186BDA4A" w14:textId="61C4F9EB" w:rsidR="00AE32CB" w:rsidRDefault="00AE32CB">
              <w:pPr>
                <w:pStyle w:val="TOC3"/>
                <w:tabs>
                  <w:tab w:val="right" w:leader="dot" w:pos="9016"/>
                </w:tabs>
                <w:rPr>
                  <w:rFonts w:eastAsiaTheme="minorEastAsia"/>
                  <w:noProof/>
                  <w:kern w:val="2"/>
                  <w:sz w:val="24"/>
                  <w:szCs w:val="24"/>
                  <w:lang w:eastAsia="en-GB"/>
                  <w14:ligatures w14:val="standardContextual"/>
                </w:rPr>
              </w:pPr>
              <w:hyperlink w:anchor="_Toc197806420" w:history="1">
                <w:r w:rsidRPr="006E2683">
                  <w:rPr>
                    <w:rStyle w:val="Hyperlink"/>
                    <w:noProof/>
                  </w:rPr>
                  <w:t>Lewin’s Forcefield Analysis</w:t>
                </w:r>
                <w:r>
                  <w:rPr>
                    <w:noProof/>
                    <w:webHidden/>
                  </w:rPr>
                  <w:tab/>
                </w:r>
                <w:r>
                  <w:rPr>
                    <w:noProof/>
                    <w:webHidden/>
                  </w:rPr>
                  <w:fldChar w:fldCharType="begin"/>
                </w:r>
                <w:r>
                  <w:rPr>
                    <w:noProof/>
                    <w:webHidden/>
                  </w:rPr>
                  <w:instrText xml:space="preserve"> PAGEREF _Toc197806420 \h </w:instrText>
                </w:r>
                <w:r>
                  <w:rPr>
                    <w:noProof/>
                    <w:webHidden/>
                  </w:rPr>
                </w:r>
                <w:r>
                  <w:rPr>
                    <w:noProof/>
                    <w:webHidden/>
                  </w:rPr>
                  <w:fldChar w:fldCharType="separate"/>
                </w:r>
                <w:r>
                  <w:rPr>
                    <w:noProof/>
                    <w:webHidden/>
                  </w:rPr>
                  <w:t>5</w:t>
                </w:r>
                <w:r>
                  <w:rPr>
                    <w:noProof/>
                    <w:webHidden/>
                  </w:rPr>
                  <w:fldChar w:fldCharType="end"/>
                </w:r>
              </w:hyperlink>
            </w:p>
            <w:p w14:paraId="7CA1F802" w14:textId="5F80CD8F" w:rsidR="00AE32CB" w:rsidRDefault="00AE32CB">
              <w:pPr>
                <w:pStyle w:val="TOC3"/>
                <w:tabs>
                  <w:tab w:val="right" w:leader="dot" w:pos="9016"/>
                </w:tabs>
                <w:rPr>
                  <w:rFonts w:eastAsiaTheme="minorEastAsia"/>
                  <w:noProof/>
                  <w:kern w:val="2"/>
                  <w:sz w:val="24"/>
                  <w:szCs w:val="24"/>
                  <w:lang w:eastAsia="en-GB"/>
                  <w14:ligatures w14:val="standardContextual"/>
                </w:rPr>
              </w:pPr>
              <w:hyperlink w:anchor="_Toc197806421" w:history="1">
                <w:r w:rsidRPr="006E2683">
                  <w:rPr>
                    <w:rStyle w:val="Hyperlink"/>
                    <w:noProof/>
                  </w:rPr>
                  <w:t>Kotter’s 8 Step Model</w:t>
                </w:r>
                <w:r>
                  <w:rPr>
                    <w:noProof/>
                    <w:webHidden/>
                  </w:rPr>
                  <w:tab/>
                </w:r>
                <w:r>
                  <w:rPr>
                    <w:noProof/>
                    <w:webHidden/>
                  </w:rPr>
                  <w:fldChar w:fldCharType="begin"/>
                </w:r>
                <w:r>
                  <w:rPr>
                    <w:noProof/>
                    <w:webHidden/>
                  </w:rPr>
                  <w:instrText xml:space="preserve"> PAGEREF _Toc197806421 \h </w:instrText>
                </w:r>
                <w:r>
                  <w:rPr>
                    <w:noProof/>
                    <w:webHidden/>
                  </w:rPr>
                </w:r>
                <w:r>
                  <w:rPr>
                    <w:noProof/>
                    <w:webHidden/>
                  </w:rPr>
                  <w:fldChar w:fldCharType="separate"/>
                </w:r>
                <w:r>
                  <w:rPr>
                    <w:noProof/>
                    <w:webHidden/>
                  </w:rPr>
                  <w:t>6</w:t>
                </w:r>
                <w:r>
                  <w:rPr>
                    <w:noProof/>
                    <w:webHidden/>
                  </w:rPr>
                  <w:fldChar w:fldCharType="end"/>
                </w:r>
              </w:hyperlink>
            </w:p>
            <w:p w14:paraId="6CB46E98" w14:textId="027633EB" w:rsidR="00AE32CB" w:rsidRDefault="00AE32CB">
              <w:pPr>
                <w:pStyle w:val="TOC2"/>
                <w:tabs>
                  <w:tab w:val="right" w:leader="dot" w:pos="9016"/>
                </w:tabs>
                <w:rPr>
                  <w:rFonts w:eastAsiaTheme="minorEastAsia"/>
                  <w:noProof/>
                  <w:kern w:val="2"/>
                  <w:sz w:val="24"/>
                  <w:szCs w:val="24"/>
                  <w:lang w:eastAsia="en-GB"/>
                  <w14:ligatures w14:val="standardContextual"/>
                </w:rPr>
              </w:pPr>
              <w:hyperlink w:anchor="_Toc197806422" w:history="1">
                <w:r w:rsidRPr="006E2683">
                  <w:rPr>
                    <w:rStyle w:val="Hyperlink"/>
                    <w:noProof/>
                  </w:rPr>
                  <w:t>Leadership and Management Styles</w:t>
                </w:r>
                <w:r>
                  <w:rPr>
                    <w:noProof/>
                    <w:webHidden/>
                  </w:rPr>
                  <w:tab/>
                </w:r>
                <w:r>
                  <w:rPr>
                    <w:noProof/>
                    <w:webHidden/>
                  </w:rPr>
                  <w:fldChar w:fldCharType="begin"/>
                </w:r>
                <w:r>
                  <w:rPr>
                    <w:noProof/>
                    <w:webHidden/>
                  </w:rPr>
                  <w:instrText xml:space="preserve"> PAGEREF _Toc197806422 \h </w:instrText>
                </w:r>
                <w:r>
                  <w:rPr>
                    <w:noProof/>
                    <w:webHidden/>
                  </w:rPr>
                </w:r>
                <w:r>
                  <w:rPr>
                    <w:noProof/>
                    <w:webHidden/>
                  </w:rPr>
                  <w:fldChar w:fldCharType="separate"/>
                </w:r>
                <w:r>
                  <w:rPr>
                    <w:noProof/>
                    <w:webHidden/>
                  </w:rPr>
                  <w:t>8</w:t>
                </w:r>
                <w:r>
                  <w:rPr>
                    <w:noProof/>
                    <w:webHidden/>
                  </w:rPr>
                  <w:fldChar w:fldCharType="end"/>
                </w:r>
              </w:hyperlink>
            </w:p>
            <w:p w14:paraId="61039F73" w14:textId="2DAC8ED5" w:rsidR="00AE32CB" w:rsidRDefault="00AE32CB">
              <w:pPr>
                <w:pStyle w:val="TOC3"/>
                <w:tabs>
                  <w:tab w:val="right" w:leader="dot" w:pos="9016"/>
                </w:tabs>
                <w:rPr>
                  <w:rFonts w:eastAsiaTheme="minorEastAsia"/>
                  <w:noProof/>
                  <w:kern w:val="2"/>
                  <w:sz w:val="24"/>
                  <w:szCs w:val="24"/>
                  <w:lang w:eastAsia="en-GB"/>
                  <w14:ligatures w14:val="standardContextual"/>
                </w:rPr>
              </w:pPr>
              <w:hyperlink w:anchor="_Toc197806423" w:history="1">
                <w:r w:rsidRPr="006E2683">
                  <w:rPr>
                    <w:rStyle w:val="Hyperlink"/>
                    <w:noProof/>
                  </w:rPr>
                  <w:t>Path-Goal Theory</w:t>
                </w:r>
                <w:r>
                  <w:rPr>
                    <w:noProof/>
                    <w:webHidden/>
                  </w:rPr>
                  <w:tab/>
                </w:r>
                <w:r>
                  <w:rPr>
                    <w:noProof/>
                    <w:webHidden/>
                  </w:rPr>
                  <w:fldChar w:fldCharType="begin"/>
                </w:r>
                <w:r>
                  <w:rPr>
                    <w:noProof/>
                    <w:webHidden/>
                  </w:rPr>
                  <w:instrText xml:space="preserve"> PAGEREF _Toc197806423 \h </w:instrText>
                </w:r>
                <w:r>
                  <w:rPr>
                    <w:noProof/>
                    <w:webHidden/>
                  </w:rPr>
                </w:r>
                <w:r>
                  <w:rPr>
                    <w:noProof/>
                    <w:webHidden/>
                  </w:rPr>
                  <w:fldChar w:fldCharType="separate"/>
                </w:r>
                <w:r>
                  <w:rPr>
                    <w:noProof/>
                    <w:webHidden/>
                  </w:rPr>
                  <w:t>8</w:t>
                </w:r>
                <w:r>
                  <w:rPr>
                    <w:noProof/>
                    <w:webHidden/>
                  </w:rPr>
                  <w:fldChar w:fldCharType="end"/>
                </w:r>
              </w:hyperlink>
            </w:p>
            <w:p w14:paraId="6308DDB6" w14:textId="12BBCD3A" w:rsidR="00AE32CB" w:rsidRDefault="00AE32CB">
              <w:pPr>
                <w:pStyle w:val="TOC2"/>
                <w:tabs>
                  <w:tab w:val="right" w:leader="dot" w:pos="9016"/>
                </w:tabs>
                <w:rPr>
                  <w:rFonts w:eastAsiaTheme="minorEastAsia"/>
                  <w:noProof/>
                  <w:kern w:val="2"/>
                  <w:sz w:val="24"/>
                  <w:szCs w:val="24"/>
                  <w:lang w:eastAsia="en-GB"/>
                  <w14:ligatures w14:val="standardContextual"/>
                </w:rPr>
              </w:pPr>
              <w:hyperlink w:anchor="_Toc197806424" w:history="1">
                <w:r w:rsidRPr="006E2683">
                  <w:rPr>
                    <w:rStyle w:val="Hyperlink"/>
                    <w:noProof/>
                  </w:rPr>
                  <w:t>Employee Motivation and Support</w:t>
                </w:r>
                <w:r>
                  <w:rPr>
                    <w:noProof/>
                    <w:webHidden/>
                  </w:rPr>
                  <w:tab/>
                </w:r>
                <w:r>
                  <w:rPr>
                    <w:noProof/>
                    <w:webHidden/>
                  </w:rPr>
                  <w:fldChar w:fldCharType="begin"/>
                </w:r>
                <w:r>
                  <w:rPr>
                    <w:noProof/>
                    <w:webHidden/>
                  </w:rPr>
                  <w:instrText xml:space="preserve"> PAGEREF _Toc197806424 \h </w:instrText>
                </w:r>
                <w:r>
                  <w:rPr>
                    <w:noProof/>
                    <w:webHidden/>
                  </w:rPr>
                </w:r>
                <w:r>
                  <w:rPr>
                    <w:noProof/>
                    <w:webHidden/>
                  </w:rPr>
                  <w:fldChar w:fldCharType="separate"/>
                </w:r>
                <w:r>
                  <w:rPr>
                    <w:noProof/>
                    <w:webHidden/>
                  </w:rPr>
                  <w:t>8</w:t>
                </w:r>
                <w:r>
                  <w:rPr>
                    <w:noProof/>
                    <w:webHidden/>
                  </w:rPr>
                  <w:fldChar w:fldCharType="end"/>
                </w:r>
              </w:hyperlink>
            </w:p>
            <w:p w14:paraId="662E6E46" w14:textId="6F4885B3" w:rsidR="00AE32CB" w:rsidRDefault="00AE32CB">
              <w:pPr>
                <w:pStyle w:val="TOC3"/>
                <w:tabs>
                  <w:tab w:val="right" w:leader="dot" w:pos="9016"/>
                </w:tabs>
                <w:rPr>
                  <w:rFonts w:eastAsiaTheme="minorEastAsia"/>
                  <w:noProof/>
                  <w:kern w:val="2"/>
                  <w:sz w:val="24"/>
                  <w:szCs w:val="24"/>
                  <w:lang w:eastAsia="en-GB"/>
                  <w14:ligatures w14:val="standardContextual"/>
                </w:rPr>
              </w:pPr>
              <w:hyperlink w:anchor="_Toc197806425" w:history="1">
                <w:r w:rsidRPr="006E2683">
                  <w:rPr>
                    <w:rStyle w:val="Hyperlink"/>
                    <w:noProof/>
                  </w:rPr>
                  <w:t>Herzberg’s Two-Factor Theory</w:t>
                </w:r>
                <w:r>
                  <w:rPr>
                    <w:noProof/>
                    <w:webHidden/>
                  </w:rPr>
                  <w:tab/>
                </w:r>
                <w:r>
                  <w:rPr>
                    <w:noProof/>
                    <w:webHidden/>
                  </w:rPr>
                  <w:fldChar w:fldCharType="begin"/>
                </w:r>
                <w:r>
                  <w:rPr>
                    <w:noProof/>
                    <w:webHidden/>
                  </w:rPr>
                  <w:instrText xml:space="preserve"> PAGEREF _Toc197806425 \h </w:instrText>
                </w:r>
                <w:r>
                  <w:rPr>
                    <w:noProof/>
                    <w:webHidden/>
                  </w:rPr>
                </w:r>
                <w:r>
                  <w:rPr>
                    <w:noProof/>
                    <w:webHidden/>
                  </w:rPr>
                  <w:fldChar w:fldCharType="separate"/>
                </w:r>
                <w:r>
                  <w:rPr>
                    <w:noProof/>
                    <w:webHidden/>
                  </w:rPr>
                  <w:t>9</w:t>
                </w:r>
                <w:r>
                  <w:rPr>
                    <w:noProof/>
                    <w:webHidden/>
                  </w:rPr>
                  <w:fldChar w:fldCharType="end"/>
                </w:r>
              </w:hyperlink>
            </w:p>
            <w:p w14:paraId="1E49677F" w14:textId="1DC70C6E" w:rsidR="00AE32CB" w:rsidRDefault="00AE32CB">
              <w:pPr>
                <w:pStyle w:val="TOC1"/>
                <w:tabs>
                  <w:tab w:val="right" w:leader="dot" w:pos="9016"/>
                </w:tabs>
                <w:rPr>
                  <w:rFonts w:eastAsiaTheme="minorEastAsia"/>
                  <w:noProof/>
                  <w:kern w:val="2"/>
                  <w:sz w:val="24"/>
                  <w:szCs w:val="24"/>
                  <w:lang w:eastAsia="en-GB"/>
                  <w14:ligatures w14:val="standardContextual"/>
                </w:rPr>
              </w:pPr>
              <w:hyperlink w:anchor="_Toc197806426" w:history="1">
                <w:r w:rsidRPr="006E2683">
                  <w:rPr>
                    <w:rStyle w:val="Hyperlink"/>
                    <w:noProof/>
                  </w:rPr>
                  <w:t>Conclusion</w:t>
                </w:r>
                <w:r>
                  <w:rPr>
                    <w:noProof/>
                    <w:webHidden/>
                  </w:rPr>
                  <w:tab/>
                </w:r>
                <w:r>
                  <w:rPr>
                    <w:noProof/>
                    <w:webHidden/>
                  </w:rPr>
                  <w:fldChar w:fldCharType="begin"/>
                </w:r>
                <w:r>
                  <w:rPr>
                    <w:noProof/>
                    <w:webHidden/>
                  </w:rPr>
                  <w:instrText xml:space="preserve"> PAGEREF _Toc197806426 \h </w:instrText>
                </w:r>
                <w:r>
                  <w:rPr>
                    <w:noProof/>
                    <w:webHidden/>
                  </w:rPr>
                </w:r>
                <w:r>
                  <w:rPr>
                    <w:noProof/>
                    <w:webHidden/>
                  </w:rPr>
                  <w:fldChar w:fldCharType="separate"/>
                </w:r>
                <w:r>
                  <w:rPr>
                    <w:noProof/>
                    <w:webHidden/>
                  </w:rPr>
                  <w:t>10</w:t>
                </w:r>
                <w:r>
                  <w:rPr>
                    <w:noProof/>
                    <w:webHidden/>
                  </w:rPr>
                  <w:fldChar w:fldCharType="end"/>
                </w:r>
              </w:hyperlink>
            </w:p>
            <w:p w14:paraId="0114347A" w14:textId="514D5309" w:rsidR="00AE32CB" w:rsidRDefault="00AE32CB">
              <w:pPr>
                <w:pStyle w:val="TOC1"/>
                <w:tabs>
                  <w:tab w:val="right" w:leader="dot" w:pos="9016"/>
                </w:tabs>
                <w:rPr>
                  <w:rFonts w:eastAsiaTheme="minorEastAsia"/>
                  <w:noProof/>
                  <w:kern w:val="2"/>
                  <w:sz w:val="24"/>
                  <w:szCs w:val="24"/>
                  <w:lang w:eastAsia="en-GB"/>
                  <w14:ligatures w14:val="standardContextual"/>
                </w:rPr>
              </w:pPr>
              <w:hyperlink w:anchor="_Toc197806427" w:history="1">
                <w:r w:rsidRPr="006E2683">
                  <w:rPr>
                    <w:rStyle w:val="Hyperlink"/>
                    <w:noProof/>
                  </w:rPr>
                  <w:t>References</w:t>
                </w:r>
                <w:r>
                  <w:rPr>
                    <w:noProof/>
                    <w:webHidden/>
                  </w:rPr>
                  <w:tab/>
                </w:r>
                <w:r>
                  <w:rPr>
                    <w:noProof/>
                    <w:webHidden/>
                  </w:rPr>
                  <w:fldChar w:fldCharType="begin"/>
                </w:r>
                <w:r>
                  <w:rPr>
                    <w:noProof/>
                    <w:webHidden/>
                  </w:rPr>
                  <w:instrText xml:space="preserve"> PAGEREF _Toc197806427 \h </w:instrText>
                </w:r>
                <w:r>
                  <w:rPr>
                    <w:noProof/>
                    <w:webHidden/>
                  </w:rPr>
                </w:r>
                <w:r>
                  <w:rPr>
                    <w:noProof/>
                    <w:webHidden/>
                  </w:rPr>
                  <w:fldChar w:fldCharType="separate"/>
                </w:r>
                <w:r>
                  <w:rPr>
                    <w:noProof/>
                    <w:webHidden/>
                  </w:rPr>
                  <w:t>11</w:t>
                </w:r>
                <w:r>
                  <w:rPr>
                    <w:noProof/>
                    <w:webHidden/>
                  </w:rPr>
                  <w:fldChar w:fldCharType="end"/>
                </w:r>
              </w:hyperlink>
            </w:p>
            <w:p w14:paraId="05194699" w14:textId="7F2DEEC7" w:rsidR="007D1947" w:rsidRDefault="007D1947">
              <w:r>
                <w:rPr>
                  <w:b/>
                  <w:bCs/>
                  <w:noProof/>
                </w:rPr>
                <w:fldChar w:fldCharType="end"/>
              </w:r>
            </w:p>
          </w:sdtContent>
        </w:sdt>
        <w:p w14:paraId="35B6052B" w14:textId="4EE69381" w:rsidR="00F4327A" w:rsidRDefault="00F4327A">
          <w:r>
            <w:br w:type="page"/>
          </w:r>
        </w:p>
        <w:p w14:paraId="0ED321E6" w14:textId="0F0FB166" w:rsidR="007D1947" w:rsidRDefault="007D1947" w:rsidP="00A12B58">
          <w:pPr>
            <w:pStyle w:val="Heading1"/>
          </w:pPr>
          <w:bookmarkStart w:id="1" w:name="_Toc197806416"/>
          <w:r>
            <w:lastRenderedPageBreak/>
            <w:t>Introduction</w:t>
          </w:r>
          <w:bookmarkEnd w:id="1"/>
          <w:r w:rsidR="00480872">
            <w:t xml:space="preserve"> </w:t>
          </w:r>
          <w:r w:rsidR="00E91208">
            <w:t xml:space="preserve"> </w:t>
          </w:r>
        </w:p>
        <w:p w14:paraId="54C81D2A" w14:textId="77777777" w:rsidR="007D1947" w:rsidRDefault="007D1947" w:rsidP="007D1947"/>
        <w:p w14:paraId="107CEACF" w14:textId="1DDFCB1F" w:rsidR="0089569D" w:rsidRDefault="00874C95" w:rsidP="007D1947">
          <w:r>
            <w:t>In modern industrial environments, organisation</w:t>
          </w:r>
          <w:r w:rsidR="00E64A13">
            <w:t>al</w:t>
          </w:r>
          <w:r>
            <w:t xml:space="preserve"> change i</w:t>
          </w:r>
          <w:r w:rsidR="00E64A13">
            <w:t>s</w:t>
          </w:r>
          <w:r>
            <w:t xml:space="preserve"> a </w:t>
          </w:r>
          <w:r w:rsidR="00140C6A">
            <w:t>continuous and often essential response</w:t>
          </w:r>
          <w:r>
            <w:t xml:space="preserve"> to evolving operational demands, technological </w:t>
          </w:r>
          <w:r w:rsidR="00140C6A">
            <w:t>innovation</w:t>
          </w:r>
          <w:r>
            <w:t xml:space="preserve"> and </w:t>
          </w:r>
          <w:r w:rsidR="00E425F7">
            <w:t>global market pressures</w:t>
          </w:r>
          <w:r w:rsidR="0089569D">
            <w:t xml:space="preserve"> </w:t>
          </w:r>
          <w:sdt>
            <w:sdtPr>
              <w:id w:val="-1735452551"/>
              <w:citation/>
            </w:sdtPr>
            <w:sdtEndPr/>
            <w:sdtContent>
              <w:r w:rsidR="0089569D">
                <w:fldChar w:fldCharType="begin"/>
              </w:r>
              <w:r w:rsidR="0089569D">
                <w:instrText xml:space="preserve"> CITATION Bur17 \l 2057 </w:instrText>
              </w:r>
              <w:r w:rsidR="0089569D">
                <w:fldChar w:fldCharType="separate"/>
              </w:r>
              <w:r w:rsidR="004531B8" w:rsidRPr="004531B8">
                <w:rPr>
                  <w:noProof/>
                </w:rPr>
                <w:t>(Burnes, 2017)</w:t>
              </w:r>
              <w:r w:rsidR="0089569D">
                <w:fldChar w:fldCharType="end"/>
              </w:r>
            </w:sdtContent>
          </w:sdt>
          <w:r>
            <w:t xml:space="preserve">. </w:t>
          </w:r>
          <w:r w:rsidR="0089569D">
            <w:t>This is particularly true in</w:t>
          </w:r>
          <w:r>
            <w:t xml:space="preserve"> high-risk, asset-intensive sectors such as </w:t>
          </w:r>
          <w:r w:rsidR="00E64A13">
            <w:t xml:space="preserve">the </w:t>
          </w:r>
          <w:r>
            <w:t>oil and gas</w:t>
          </w:r>
          <w:r w:rsidR="00492536">
            <w:t xml:space="preserve"> industry</w:t>
          </w:r>
          <w:r w:rsidR="0089569D">
            <w:t xml:space="preserve"> where </w:t>
          </w:r>
          <w:r w:rsidR="00E425F7">
            <w:t>maintaining safety, efficiency and competitive performance depends on the organisation’s ability to adapt swiftly and effectively</w:t>
          </w:r>
          <w:r w:rsidR="0089569D">
            <w:t xml:space="preserve"> </w:t>
          </w:r>
          <w:sdt>
            <w:sdtPr>
              <w:id w:val="-512991900"/>
              <w:citation/>
            </w:sdtPr>
            <w:sdtEndPr/>
            <w:sdtContent>
              <w:r w:rsidR="0089569D">
                <w:fldChar w:fldCharType="begin"/>
              </w:r>
              <w:r w:rsidR="0089569D">
                <w:instrText xml:space="preserve"> CITATION Mul16 \l 2057 </w:instrText>
              </w:r>
              <w:r w:rsidR="0089569D">
                <w:fldChar w:fldCharType="separate"/>
              </w:r>
              <w:r w:rsidR="004531B8" w:rsidRPr="004531B8">
                <w:rPr>
                  <w:noProof/>
                </w:rPr>
                <w:t>(Mullins, 2016)</w:t>
              </w:r>
              <w:r w:rsidR="0089569D">
                <w:fldChar w:fldCharType="end"/>
              </w:r>
            </w:sdtContent>
          </w:sdt>
          <w:r>
            <w:t xml:space="preserve">. </w:t>
          </w:r>
        </w:p>
        <w:p w14:paraId="1BE6CDEE" w14:textId="16FE3B2E" w:rsidR="00140C6A" w:rsidRDefault="00E425F7" w:rsidP="007D1947">
          <w:r>
            <w:t>Organisational c</w:t>
          </w:r>
          <w:r w:rsidR="00140C6A">
            <w:t xml:space="preserve">hange </w:t>
          </w:r>
          <w:r>
            <w:t xml:space="preserve">can take many forms, including </w:t>
          </w:r>
          <w:r w:rsidR="00140C6A">
            <w:t xml:space="preserve">structural </w:t>
          </w:r>
          <w:r>
            <w:t>realignment</w:t>
          </w:r>
          <w:r w:rsidR="00140C6A">
            <w:t xml:space="preserve">, leadership transitions and </w:t>
          </w:r>
          <w:r>
            <w:t>process or system innovation. These changes often influence not only procedures and tools but also the people responsible for implementing them and delivering outcomes</w:t>
          </w:r>
          <w:r w:rsidR="00140C6A">
            <w:t xml:space="preserve"> </w:t>
          </w:r>
          <w:sdt>
            <w:sdtPr>
              <w:id w:val="2126887207"/>
              <w:citation/>
            </w:sdtPr>
            <w:sdtEndPr/>
            <w:sdtContent>
              <w:r w:rsidR="00140C6A">
                <w:fldChar w:fldCharType="begin"/>
              </w:r>
              <w:r w:rsidR="00140C6A">
                <w:instrText xml:space="preserve"> CITATION Cam191 \l 2057 </w:instrText>
              </w:r>
              <w:r w:rsidR="00140C6A">
                <w:fldChar w:fldCharType="separate"/>
              </w:r>
              <w:r w:rsidR="004531B8" w:rsidRPr="004531B8">
                <w:rPr>
                  <w:noProof/>
                </w:rPr>
                <w:t>(Cameron, 2019)</w:t>
              </w:r>
              <w:r w:rsidR="00140C6A">
                <w:fldChar w:fldCharType="end"/>
              </w:r>
            </w:sdtContent>
          </w:sdt>
          <w:r w:rsidR="00140C6A">
            <w:t xml:space="preserve">. </w:t>
          </w:r>
          <w:r w:rsidR="00874C95">
            <w:t xml:space="preserve">Engineering professionals </w:t>
          </w:r>
          <w:r w:rsidR="00140C6A">
            <w:t xml:space="preserve">are </w:t>
          </w:r>
          <w:r w:rsidR="00874C95">
            <w:t>frequently</w:t>
          </w:r>
          <w:r w:rsidR="00140C6A">
            <w:t xml:space="preserve"> exposed t</w:t>
          </w:r>
          <w:r>
            <w:t>o these dynamics during capital intensive projects such as</w:t>
          </w:r>
          <w:r w:rsidR="00140C6A">
            <w:t xml:space="preserve"> site turnarounds</w:t>
          </w:r>
          <w:r>
            <w:t>. These large complex events</w:t>
          </w:r>
          <w:r w:rsidR="00140C6A">
            <w:t xml:space="preserve"> which require meticulous planning</w:t>
          </w:r>
          <w:r>
            <w:t>, strict regulatory compliance and high levels of coordination across teams</w:t>
          </w:r>
          <w:r w:rsidR="00140C6A">
            <w:t xml:space="preserve"> </w:t>
          </w:r>
          <w:sdt>
            <w:sdtPr>
              <w:id w:val="-1976597467"/>
              <w:citation/>
            </w:sdtPr>
            <w:sdtEndPr/>
            <w:sdtContent>
              <w:r w:rsidR="00140C6A">
                <w:fldChar w:fldCharType="begin"/>
              </w:r>
              <w:r w:rsidR="00140C6A">
                <w:instrText xml:space="preserve"> CITATION Fre19 \l 2057 </w:instrText>
              </w:r>
              <w:r w:rsidR="00140C6A">
                <w:fldChar w:fldCharType="separate"/>
              </w:r>
              <w:r w:rsidR="004531B8" w:rsidRPr="004531B8">
                <w:rPr>
                  <w:noProof/>
                </w:rPr>
                <w:t>(French, 2019)</w:t>
              </w:r>
              <w:r w:rsidR="00140C6A">
                <w:fldChar w:fldCharType="end"/>
              </w:r>
            </w:sdtContent>
          </w:sdt>
          <w:r w:rsidR="00140C6A">
            <w:t>.</w:t>
          </w:r>
        </w:p>
        <w:p w14:paraId="619DFEB1" w14:textId="164E6DA3" w:rsidR="00E425F7" w:rsidRDefault="00E425F7" w:rsidP="007D1947">
          <w:r>
            <w:t>Such initiatives create not only technical challenges but also human ones. Successful change management in these contexts depends on strong leadership, clearly defined roles and motivational strategies that support employee engagement and reduce resistance. This report explores a real-world example of organisational change during a departmental reassignment, examining how leadership, management style and employee motivation influenced both the process and outcomes of the change.</w:t>
          </w:r>
          <w:r w:rsidR="00874C95">
            <w:t xml:space="preserve"> </w:t>
          </w:r>
        </w:p>
        <w:p w14:paraId="7B8562B8" w14:textId="77777777" w:rsidR="00F4327A" w:rsidRDefault="00F4327A" w:rsidP="007D1947">
          <w:pPr>
            <w:rPr>
              <w:rFonts w:ascii="Arial" w:hAnsi="Arial" w:cs="Arial"/>
              <w:color w:val="222222"/>
              <w:shd w:val="clear" w:color="auto" w:fill="FFFFFF"/>
            </w:rPr>
          </w:pPr>
        </w:p>
        <w:p w14:paraId="12A92BFD" w14:textId="7F0939C3" w:rsidR="00F4327A" w:rsidRDefault="00F4327A">
          <w:pPr>
            <w:rPr>
              <w:rFonts w:ascii="Arial" w:hAnsi="Arial" w:cs="Arial"/>
              <w:color w:val="222222"/>
              <w:shd w:val="clear" w:color="auto" w:fill="FFFFFF"/>
            </w:rPr>
          </w:pPr>
          <w:r>
            <w:rPr>
              <w:rFonts w:ascii="Arial" w:hAnsi="Arial" w:cs="Arial"/>
              <w:color w:val="222222"/>
              <w:shd w:val="clear" w:color="auto" w:fill="FFFFFF"/>
            </w:rPr>
            <w:br w:type="page"/>
          </w:r>
        </w:p>
        <w:p w14:paraId="4F7E2217" w14:textId="77777777" w:rsidR="003178FC" w:rsidRDefault="003178FC" w:rsidP="008D4C45">
          <w:pPr>
            <w:pStyle w:val="Heading1"/>
          </w:pPr>
          <w:bookmarkStart w:id="2" w:name="_Toc197806417"/>
          <w:r>
            <w:lastRenderedPageBreak/>
            <w:t>Main Findings</w:t>
          </w:r>
          <w:bookmarkEnd w:id="2"/>
        </w:p>
        <w:p w14:paraId="478D837A" w14:textId="77777777" w:rsidR="003178FC" w:rsidRDefault="003178FC" w:rsidP="003178FC"/>
        <w:p w14:paraId="2CDC80F3" w14:textId="3D30710D" w:rsidR="007C399F" w:rsidRDefault="007C399F" w:rsidP="003178FC">
          <w:r>
            <w:t xml:space="preserve">Organisational change involves guiding a company or institution from its existing operation towards a new and more effective structure or way of working. This shift typically occurs in response to strategic goals or external and internal pressures that demand adaptation </w:t>
          </w:r>
          <w:sdt>
            <w:sdtPr>
              <w:id w:val="1554184760"/>
              <w:citation/>
            </w:sdtPr>
            <w:sdtEndPr/>
            <w:sdtContent>
              <w:r>
                <w:fldChar w:fldCharType="begin"/>
              </w:r>
              <w:r>
                <w:instrText xml:space="preserve"> CITATION Mul16 \l 2057 </w:instrText>
              </w:r>
              <w:r>
                <w:fldChar w:fldCharType="separate"/>
              </w:r>
              <w:r w:rsidR="004531B8" w:rsidRPr="004531B8">
                <w:rPr>
                  <w:noProof/>
                </w:rPr>
                <w:t>(Mullins, 2016)</w:t>
              </w:r>
              <w:r>
                <w:fldChar w:fldCharType="end"/>
              </w:r>
            </w:sdtContent>
          </w:sdt>
          <w:r>
            <w:t>.</w:t>
          </w:r>
        </w:p>
        <w:p w14:paraId="7AAB5B45" w14:textId="05C419E7" w:rsidR="003178FC" w:rsidRDefault="003178FC" w:rsidP="003178FC">
          <w:r>
            <w:t>It may involve changes in structure, technology, people or process</w:t>
          </w:r>
          <w:r w:rsidR="00492536">
            <w:t>es</w:t>
          </w:r>
          <w:r>
            <w:t xml:space="preserve"> and can range from minor operational adjustments to major strategic shifts. </w:t>
          </w:r>
          <w:r w:rsidR="00FD7FDB">
            <w:t xml:space="preserve">Mullins (2016,) </w:t>
          </w:r>
          <w:r>
            <w:t>defines change as “a continuous process of adaptation to internal and external conditions”</w:t>
          </w:r>
          <w:r w:rsidR="000B4D29">
            <w:t>.</w:t>
          </w:r>
          <w:r>
            <w:t xml:space="preserve"> This definition highlights the dynamic nature of modern business</w:t>
          </w:r>
          <w:r w:rsidR="00492536">
            <w:t>es</w:t>
          </w:r>
          <w:r>
            <w:t xml:space="preserve"> environments, particularly in sectors such as </w:t>
          </w:r>
          <w:r w:rsidR="000B4D29">
            <w:t xml:space="preserve">the </w:t>
          </w:r>
          <w:r>
            <w:t xml:space="preserve">oil and gas </w:t>
          </w:r>
          <w:r w:rsidR="000B4D29">
            <w:t xml:space="preserve">industry </w:t>
          </w:r>
          <w:r>
            <w:t>where operational flexibility and responsiveness are crucial.</w:t>
          </w:r>
        </w:p>
        <w:p w14:paraId="72B339FB" w14:textId="089D5ECC" w:rsidR="003178FC" w:rsidRDefault="003178FC" w:rsidP="003178FC">
          <w:r>
            <w:t xml:space="preserve">Change can be either planned or emergent. Planned change is structured and often managed using </w:t>
          </w:r>
          <w:r w:rsidR="000B4D29">
            <w:t xml:space="preserve">a </w:t>
          </w:r>
          <w:r>
            <w:t>formal model, such as Lewin’s Three-Step Model or Kotter’s Eight Steps</w:t>
          </w:r>
          <w:r w:rsidR="00492536">
            <w:t>.</w:t>
          </w:r>
          <w:r>
            <w:t xml:space="preserve"> </w:t>
          </w:r>
          <w:r w:rsidR="00492536">
            <w:t>W</w:t>
          </w:r>
          <w:r>
            <w:t xml:space="preserve">here emergent change evolves more organically, often without formal initiation </w:t>
          </w:r>
          <w:sdt>
            <w:sdtPr>
              <w:id w:val="684329895"/>
              <w:citation/>
            </w:sdtPr>
            <w:sdtEndPr/>
            <w:sdtContent>
              <w:r w:rsidR="000D5166">
                <w:fldChar w:fldCharType="begin"/>
              </w:r>
              <w:r w:rsidR="000D5166">
                <w:instrText xml:space="preserve"> CITATION Bur17 \l 2057 </w:instrText>
              </w:r>
              <w:r w:rsidR="000D5166">
                <w:fldChar w:fldCharType="separate"/>
              </w:r>
              <w:r w:rsidR="004531B8" w:rsidRPr="004531B8">
                <w:rPr>
                  <w:noProof/>
                </w:rPr>
                <w:t>(Burnes, 2017)</w:t>
              </w:r>
              <w:r w:rsidR="000D5166">
                <w:fldChar w:fldCharType="end"/>
              </w:r>
            </w:sdtContent>
          </w:sdt>
          <w:r>
            <w:t>. In all cases, successful change management depends heavily on leadership, communication and employee engagement.</w:t>
          </w:r>
        </w:p>
        <w:p w14:paraId="125E38EB" w14:textId="6717C5AA" w:rsidR="003178FC" w:rsidRDefault="003178FC"/>
        <w:p w14:paraId="4133DA70" w14:textId="4CF8F92F" w:rsidR="00480872" w:rsidRDefault="003178FC" w:rsidP="00480872">
          <w:pPr>
            <w:pStyle w:val="Heading2"/>
          </w:pPr>
          <w:bookmarkStart w:id="3" w:name="_Toc197806418"/>
          <w:r>
            <w:t xml:space="preserve">Overview </w:t>
          </w:r>
          <w:r w:rsidR="00815D0D">
            <w:t>o</w:t>
          </w:r>
          <w:r>
            <w:t>f the Change</w:t>
          </w:r>
          <w:bookmarkEnd w:id="3"/>
        </w:p>
        <w:p w14:paraId="76E6D119" w14:textId="77777777" w:rsidR="003178FC" w:rsidRDefault="003178FC" w:rsidP="003178FC"/>
        <w:p w14:paraId="1242F7A5" w14:textId="36C134DD" w:rsidR="004A2843" w:rsidRDefault="004A2843" w:rsidP="003178FC">
          <w:r>
            <w:t>A departmental reassignment too</w:t>
          </w:r>
          <w:r w:rsidR="00321A5E">
            <w:t>k</w:t>
          </w:r>
          <w:r>
            <w:t xml:space="preserve"> place within a large-scale oil refinery involving an individual who was originally part of the Integrity Maintenance Planning team. Their responsibilities included planning reactive maintenance tasks using software tools such as SAP, Excel and structured documentation to coordinate labour, organise material and manage third-party contractors to ensure that urgent repair work was delivered efficiently and within budget.</w:t>
          </w:r>
        </w:p>
        <w:p w14:paraId="00E34C65" w14:textId="79080CB6" w:rsidR="00F4327A" w:rsidRDefault="00F4327A" w:rsidP="003178FC">
          <w:r>
            <w:t>However, a top-down decision was made to reassign the individual to the Turnaround Planning team. This transition marked a significa</w:t>
          </w:r>
          <w:r w:rsidR="00492536">
            <w:t>nt</w:t>
          </w:r>
          <w:r>
            <w:t xml:space="preserve"> organisation shift, as it involved new systems, increased responsibilities, stricter process checks and a higher level of technical scrutiny</w:t>
          </w:r>
          <w:r w:rsidR="00492536">
            <w:t xml:space="preserve"> from inspection and engineering departments, along with regular management meetings for updates on progression</w:t>
          </w:r>
          <w:r>
            <w:t>. The role demanded deeper involvement in planning high value, high risk projects associated with a site wide turnaround event costing over million</w:t>
          </w:r>
          <w:r w:rsidR="001E0E79">
            <w:t>s of</w:t>
          </w:r>
          <w:r>
            <w:t xml:space="preserve"> US</w:t>
          </w:r>
          <w:r w:rsidR="001E0E79">
            <w:t xml:space="preserve"> </w:t>
          </w:r>
          <w:r>
            <w:t>D</w:t>
          </w:r>
          <w:r w:rsidR="001E0E79">
            <w:t>ollars</w:t>
          </w:r>
          <w:r>
            <w:t xml:space="preserve">, </w:t>
          </w:r>
          <w:r w:rsidR="001E0E79">
            <w:t>not in</w:t>
          </w:r>
          <w:r>
            <w:t>cluding the production losses incurred during the downtime.</w:t>
          </w:r>
          <w:r w:rsidR="006F0208">
            <w:t xml:space="preserve"> </w:t>
          </w:r>
          <w:r>
            <w:t>Responsibilities included planning high-risk mechanical repairs in accordance with stringent requirements set by the engineering and inspection departments. This involved the preparation of isometric drawings, the application of pressure test waiver</w:t>
          </w:r>
          <w:r w:rsidR="00815D0D">
            <w:t>s and the completion of QA documentation which was to be issued to the external contractors. During the turnaround event, the individual also served as a coordinator for external mechanical contractors, overseeing the execution of the planned works and managing key high-value projects which were identified as critical path elements essential for the restart of the refinery.</w:t>
          </w:r>
        </w:p>
        <w:p w14:paraId="51EFC667" w14:textId="2D15CA84" w:rsidR="00B678A2" w:rsidRDefault="006F0208" w:rsidP="003178FC">
          <w:r>
            <w:t>Although the change offered significant opportunities for learning and skill development, its implementation revealed notable deficiencies in the organisation's management practices. Particularly the absence of prior consultation, structured support and transitional training. Effective training is essential during periods of organisational change, as it enable</w:t>
          </w:r>
          <w:r w:rsidR="00321A5E">
            <w:t>s</w:t>
          </w:r>
          <w:r>
            <w:t xml:space="preserve"> employees to adapt to new systems, roles and expectations reducing resistance and improving performance </w:t>
          </w:r>
          <w:sdt>
            <w:sdtPr>
              <w:id w:val="370426165"/>
              <w:citation/>
            </w:sdtPr>
            <w:sdtEndPr/>
            <w:sdtContent>
              <w:r>
                <w:fldChar w:fldCharType="begin"/>
              </w:r>
              <w:r>
                <w:instrText xml:space="preserve"> CITATION Cam191 \l 2057 </w:instrText>
              </w:r>
              <w:r>
                <w:fldChar w:fldCharType="separate"/>
              </w:r>
              <w:r w:rsidR="004531B8" w:rsidRPr="004531B8">
                <w:rPr>
                  <w:noProof/>
                </w:rPr>
                <w:t>(Cameron, 2019)</w:t>
              </w:r>
              <w:r>
                <w:fldChar w:fldCharType="end"/>
              </w:r>
            </w:sdtContent>
          </w:sdt>
          <w:r>
            <w:t xml:space="preserve">. </w:t>
          </w:r>
          <w:r w:rsidR="00B678A2">
            <w:t xml:space="preserve">Following the completion of the turnaround event, the individual returned to the Integrity Planning Department with a significantly enhanced understanding of operational execution and interdepartmental collaboration. Exposure to the practical application of work packs, strict QA/QC </w:t>
          </w:r>
          <w:r w:rsidR="00B678A2">
            <w:lastRenderedPageBreak/>
            <w:t xml:space="preserve">standards and documentation and high-pressure project coordination deepened their appreciation for the execution phase of refinery operations. This experience reinforced the importance of detailed and well-structured repair plans and developed a more </w:t>
          </w:r>
          <w:r w:rsidR="001E0E79">
            <w:t>practical</w:t>
          </w:r>
          <w:r w:rsidR="00B678A2">
            <w:t xml:space="preserve"> approach to planning, improving their ability to anticipate constraints</w:t>
          </w:r>
          <w:r w:rsidR="00876132">
            <w:t xml:space="preserve"> and</w:t>
          </w:r>
          <w:r w:rsidR="00B678A2">
            <w:t xml:space="preserve"> aligned their planning practices more effectively with operational realities.</w:t>
          </w:r>
        </w:p>
        <w:p w14:paraId="088AE2D7" w14:textId="77777777" w:rsidR="00D0138C" w:rsidRDefault="00D0138C" w:rsidP="003178FC"/>
        <w:p w14:paraId="019512CC" w14:textId="0A6558A4" w:rsidR="00D0138C" w:rsidRDefault="00D0138C" w:rsidP="00D0138C">
          <w:pPr>
            <w:pStyle w:val="Heading2"/>
          </w:pPr>
          <w:bookmarkStart w:id="4" w:name="_Toc197806419"/>
          <w:r>
            <w:t>Assessment of the change process</w:t>
          </w:r>
          <w:bookmarkEnd w:id="4"/>
        </w:p>
        <w:p w14:paraId="7C1E349D" w14:textId="77777777" w:rsidR="006F0208" w:rsidRDefault="006F0208" w:rsidP="003178FC"/>
        <w:p w14:paraId="47CBE2BC" w14:textId="772589A0" w:rsidR="00ED3BA4" w:rsidRDefault="00ED3BA4" w:rsidP="00D0138C">
          <w:pPr>
            <w:pStyle w:val="Heading3"/>
          </w:pPr>
          <w:bookmarkStart w:id="5" w:name="_Toc197806420"/>
          <w:r>
            <w:t>Lewin’s Forcefield Analysis</w:t>
          </w:r>
          <w:bookmarkEnd w:id="5"/>
        </w:p>
        <w:p w14:paraId="72856708" w14:textId="77777777" w:rsidR="00ED3BA4" w:rsidRDefault="00ED3BA4" w:rsidP="003178FC"/>
        <w:p w14:paraId="021FB738" w14:textId="11D7E1FA" w:rsidR="00ED3BA4" w:rsidRDefault="00ED3BA4" w:rsidP="003178FC">
          <w:r>
            <w:t>Kurt Lewin’s Forcefield Analysi</w:t>
          </w:r>
          <w:r w:rsidR="001C1D46">
            <w:t xml:space="preserve">s, as </w:t>
          </w:r>
          <w:r w:rsidR="0087705F">
            <w:t xml:space="preserve">interpreted </w:t>
          </w:r>
          <w:r w:rsidR="001C1D46">
            <w:t xml:space="preserve">by </w:t>
          </w:r>
          <w:sdt>
            <w:sdtPr>
              <w:id w:val="1453511299"/>
              <w:citation/>
            </w:sdtPr>
            <w:sdtEndPr/>
            <w:sdtContent>
              <w:r w:rsidR="001C1D46">
                <w:fldChar w:fldCharType="begin"/>
              </w:r>
              <w:r w:rsidR="001C1D46">
                <w:instrText xml:space="preserve"> CITATION Mul16 \l 2057 </w:instrText>
              </w:r>
              <w:r w:rsidR="001C1D46">
                <w:fldChar w:fldCharType="separate"/>
              </w:r>
              <w:r w:rsidR="004531B8" w:rsidRPr="004531B8">
                <w:rPr>
                  <w:noProof/>
                </w:rPr>
                <w:t>(Mullins, 2016)</w:t>
              </w:r>
              <w:r w:rsidR="001C1D46">
                <w:fldChar w:fldCharType="end"/>
              </w:r>
            </w:sdtContent>
          </w:sdt>
          <w:r w:rsidR="001C1D46">
            <w:t xml:space="preserve">, </w:t>
          </w:r>
          <w:r>
            <w:t xml:space="preserve">is a </w:t>
          </w:r>
          <w:r w:rsidR="001C1D46">
            <w:t xml:space="preserve">widely used </w:t>
          </w:r>
          <w:r>
            <w:t>tool</w:t>
          </w:r>
          <w:r w:rsidR="001C1D46">
            <w:t xml:space="preserve"> for examining organisational change. </w:t>
          </w:r>
          <w:r w:rsidR="0087705F">
            <w:t>The model proposes that successful change occurs when the forces driving the change outweigh the forces resisting it. These opposing forces represent the factors pushing an organisation toward transformation versus those maintaining the current state. Originally developed by</w:t>
          </w:r>
          <w:r w:rsidR="000D5166">
            <w:t xml:space="preserve"> </w:t>
          </w:r>
          <w:sdt>
            <w:sdtPr>
              <w:id w:val="-1391719372"/>
              <w:citation/>
            </w:sdtPr>
            <w:sdtEndPr/>
            <w:sdtContent>
              <w:r w:rsidR="000D5166">
                <w:fldChar w:fldCharType="begin"/>
              </w:r>
              <w:r w:rsidR="000D5166">
                <w:instrText xml:space="preserve"> CITATION Lew51 \l 2057 </w:instrText>
              </w:r>
              <w:r w:rsidR="000D5166">
                <w:fldChar w:fldCharType="separate"/>
              </w:r>
              <w:r w:rsidR="004531B8" w:rsidRPr="004531B8">
                <w:rPr>
                  <w:noProof/>
                </w:rPr>
                <w:t>(Lewin, 1951)</w:t>
              </w:r>
              <w:r w:rsidR="000D5166">
                <w:fldChar w:fldCharType="end"/>
              </w:r>
            </w:sdtContent>
          </w:sdt>
          <w:r w:rsidR="0087705F">
            <w:t>, the model helps identify and assess these competing dynamics to inform effective change strategies.</w:t>
          </w:r>
        </w:p>
        <w:p w14:paraId="0A2FE0A3" w14:textId="43EBD946" w:rsidR="00ED3BA4" w:rsidRDefault="00D0138C" w:rsidP="003178FC">
          <w:r>
            <w:t>As part of the organisational change</w:t>
          </w:r>
          <w:r w:rsidR="00ED3BA4">
            <w:t xml:space="preserve">, </w:t>
          </w:r>
          <w:r>
            <w:t>an</w:t>
          </w:r>
          <w:r w:rsidR="00ED3BA4">
            <w:t xml:space="preserve"> individual was reassigned from the Integrity Planning department to the Turnaround Planning team within a major oil refinery. </w:t>
          </w:r>
          <w:r w:rsidR="001C1D46">
            <w:t xml:space="preserve">The change introduced unfamiliar systems, greater responsibilities and increased scrutiny under high stakes and time sensitive conditions. </w:t>
          </w:r>
          <w:r w:rsidR="009618B5">
            <w:t>Using Lewin’s model, the forces influencing the change can be outlines as follows:</w:t>
          </w:r>
          <w:r w:rsidR="00ED3BA4">
            <w:t xml:space="preserve"> </w:t>
          </w:r>
        </w:p>
        <w:p w14:paraId="26E1EF97" w14:textId="77777777" w:rsidR="0042425B" w:rsidRDefault="0042425B" w:rsidP="003178FC"/>
        <w:p w14:paraId="714A15AE" w14:textId="60D89AC4" w:rsidR="0042425B" w:rsidRPr="0042425B" w:rsidRDefault="0042425B" w:rsidP="003178FC">
          <w:pPr>
            <w:rPr>
              <w:b/>
              <w:bCs/>
              <w:sz w:val="24"/>
              <w:szCs w:val="24"/>
            </w:rPr>
          </w:pPr>
          <w:r w:rsidRPr="0042425B">
            <w:rPr>
              <w:b/>
              <w:bCs/>
              <w:sz w:val="24"/>
              <w:szCs w:val="24"/>
            </w:rPr>
            <w:t>Driving Forces:</w:t>
          </w:r>
        </w:p>
        <w:p w14:paraId="1AC5D254" w14:textId="7EE01362" w:rsidR="0042425B" w:rsidRDefault="0042425B" w:rsidP="0042425B">
          <w:pPr>
            <w:pStyle w:val="ListParagraph"/>
            <w:numPr>
              <w:ilvl w:val="0"/>
              <w:numId w:val="1"/>
            </w:numPr>
          </w:pPr>
          <w:r>
            <w:t>Organisational need for additional planning resources during a high-value turnaround event.</w:t>
          </w:r>
        </w:p>
        <w:p w14:paraId="480D9B50" w14:textId="777F3CA6" w:rsidR="0042425B" w:rsidRDefault="0042425B" w:rsidP="0042425B">
          <w:pPr>
            <w:pStyle w:val="ListParagraph"/>
            <w:numPr>
              <w:ilvl w:val="0"/>
              <w:numId w:val="1"/>
            </w:numPr>
          </w:pPr>
          <w:r>
            <w:t>Strategic priority of completing critical path repairs to enable the refinery’s restart.</w:t>
          </w:r>
        </w:p>
        <w:p w14:paraId="774819EE" w14:textId="5050D578" w:rsidR="0042425B" w:rsidRDefault="0042425B" w:rsidP="0042425B">
          <w:pPr>
            <w:pStyle w:val="ListParagraph"/>
            <w:numPr>
              <w:ilvl w:val="0"/>
              <w:numId w:val="1"/>
            </w:numPr>
          </w:pPr>
          <w:r>
            <w:t>Opportunity for cross-functional development and skill growth</w:t>
          </w:r>
          <w:r w:rsidR="001E0E79">
            <w:t>.</w:t>
          </w:r>
        </w:p>
        <w:p w14:paraId="280E3494" w14:textId="30BC3B2E" w:rsidR="0042425B" w:rsidRDefault="0042425B" w:rsidP="0042425B">
          <w:pPr>
            <w:pStyle w:val="ListParagraph"/>
            <w:numPr>
              <w:ilvl w:val="0"/>
              <w:numId w:val="1"/>
            </w:numPr>
          </w:pPr>
          <w:r>
            <w:t>Pressure to maintain schedule and mitigate production losses.</w:t>
          </w:r>
        </w:p>
        <w:p w14:paraId="6E2F24DB" w14:textId="03AF8BDE" w:rsidR="0042425B" w:rsidRPr="0042425B" w:rsidRDefault="0042425B" w:rsidP="0042425B">
          <w:pPr>
            <w:rPr>
              <w:b/>
              <w:bCs/>
              <w:sz w:val="24"/>
              <w:szCs w:val="24"/>
            </w:rPr>
          </w:pPr>
          <w:r w:rsidRPr="0042425B">
            <w:rPr>
              <w:b/>
              <w:bCs/>
              <w:sz w:val="24"/>
              <w:szCs w:val="24"/>
            </w:rPr>
            <w:t>Restraining Forces</w:t>
          </w:r>
        </w:p>
        <w:p w14:paraId="03655C07" w14:textId="210ABDB8" w:rsidR="0042425B" w:rsidRDefault="0042425B" w:rsidP="0042425B">
          <w:pPr>
            <w:pStyle w:val="ListParagraph"/>
            <w:numPr>
              <w:ilvl w:val="0"/>
              <w:numId w:val="2"/>
            </w:numPr>
          </w:pPr>
          <w:r>
            <w:t>Lack of training on new planning systems and protocols.</w:t>
          </w:r>
        </w:p>
        <w:p w14:paraId="55D3A5ED" w14:textId="2A988B0E" w:rsidR="0042425B" w:rsidRDefault="0042425B" w:rsidP="0042425B">
          <w:pPr>
            <w:pStyle w:val="ListParagraph"/>
            <w:numPr>
              <w:ilvl w:val="0"/>
              <w:numId w:val="2"/>
            </w:numPr>
          </w:pPr>
          <w:r>
            <w:t>Resistance to leaving a familiar, well-understood role.</w:t>
          </w:r>
        </w:p>
        <w:p w14:paraId="273EADA6" w14:textId="5B61915B" w:rsidR="0042425B" w:rsidRDefault="0042425B" w:rsidP="0042425B">
          <w:pPr>
            <w:pStyle w:val="ListParagraph"/>
            <w:numPr>
              <w:ilvl w:val="0"/>
              <w:numId w:val="2"/>
            </w:numPr>
          </w:pPr>
          <w:r>
            <w:t>Elevated stress and performance expectations without transitional support.</w:t>
          </w:r>
        </w:p>
        <w:p w14:paraId="5D5BFA7F" w14:textId="74979487" w:rsidR="0042425B" w:rsidRDefault="0042425B" w:rsidP="0042425B">
          <w:pPr>
            <w:pStyle w:val="ListParagraph"/>
            <w:numPr>
              <w:ilvl w:val="0"/>
              <w:numId w:val="2"/>
            </w:numPr>
          </w:pPr>
          <w:r>
            <w:t>Inadequate communication or explanation for the reassignment.</w:t>
          </w:r>
        </w:p>
        <w:p w14:paraId="41E1C046" w14:textId="77777777" w:rsidR="0042425B" w:rsidRDefault="0042425B" w:rsidP="0042425B"/>
        <w:p w14:paraId="586630A1" w14:textId="222BA71F" w:rsidR="0042425B" w:rsidRDefault="009618B5" w:rsidP="0042425B">
          <w:r>
            <w:t xml:space="preserve">According to Lewin’s model, reducing restraining forces is key to enabling successful change. In this case, management could have mitigated resistance by providing early communication, targeted technical training and access to mentoring. These support mechanisms not only ease the transition but also improve employee readiness and engagement during organisational change </w:t>
          </w:r>
          <w:sdt>
            <w:sdtPr>
              <w:id w:val="-1035040336"/>
              <w:citation/>
            </w:sdtPr>
            <w:sdtEndPr/>
            <w:sdtContent>
              <w:r>
                <w:fldChar w:fldCharType="begin"/>
              </w:r>
              <w:r>
                <w:instrText xml:space="preserve"> CITATION Cam19 \l 2057 </w:instrText>
              </w:r>
              <w:r>
                <w:fldChar w:fldCharType="separate"/>
              </w:r>
              <w:r w:rsidR="004531B8" w:rsidRPr="004531B8">
                <w:rPr>
                  <w:noProof/>
                </w:rPr>
                <w:t>(Cameron, 2019)</w:t>
              </w:r>
              <w:r>
                <w:fldChar w:fldCharType="end"/>
              </w:r>
            </w:sdtContent>
          </w:sdt>
          <w:r>
            <w:t>.</w:t>
          </w:r>
        </w:p>
        <w:p w14:paraId="015AB326" w14:textId="77777777" w:rsidR="009618B5" w:rsidRDefault="009618B5" w:rsidP="0042425B"/>
        <w:p w14:paraId="1E1C2C85" w14:textId="66A542E0" w:rsidR="0042425B" w:rsidRDefault="0042425B" w:rsidP="00D0138C">
          <w:pPr>
            <w:pStyle w:val="Heading3"/>
          </w:pPr>
          <w:bookmarkStart w:id="6" w:name="_Toc197806421"/>
          <w:r>
            <w:lastRenderedPageBreak/>
            <w:t>Kotter’s 8 Step Model</w:t>
          </w:r>
          <w:bookmarkEnd w:id="6"/>
        </w:p>
        <w:p w14:paraId="2B8FC31D" w14:textId="77777777" w:rsidR="0042425B" w:rsidRDefault="0042425B" w:rsidP="0042425B"/>
        <w:p w14:paraId="4E4A9FD4" w14:textId="15E0C50D" w:rsidR="0042425B" w:rsidRDefault="0042425B" w:rsidP="0042425B">
          <w:r>
            <w:t xml:space="preserve">John Kotter’s 8 Step Model provides a structured approach to managing change by emphasising the importance of urgency, vision, leadership and reinforcement </w:t>
          </w:r>
          <w:sdt>
            <w:sdtPr>
              <w:id w:val="1215621624"/>
              <w:citation/>
            </w:sdtPr>
            <w:sdtEndPr/>
            <w:sdtContent>
              <w:r w:rsidR="000D5166">
                <w:fldChar w:fldCharType="begin"/>
              </w:r>
              <w:r w:rsidR="00895127">
                <w:instrText xml:space="preserve">CITATION Kot96 \l 2057 </w:instrText>
              </w:r>
              <w:r w:rsidR="000D5166">
                <w:fldChar w:fldCharType="separate"/>
              </w:r>
              <w:r w:rsidR="004531B8" w:rsidRPr="004531B8">
                <w:rPr>
                  <w:noProof/>
                </w:rPr>
                <w:t>(Kotter, 1996)</w:t>
              </w:r>
              <w:r w:rsidR="000D5166">
                <w:fldChar w:fldCharType="end"/>
              </w:r>
            </w:sdtContent>
          </w:sdt>
          <w:r>
            <w:t>. A retrospective application of this model highlights key gaps in how the chan</w:t>
          </w:r>
          <w:r w:rsidR="00024F31">
            <w:t>g</w:t>
          </w:r>
          <w:r>
            <w:t>e was introduced and managed.</w:t>
          </w:r>
        </w:p>
        <w:p w14:paraId="126654F2" w14:textId="77777777" w:rsidR="00842B44" w:rsidRDefault="00842B44" w:rsidP="0042425B"/>
        <w:p w14:paraId="1769DE56" w14:textId="6A6897B6" w:rsidR="0042425B" w:rsidRPr="00AE7628" w:rsidRDefault="0042425B" w:rsidP="0042425B">
          <w:pPr>
            <w:pStyle w:val="ListParagraph"/>
            <w:numPr>
              <w:ilvl w:val="0"/>
              <w:numId w:val="3"/>
            </w:numPr>
            <w:rPr>
              <w:b/>
              <w:bCs/>
            </w:rPr>
          </w:pPr>
          <w:r w:rsidRPr="00AE7628">
            <w:rPr>
              <w:b/>
              <w:bCs/>
            </w:rPr>
            <w:t>Create a sense of urgency.</w:t>
          </w:r>
        </w:p>
        <w:p w14:paraId="57E328E8" w14:textId="625E5EEF" w:rsidR="00BA53EE" w:rsidRDefault="0042425B" w:rsidP="0042425B">
          <w:pPr>
            <w:pStyle w:val="ListParagraph"/>
          </w:pPr>
          <w:r>
            <w:t xml:space="preserve">The </w:t>
          </w:r>
          <w:r w:rsidR="00895127">
            <w:t>first step according to</w:t>
          </w:r>
          <w:r w:rsidR="00FD7FDB">
            <w:t xml:space="preserve"> Kotter (2016),</w:t>
          </w:r>
          <w:r w:rsidR="00BA53EE">
            <w:t xml:space="preserve"> is to create a sense of urgency. This is because urgency drives people out of complacency and motivates them to engage with the change process. When individuals perceive a situation as urgent, they are more likely to act decisively and support transformation efforts from the beginning.</w:t>
          </w:r>
        </w:p>
        <w:p w14:paraId="4EC299CF" w14:textId="26672ED7" w:rsidR="00BA53EE" w:rsidRDefault="00BA53EE" w:rsidP="0042425B">
          <w:pPr>
            <w:pStyle w:val="ListParagraph"/>
          </w:pPr>
          <w:r>
            <w:t>In this case, while the reassignment was operationally urgent due to the upcoming turnaround, the urgency was not effectively communicated to the individual. The absence of clear reasoning or context for the sudden transfer led to initial confusion and resistance. Without understanding the critical need for immediate support, the individual was less prepared to engage positively to the change.</w:t>
          </w:r>
        </w:p>
        <w:p w14:paraId="2B24D4E0" w14:textId="1A9377CA" w:rsidR="0042425B" w:rsidRDefault="0042425B" w:rsidP="0042425B">
          <w:pPr>
            <w:pStyle w:val="ListParagraph"/>
          </w:pPr>
        </w:p>
        <w:p w14:paraId="7BF5264E" w14:textId="6CDCF911" w:rsidR="00AE7628" w:rsidRPr="00AE7628" w:rsidRDefault="00AE7628" w:rsidP="00AE7628">
          <w:pPr>
            <w:pStyle w:val="ListParagraph"/>
            <w:numPr>
              <w:ilvl w:val="0"/>
              <w:numId w:val="3"/>
            </w:numPr>
            <w:rPr>
              <w:b/>
              <w:bCs/>
            </w:rPr>
          </w:pPr>
          <w:r w:rsidRPr="00AE7628">
            <w:rPr>
              <w:b/>
              <w:bCs/>
            </w:rPr>
            <w:t>Build a guiding coalition</w:t>
          </w:r>
        </w:p>
        <w:p w14:paraId="63018C5F" w14:textId="04AB0BCC" w:rsidR="00BA53EE" w:rsidRDefault="000A253C" w:rsidP="000A253C">
          <w:pPr>
            <w:pStyle w:val="ListParagraph"/>
          </w:pPr>
          <w:r>
            <w:t xml:space="preserve">The second step according to </w:t>
          </w:r>
          <w:r w:rsidR="00FD7FDB">
            <w:t>Kotter (2016),</w:t>
          </w:r>
          <w:r>
            <w:t xml:space="preserve"> is to build a guiding coalition, as this helps generate support and momentum for the change by involving influential individuals who can champion an initiative. A strong coalition brings credibility, shared commitment and the ability to address resistance across the organisation.</w:t>
          </w:r>
        </w:p>
        <w:p w14:paraId="2CC5747B" w14:textId="32E5E893" w:rsidR="000A253C" w:rsidRDefault="000A253C" w:rsidP="000A253C">
          <w:pPr>
            <w:pStyle w:val="ListParagraph"/>
          </w:pPr>
          <w:r>
            <w:t xml:space="preserve">In this </w:t>
          </w:r>
          <w:r w:rsidR="00541689">
            <w:t>instance</w:t>
          </w:r>
          <w:r>
            <w:t>, no guiding coalition was established to support or oversea the reassignment. The decision appeared to have been made in isolation with no clear involvement from leadership figures, line managers or peers who could provide guidance or reassurance. As a result, the individual experience</w:t>
          </w:r>
          <w:r w:rsidR="00321A5E">
            <w:t>d</w:t>
          </w:r>
          <w:r>
            <w:t xml:space="preserve"> the transition without any structured support network, increasing uncertainty and limiting engagement with the change.</w:t>
          </w:r>
        </w:p>
        <w:p w14:paraId="6F2C2965" w14:textId="77777777" w:rsidR="000A253C" w:rsidRDefault="000A253C" w:rsidP="000A253C">
          <w:pPr>
            <w:pStyle w:val="ListParagraph"/>
          </w:pPr>
        </w:p>
        <w:p w14:paraId="579F5CFF" w14:textId="0F63B60B" w:rsidR="00AE7628" w:rsidRPr="00AE7628" w:rsidRDefault="00AE7628" w:rsidP="00BA53EE">
          <w:pPr>
            <w:pStyle w:val="ListParagraph"/>
            <w:numPr>
              <w:ilvl w:val="0"/>
              <w:numId w:val="3"/>
            </w:numPr>
            <w:rPr>
              <w:b/>
              <w:bCs/>
            </w:rPr>
          </w:pPr>
          <w:r w:rsidRPr="00AE7628">
            <w:rPr>
              <w:b/>
              <w:bCs/>
            </w:rPr>
            <w:t>Form a strategic vision and initiatives.</w:t>
          </w:r>
        </w:p>
        <w:p w14:paraId="0D1E1459" w14:textId="6F875AE0" w:rsidR="000A253C" w:rsidRDefault="00FD7FDB" w:rsidP="00AE7628">
          <w:pPr>
            <w:pStyle w:val="ListParagraph"/>
          </w:pPr>
          <w:r>
            <w:t xml:space="preserve">Kotter (2016) </w:t>
          </w:r>
          <w:r w:rsidR="000A253C">
            <w:t xml:space="preserve">then suggests that organisations should form a strategic vision and initiatives to clarify the direction of the change and guide decision making throughout the process. A </w:t>
          </w:r>
          <w:r w:rsidR="00194E42">
            <w:t>well-defined</w:t>
          </w:r>
          <w:r w:rsidR="000A253C">
            <w:t xml:space="preserve"> </w:t>
          </w:r>
          <w:r w:rsidR="00194E42">
            <w:t>vision helps align team efforts and allows individuals to understand how their roles contribute to the broader organisational objectives.</w:t>
          </w:r>
        </w:p>
        <w:p w14:paraId="3E1C7296" w14:textId="666DD61E" w:rsidR="000A253C" w:rsidRDefault="00541689" w:rsidP="00194E42">
          <w:pPr>
            <w:pStyle w:val="ListParagraph"/>
          </w:pPr>
          <w:r>
            <w:t>During this transition</w:t>
          </w:r>
          <w:r w:rsidR="00194E42">
            <w:t>, no strategic vision was communicated to support the reassignment. Although the change was operationally driven, there was no shared understanding of how the individual’s new role aligned with the wider turnaround strategy. This lack of vision contributed to confusion and a missed opportunity to motivate and engage the individual through a sense of purpose.</w:t>
          </w:r>
        </w:p>
        <w:p w14:paraId="6CF356EF" w14:textId="77777777" w:rsidR="000A253C" w:rsidRDefault="000A253C" w:rsidP="00AE7628">
          <w:pPr>
            <w:pStyle w:val="ListParagraph"/>
          </w:pPr>
        </w:p>
        <w:p w14:paraId="1B0F0883" w14:textId="306FF94C" w:rsidR="00AE7628" w:rsidRPr="00AE7628" w:rsidRDefault="00AE7628" w:rsidP="00AE7628">
          <w:pPr>
            <w:pStyle w:val="ListParagraph"/>
            <w:numPr>
              <w:ilvl w:val="0"/>
              <w:numId w:val="3"/>
            </w:numPr>
            <w:rPr>
              <w:b/>
              <w:bCs/>
            </w:rPr>
          </w:pPr>
          <w:r w:rsidRPr="00AE7628">
            <w:rPr>
              <w:b/>
              <w:bCs/>
            </w:rPr>
            <w:t xml:space="preserve">Communicate the </w:t>
          </w:r>
          <w:r w:rsidR="00024F31">
            <w:rPr>
              <w:b/>
              <w:bCs/>
            </w:rPr>
            <w:t>v</w:t>
          </w:r>
          <w:r w:rsidRPr="00AE7628">
            <w:rPr>
              <w:b/>
              <w:bCs/>
            </w:rPr>
            <w:t>ision.</w:t>
          </w:r>
        </w:p>
        <w:p w14:paraId="3DC9296B" w14:textId="329546C6" w:rsidR="00194E42" w:rsidRDefault="00194E42" w:rsidP="00AE7628">
          <w:pPr>
            <w:pStyle w:val="ListParagraph"/>
          </w:pPr>
          <w:r>
            <w:t>Communicating a vision, according to</w:t>
          </w:r>
          <w:r w:rsidR="00FD7FDB">
            <w:t xml:space="preserve"> Kotter (2016)</w:t>
          </w:r>
          <w:r>
            <w:t>, is essential as it ensures that employees understand the purpose of the change and feel engaged in the process. Clear and consistent communication helps reinforce the strategic direction, reduce uncertainty and build trust across the organisation.</w:t>
          </w:r>
        </w:p>
        <w:p w14:paraId="15F7B5BE" w14:textId="00BECDB2" w:rsidR="000A253C" w:rsidRDefault="00194E42" w:rsidP="00194E42">
          <w:pPr>
            <w:pStyle w:val="ListParagraph"/>
          </w:pPr>
          <w:r>
            <w:t xml:space="preserve">In this </w:t>
          </w:r>
          <w:r w:rsidR="00541689">
            <w:t>instance</w:t>
          </w:r>
          <w:r>
            <w:t xml:space="preserve">, there was little effort to communicate the purpose of the reassignment. The individual received minimal information about the strategic goals </w:t>
          </w:r>
          <w:r w:rsidR="00321A5E">
            <w:t>o</w:t>
          </w:r>
          <w:r>
            <w:t xml:space="preserve">f the turnaround or how </w:t>
          </w:r>
          <w:r>
            <w:lastRenderedPageBreak/>
            <w:t>their role contributed to the wider objectives. As a result, the lack of communication heightened resistance and made it more difficult to adjust to the change effectively.</w:t>
          </w:r>
        </w:p>
        <w:p w14:paraId="5F97DC99" w14:textId="77777777" w:rsidR="00194E42" w:rsidRDefault="00194E42" w:rsidP="00194E42">
          <w:pPr>
            <w:pStyle w:val="ListParagraph"/>
          </w:pPr>
        </w:p>
        <w:p w14:paraId="435ADB8F" w14:textId="5397F801" w:rsidR="00AE7628" w:rsidRPr="00AE7628" w:rsidRDefault="00AE7628" w:rsidP="00AE7628">
          <w:pPr>
            <w:pStyle w:val="ListParagraph"/>
            <w:numPr>
              <w:ilvl w:val="0"/>
              <w:numId w:val="3"/>
            </w:numPr>
            <w:rPr>
              <w:b/>
              <w:bCs/>
            </w:rPr>
          </w:pPr>
          <w:r w:rsidRPr="00AE7628">
            <w:rPr>
              <w:b/>
              <w:bCs/>
            </w:rPr>
            <w:t>Empower employees for action.</w:t>
          </w:r>
        </w:p>
        <w:p w14:paraId="7C7B40DB" w14:textId="75658B02" w:rsidR="0072296B" w:rsidRDefault="0072296B" w:rsidP="00842B44">
          <w:pPr>
            <w:pStyle w:val="ListParagraph"/>
          </w:pPr>
          <w:r>
            <w:t>Empowering employees for broad-based action according to</w:t>
          </w:r>
          <w:r w:rsidR="00FD7FDB">
            <w:t xml:space="preserve"> Kotter (2016)</w:t>
          </w:r>
          <w:r>
            <w:t xml:space="preserve"> involves removing obstacles that prevent individuals from contributing effectively to the change effort. This included addressing skill gaps, providing the necessary tools and creating environments where staff feel confident to take ownership of their roles.</w:t>
          </w:r>
        </w:p>
        <w:p w14:paraId="53EF2F68" w14:textId="31DCB792" w:rsidR="000A253C" w:rsidRDefault="00541689" w:rsidP="00842B44">
          <w:pPr>
            <w:pStyle w:val="ListParagraph"/>
          </w:pPr>
          <w:r>
            <w:t>As experienced in this case</w:t>
          </w:r>
          <w:r w:rsidR="0072296B">
            <w:t>, the individual was selected for reassignment based on prior planning experience. However, they had not previously operated at the scale or intensity required during a major turnaround. Despite being seen as capable, no structured support or transitional guidance was provided to close the knowledge gap. Barriers such as unfamiliar systems, unclear procedures and limited access to mentoring remained unaddressed. This lack of empowerment made it difficult for the individual to fully engage with the role during the early stages of transition.</w:t>
          </w:r>
        </w:p>
        <w:p w14:paraId="3C438A7C" w14:textId="77777777" w:rsidR="000A253C" w:rsidRDefault="000A253C" w:rsidP="00842B44">
          <w:pPr>
            <w:pStyle w:val="ListParagraph"/>
          </w:pPr>
        </w:p>
        <w:p w14:paraId="26C17A25" w14:textId="3467C129" w:rsidR="0042425B" w:rsidRDefault="00AE7628" w:rsidP="00842B44">
          <w:pPr>
            <w:pStyle w:val="ListParagraph"/>
            <w:numPr>
              <w:ilvl w:val="0"/>
              <w:numId w:val="3"/>
            </w:numPr>
            <w:rPr>
              <w:b/>
              <w:bCs/>
            </w:rPr>
          </w:pPr>
          <w:r w:rsidRPr="00756C11">
            <w:rPr>
              <w:b/>
              <w:bCs/>
            </w:rPr>
            <w:t>Generate short-term wins.</w:t>
          </w:r>
        </w:p>
        <w:p w14:paraId="697C324C" w14:textId="67392E32" w:rsidR="007C525D" w:rsidRDefault="00FD7FDB" w:rsidP="00AE7628">
          <w:pPr>
            <w:pStyle w:val="ListParagraph"/>
          </w:pPr>
          <w:r>
            <w:t xml:space="preserve">Kotter (2016) also </w:t>
          </w:r>
          <w:r w:rsidR="007C525D">
            <w:t>emphasises that generating short-term wins is important for maintaining momentum and demonstrating that progress is being made. These early achievements help validate the change effort, reinforce motivation and provide evidence that the strategy is working.</w:t>
          </w:r>
        </w:p>
        <w:p w14:paraId="39EF4783" w14:textId="0DDC746A" w:rsidR="007C525D" w:rsidRDefault="007C525D" w:rsidP="00AE7628">
          <w:pPr>
            <w:pStyle w:val="ListParagraph"/>
          </w:pPr>
          <w:r>
            <w:t>In</w:t>
          </w:r>
          <w:r w:rsidR="00541689">
            <w:t xml:space="preserve"> the given scenario,</w:t>
          </w:r>
          <w:r>
            <w:t xml:space="preserve"> the individual successfully delivered several high-value planning packages and coordinated the execution of critical-path repairs. These contributions were not formally acknowledged. The absence of recognition for this early success limited opportunity to build confidence and secure broader support for the change. Acknowledging short-term achievements would have helped reinforce commitment and provided a foundation for sustained progress.</w:t>
          </w:r>
        </w:p>
        <w:p w14:paraId="226A1997" w14:textId="77777777" w:rsidR="000A253C" w:rsidRDefault="000A253C" w:rsidP="00AE7628">
          <w:pPr>
            <w:pStyle w:val="ListParagraph"/>
          </w:pPr>
        </w:p>
        <w:p w14:paraId="774A0DD2" w14:textId="60EC9A00" w:rsidR="00756C11" w:rsidRPr="00756C11" w:rsidRDefault="00756C11" w:rsidP="00756C11">
          <w:pPr>
            <w:pStyle w:val="ListParagraph"/>
            <w:numPr>
              <w:ilvl w:val="0"/>
              <w:numId w:val="3"/>
            </w:numPr>
            <w:rPr>
              <w:b/>
              <w:bCs/>
            </w:rPr>
          </w:pPr>
          <w:r w:rsidRPr="00756C11">
            <w:rPr>
              <w:b/>
              <w:bCs/>
            </w:rPr>
            <w:t>Sustain acceleration.</w:t>
          </w:r>
        </w:p>
        <w:p w14:paraId="220BD206" w14:textId="62A55204" w:rsidR="00A119BB" w:rsidRDefault="00A119BB" w:rsidP="00756C11">
          <w:pPr>
            <w:pStyle w:val="ListParagraph"/>
          </w:pPr>
          <w:r>
            <w:t>Sustaining acceleration according to</w:t>
          </w:r>
          <w:r w:rsidR="00FD7FDB">
            <w:t xml:space="preserve"> Kotter (2016)</w:t>
          </w:r>
          <w:r>
            <w:t xml:space="preserve"> involves building on initial successes to drive deeper change and maintain progress. It requires continuous effort, leadership visibility and a focus on maintaining urgency.</w:t>
          </w:r>
        </w:p>
        <w:p w14:paraId="0622B629" w14:textId="50DBC20A" w:rsidR="00756C11" w:rsidRDefault="00541689" w:rsidP="00A119BB">
          <w:pPr>
            <w:pStyle w:val="ListParagraph"/>
          </w:pPr>
          <w:r>
            <w:t>From an operational perspective</w:t>
          </w:r>
          <w:r w:rsidR="00A119BB">
            <w:t>, there was no ongoing effort to sustain momentum or evaluate the effectiveness of the change after the turnaround. Once the immediate operational objectives were met, the organisation did not build on lessons learned or apply them to future planning processes. As a result, the reassignment remained a one-off solution rather than part of a broader, sustained improvement strategy.</w:t>
          </w:r>
        </w:p>
        <w:p w14:paraId="38EFB39C" w14:textId="77777777" w:rsidR="000A253C" w:rsidRDefault="000A253C" w:rsidP="00756C11">
          <w:pPr>
            <w:pStyle w:val="ListParagraph"/>
          </w:pPr>
        </w:p>
        <w:p w14:paraId="623C52DA" w14:textId="4B10199E" w:rsidR="00756C11" w:rsidRPr="00756C11" w:rsidRDefault="00756C11" w:rsidP="00756C11">
          <w:pPr>
            <w:pStyle w:val="ListParagraph"/>
            <w:numPr>
              <w:ilvl w:val="0"/>
              <w:numId w:val="3"/>
            </w:numPr>
            <w:rPr>
              <w:b/>
              <w:bCs/>
            </w:rPr>
          </w:pPr>
          <w:r w:rsidRPr="00756C11">
            <w:rPr>
              <w:b/>
              <w:bCs/>
            </w:rPr>
            <w:t>Institute change.</w:t>
          </w:r>
        </w:p>
        <w:p w14:paraId="7508F025" w14:textId="1E1453D8" w:rsidR="00A119BB" w:rsidRDefault="00A119BB" w:rsidP="00756C11">
          <w:pPr>
            <w:pStyle w:val="ListParagraph"/>
          </w:pPr>
          <w:r>
            <w:t>The final step according to</w:t>
          </w:r>
          <w:r w:rsidR="00FD7FDB">
            <w:t xml:space="preserve"> Kotter (2016)</w:t>
          </w:r>
          <w:r>
            <w:t>, is to institutional change by embedding it into organisational culture and practice. This ensures that new behaviours and processes are maintained over the long term and not abandoned after the initial implementation.</w:t>
          </w:r>
        </w:p>
        <w:p w14:paraId="34CE2E85" w14:textId="10A67E38" w:rsidR="00756C11" w:rsidRDefault="00A119BB" w:rsidP="00A119BB">
          <w:pPr>
            <w:pStyle w:val="ListParagraph"/>
          </w:pPr>
          <w:r>
            <w:t>Following the completion of the turnaround, the knowledge and improvements gained from the individual’s reassignment were not formally integrated into the wider organisation. There was no feedback process, structured debrief or mechanism for capturing insights that could inform future planning efforts. Consequently, the change was not fully institutionalised, limiting its long-term impact.</w:t>
          </w:r>
        </w:p>
        <w:p w14:paraId="10703235" w14:textId="6676D962" w:rsidR="00453E0E" w:rsidRDefault="00453E0E" w:rsidP="00453E0E">
          <w:pPr>
            <w:pStyle w:val="Heading2"/>
          </w:pPr>
          <w:bookmarkStart w:id="7" w:name="_Toc197806422"/>
          <w:r>
            <w:lastRenderedPageBreak/>
            <w:t>Leadership and Management Styles</w:t>
          </w:r>
          <w:bookmarkEnd w:id="7"/>
        </w:p>
        <w:p w14:paraId="26CE1AA0" w14:textId="77777777" w:rsidR="00453E0E" w:rsidRDefault="00453E0E" w:rsidP="00453E0E"/>
        <w:p w14:paraId="320B4B91" w14:textId="3918311C" w:rsidR="00312EB3" w:rsidRDefault="002D211B" w:rsidP="00312EB3">
          <w:r>
            <w:t xml:space="preserve">The leadership and management style document during the change reflected a predominantly transactional approach, characterised by a focus on performance, task completion and operational efficiency. Transactional leadership is often effective in high pressure environments where short-term goals are critical, but it can neglect individual needs and long-term development </w:t>
          </w:r>
          <w:sdt>
            <w:sdtPr>
              <w:id w:val="365569791"/>
              <w:citation/>
            </w:sdtPr>
            <w:sdtEndPr/>
            <w:sdtContent>
              <w:r>
                <w:fldChar w:fldCharType="begin"/>
              </w:r>
              <w:r>
                <w:instrText xml:space="preserve"> CITATION Bas94 \l 2057 </w:instrText>
              </w:r>
              <w:r>
                <w:fldChar w:fldCharType="separate"/>
              </w:r>
              <w:r w:rsidR="004531B8" w:rsidRPr="004531B8">
                <w:rPr>
                  <w:noProof/>
                </w:rPr>
                <w:t>(Bass, 1994)</w:t>
              </w:r>
              <w:r>
                <w:fldChar w:fldCharType="end"/>
              </w:r>
            </w:sdtContent>
          </w:sdt>
          <w:r>
            <w:t>. In this case, the emphasis on outcomes meant that emotional support, feedback and guidance were limited. As a result, the individual was expected to adapt independently, which negatively impacted moral</w:t>
          </w:r>
          <w:r w:rsidR="00321A5E">
            <w:t>e</w:t>
          </w:r>
          <w:r>
            <w:t xml:space="preserve"> and engagement. According to</w:t>
          </w:r>
          <w:r w:rsidR="00FD7FDB">
            <w:t xml:space="preserve"> Goleman (2017)</w:t>
          </w:r>
          <w:r>
            <w:t>, leadership that fails to address emotional intelligence and employee support often leads to reduced motivation and organisational commitment during periods of change.</w:t>
          </w:r>
        </w:p>
        <w:p w14:paraId="6C6D00DF" w14:textId="77777777" w:rsidR="00883BDA" w:rsidRDefault="00883BDA" w:rsidP="00312EB3"/>
        <w:p w14:paraId="2B127CA9" w14:textId="742CD4C0" w:rsidR="00312EB3" w:rsidRDefault="00312EB3" w:rsidP="00312EB3">
          <w:pPr>
            <w:pStyle w:val="Heading3"/>
          </w:pPr>
          <w:bookmarkStart w:id="8" w:name="_Toc197806423"/>
          <w:r>
            <w:t>Path-Goal Theory</w:t>
          </w:r>
          <w:bookmarkEnd w:id="8"/>
        </w:p>
        <w:p w14:paraId="57720000" w14:textId="77777777" w:rsidR="00312EB3" w:rsidRDefault="00312EB3" w:rsidP="00312EB3"/>
        <w:p w14:paraId="3470CDFB" w14:textId="595E0DDE" w:rsidR="00883BDA" w:rsidRDefault="00883BDA" w:rsidP="00312EB3">
          <w:r>
            <w:t>Path-Goal Theory</w:t>
          </w:r>
          <w:r w:rsidR="00775A2F">
            <w:t xml:space="preserve"> </w:t>
          </w:r>
          <w:r>
            <w:t>as reformulated by</w:t>
          </w:r>
          <w:r w:rsidR="00FD7FDB">
            <w:t xml:space="preserve"> House (1996)</w:t>
          </w:r>
          <w:r w:rsidR="00775A2F">
            <w:t>, argues that effective leaders adapt their behaviour to fit the needs of their team members and the demands of the task. The theory outlines four primary leadership styles. Directive, Supportive, Participative and Achievement orientated. Each suited to difference contexts with the aim of improving motivation, satisfaction and performance.</w:t>
          </w:r>
        </w:p>
        <w:p w14:paraId="00C0DB21" w14:textId="71292867" w:rsidR="00775A2F" w:rsidRDefault="00775A2F" w:rsidP="00312EB3">
          <w:r>
            <w:t>In this case, leadership predominantly aligned with a directive style, characterised by close guidance, structured tasks and strict adherence to deadlines. This was appropriate given the high risk and time sensitive nature of the turnaround. However, the absence of support leadership, which involves addressing emotional needs and reducing work related stress left the individual without transitional guidance or encouragement. This was particularly challenging as they were placed into a high-pressure environment with unfamiliar systems.</w:t>
          </w:r>
        </w:p>
        <w:p w14:paraId="2A2EDBDF" w14:textId="1F321C24" w:rsidR="00775A2F" w:rsidRDefault="00775A2F" w:rsidP="00312EB3">
          <w:r>
            <w:t>The participative style which involves employees in decision making and planning was also lacking. The reassignment was top down with no prior consultation or opportunity for input, contributing to feelings of exclusion and uncertainty.</w:t>
          </w:r>
        </w:p>
        <w:p w14:paraId="0DEF029F" w14:textId="7B03887D" w:rsidR="00775A2F" w:rsidRDefault="00775A2F" w:rsidP="00312EB3">
          <w:r>
            <w:t>The achievement-oriented style focused on challenging goals and fostering high standards, which was partially visible as the individual was tasked with high-value planning and responsibilities. However, without formal targets, structured feedback or developmental support, the motivational potential of this style was not fully realised.</w:t>
          </w:r>
        </w:p>
        <w:p w14:paraId="02F7F9DD" w14:textId="6B9B7C37" w:rsidR="00775A2F" w:rsidRDefault="00775A2F" w:rsidP="00312EB3">
          <w:r>
            <w:t xml:space="preserve">The limited application of leadership styles reduced the overall effectiveness of the change. As </w:t>
          </w:r>
          <w:sdt>
            <w:sdtPr>
              <w:id w:val="757870541"/>
              <w:citation/>
            </w:sdtPr>
            <w:sdtEndPr/>
            <w:sdtContent>
              <w:r>
                <w:fldChar w:fldCharType="begin"/>
              </w:r>
              <w:r>
                <w:instrText xml:space="preserve"> CITATION Hou96 \l 2057 </w:instrText>
              </w:r>
              <w:r>
                <w:fldChar w:fldCharType="separate"/>
              </w:r>
              <w:r w:rsidR="004531B8" w:rsidRPr="004531B8">
                <w:rPr>
                  <w:noProof/>
                </w:rPr>
                <w:t>(House, 1996)</w:t>
              </w:r>
              <w:r>
                <w:fldChar w:fldCharType="end"/>
              </w:r>
            </w:sdtContent>
          </w:sdt>
          <w:r>
            <w:t xml:space="preserve"> emphasises, leaders must adjust their approach based on the situation and the needs of their followers to ensure positive outcomes in dynamic environments.</w:t>
          </w:r>
        </w:p>
        <w:p w14:paraId="15394DF1" w14:textId="77777777" w:rsidR="00646F31" w:rsidRDefault="00646F31" w:rsidP="00312EB3"/>
        <w:p w14:paraId="271A6562" w14:textId="76943994" w:rsidR="00842B44" w:rsidRDefault="00842B44" w:rsidP="00842B44">
          <w:pPr>
            <w:pStyle w:val="Heading2"/>
          </w:pPr>
          <w:bookmarkStart w:id="9" w:name="_Toc197806424"/>
          <w:r>
            <w:t>Employee Motivation and Support</w:t>
          </w:r>
          <w:bookmarkEnd w:id="9"/>
        </w:p>
        <w:p w14:paraId="3FAFAF52" w14:textId="77777777" w:rsidR="00842B44" w:rsidRDefault="00842B44" w:rsidP="00842B44"/>
        <w:p w14:paraId="6E31D9F8" w14:textId="244B2077" w:rsidR="00856B2D" w:rsidRDefault="00A9346A" w:rsidP="00842B44">
          <w:r>
            <w:t xml:space="preserve">Motivating and supporting employees is essential to the successful implementation of organisational change. When individuals are provided with both structural and emotional resources they need, they are more likely to engage with their roles, adapt to new challenges and sustain performance </w:t>
          </w:r>
          <w:sdt>
            <w:sdtPr>
              <w:id w:val="-377317800"/>
              <w:citation/>
            </w:sdtPr>
            <w:sdtEndPr/>
            <w:sdtContent>
              <w:r>
                <w:fldChar w:fldCharType="begin"/>
              </w:r>
              <w:r>
                <w:instrText xml:space="preserve"> CITATION Her59 \l 2057 </w:instrText>
              </w:r>
              <w:r>
                <w:fldChar w:fldCharType="separate"/>
              </w:r>
              <w:r w:rsidRPr="00A9346A">
                <w:rPr>
                  <w:noProof/>
                </w:rPr>
                <w:t>(Herzberg, 2017)</w:t>
              </w:r>
              <w:r>
                <w:fldChar w:fldCharType="end"/>
              </w:r>
            </w:sdtContent>
          </w:sdt>
          <w:r w:rsidR="00E02126">
            <w:t xml:space="preserve"> </w:t>
          </w:r>
          <w:r w:rsidR="00FD7FDB">
            <w:t xml:space="preserve">and </w:t>
          </w:r>
          <w:sdt>
            <w:sdtPr>
              <w:id w:val="1884441715"/>
              <w:citation/>
            </w:sdtPr>
            <w:sdtEndPr/>
            <w:sdtContent>
              <w:r w:rsidR="00E02126">
                <w:fldChar w:fldCharType="begin"/>
              </w:r>
              <w:r w:rsidR="00E02126">
                <w:instrText xml:space="preserve"> CITATION Mul16 \l 2057 </w:instrText>
              </w:r>
              <w:r w:rsidR="00E02126">
                <w:fldChar w:fldCharType="separate"/>
              </w:r>
              <w:r w:rsidR="00E02126" w:rsidRPr="00E02126">
                <w:rPr>
                  <w:noProof/>
                </w:rPr>
                <w:t>(Mullins, 2016)</w:t>
              </w:r>
              <w:r w:rsidR="00E02126">
                <w:fldChar w:fldCharType="end"/>
              </w:r>
            </w:sdtContent>
          </w:sdt>
          <w:r>
            <w:t xml:space="preserve">. During transitional periods, such as reassignments or </w:t>
          </w:r>
          <w:r>
            <w:lastRenderedPageBreak/>
            <w:t>departmental restructuring. Motivation and support become even more critical as uncertainty can diminish morale and reduce commitment if not properly addressed.</w:t>
          </w:r>
        </w:p>
        <w:p w14:paraId="6776BC44" w14:textId="77777777" w:rsidR="00A9346A" w:rsidRDefault="00A9346A" w:rsidP="00842B44"/>
        <w:p w14:paraId="17F803C2" w14:textId="7B3D5628" w:rsidR="00842B44" w:rsidRDefault="00842B44" w:rsidP="00842B44">
          <w:pPr>
            <w:pStyle w:val="Heading3"/>
          </w:pPr>
          <w:bookmarkStart w:id="10" w:name="_Toc197806425"/>
          <w:r>
            <w:t>Herzberg’s Two-Factor Theory</w:t>
          </w:r>
          <w:bookmarkEnd w:id="10"/>
        </w:p>
        <w:p w14:paraId="76338398" w14:textId="77777777" w:rsidR="00842B44" w:rsidRDefault="00842B44" w:rsidP="00842B44"/>
        <w:p w14:paraId="0CC481D4" w14:textId="4F94C0DF" w:rsidR="00A9346A" w:rsidRDefault="00A9346A" w:rsidP="00842B44">
          <w:r>
            <w:t>Herzberg’s Two-Factor Theory (1959) provides useful framework for analysing the impact of change on employee motivation. According to the theory, job satisfaction and dissatisfaction are influenced by two distinct sets of factors.</w:t>
          </w:r>
        </w:p>
        <w:p w14:paraId="453C0C14" w14:textId="77777777" w:rsidR="00A9346A" w:rsidRDefault="00A9346A" w:rsidP="00842B44"/>
        <w:p w14:paraId="6A144908" w14:textId="340E17A5" w:rsidR="00A9346A" w:rsidRPr="00A9346A" w:rsidRDefault="00A9346A" w:rsidP="00A9346A">
          <w:pPr>
            <w:pStyle w:val="ListParagraph"/>
            <w:numPr>
              <w:ilvl w:val="0"/>
              <w:numId w:val="6"/>
            </w:numPr>
            <w:rPr>
              <w:b/>
              <w:bCs/>
            </w:rPr>
          </w:pPr>
          <w:r w:rsidRPr="00A9346A">
            <w:rPr>
              <w:b/>
              <w:bCs/>
            </w:rPr>
            <w:t>Motivator factors</w:t>
          </w:r>
        </w:p>
        <w:p w14:paraId="246322C1" w14:textId="58DFE2DA" w:rsidR="00A9346A" w:rsidRDefault="00A9346A" w:rsidP="00A9346A">
          <w:pPr>
            <w:pStyle w:val="ListParagraph"/>
          </w:pPr>
          <w:r>
            <w:t>Intrinsic factors such as achievement, recognition, responsibility and personal growth.</w:t>
          </w:r>
        </w:p>
        <w:p w14:paraId="6EE62C2F" w14:textId="62F07096" w:rsidR="00A9346A" w:rsidRPr="00A9346A" w:rsidRDefault="00A9346A" w:rsidP="00A9346A">
          <w:pPr>
            <w:pStyle w:val="ListParagraph"/>
            <w:numPr>
              <w:ilvl w:val="0"/>
              <w:numId w:val="6"/>
            </w:numPr>
            <w:rPr>
              <w:b/>
              <w:bCs/>
            </w:rPr>
          </w:pPr>
          <w:r w:rsidRPr="00A9346A">
            <w:rPr>
              <w:b/>
              <w:bCs/>
            </w:rPr>
            <w:t>Hygiene factors</w:t>
          </w:r>
        </w:p>
        <w:p w14:paraId="6C697CBE" w14:textId="35CF9C11" w:rsidR="00A9346A" w:rsidRDefault="00A9346A" w:rsidP="00A9346A">
          <w:pPr>
            <w:pStyle w:val="ListParagraph"/>
          </w:pPr>
          <w:r>
            <w:t>Extrinsic conditions such as salary, policies, supervision and working conditions.</w:t>
          </w:r>
        </w:p>
        <w:p w14:paraId="208A1110" w14:textId="77777777" w:rsidR="00A9346A" w:rsidRDefault="00A9346A" w:rsidP="00A9346A">
          <w:pPr>
            <w:pStyle w:val="ListParagraph"/>
          </w:pPr>
        </w:p>
        <w:p w14:paraId="47863B3A" w14:textId="61BE6817" w:rsidR="00A9346A" w:rsidRDefault="00A9346A" w:rsidP="00A9346A">
          <w:r>
            <w:t>Herzberg argues that while hygiene factors can prevent dissatisfaction, only motivators can actively enhance job satisfaction and performance.</w:t>
          </w:r>
        </w:p>
        <w:p w14:paraId="6BEE3C55" w14:textId="1709737A" w:rsidR="00A9346A" w:rsidRDefault="00A9346A" w:rsidP="00842B44">
          <w:r>
            <w:t xml:space="preserve">In the case of the reassignment, several hygiene factors such as pay, working hours and job security remained stable. However, motivators were largely absent. The individual received little recognition for successfully managing high-value planning tasks, had minimal autonomy in how the work was approached and was not provided with clear pathways for development. This aligns with </w:t>
          </w:r>
          <w:r w:rsidR="00E02126">
            <w:t>Herzberg’s findings that without intrinsic rewards, even well-paid roles can lead to disengagement.</w:t>
          </w:r>
        </w:p>
        <w:p w14:paraId="098EE24D" w14:textId="47935E27" w:rsidR="00E02126" w:rsidRDefault="00E02126" w:rsidP="00842B44">
          <w:r>
            <w:t>Furthermore, the lack of feedback and structured communication reduced the opportunity for the individual to experience achievement and growth, both of which are central to Herzberg’s motivators. While the reassignment offered potential for skill development, the absence of supportive mechanisms such as mentoring or formal recognition meant that these opportunities were not fully realised. This highlights a critical gap in the organisation’s change management strategy: The failure to foster internal motivation during periods of operational upheaval.</w:t>
          </w:r>
        </w:p>
        <w:p w14:paraId="55B2752D" w14:textId="6E5ADDF1" w:rsidR="00E02126" w:rsidRDefault="00E02126" w:rsidP="00842B44">
          <w:r>
            <w:t>Integrating Herzberg’s principles into future transitions could help improve outcomes. By focusing not only on external conditions but also intrinsic motivators, through recognition and development planning. The organisation could better sustain engagement and reduce resistance during changes.</w:t>
          </w:r>
        </w:p>
        <w:p w14:paraId="100F0980" w14:textId="77777777" w:rsidR="00D13C98" w:rsidRDefault="00D13C98" w:rsidP="00453E0E"/>
        <w:p w14:paraId="1F02BEC9" w14:textId="38AFA365" w:rsidR="003178FC" w:rsidRDefault="003178FC">
          <w:r>
            <w:br w:type="page"/>
          </w:r>
        </w:p>
        <w:p w14:paraId="5C67928C" w14:textId="38D85A4C" w:rsidR="00AA2A91" w:rsidRDefault="00AA2A91" w:rsidP="00AA2A91">
          <w:pPr>
            <w:pStyle w:val="Heading1"/>
          </w:pPr>
          <w:bookmarkStart w:id="11" w:name="_Toc197806426"/>
          <w:r>
            <w:lastRenderedPageBreak/>
            <w:t>Conclusion</w:t>
          </w:r>
          <w:bookmarkEnd w:id="11"/>
        </w:p>
        <w:p w14:paraId="6FF3B474" w14:textId="77777777" w:rsidR="00AA2A91" w:rsidRDefault="00AA2A91" w:rsidP="00AA2A91"/>
        <w:p w14:paraId="6D6F2DE4" w14:textId="20B9B3E1" w:rsidR="0087705F" w:rsidRDefault="0087705F" w:rsidP="00AA2A91">
          <w:r>
            <w:t>The reassignment examined in this report highlights both the operational necessity and human complexity of organisational change within high-pressure engineering environments. Although the change was justified by the strategic demands of a large-scale turnaround, its implementation revealed significant shortcomings in leadership, communication and employee support.</w:t>
          </w:r>
        </w:p>
        <w:p w14:paraId="3A85AE96" w14:textId="315DF811" w:rsidR="0087705F" w:rsidRDefault="00FD7FDB" w:rsidP="00AA2A91">
          <w:r>
            <w:t>Kotter’s (2016)</w:t>
          </w:r>
          <w:r w:rsidR="0087705F">
            <w:t xml:space="preserve"> Eight-Step model demonstrated that while urgency and task clarity existed, critical elements such as building a guiding coalition, communicated a shared vision and empowering employees were not effectively addressed. This contributed to early resistance, confusion and reduced engagement during the transition.</w:t>
          </w:r>
        </w:p>
        <w:p w14:paraId="658EE3B3" w14:textId="4E826CE1" w:rsidR="0087705F" w:rsidRDefault="0087705F" w:rsidP="00AA2A91">
          <w:r>
            <w:t xml:space="preserve">Similarly, </w:t>
          </w:r>
          <w:r w:rsidR="009726ED">
            <w:t>Herzberg’s (2017)</w:t>
          </w:r>
          <w:r>
            <w:t xml:space="preserve"> Two-Factor Theory offered valuable insight into how the absence of intrinsic motivators, such as recognition, autonomy and personal development impacted morale. While hygiene factors remained intact, the lack of motivators limited job satisfaction and professional growth. The case also reinforced</w:t>
          </w:r>
          <w:r w:rsidR="00FD7FDB">
            <w:t xml:space="preserve"> Lewin’s (1951)</w:t>
          </w:r>
          <w:r>
            <w:t xml:space="preserve"> view that reducing restraining forces, such as inadequate communication and lack of training, essential for facilitating lasting change.</w:t>
          </w:r>
        </w:p>
        <w:p w14:paraId="02DA2E73" w14:textId="381C5F43" w:rsidR="0087705F" w:rsidRDefault="0087705F" w:rsidP="00AA2A91">
          <w:r>
            <w:t xml:space="preserve">Overall, the findings suggest that technical competence alone is insufficient for successful change execution. As </w:t>
          </w:r>
          <w:r w:rsidR="009726ED">
            <w:t xml:space="preserve">Mullins (2016) </w:t>
          </w:r>
          <w:r>
            <w:t>and</w:t>
          </w:r>
          <w:r w:rsidR="009726ED">
            <w:t xml:space="preserve"> Yuki (2013)</w:t>
          </w:r>
          <w:r>
            <w:t xml:space="preserve"> argue, effective change management requires a balance of task-focused leadership and people-centred support. Future changes of this nature would benefit from greater strategic communication, structure</w:t>
          </w:r>
          <w:r w:rsidR="00321A5E">
            <w:t>d</w:t>
          </w:r>
          <w:r>
            <w:t xml:space="preserve"> onboarding and efforts to integrate motivational and emotional support into planning processes.</w:t>
          </w:r>
        </w:p>
        <w:p w14:paraId="33C7A8A4" w14:textId="77777777" w:rsidR="003178FC" w:rsidRDefault="003178FC" w:rsidP="00AA2A91"/>
        <w:p w14:paraId="122EE2DC" w14:textId="2BC1CC11" w:rsidR="003178FC" w:rsidRDefault="003178FC">
          <w:r>
            <w:br w:type="page"/>
          </w:r>
        </w:p>
        <w:bookmarkStart w:id="12" w:name="_Toc197806427" w:displacedByCustomXml="next"/>
        <w:sdt>
          <w:sdtPr>
            <w:rPr>
              <w:rFonts w:asciiTheme="minorHAnsi" w:eastAsiaTheme="minorHAnsi" w:hAnsiTheme="minorHAnsi" w:cstheme="minorBidi"/>
              <w:color w:val="auto"/>
              <w:sz w:val="22"/>
              <w:szCs w:val="22"/>
            </w:rPr>
            <w:id w:val="-2043658508"/>
            <w:docPartObj>
              <w:docPartGallery w:val="Bibliographies"/>
              <w:docPartUnique/>
            </w:docPartObj>
          </w:sdtPr>
          <w:sdtEndPr/>
          <w:sdtContent>
            <w:p w14:paraId="7A29ADD5" w14:textId="6DABBF8E" w:rsidR="000D5166" w:rsidRDefault="000D5166">
              <w:pPr>
                <w:pStyle w:val="Heading1"/>
              </w:pPr>
              <w:r>
                <w:t>References</w:t>
              </w:r>
              <w:bookmarkEnd w:id="12"/>
            </w:p>
            <w:p w14:paraId="70E0A577" w14:textId="77777777" w:rsidR="00E9063D" w:rsidRPr="00E9063D" w:rsidRDefault="00E9063D" w:rsidP="00E9063D"/>
            <w:sdt>
              <w:sdtPr>
                <w:id w:val="-573587230"/>
                <w:bibliography/>
              </w:sdtPr>
              <w:sdtEndPr/>
              <w:sdtContent>
                <w:p w14:paraId="591F38F0" w14:textId="2B2FE639" w:rsidR="004531B8" w:rsidRDefault="000D5166" w:rsidP="004531B8">
                  <w:pPr>
                    <w:pStyle w:val="Bibliography"/>
                    <w:rPr>
                      <w:noProof/>
                    </w:rPr>
                  </w:pPr>
                  <w:r>
                    <w:fldChar w:fldCharType="begin"/>
                  </w:r>
                  <w:r>
                    <w:instrText xml:space="preserve"> BIBLIOGRAPHY </w:instrText>
                  </w:r>
                  <w:r>
                    <w:fldChar w:fldCharType="separate"/>
                  </w:r>
                  <w:r w:rsidR="004531B8">
                    <w:rPr>
                      <w:noProof/>
                    </w:rPr>
                    <w:t xml:space="preserve">Adair, J. </w:t>
                  </w:r>
                  <w:r w:rsidR="009726ED">
                    <w:rPr>
                      <w:noProof/>
                    </w:rPr>
                    <w:t>(</w:t>
                  </w:r>
                  <w:r w:rsidR="004531B8">
                    <w:rPr>
                      <w:noProof/>
                    </w:rPr>
                    <w:t>1979</w:t>
                  </w:r>
                  <w:r w:rsidR="009726ED">
                    <w:rPr>
                      <w:noProof/>
                    </w:rPr>
                    <w:t>)</w:t>
                  </w:r>
                  <w:r w:rsidR="004531B8">
                    <w:rPr>
                      <w:noProof/>
                    </w:rPr>
                    <w:t xml:space="preserve">. </w:t>
                  </w:r>
                  <w:r w:rsidR="004531B8">
                    <w:rPr>
                      <w:i/>
                      <w:iCs/>
                      <w:noProof/>
                    </w:rPr>
                    <w:t xml:space="preserve">Action Centred Leadership. </w:t>
                  </w:r>
                  <w:r w:rsidR="004531B8">
                    <w:rPr>
                      <w:noProof/>
                    </w:rPr>
                    <w:t>Aldershot: Gower Publishing.</w:t>
                  </w:r>
                </w:p>
                <w:p w14:paraId="6563842A" w14:textId="77777777" w:rsidR="00322838" w:rsidRPr="00322838" w:rsidRDefault="00322838" w:rsidP="00322838"/>
                <w:p w14:paraId="1DD82ECD" w14:textId="09BB3AD0" w:rsidR="004531B8" w:rsidRDefault="004531B8" w:rsidP="004531B8">
                  <w:pPr>
                    <w:pStyle w:val="Bibliography"/>
                    <w:rPr>
                      <w:noProof/>
                    </w:rPr>
                  </w:pPr>
                  <w:r>
                    <w:rPr>
                      <w:noProof/>
                    </w:rPr>
                    <w:t xml:space="preserve">Al-Haddad, S. </w:t>
                  </w:r>
                  <w:r w:rsidR="009726ED">
                    <w:rPr>
                      <w:noProof/>
                    </w:rPr>
                    <w:t>(</w:t>
                  </w:r>
                  <w:r>
                    <w:rPr>
                      <w:noProof/>
                    </w:rPr>
                    <w:t>2015</w:t>
                  </w:r>
                  <w:r w:rsidR="009726ED">
                    <w:rPr>
                      <w:noProof/>
                    </w:rPr>
                    <w:t>)</w:t>
                  </w:r>
                  <w:r>
                    <w:rPr>
                      <w:noProof/>
                    </w:rPr>
                    <w:t xml:space="preserve">. Integrating the organisational change literature: A model for successful change. </w:t>
                  </w:r>
                  <w:r>
                    <w:rPr>
                      <w:i/>
                      <w:iCs/>
                      <w:noProof/>
                    </w:rPr>
                    <w:t xml:space="preserve">Journal of Organisational Change Management, </w:t>
                  </w:r>
                  <w:r>
                    <w:rPr>
                      <w:noProof/>
                    </w:rPr>
                    <w:t>28(2), pp. 234-262.</w:t>
                  </w:r>
                </w:p>
                <w:p w14:paraId="5A3BCD2E" w14:textId="77777777" w:rsidR="00322838" w:rsidRPr="00322838" w:rsidRDefault="00322838" w:rsidP="00322838"/>
                <w:p w14:paraId="098827A6" w14:textId="6ECBE32D" w:rsidR="004531B8" w:rsidRDefault="004531B8" w:rsidP="004531B8">
                  <w:pPr>
                    <w:pStyle w:val="Bibliography"/>
                    <w:rPr>
                      <w:noProof/>
                    </w:rPr>
                  </w:pPr>
                  <w:r>
                    <w:rPr>
                      <w:noProof/>
                    </w:rPr>
                    <w:t>Armenakis, A</w:t>
                  </w:r>
                  <w:r w:rsidR="009726ED">
                    <w:rPr>
                      <w:noProof/>
                    </w:rPr>
                    <w:t>.</w:t>
                  </w:r>
                  <w:r>
                    <w:rPr>
                      <w:noProof/>
                    </w:rPr>
                    <w:t xml:space="preserve"> </w:t>
                  </w:r>
                  <w:r w:rsidR="009726ED">
                    <w:rPr>
                      <w:noProof/>
                    </w:rPr>
                    <w:t>(</w:t>
                  </w:r>
                  <w:r>
                    <w:rPr>
                      <w:noProof/>
                    </w:rPr>
                    <w:t>1999</w:t>
                  </w:r>
                  <w:r w:rsidR="009726ED">
                    <w:rPr>
                      <w:noProof/>
                    </w:rPr>
                    <w:t>)</w:t>
                  </w:r>
                  <w:r>
                    <w:rPr>
                      <w:noProof/>
                    </w:rPr>
                    <w:t xml:space="preserve">. Organisational change: A review of theory and research in the 1990s. </w:t>
                  </w:r>
                  <w:r>
                    <w:rPr>
                      <w:i/>
                      <w:iCs/>
                      <w:noProof/>
                    </w:rPr>
                    <w:t xml:space="preserve">Journal of Management, </w:t>
                  </w:r>
                  <w:r>
                    <w:rPr>
                      <w:noProof/>
                    </w:rPr>
                    <w:t>25(3), pp. 239-315.</w:t>
                  </w:r>
                </w:p>
                <w:p w14:paraId="5521C79D" w14:textId="77777777" w:rsidR="00322838" w:rsidRPr="00322838" w:rsidRDefault="00322838" w:rsidP="00322838"/>
                <w:p w14:paraId="4765AF1F" w14:textId="1ED7163B" w:rsidR="004531B8" w:rsidRDefault="004531B8" w:rsidP="004531B8">
                  <w:pPr>
                    <w:pStyle w:val="Bibliography"/>
                    <w:rPr>
                      <w:noProof/>
                    </w:rPr>
                  </w:pPr>
                  <w:r>
                    <w:rPr>
                      <w:noProof/>
                    </w:rPr>
                    <w:t xml:space="preserve">Bass, B. </w:t>
                  </w:r>
                  <w:r w:rsidR="009726ED">
                    <w:rPr>
                      <w:noProof/>
                    </w:rPr>
                    <w:t>(</w:t>
                  </w:r>
                  <w:r>
                    <w:rPr>
                      <w:noProof/>
                    </w:rPr>
                    <w:t>1994</w:t>
                  </w:r>
                  <w:r w:rsidR="009726ED">
                    <w:rPr>
                      <w:noProof/>
                    </w:rPr>
                    <w:t>)</w:t>
                  </w:r>
                  <w:r>
                    <w:rPr>
                      <w:noProof/>
                    </w:rPr>
                    <w:t xml:space="preserve">. </w:t>
                  </w:r>
                  <w:r>
                    <w:rPr>
                      <w:i/>
                      <w:iCs/>
                      <w:noProof/>
                    </w:rPr>
                    <w:t xml:space="preserve">Improving Organisational Effectiveness through Transformational Leadership. </w:t>
                  </w:r>
                  <w:r>
                    <w:rPr>
                      <w:noProof/>
                    </w:rPr>
                    <w:t>Thousand Oaks, CA: Sage Publications.</w:t>
                  </w:r>
                </w:p>
                <w:p w14:paraId="1F2F3560" w14:textId="77777777" w:rsidR="00322838" w:rsidRPr="00322838" w:rsidRDefault="00322838" w:rsidP="00322838"/>
                <w:p w14:paraId="22FC0B5C" w14:textId="3C7CAA07" w:rsidR="004531B8" w:rsidRDefault="004531B8" w:rsidP="004531B8">
                  <w:pPr>
                    <w:pStyle w:val="Bibliography"/>
                    <w:rPr>
                      <w:noProof/>
                    </w:rPr>
                  </w:pPr>
                  <w:r>
                    <w:rPr>
                      <w:noProof/>
                    </w:rPr>
                    <w:t xml:space="preserve">Burnes, B. </w:t>
                  </w:r>
                  <w:r w:rsidR="009726ED">
                    <w:rPr>
                      <w:noProof/>
                    </w:rPr>
                    <w:t>(</w:t>
                  </w:r>
                  <w:r>
                    <w:rPr>
                      <w:noProof/>
                    </w:rPr>
                    <w:t>2017</w:t>
                  </w:r>
                  <w:r w:rsidR="009726ED">
                    <w:rPr>
                      <w:noProof/>
                    </w:rPr>
                    <w:t>)</w:t>
                  </w:r>
                  <w:r>
                    <w:rPr>
                      <w:noProof/>
                    </w:rPr>
                    <w:t xml:space="preserve">. </w:t>
                  </w:r>
                  <w:r>
                    <w:rPr>
                      <w:i/>
                      <w:iCs/>
                      <w:noProof/>
                    </w:rPr>
                    <w:t xml:space="preserve">Managing Change. </w:t>
                  </w:r>
                  <w:r>
                    <w:rPr>
                      <w:noProof/>
                    </w:rPr>
                    <w:t>Harlow: Pearson Education.</w:t>
                  </w:r>
                </w:p>
                <w:p w14:paraId="5D0D4AD8" w14:textId="77777777" w:rsidR="00322838" w:rsidRPr="00322838" w:rsidRDefault="00322838" w:rsidP="00322838"/>
                <w:p w14:paraId="25C0BB21" w14:textId="5D19E47D" w:rsidR="004531B8" w:rsidRDefault="004531B8" w:rsidP="004531B8">
                  <w:pPr>
                    <w:pStyle w:val="Bibliography"/>
                    <w:rPr>
                      <w:noProof/>
                    </w:rPr>
                  </w:pPr>
                  <w:r>
                    <w:rPr>
                      <w:noProof/>
                    </w:rPr>
                    <w:t xml:space="preserve">Cameron, E. </w:t>
                  </w:r>
                  <w:r w:rsidR="009726ED">
                    <w:rPr>
                      <w:noProof/>
                    </w:rPr>
                    <w:t>(2</w:t>
                  </w:r>
                  <w:r>
                    <w:rPr>
                      <w:noProof/>
                    </w:rPr>
                    <w:t>019</w:t>
                  </w:r>
                  <w:r w:rsidR="009726ED">
                    <w:rPr>
                      <w:noProof/>
                    </w:rPr>
                    <w:t>)</w:t>
                  </w:r>
                  <w:r>
                    <w:rPr>
                      <w:noProof/>
                    </w:rPr>
                    <w:t xml:space="preserve">. </w:t>
                  </w:r>
                  <w:r>
                    <w:rPr>
                      <w:i/>
                      <w:iCs/>
                      <w:noProof/>
                    </w:rPr>
                    <w:t xml:space="preserve">Making Sense of Change Management: A Complete Guide to the Models, Tools and Techniques of Organisational Change. </w:t>
                  </w:r>
                  <w:r>
                    <w:rPr>
                      <w:noProof/>
                    </w:rPr>
                    <w:t>5th ed. London: Kogan Page.</w:t>
                  </w:r>
                </w:p>
                <w:p w14:paraId="199039A7" w14:textId="77777777" w:rsidR="00322838" w:rsidRPr="00322838" w:rsidRDefault="00322838" w:rsidP="00322838"/>
                <w:p w14:paraId="6DD7B3DB" w14:textId="455F69C6" w:rsidR="004531B8" w:rsidRDefault="004531B8" w:rsidP="004531B8">
                  <w:pPr>
                    <w:pStyle w:val="Bibliography"/>
                    <w:rPr>
                      <w:noProof/>
                    </w:rPr>
                  </w:pPr>
                  <w:r>
                    <w:rPr>
                      <w:noProof/>
                    </w:rPr>
                    <w:t xml:space="preserve">French, W. </w:t>
                  </w:r>
                  <w:r w:rsidR="009726ED">
                    <w:rPr>
                      <w:noProof/>
                    </w:rPr>
                    <w:t>(2</w:t>
                  </w:r>
                  <w:r>
                    <w:rPr>
                      <w:noProof/>
                    </w:rPr>
                    <w:t>019</w:t>
                  </w:r>
                  <w:r w:rsidR="009726ED">
                    <w:rPr>
                      <w:noProof/>
                    </w:rPr>
                    <w:t>)</w:t>
                  </w:r>
                  <w:r>
                    <w:rPr>
                      <w:noProof/>
                    </w:rPr>
                    <w:t xml:space="preserve">. </w:t>
                  </w:r>
                  <w:r>
                    <w:rPr>
                      <w:i/>
                      <w:iCs/>
                      <w:noProof/>
                    </w:rPr>
                    <w:t xml:space="preserve">Organisation Development. </w:t>
                  </w:r>
                  <w:r>
                    <w:rPr>
                      <w:noProof/>
                    </w:rPr>
                    <w:t>Noida: Pearson.</w:t>
                  </w:r>
                </w:p>
                <w:p w14:paraId="27B70D75" w14:textId="77777777" w:rsidR="00322838" w:rsidRPr="00322838" w:rsidRDefault="00322838" w:rsidP="00322838"/>
                <w:p w14:paraId="071BD4B8" w14:textId="7869AD03" w:rsidR="004531B8" w:rsidRDefault="004531B8" w:rsidP="004531B8">
                  <w:pPr>
                    <w:pStyle w:val="Bibliography"/>
                    <w:rPr>
                      <w:noProof/>
                    </w:rPr>
                  </w:pPr>
                  <w:r>
                    <w:rPr>
                      <w:noProof/>
                    </w:rPr>
                    <w:t xml:space="preserve">Goleman, D. </w:t>
                  </w:r>
                  <w:r w:rsidR="009726ED">
                    <w:rPr>
                      <w:noProof/>
                    </w:rPr>
                    <w:t>(</w:t>
                  </w:r>
                  <w:r>
                    <w:rPr>
                      <w:noProof/>
                    </w:rPr>
                    <w:t>2000</w:t>
                  </w:r>
                  <w:r w:rsidR="009726ED">
                    <w:rPr>
                      <w:noProof/>
                    </w:rPr>
                    <w:t>)</w:t>
                  </w:r>
                  <w:r>
                    <w:rPr>
                      <w:noProof/>
                    </w:rPr>
                    <w:t xml:space="preserve">. Leadership that gets results. </w:t>
                  </w:r>
                  <w:r>
                    <w:rPr>
                      <w:i/>
                      <w:iCs/>
                      <w:noProof/>
                    </w:rPr>
                    <w:t xml:space="preserve">Harvard Business Review, </w:t>
                  </w:r>
                  <w:r>
                    <w:rPr>
                      <w:noProof/>
                    </w:rPr>
                    <w:t>Issue 2, pp. 78-90.</w:t>
                  </w:r>
                </w:p>
                <w:p w14:paraId="796745A9" w14:textId="77777777" w:rsidR="00322838" w:rsidRPr="00322838" w:rsidRDefault="00322838" w:rsidP="00322838"/>
                <w:p w14:paraId="51BC4992" w14:textId="1CF7DF89" w:rsidR="004531B8" w:rsidRDefault="004531B8" w:rsidP="004531B8">
                  <w:pPr>
                    <w:pStyle w:val="Bibliography"/>
                    <w:rPr>
                      <w:noProof/>
                    </w:rPr>
                  </w:pPr>
                  <w:r>
                    <w:rPr>
                      <w:noProof/>
                    </w:rPr>
                    <w:t xml:space="preserve">Goleman, D. </w:t>
                  </w:r>
                  <w:r w:rsidR="009726ED">
                    <w:rPr>
                      <w:noProof/>
                    </w:rPr>
                    <w:t>(</w:t>
                  </w:r>
                  <w:r>
                    <w:rPr>
                      <w:noProof/>
                    </w:rPr>
                    <w:t>2017</w:t>
                  </w:r>
                  <w:r w:rsidR="009726ED">
                    <w:rPr>
                      <w:noProof/>
                    </w:rPr>
                    <w:t>)</w:t>
                  </w:r>
                  <w:r>
                    <w:rPr>
                      <w:noProof/>
                    </w:rPr>
                    <w:t xml:space="preserve">. </w:t>
                  </w:r>
                  <w:r>
                    <w:rPr>
                      <w:i/>
                      <w:iCs/>
                      <w:noProof/>
                    </w:rPr>
                    <w:t xml:space="preserve">Leadership That Gets Results. </w:t>
                  </w:r>
                  <w:r>
                    <w:rPr>
                      <w:noProof/>
                    </w:rPr>
                    <w:t>Boston: Havard Business Review Press.</w:t>
                  </w:r>
                </w:p>
                <w:p w14:paraId="33961143" w14:textId="77777777" w:rsidR="00322838" w:rsidRPr="00322838" w:rsidRDefault="00322838" w:rsidP="00322838"/>
                <w:p w14:paraId="3F5F3EC1" w14:textId="6D69972C" w:rsidR="004531B8" w:rsidRDefault="004531B8" w:rsidP="004531B8">
                  <w:pPr>
                    <w:pStyle w:val="Bibliography"/>
                    <w:rPr>
                      <w:noProof/>
                    </w:rPr>
                  </w:pPr>
                  <w:r>
                    <w:rPr>
                      <w:noProof/>
                    </w:rPr>
                    <w:t xml:space="preserve">Herzberg, F. </w:t>
                  </w:r>
                  <w:r w:rsidR="009726ED">
                    <w:rPr>
                      <w:noProof/>
                    </w:rPr>
                    <w:t>(</w:t>
                  </w:r>
                  <w:r w:rsidR="00AE32CB">
                    <w:rPr>
                      <w:noProof/>
                    </w:rPr>
                    <w:t>2017</w:t>
                  </w:r>
                  <w:r w:rsidR="009726ED">
                    <w:rPr>
                      <w:noProof/>
                    </w:rPr>
                    <w:t>)</w:t>
                  </w:r>
                  <w:r>
                    <w:rPr>
                      <w:noProof/>
                    </w:rPr>
                    <w:t xml:space="preserve">. </w:t>
                  </w:r>
                  <w:r>
                    <w:rPr>
                      <w:i/>
                      <w:iCs/>
                      <w:noProof/>
                    </w:rPr>
                    <w:t xml:space="preserve">The Motivation to Work. </w:t>
                  </w:r>
                  <w:r w:rsidR="00AE32CB">
                    <w:rPr>
                      <w:noProof/>
                    </w:rPr>
                    <w:t>Abingdon</w:t>
                  </w:r>
                  <w:r>
                    <w:rPr>
                      <w:noProof/>
                    </w:rPr>
                    <w:t xml:space="preserve">: </w:t>
                  </w:r>
                  <w:r w:rsidR="00AE32CB">
                    <w:rPr>
                      <w:noProof/>
                    </w:rPr>
                    <w:t>Routledge</w:t>
                  </w:r>
                  <w:r>
                    <w:rPr>
                      <w:noProof/>
                    </w:rPr>
                    <w:t>.</w:t>
                  </w:r>
                </w:p>
                <w:p w14:paraId="4F7527B9" w14:textId="77777777" w:rsidR="00322838" w:rsidRPr="00322838" w:rsidRDefault="00322838" w:rsidP="00322838"/>
                <w:p w14:paraId="43F74E5A" w14:textId="7BC4632B" w:rsidR="004531B8" w:rsidRDefault="004531B8" w:rsidP="004531B8">
                  <w:pPr>
                    <w:pStyle w:val="Bibliography"/>
                    <w:rPr>
                      <w:noProof/>
                    </w:rPr>
                  </w:pPr>
                  <w:r>
                    <w:rPr>
                      <w:noProof/>
                    </w:rPr>
                    <w:t xml:space="preserve">Higgs, M, </w:t>
                  </w:r>
                  <w:r w:rsidR="009726ED">
                    <w:rPr>
                      <w:noProof/>
                    </w:rPr>
                    <w:t>(</w:t>
                  </w:r>
                  <w:r>
                    <w:rPr>
                      <w:noProof/>
                    </w:rPr>
                    <w:t>2005</w:t>
                  </w:r>
                  <w:r w:rsidR="009726ED">
                    <w:rPr>
                      <w:noProof/>
                    </w:rPr>
                    <w:t>)</w:t>
                  </w:r>
                  <w:r>
                    <w:rPr>
                      <w:noProof/>
                    </w:rPr>
                    <w:t xml:space="preserve">. All changes great and small: Exploring approaches to change and its leadership. </w:t>
                  </w:r>
                  <w:r>
                    <w:rPr>
                      <w:i/>
                      <w:iCs/>
                      <w:noProof/>
                    </w:rPr>
                    <w:t xml:space="preserve">Journal of Change Management, </w:t>
                  </w:r>
                  <w:r>
                    <w:rPr>
                      <w:noProof/>
                    </w:rPr>
                    <w:t>5(2), pp. 121-151.</w:t>
                  </w:r>
                </w:p>
                <w:p w14:paraId="79647885" w14:textId="77777777" w:rsidR="00322838" w:rsidRPr="00322838" w:rsidRDefault="00322838" w:rsidP="00322838"/>
                <w:p w14:paraId="01859D2E" w14:textId="7BC74B33" w:rsidR="004531B8" w:rsidRDefault="004531B8" w:rsidP="004531B8">
                  <w:pPr>
                    <w:pStyle w:val="Bibliography"/>
                    <w:rPr>
                      <w:noProof/>
                    </w:rPr>
                  </w:pPr>
                  <w:r>
                    <w:rPr>
                      <w:noProof/>
                    </w:rPr>
                    <w:t xml:space="preserve">House, R. </w:t>
                  </w:r>
                  <w:r w:rsidR="009726ED">
                    <w:rPr>
                      <w:noProof/>
                    </w:rPr>
                    <w:t>(</w:t>
                  </w:r>
                  <w:r>
                    <w:rPr>
                      <w:noProof/>
                    </w:rPr>
                    <w:t>1971</w:t>
                  </w:r>
                  <w:r w:rsidR="009726ED">
                    <w:rPr>
                      <w:noProof/>
                    </w:rPr>
                    <w:t>)</w:t>
                  </w:r>
                  <w:r>
                    <w:rPr>
                      <w:noProof/>
                    </w:rPr>
                    <w:t xml:space="preserve">. A path-goal theory of leader effectiveness. </w:t>
                  </w:r>
                  <w:r>
                    <w:rPr>
                      <w:i/>
                      <w:iCs/>
                      <w:noProof/>
                    </w:rPr>
                    <w:t xml:space="preserve">Administrative Science Quarterly, </w:t>
                  </w:r>
                  <w:r>
                    <w:rPr>
                      <w:noProof/>
                    </w:rPr>
                    <w:t>16(3), pp. 321-339.</w:t>
                  </w:r>
                </w:p>
                <w:p w14:paraId="5A9B3407" w14:textId="77777777" w:rsidR="00322838" w:rsidRPr="00322838" w:rsidRDefault="00322838" w:rsidP="00322838"/>
                <w:p w14:paraId="7DEB8FF3" w14:textId="4580B538" w:rsidR="004531B8" w:rsidRDefault="004531B8" w:rsidP="004531B8">
                  <w:pPr>
                    <w:pStyle w:val="Bibliography"/>
                    <w:rPr>
                      <w:noProof/>
                    </w:rPr>
                  </w:pPr>
                  <w:r>
                    <w:rPr>
                      <w:noProof/>
                    </w:rPr>
                    <w:lastRenderedPageBreak/>
                    <w:t xml:space="preserve">House, R., </w:t>
                  </w:r>
                  <w:r w:rsidR="009726ED">
                    <w:rPr>
                      <w:noProof/>
                    </w:rPr>
                    <w:t>(</w:t>
                  </w:r>
                  <w:r>
                    <w:rPr>
                      <w:noProof/>
                    </w:rPr>
                    <w:t>1996</w:t>
                  </w:r>
                  <w:r w:rsidR="009726ED">
                    <w:rPr>
                      <w:noProof/>
                    </w:rPr>
                    <w:t>)</w:t>
                  </w:r>
                  <w:r>
                    <w:rPr>
                      <w:noProof/>
                    </w:rPr>
                    <w:t xml:space="preserve">. Path-Goal theory of leadership: Lessons, legacy and a reformulated theory. </w:t>
                  </w:r>
                  <w:r>
                    <w:rPr>
                      <w:i/>
                      <w:iCs/>
                      <w:noProof/>
                    </w:rPr>
                    <w:t xml:space="preserve">The Leadership Quarterly, </w:t>
                  </w:r>
                  <w:r>
                    <w:rPr>
                      <w:noProof/>
                    </w:rPr>
                    <w:t>7(3), pp. 323-352.</w:t>
                  </w:r>
                </w:p>
                <w:p w14:paraId="094BCC92" w14:textId="77777777" w:rsidR="00322838" w:rsidRPr="00322838" w:rsidRDefault="00322838" w:rsidP="00322838"/>
                <w:p w14:paraId="50FE5DDB" w14:textId="08183EBF" w:rsidR="004531B8" w:rsidRDefault="004531B8" w:rsidP="004531B8">
                  <w:pPr>
                    <w:pStyle w:val="Bibliography"/>
                    <w:rPr>
                      <w:noProof/>
                    </w:rPr>
                  </w:pPr>
                  <w:r>
                    <w:rPr>
                      <w:noProof/>
                    </w:rPr>
                    <w:t xml:space="preserve">Judge, T. </w:t>
                  </w:r>
                  <w:r w:rsidR="009726ED">
                    <w:rPr>
                      <w:noProof/>
                    </w:rPr>
                    <w:t>(</w:t>
                  </w:r>
                  <w:r>
                    <w:rPr>
                      <w:noProof/>
                    </w:rPr>
                    <w:t>2004</w:t>
                  </w:r>
                  <w:r w:rsidR="009726ED">
                    <w:rPr>
                      <w:noProof/>
                    </w:rPr>
                    <w:t>)</w:t>
                  </w:r>
                  <w:r>
                    <w:rPr>
                      <w:noProof/>
                    </w:rPr>
                    <w:t xml:space="preserve">. Transformational and transactional leadership: A meta-analytic test of their relative validity. </w:t>
                  </w:r>
                  <w:r>
                    <w:rPr>
                      <w:i/>
                      <w:iCs/>
                      <w:noProof/>
                    </w:rPr>
                    <w:t xml:space="preserve">Journal of Applied Psychology, </w:t>
                  </w:r>
                  <w:r>
                    <w:rPr>
                      <w:noProof/>
                    </w:rPr>
                    <w:t>89(5), pp. 755-768.</w:t>
                  </w:r>
                </w:p>
                <w:p w14:paraId="11EF454A" w14:textId="77777777" w:rsidR="00322838" w:rsidRPr="00322838" w:rsidRDefault="00322838" w:rsidP="00322838"/>
                <w:p w14:paraId="4963743F" w14:textId="252BCF93" w:rsidR="004531B8" w:rsidRDefault="004531B8" w:rsidP="004531B8">
                  <w:pPr>
                    <w:pStyle w:val="Bibliography"/>
                    <w:rPr>
                      <w:noProof/>
                    </w:rPr>
                  </w:pPr>
                  <w:r>
                    <w:rPr>
                      <w:noProof/>
                    </w:rPr>
                    <w:t xml:space="preserve">Kotter, J. </w:t>
                  </w:r>
                  <w:r w:rsidR="009726ED">
                    <w:rPr>
                      <w:noProof/>
                    </w:rPr>
                    <w:t>(</w:t>
                  </w:r>
                  <w:r>
                    <w:rPr>
                      <w:noProof/>
                    </w:rPr>
                    <w:t>1996</w:t>
                  </w:r>
                  <w:r w:rsidR="009726ED">
                    <w:rPr>
                      <w:noProof/>
                    </w:rPr>
                    <w:t>)</w:t>
                  </w:r>
                  <w:r>
                    <w:rPr>
                      <w:noProof/>
                    </w:rPr>
                    <w:t xml:space="preserve">. </w:t>
                  </w:r>
                  <w:r>
                    <w:rPr>
                      <w:i/>
                      <w:iCs/>
                      <w:noProof/>
                    </w:rPr>
                    <w:t xml:space="preserve">Leading Change. </w:t>
                  </w:r>
                  <w:r>
                    <w:rPr>
                      <w:noProof/>
                    </w:rPr>
                    <w:t>Boston: Harvard Business Review Press.</w:t>
                  </w:r>
                </w:p>
                <w:p w14:paraId="2F66D728" w14:textId="77777777" w:rsidR="00322838" w:rsidRPr="00322838" w:rsidRDefault="00322838" w:rsidP="00322838"/>
                <w:p w14:paraId="076F7EFD" w14:textId="1CC6F7FF" w:rsidR="004531B8" w:rsidRDefault="004531B8" w:rsidP="004531B8">
                  <w:pPr>
                    <w:pStyle w:val="Bibliography"/>
                    <w:rPr>
                      <w:noProof/>
                    </w:rPr>
                  </w:pPr>
                  <w:r>
                    <w:rPr>
                      <w:noProof/>
                    </w:rPr>
                    <w:t xml:space="preserve">Kotter, J. </w:t>
                  </w:r>
                  <w:r w:rsidR="009726ED">
                    <w:rPr>
                      <w:noProof/>
                    </w:rPr>
                    <w:t>(</w:t>
                  </w:r>
                  <w:r>
                    <w:rPr>
                      <w:noProof/>
                    </w:rPr>
                    <w:t>2006</w:t>
                  </w:r>
                  <w:r w:rsidR="009726ED">
                    <w:rPr>
                      <w:noProof/>
                    </w:rPr>
                    <w:t>)</w:t>
                  </w:r>
                  <w:r>
                    <w:rPr>
                      <w:noProof/>
                    </w:rPr>
                    <w:t xml:space="preserve">. </w:t>
                  </w:r>
                  <w:r>
                    <w:rPr>
                      <w:i/>
                      <w:iCs/>
                      <w:noProof/>
                    </w:rPr>
                    <w:t xml:space="preserve">Our Iceberg Is Melting: Changing and Succeeding Under Any Conditions. </w:t>
                  </w:r>
                  <w:r>
                    <w:rPr>
                      <w:noProof/>
                    </w:rPr>
                    <w:t>New York: St. Martin's Press.</w:t>
                  </w:r>
                </w:p>
                <w:p w14:paraId="498EBFEB" w14:textId="77777777" w:rsidR="00322838" w:rsidRPr="00322838" w:rsidRDefault="00322838" w:rsidP="00322838"/>
                <w:p w14:paraId="5B676B2D" w14:textId="1824B0F4" w:rsidR="004531B8" w:rsidRDefault="004531B8" w:rsidP="004531B8">
                  <w:pPr>
                    <w:pStyle w:val="Bibliography"/>
                    <w:rPr>
                      <w:noProof/>
                    </w:rPr>
                  </w:pPr>
                  <w:r>
                    <w:rPr>
                      <w:noProof/>
                    </w:rPr>
                    <w:t xml:space="preserve">Kotter, J. </w:t>
                  </w:r>
                  <w:r w:rsidR="009726ED">
                    <w:rPr>
                      <w:noProof/>
                    </w:rPr>
                    <w:t>(</w:t>
                  </w:r>
                  <w:r>
                    <w:rPr>
                      <w:noProof/>
                    </w:rPr>
                    <w:t>2016</w:t>
                  </w:r>
                  <w:r w:rsidR="009726ED">
                    <w:rPr>
                      <w:noProof/>
                    </w:rPr>
                    <w:t>)</w:t>
                  </w:r>
                  <w:r>
                    <w:rPr>
                      <w:noProof/>
                    </w:rPr>
                    <w:t xml:space="preserve">. </w:t>
                  </w:r>
                  <w:r>
                    <w:rPr>
                      <w:i/>
                      <w:iCs/>
                      <w:noProof/>
                    </w:rPr>
                    <w:t xml:space="preserve">Leading Change: With a New Preface by the Author. </w:t>
                  </w:r>
                  <w:r>
                    <w:rPr>
                      <w:noProof/>
                    </w:rPr>
                    <w:t>Boston: Harvard Business Review Press.</w:t>
                  </w:r>
                </w:p>
                <w:p w14:paraId="429B33A0" w14:textId="77777777" w:rsidR="00322838" w:rsidRPr="00322838" w:rsidRDefault="00322838" w:rsidP="00322838"/>
                <w:p w14:paraId="29879130" w14:textId="6BE39D34" w:rsidR="004531B8" w:rsidRDefault="004531B8" w:rsidP="004531B8">
                  <w:pPr>
                    <w:pStyle w:val="Bibliography"/>
                    <w:rPr>
                      <w:noProof/>
                    </w:rPr>
                  </w:pPr>
                  <w:r>
                    <w:rPr>
                      <w:noProof/>
                    </w:rPr>
                    <w:t>Lewin, K</w:t>
                  </w:r>
                  <w:r w:rsidR="009726ED">
                    <w:rPr>
                      <w:noProof/>
                    </w:rPr>
                    <w:t>.</w:t>
                  </w:r>
                  <w:r>
                    <w:rPr>
                      <w:noProof/>
                    </w:rPr>
                    <w:t xml:space="preserve"> </w:t>
                  </w:r>
                  <w:r w:rsidR="009726ED">
                    <w:rPr>
                      <w:noProof/>
                    </w:rPr>
                    <w:t>(</w:t>
                  </w:r>
                  <w:r>
                    <w:rPr>
                      <w:noProof/>
                    </w:rPr>
                    <w:t>1951</w:t>
                  </w:r>
                  <w:r w:rsidR="009726ED">
                    <w:rPr>
                      <w:noProof/>
                    </w:rPr>
                    <w:t>)</w:t>
                  </w:r>
                  <w:r>
                    <w:rPr>
                      <w:noProof/>
                    </w:rPr>
                    <w:t xml:space="preserve">. </w:t>
                  </w:r>
                  <w:r>
                    <w:rPr>
                      <w:i/>
                      <w:iCs/>
                      <w:noProof/>
                    </w:rPr>
                    <w:t xml:space="preserve">Field Theory in Social Science: Selected Theoretical Papers. </w:t>
                  </w:r>
                  <w:r>
                    <w:rPr>
                      <w:noProof/>
                    </w:rPr>
                    <w:t>New York: Harper &amp; Row.</w:t>
                  </w:r>
                </w:p>
                <w:p w14:paraId="5DD956B8" w14:textId="77777777" w:rsidR="00322838" w:rsidRPr="00322838" w:rsidRDefault="00322838" w:rsidP="00322838"/>
                <w:p w14:paraId="50D9B13C" w14:textId="7F1E37EB" w:rsidR="004531B8" w:rsidRDefault="004531B8" w:rsidP="004531B8">
                  <w:pPr>
                    <w:pStyle w:val="Bibliography"/>
                    <w:rPr>
                      <w:noProof/>
                    </w:rPr>
                  </w:pPr>
                  <w:r>
                    <w:rPr>
                      <w:noProof/>
                    </w:rPr>
                    <w:t>Lines, R.</w:t>
                  </w:r>
                  <w:r w:rsidR="009726ED">
                    <w:rPr>
                      <w:noProof/>
                    </w:rPr>
                    <w:t xml:space="preserve"> (</w:t>
                  </w:r>
                  <w:r>
                    <w:rPr>
                      <w:noProof/>
                    </w:rPr>
                    <w:t>2004</w:t>
                  </w:r>
                  <w:r w:rsidR="009726ED">
                    <w:rPr>
                      <w:noProof/>
                    </w:rPr>
                    <w:t>)</w:t>
                  </w:r>
                  <w:r>
                    <w:rPr>
                      <w:noProof/>
                    </w:rPr>
                    <w:t xml:space="preserve">. Influence of participation in strategic change: Resistance, organisational commitment and change goal achievement. </w:t>
                  </w:r>
                  <w:r>
                    <w:rPr>
                      <w:i/>
                      <w:iCs/>
                      <w:noProof/>
                    </w:rPr>
                    <w:t xml:space="preserve">Journal of Change Management, </w:t>
                  </w:r>
                  <w:r>
                    <w:rPr>
                      <w:noProof/>
                    </w:rPr>
                    <w:t>4(3), pp. 193-215.</w:t>
                  </w:r>
                </w:p>
                <w:p w14:paraId="47C16495" w14:textId="77777777" w:rsidR="00322838" w:rsidRPr="00322838" w:rsidRDefault="00322838" w:rsidP="00322838"/>
                <w:p w14:paraId="4A71199F" w14:textId="45543652" w:rsidR="004531B8" w:rsidRDefault="004531B8" w:rsidP="004531B8">
                  <w:pPr>
                    <w:pStyle w:val="Bibliography"/>
                    <w:rPr>
                      <w:noProof/>
                    </w:rPr>
                  </w:pPr>
                  <w:r>
                    <w:rPr>
                      <w:noProof/>
                    </w:rPr>
                    <w:t xml:space="preserve">Maslow, A. </w:t>
                  </w:r>
                  <w:r w:rsidR="009726ED">
                    <w:rPr>
                      <w:noProof/>
                    </w:rPr>
                    <w:t>(</w:t>
                  </w:r>
                  <w:r>
                    <w:rPr>
                      <w:noProof/>
                    </w:rPr>
                    <w:t>1943</w:t>
                  </w:r>
                  <w:r w:rsidR="009726ED">
                    <w:rPr>
                      <w:noProof/>
                    </w:rPr>
                    <w:t>)</w:t>
                  </w:r>
                  <w:r>
                    <w:rPr>
                      <w:noProof/>
                    </w:rPr>
                    <w:t xml:space="preserve">. A theory of human motivation. </w:t>
                  </w:r>
                  <w:r>
                    <w:rPr>
                      <w:i/>
                      <w:iCs/>
                      <w:noProof/>
                    </w:rPr>
                    <w:t xml:space="preserve">Psychological Review, </w:t>
                  </w:r>
                  <w:r>
                    <w:rPr>
                      <w:noProof/>
                    </w:rPr>
                    <w:t>Issue 4, pp. 370-396.</w:t>
                  </w:r>
                </w:p>
                <w:p w14:paraId="68222679" w14:textId="77777777" w:rsidR="00322838" w:rsidRPr="00322838" w:rsidRDefault="00322838" w:rsidP="00322838"/>
                <w:p w14:paraId="6FF0C5E5" w14:textId="4AB4BCAF" w:rsidR="004531B8" w:rsidRDefault="004531B8" w:rsidP="004531B8">
                  <w:pPr>
                    <w:pStyle w:val="Bibliography"/>
                    <w:rPr>
                      <w:noProof/>
                    </w:rPr>
                  </w:pPr>
                  <w:r>
                    <w:rPr>
                      <w:noProof/>
                    </w:rPr>
                    <w:t xml:space="preserve">McGregor, D. </w:t>
                  </w:r>
                  <w:r w:rsidR="009726ED">
                    <w:rPr>
                      <w:noProof/>
                    </w:rPr>
                    <w:t>(</w:t>
                  </w:r>
                  <w:r>
                    <w:rPr>
                      <w:noProof/>
                    </w:rPr>
                    <w:t>1960</w:t>
                  </w:r>
                  <w:r w:rsidR="009726ED">
                    <w:rPr>
                      <w:noProof/>
                    </w:rPr>
                    <w:t>)</w:t>
                  </w:r>
                  <w:r>
                    <w:rPr>
                      <w:noProof/>
                    </w:rPr>
                    <w:t xml:space="preserve">. </w:t>
                  </w:r>
                  <w:r>
                    <w:rPr>
                      <w:i/>
                      <w:iCs/>
                      <w:noProof/>
                    </w:rPr>
                    <w:t xml:space="preserve">The Human Side of Enterprise. </w:t>
                  </w:r>
                  <w:r>
                    <w:rPr>
                      <w:noProof/>
                    </w:rPr>
                    <w:t>New York: McGraw-Hill.</w:t>
                  </w:r>
                </w:p>
                <w:p w14:paraId="63B44FF3" w14:textId="77777777" w:rsidR="00322838" w:rsidRPr="00322838" w:rsidRDefault="00322838" w:rsidP="00322838"/>
                <w:p w14:paraId="02E4D9EE" w14:textId="12B757B3" w:rsidR="004531B8" w:rsidRDefault="004531B8" w:rsidP="004531B8">
                  <w:pPr>
                    <w:pStyle w:val="Bibliography"/>
                    <w:rPr>
                      <w:noProof/>
                    </w:rPr>
                  </w:pPr>
                  <w:r>
                    <w:rPr>
                      <w:noProof/>
                    </w:rPr>
                    <w:t xml:space="preserve">Mullins, L. </w:t>
                  </w:r>
                  <w:r w:rsidR="009726ED">
                    <w:rPr>
                      <w:noProof/>
                    </w:rPr>
                    <w:t>(</w:t>
                  </w:r>
                  <w:r>
                    <w:rPr>
                      <w:noProof/>
                    </w:rPr>
                    <w:t>2016</w:t>
                  </w:r>
                  <w:r w:rsidR="009726ED">
                    <w:rPr>
                      <w:noProof/>
                    </w:rPr>
                    <w:t>)</w:t>
                  </w:r>
                  <w:r>
                    <w:rPr>
                      <w:noProof/>
                    </w:rPr>
                    <w:t xml:space="preserve">. </w:t>
                  </w:r>
                  <w:r>
                    <w:rPr>
                      <w:i/>
                      <w:iCs/>
                      <w:noProof/>
                    </w:rPr>
                    <w:t xml:space="preserve">Management and Organisation Behaviour. </w:t>
                  </w:r>
                  <w:r>
                    <w:rPr>
                      <w:noProof/>
                    </w:rPr>
                    <w:t>Harlow: Pearson Education.</w:t>
                  </w:r>
                </w:p>
                <w:p w14:paraId="260ABEFB" w14:textId="77777777" w:rsidR="00322838" w:rsidRPr="00322838" w:rsidRDefault="00322838" w:rsidP="00322838"/>
                <w:p w14:paraId="20893D21" w14:textId="4AC03441" w:rsidR="004531B8" w:rsidRDefault="004531B8" w:rsidP="004531B8">
                  <w:pPr>
                    <w:pStyle w:val="Bibliography"/>
                    <w:rPr>
                      <w:noProof/>
                    </w:rPr>
                  </w:pPr>
                  <w:r>
                    <w:rPr>
                      <w:noProof/>
                    </w:rPr>
                    <w:t xml:space="preserve">Robbins, S. </w:t>
                  </w:r>
                  <w:r w:rsidR="009726ED">
                    <w:rPr>
                      <w:noProof/>
                    </w:rPr>
                    <w:t>(</w:t>
                  </w:r>
                  <w:r>
                    <w:rPr>
                      <w:noProof/>
                    </w:rPr>
                    <w:t>2022</w:t>
                  </w:r>
                  <w:r w:rsidR="009726ED">
                    <w:rPr>
                      <w:noProof/>
                    </w:rPr>
                    <w:t>)</w:t>
                  </w:r>
                  <w:r>
                    <w:rPr>
                      <w:noProof/>
                    </w:rPr>
                    <w:t xml:space="preserve">. </w:t>
                  </w:r>
                  <w:r>
                    <w:rPr>
                      <w:i/>
                      <w:iCs/>
                      <w:noProof/>
                    </w:rPr>
                    <w:t xml:space="preserve">Organisation Behaviour. </w:t>
                  </w:r>
                  <w:r>
                    <w:rPr>
                      <w:noProof/>
                    </w:rPr>
                    <w:t>Harlow: Pearson Education.</w:t>
                  </w:r>
                </w:p>
                <w:p w14:paraId="079A0E2D" w14:textId="77777777" w:rsidR="00322838" w:rsidRPr="00322838" w:rsidRDefault="00322838" w:rsidP="00322838"/>
                <w:p w14:paraId="4BFAE146" w14:textId="49983E3D" w:rsidR="004531B8" w:rsidRDefault="004531B8" w:rsidP="004531B8">
                  <w:pPr>
                    <w:pStyle w:val="Bibliography"/>
                    <w:rPr>
                      <w:noProof/>
                    </w:rPr>
                  </w:pPr>
                  <w:r>
                    <w:rPr>
                      <w:noProof/>
                    </w:rPr>
                    <w:t xml:space="preserve">Yukl, G., </w:t>
                  </w:r>
                  <w:r w:rsidR="009726ED">
                    <w:rPr>
                      <w:noProof/>
                    </w:rPr>
                    <w:t>(</w:t>
                  </w:r>
                  <w:r>
                    <w:rPr>
                      <w:noProof/>
                    </w:rPr>
                    <w:t>2013</w:t>
                  </w:r>
                  <w:r w:rsidR="009726ED">
                    <w:rPr>
                      <w:noProof/>
                    </w:rPr>
                    <w:t>)</w:t>
                  </w:r>
                  <w:r>
                    <w:rPr>
                      <w:noProof/>
                    </w:rPr>
                    <w:t xml:space="preserve">. </w:t>
                  </w:r>
                  <w:r>
                    <w:rPr>
                      <w:i/>
                      <w:iCs/>
                      <w:noProof/>
                    </w:rPr>
                    <w:t xml:space="preserve">Leadership in Organisations. </w:t>
                  </w:r>
                  <w:r>
                    <w:rPr>
                      <w:noProof/>
                    </w:rPr>
                    <w:t>Harlow: Pearson Education.</w:t>
                  </w:r>
                </w:p>
                <w:p w14:paraId="64A04C24" w14:textId="77777777" w:rsidR="00AE32CB" w:rsidRDefault="00AE32CB" w:rsidP="00AE32CB"/>
                <w:p w14:paraId="2BFEB6DF" w14:textId="767C751F" w:rsidR="000D5166" w:rsidRDefault="00AE32CB" w:rsidP="004531B8">
                  <w:r>
                    <w:t>Clegg, S. (2016). Managing and organisations: An Introduction to Theory and Practice. 4</w:t>
                  </w:r>
                  <w:r w:rsidRPr="00AE32CB">
                    <w:rPr>
                      <w:vertAlign w:val="superscript"/>
                    </w:rPr>
                    <w:t>th</w:t>
                  </w:r>
                  <w:r>
                    <w:t xml:space="preserve"> ed. London: SAGE Publications</w:t>
                  </w:r>
                  <w:r w:rsidR="000D5166">
                    <w:rPr>
                      <w:b/>
                      <w:bCs/>
                      <w:noProof/>
                    </w:rPr>
                    <w:fldChar w:fldCharType="end"/>
                  </w:r>
                  <w:r>
                    <w:rPr>
                      <w:b/>
                      <w:bCs/>
                      <w:noProof/>
                    </w:rPr>
                    <w:t>.</w:t>
                  </w:r>
                </w:p>
              </w:sdtContent>
            </w:sdt>
          </w:sdtContent>
        </w:sdt>
        <w:p w14:paraId="7F890C1F" w14:textId="0EC4D131" w:rsidR="00CA09F3" w:rsidRDefault="00AE32CB"/>
      </w:sdtContent>
    </w:sdt>
    <w:sectPr w:rsidR="00CA09F3" w:rsidSect="007D1947">
      <w:headerReference w:type="default"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F5BF1" w14:textId="77777777" w:rsidR="00E1117E" w:rsidRDefault="00E1117E" w:rsidP="00842B44">
      <w:pPr>
        <w:spacing w:after="0" w:line="240" w:lineRule="auto"/>
      </w:pPr>
      <w:r>
        <w:separator/>
      </w:r>
    </w:p>
  </w:endnote>
  <w:endnote w:type="continuationSeparator" w:id="0">
    <w:p w14:paraId="2B3783AD" w14:textId="77777777" w:rsidR="00E1117E" w:rsidRDefault="00E1117E" w:rsidP="00842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8D113" w14:textId="1A521BE8" w:rsidR="00755D3F" w:rsidRPr="00755D3F" w:rsidRDefault="00755D3F">
    <w:pPr>
      <w:pStyle w:val="Footer"/>
      <w:jc w:val="center"/>
      <w:rPr>
        <w:caps/>
        <w:noProof/>
        <w:color w:val="0070C0"/>
      </w:rPr>
    </w:pPr>
    <w:r w:rsidRPr="00755D3F">
      <w:rPr>
        <w:caps/>
        <w:color w:val="0070C0"/>
      </w:rPr>
      <w:fldChar w:fldCharType="begin"/>
    </w:r>
    <w:r w:rsidRPr="00755D3F">
      <w:rPr>
        <w:caps/>
        <w:color w:val="0070C0"/>
      </w:rPr>
      <w:instrText xml:space="preserve"> PAGE   \* MERGEFORMAT </w:instrText>
    </w:r>
    <w:r w:rsidRPr="00755D3F">
      <w:rPr>
        <w:caps/>
        <w:color w:val="0070C0"/>
      </w:rPr>
      <w:fldChar w:fldCharType="separate"/>
    </w:r>
    <w:r w:rsidRPr="00755D3F">
      <w:rPr>
        <w:caps/>
        <w:noProof/>
        <w:color w:val="0070C0"/>
      </w:rPr>
      <w:t>2</w:t>
    </w:r>
    <w:r w:rsidRPr="00755D3F">
      <w:rPr>
        <w:caps/>
        <w:noProof/>
        <w:color w:val="0070C0"/>
      </w:rPr>
      <w:fldChar w:fldCharType="end"/>
    </w:r>
    <w:r w:rsidRPr="00755D3F">
      <w:rPr>
        <w:caps/>
        <w:noProof/>
        <w:color w:val="0070C0"/>
      </w:rPr>
      <w:tab/>
    </w:r>
    <w:r w:rsidRPr="00755D3F">
      <w:rPr>
        <w:caps/>
        <w:noProof/>
        <w:color w:val="0070C0"/>
      </w:rPr>
      <w:tab/>
      <w:t>Joseph james</w:t>
    </w:r>
  </w:p>
  <w:p w14:paraId="64889EAA" w14:textId="77777777" w:rsidR="00755D3F" w:rsidRDefault="00755D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AE1118" w14:textId="77777777" w:rsidR="00E1117E" w:rsidRDefault="00E1117E" w:rsidP="00842B44">
      <w:pPr>
        <w:spacing w:after="0" w:line="240" w:lineRule="auto"/>
      </w:pPr>
      <w:r>
        <w:separator/>
      </w:r>
    </w:p>
  </w:footnote>
  <w:footnote w:type="continuationSeparator" w:id="0">
    <w:p w14:paraId="00D57BE6" w14:textId="77777777" w:rsidR="00E1117E" w:rsidRDefault="00E1117E" w:rsidP="00842B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4D4302" w14:textId="53685F7F" w:rsidR="00755D3F" w:rsidRPr="00755D3F" w:rsidRDefault="00AE32CB">
    <w:pPr>
      <w:pStyle w:val="Header"/>
      <w:pBdr>
        <w:bottom w:val="single" w:sz="4" w:space="8" w:color="5B9BD5" w:themeColor="accent1"/>
      </w:pBdr>
      <w:spacing w:after="360"/>
      <w:contextualSpacing/>
      <w:jc w:val="right"/>
      <w:rPr>
        <w:color w:val="0070C0"/>
      </w:rPr>
    </w:pPr>
    <w:sdt>
      <w:sdtPr>
        <w:rPr>
          <w:color w:val="0070C0"/>
        </w:rPr>
        <w:alias w:val="Title"/>
        <w:tag w:val=""/>
        <w:id w:val="942040131"/>
        <w:placeholder>
          <w:docPart w:val="422BC06E216F4B4FADCDDA78CF4598BE"/>
        </w:placeholder>
        <w:dataBinding w:prefixMappings="xmlns:ns0='http://purl.org/dc/elements/1.1/' xmlns:ns1='http://schemas.openxmlformats.org/package/2006/metadata/core-properties' " w:xpath="/ns1:coreProperties[1]/ns0:title[1]" w:storeItemID="{6C3C8BC8-F283-45AE-878A-BAB7291924A1}"/>
        <w:text/>
      </w:sdtPr>
      <w:sdtEndPr/>
      <w:sdtContent>
        <w:r w:rsidR="00235F3D">
          <w:rPr>
            <w:color w:val="0070C0"/>
          </w:rPr>
          <w:t>ACMA5007 – Approaches to Innovation and Organisational Change</w:t>
        </w:r>
      </w:sdtContent>
    </w:sdt>
  </w:p>
  <w:p w14:paraId="4E365568" w14:textId="454B9B87" w:rsidR="00755D3F" w:rsidRDefault="00755D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45123F"/>
    <w:multiLevelType w:val="hybridMultilevel"/>
    <w:tmpl w:val="EDDCA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E25374"/>
    <w:multiLevelType w:val="hybridMultilevel"/>
    <w:tmpl w:val="BC2ED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4B1720"/>
    <w:multiLevelType w:val="hybridMultilevel"/>
    <w:tmpl w:val="B4523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B6338B"/>
    <w:multiLevelType w:val="hybridMultilevel"/>
    <w:tmpl w:val="1A324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5A438F"/>
    <w:multiLevelType w:val="hybridMultilevel"/>
    <w:tmpl w:val="0D12B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454824"/>
    <w:multiLevelType w:val="hybridMultilevel"/>
    <w:tmpl w:val="A7863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5741680">
    <w:abstractNumId w:val="3"/>
  </w:num>
  <w:num w:numId="2" w16cid:durableId="1337996132">
    <w:abstractNumId w:val="2"/>
  </w:num>
  <w:num w:numId="3" w16cid:durableId="917447029">
    <w:abstractNumId w:val="1"/>
  </w:num>
  <w:num w:numId="4" w16cid:durableId="740759810">
    <w:abstractNumId w:val="4"/>
  </w:num>
  <w:num w:numId="5" w16cid:durableId="2085179798">
    <w:abstractNumId w:val="5"/>
  </w:num>
  <w:num w:numId="6" w16cid:durableId="1121873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28C6"/>
    <w:rsid w:val="000232C6"/>
    <w:rsid w:val="00024F31"/>
    <w:rsid w:val="0006650E"/>
    <w:rsid w:val="00093080"/>
    <w:rsid w:val="000A253C"/>
    <w:rsid w:val="000B4D29"/>
    <w:rsid w:val="000D5166"/>
    <w:rsid w:val="00107936"/>
    <w:rsid w:val="001129A7"/>
    <w:rsid w:val="00115B96"/>
    <w:rsid w:val="00140C6A"/>
    <w:rsid w:val="00194E42"/>
    <w:rsid w:val="00195588"/>
    <w:rsid w:val="001C1D46"/>
    <w:rsid w:val="001C3B15"/>
    <w:rsid w:val="001E0E79"/>
    <w:rsid w:val="00233C8B"/>
    <w:rsid w:val="00235F3D"/>
    <w:rsid w:val="00284723"/>
    <w:rsid w:val="00292977"/>
    <w:rsid w:val="002D211B"/>
    <w:rsid w:val="00311624"/>
    <w:rsid w:val="00312EB3"/>
    <w:rsid w:val="003178FC"/>
    <w:rsid w:val="00321A5E"/>
    <w:rsid w:val="00322838"/>
    <w:rsid w:val="00324CCD"/>
    <w:rsid w:val="0034654A"/>
    <w:rsid w:val="003745B7"/>
    <w:rsid w:val="003815B3"/>
    <w:rsid w:val="00385A31"/>
    <w:rsid w:val="003B2E65"/>
    <w:rsid w:val="003C03A8"/>
    <w:rsid w:val="003C701D"/>
    <w:rsid w:val="0042425B"/>
    <w:rsid w:val="00452C8C"/>
    <w:rsid w:val="004531B8"/>
    <w:rsid w:val="00453E0E"/>
    <w:rsid w:val="00477A50"/>
    <w:rsid w:val="00480872"/>
    <w:rsid w:val="00486823"/>
    <w:rsid w:val="00492536"/>
    <w:rsid w:val="004937CD"/>
    <w:rsid w:val="004A11F6"/>
    <w:rsid w:val="004A2843"/>
    <w:rsid w:val="004A511F"/>
    <w:rsid w:val="004B5373"/>
    <w:rsid w:val="004D32DB"/>
    <w:rsid w:val="004D519C"/>
    <w:rsid w:val="005014C5"/>
    <w:rsid w:val="00541689"/>
    <w:rsid w:val="005454A9"/>
    <w:rsid w:val="00592F44"/>
    <w:rsid w:val="00595368"/>
    <w:rsid w:val="00646F31"/>
    <w:rsid w:val="00693E27"/>
    <w:rsid w:val="006A23A0"/>
    <w:rsid w:val="006F0208"/>
    <w:rsid w:val="006F1D80"/>
    <w:rsid w:val="0072296B"/>
    <w:rsid w:val="00755D3F"/>
    <w:rsid w:val="00756C11"/>
    <w:rsid w:val="00775A2F"/>
    <w:rsid w:val="00795AC0"/>
    <w:rsid w:val="007C399F"/>
    <w:rsid w:val="007C525D"/>
    <w:rsid w:val="007D1947"/>
    <w:rsid w:val="007E7F70"/>
    <w:rsid w:val="00815D0D"/>
    <w:rsid w:val="00842B44"/>
    <w:rsid w:val="0085646C"/>
    <w:rsid w:val="00856B2D"/>
    <w:rsid w:val="00860DDC"/>
    <w:rsid w:val="008678FA"/>
    <w:rsid w:val="00874C95"/>
    <w:rsid w:val="00876132"/>
    <w:rsid w:val="0087705F"/>
    <w:rsid w:val="00883BDA"/>
    <w:rsid w:val="008920ED"/>
    <w:rsid w:val="00895127"/>
    <w:rsid w:val="0089569D"/>
    <w:rsid w:val="008D4C45"/>
    <w:rsid w:val="00931CAA"/>
    <w:rsid w:val="009419D4"/>
    <w:rsid w:val="00946437"/>
    <w:rsid w:val="00957B1B"/>
    <w:rsid w:val="009618B5"/>
    <w:rsid w:val="009726ED"/>
    <w:rsid w:val="0097283F"/>
    <w:rsid w:val="009A1ACC"/>
    <w:rsid w:val="009A20C8"/>
    <w:rsid w:val="009E698A"/>
    <w:rsid w:val="00A119BB"/>
    <w:rsid w:val="00A12B58"/>
    <w:rsid w:val="00A4233F"/>
    <w:rsid w:val="00A9346A"/>
    <w:rsid w:val="00AA2A91"/>
    <w:rsid w:val="00AE32CB"/>
    <w:rsid w:val="00AE7628"/>
    <w:rsid w:val="00B652B8"/>
    <w:rsid w:val="00B678A2"/>
    <w:rsid w:val="00B808B0"/>
    <w:rsid w:val="00BA53EE"/>
    <w:rsid w:val="00BC6131"/>
    <w:rsid w:val="00BD2BF8"/>
    <w:rsid w:val="00BE2EF7"/>
    <w:rsid w:val="00CA09F3"/>
    <w:rsid w:val="00CF3DC2"/>
    <w:rsid w:val="00D0138C"/>
    <w:rsid w:val="00D13C98"/>
    <w:rsid w:val="00D348A6"/>
    <w:rsid w:val="00D854A5"/>
    <w:rsid w:val="00DE6552"/>
    <w:rsid w:val="00DE7488"/>
    <w:rsid w:val="00E02126"/>
    <w:rsid w:val="00E1117E"/>
    <w:rsid w:val="00E2147D"/>
    <w:rsid w:val="00E425F7"/>
    <w:rsid w:val="00E64A13"/>
    <w:rsid w:val="00E9063D"/>
    <w:rsid w:val="00E91208"/>
    <w:rsid w:val="00ED3BA4"/>
    <w:rsid w:val="00F4327A"/>
    <w:rsid w:val="00FD32CD"/>
    <w:rsid w:val="00FD7FDB"/>
    <w:rsid w:val="00FE59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D3BA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customStyle="1" w:styleId="Heading3Char">
    <w:name w:val="Heading 3 Char"/>
    <w:basedOn w:val="DefaultParagraphFont"/>
    <w:link w:val="Heading3"/>
    <w:uiPriority w:val="9"/>
    <w:rsid w:val="00ED3BA4"/>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42425B"/>
    <w:pPr>
      <w:ind w:left="720"/>
      <w:contextualSpacing/>
    </w:pPr>
  </w:style>
  <w:style w:type="paragraph" w:styleId="TOC3">
    <w:name w:val="toc 3"/>
    <w:basedOn w:val="Normal"/>
    <w:next w:val="Normal"/>
    <w:autoRedefine/>
    <w:uiPriority w:val="39"/>
    <w:unhideWhenUsed/>
    <w:rsid w:val="00756C11"/>
    <w:pPr>
      <w:spacing w:after="100"/>
      <w:ind w:left="440"/>
    </w:pPr>
  </w:style>
  <w:style w:type="paragraph" w:styleId="Header">
    <w:name w:val="header"/>
    <w:basedOn w:val="Normal"/>
    <w:link w:val="HeaderChar"/>
    <w:uiPriority w:val="99"/>
    <w:unhideWhenUsed/>
    <w:rsid w:val="00842B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B44"/>
  </w:style>
  <w:style w:type="paragraph" w:styleId="Footer">
    <w:name w:val="footer"/>
    <w:basedOn w:val="Normal"/>
    <w:link w:val="FooterChar"/>
    <w:uiPriority w:val="99"/>
    <w:unhideWhenUsed/>
    <w:rsid w:val="00842B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B44"/>
  </w:style>
  <w:style w:type="paragraph" w:styleId="Bibliography">
    <w:name w:val="Bibliography"/>
    <w:basedOn w:val="Normal"/>
    <w:next w:val="Normal"/>
    <w:uiPriority w:val="37"/>
    <w:unhideWhenUsed/>
    <w:rsid w:val="000D51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2523">
      <w:bodyDiv w:val="1"/>
      <w:marLeft w:val="0"/>
      <w:marRight w:val="0"/>
      <w:marTop w:val="0"/>
      <w:marBottom w:val="0"/>
      <w:divBdr>
        <w:top w:val="none" w:sz="0" w:space="0" w:color="auto"/>
        <w:left w:val="none" w:sz="0" w:space="0" w:color="auto"/>
        <w:bottom w:val="none" w:sz="0" w:space="0" w:color="auto"/>
        <w:right w:val="none" w:sz="0" w:space="0" w:color="auto"/>
      </w:divBdr>
    </w:div>
    <w:div w:id="8601967">
      <w:bodyDiv w:val="1"/>
      <w:marLeft w:val="0"/>
      <w:marRight w:val="0"/>
      <w:marTop w:val="0"/>
      <w:marBottom w:val="0"/>
      <w:divBdr>
        <w:top w:val="none" w:sz="0" w:space="0" w:color="auto"/>
        <w:left w:val="none" w:sz="0" w:space="0" w:color="auto"/>
        <w:bottom w:val="none" w:sz="0" w:space="0" w:color="auto"/>
        <w:right w:val="none" w:sz="0" w:space="0" w:color="auto"/>
      </w:divBdr>
    </w:div>
    <w:div w:id="11995620">
      <w:bodyDiv w:val="1"/>
      <w:marLeft w:val="0"/>
      <w:marRight w:val="0"/>
      <w:marTop w:val="0"/>
      <w:marBottom w:val="0"/>
      <w:divBdr>
        <w:top w:val="none" w:sz="0" w:space="0" w:color="auto"/>
        <w:left w:val="none" w:sz="0" w:space="0" w:color="auto"/>
        <w:bottom w:val="none" w:sz="0" w:space="0" w:color="auto"/>
        <w:right w:val="none" w:sz="0" w:space="0" w:color="auto"/>
      </w:divBdr>
    </w:div>
    <w:div w:id="16005361">
      <w:bodyDiv w:val="1"/>
      <w:marLeft w:val="0"/>
      <w:marRight w:val="0"/>
      <w:marTop w:val="0"/>
      <w:marBottom w:val="0"/>
      <w:divBdr>
        <w:top w:val="none" w:sz="0" w:space="0" w:color="auto"/>
        <w:left w:val="none" w:sz="0" w:space="0" w:color="auto"/>
        <w:bottom w:val="none" w:sz="0" w:space="0" w:color="auto"/>
        <w:right w:val="none" w:sz="0" w:space="0" w:color="auto"/>
      </w:divBdr>
    </w:div>
    <w:div w:id="21714986">
      <w:bodyDiv w:val="1"/>
      <w:marLeft w:val="0"/>
      <w:marRight w:val="0"/>
      <w:marTop w:val="0"/>
      <w:marBottom w:val="0"/>
      <w:divBdr>
        <w:top w:val="none" w:sz="0" w:space="0" w:color="auto"/>
        <w:left w:val="none" w:sz="0" w:space="0" w:color="auto"/>
        <w:bottom w:val="none" w:sz="0" w:space="0" w:color="auto"/>
        <w:right w:val="none" w:sz="0" w:space="0" w:color="auto"/>
      </w:divBdr>
    </w:div>
    <w:div w:id="43064687">
      <w:bodyDiv w:val="1"/>
      <w:marLeft w:val="0"/>
      <w:marRight w:val="0"/>
      <w:marTop w:val="0"/>
      <w:marBottom w:val="0"/>
      <w:divBdr>
        <w:top w:val="none" w:sz="0" w:space="0" w:color="auto"/>
        <w:left w:val="none" w:sz="0" w:space="0" w:color="auto"/>
        <w:bottom w:val="none" w:sz="0" w:space="0" w:color="auto"/>
        <w:right w:val="none" w:sz="0" w:space="0" w:color="auto"/>
      </w:divBdr>
    </w:div>
    <w:div w:id="47337820">
      <w:bodyDiv w:val="1"/>
      <w:marLeft w:val="0"/>
      <w:marRight w:val="0"/>
      <w:marTop w:val="0"/>
      <w:marBottom w:val="0"/>
      <w:divBdr>
        <w:top w:val="none" w:sz="0" w:space="0" w:color="auto"/>
        <w:left w:val="none" w:sz="0" w:space="0" w:color="auto"/>
        <w:bottom w:val="none" w:sz="0" w:space="0" w:color="auto"/>
        <w:right w:val="none" w:sz="0" w:space="0" w:color="auto"/>
      </w:divBdr>
    </w:div>
    <w:div w:id="70733423">
      <w:bodyDiv w:val="1"/>
      <w:marLeft w:val="0"/>
      <w:marRight w:val="0"/>
      <w:marTop w:val="0"/>
      <w:marBottom w:val="0"/>
      <w:divBdr>
        <w:top w:val="none" w:sz="0" w:space="0" w:color="auto"/>
        <w:left w:val="none" w:sz="0" w:space="0" w:color="auto"/>
        <w:bottom w:val="none" w:sz="0" w:space="0" w:color="auto"/>
        <w:right w:val="none" w:sz="0" w:space="0" w:color="auto"/>
      </w:divBdr>
    </w:div>
    <w:div w:id="97145357">
      <w:bodyDiv w:val="1"/>
      <w:marLeft w:val="0"/>
      <w:marRight w:val="0"/>
      <w:marTop w:val="0"/>
      <w:marBottom w:val="0"/>
      <w:divBdr>
        <w:top w:val="none" w:sz="0" w:space="0" w:color="auto"/>
        <w:left w:val="none" w:sz="0" w:space="0" w:color="auto"/>
        <w:bottom w:val="none" w:sz="0" w:space="0" w:color="auto"/>
        <w:right w:val="none" w:sz="0" w:space="0" w:color="auto"/>
      </w:divBdr>
    </w:div>
    <w:div w:id="107822050">
      <w:bodyDiv w:val="1"/>
      <w:marLeft w:val="0"/>
      <w:marRight w:val="0"/>
      <w:marTop w:val="0"/>
      <w:marBottom w:val="0"/>
      <w:divBdr>
        <w:top w:val="none" w:sz="0" w:space="0" w:color="auto"/>
        <w:left w:val="none" w:sz="0" w:space="0" w:color="auto"/>
        <w:bottom w:val="none" w:sz="0" w:space="0" w:color="auto"/>
        <w:right w:val="none" w:sz="0" w:space="0" w:color="auto"/>
      </w:divBdr>
    </w:div>
    <w:div w:id="115488722">
      <w:bodyDiv w:val="1"/>
      <w:marLeft w:val="0"/>
      <w:marRight w:val="0"/>
      <w:marTop w:val="0"/>
      <w:marBottom w:val="0"/>
      <w:divBdr>
        <w:top w:val="none" w:sz="0" w:space="0" w:color="auto"/>
        <w:left w:val="none" w:sz="0" w:space="0" w:color="auto"/>
        <w:bottom w:val="none" w:sz="0" w:space="0" w:color="auto"/>
        <w:right w:val="none" w:sz="0" w:space="0" w:color="auto"/>
      </w:divBdr>
    </w:div>
    <w:div w:id="134110473">
      <w:bodyDiv w:val="1"/>
      <w:marLeft w:val="0"/>
      <w:marRight w:val="0"/>
      <w:marTop w:val="0"/>
      <w:marBottom w:val="0"/>
      <w:divBdr>
        <w:top w:val="none" w:sz="0" w:space="0" w:color="auto"/>
        <w:left w:val="none" w:sz="0" w:space="0" w:color="auto"/>
        <w:bottom w:val="none" w:sz="0" w:space="0" w:color="auto"/>
        <w:right w:val="none" w:sz="0" w:space="0" w:color="auto"/>
      </w:divBdr>
    </w:div>
    <w:div w:id="135537772">
      <w:bodyDiv w:val="1"/>
      <w:marLeft w:val="0"/>
      <w:marRight w:val="0"/>
      <w:marTop w:val="0"/>
      <w:marBottom w:val="0"/>
      <w:divBdr>
        <w:top w:val="none" w:sz="0" w:space="0" w:color="auto"/>
        <w:left w:val="none" w:sz="0" w:space="0" w:color="auto"/>
        <w:bottom w:val="none" w:sz="0" w:space="0" w:color="auto"/>
        <w:right w:val="none" w:sz="0" w:space="0" w:color="auto"/>
      </w:divBdr>
    </w:div>
    <w:div w:id="141042023">
      <w:bodyDiv w:val="1"/>
      <w:marLeft w:val="0"/>
      <w:marRight w:val="0"/>
      <w:marTop w:val="0"/>
      <w:marBottom w:val="0"/>
      <w:divBdr>
        <w:top w:val="none" w:sz="0" w:space="0" w:color="auto"/>
        <w:left w:val="none" w:sz="0" w:space="0" w:color="auto"/>
        <w:bottom w:val="none" w:sz="0" w:space="0" w:color="auto"/>
        <w:right w:val="none" w:sz="0" w:space="0" w:color="auto"/>
      </w:divBdr>
    </w:div>
    <w:div w:id="144319495">
      <w:bodyDiv w:val="1"/>
      <w:marLeft w:val="0"/>
      <w:marRight w:val="0"/>
      <w:marTop w:val="0"/>
      <w:marBottom w:val="0"/>
      <w:divBdr>
        <w:top w:val="none" w:sz="0" w:space="0" w:color="auto"/>
        <w:left w:val="none" w:sz="0" w:space="0" w:color="auto"/>
        <w:bottom w:val="none" w:sz="0" w:space="0" w:color="auto"/>
        <w:right w:val="none" w:sz="0" w:space="0" w:color="auto"/>
      </w:divBdr>
    </w:div>
    <w:div w:id="154805018">
      <w:bodyDiv w:val="1"/>
      <w:marLeft w:val="0"/>
      <w:marRight w:val="0"/>
      <w:marTop w:val="0"/>
      <w:marBottom w:val="0"/>
      <w:divBdr>
        <w:top w:val="none" w:sz="0" w:space="0" w:color="auto"/>
        <w:left w:val="none" w:sz="0" w:space="0" w:color="auto"/>
        <w:bottom w:val="none" w:sz="0" w:space="0" w:color="auto"/>
        <w:right w:val="none" w:sz="0" w:space="0" w:color="auto"/>
      </w:divBdr>
    </w:div>
    <w:div w:id="183906259">
      <w:bodyDiv w:val="1"/>
      <w:marLeft w:val="0"/>
      <w:marRight w:val="0"/>
      <w:marTop w:val="0"/>
      <w:marBottom w:val="0"/>
      <w:divBdr>
        <w:top w:val="none" w:sz="0" w:space="0" w:color="auto"/>
        <w:left w:val="none" w:sz="0" w:space="0" w:color="auto"/>
        <w:bottom w:val="none" w:sz="0" w:space="0" w:color="auto"/>
        <w:right w:val="none" w:sz="0" w:space="0" w:color="auto"/>
      </w:divBdr>
    </w:div>
    <w:div w:id="197132472">
      <w:bodyDiv w:val="1"/>
      <w:marLeft w:val="0"/>
      <w:marRight w:val="0"/>
      <w:marTop w:val="0"/>
      <w:marBottom w:val="0"/>
      <w:divBdr>
        <w:top w:val="none" w:sz="0" w:space="0" w:color="auto"/>
        <w:left w:val="none" w:sz="0" w:space="0" w:color="auto"/>
        <w:bottom w:val="none" w:sz="0" w:space="0" w:color="auto"/>
        <w:right w:val="none" w:sz="0" w:space="0" w:color="auto"/>
      </w:divBdr>
    </w:div>
    <w:div w:id="197281840">
      <w:bodyDiv w:val="1"/>
      <w:marLeft w:val="0"/>
      <w:marRight w:val="0"/>
      <w:marTop w:val="0"/>
      <w:marBottom w:val="0"/>
      <w:divBdr>
        <w:top w:val="none" w:sz="0" w:space="0" w:color="auto"/>
        <w:left w:val="none" w:sz="0" w:space="0" w:color="auto"/>
        <w:bottom w:val="none" w:sz="0" w:space="0" w:color="auto"/>
        <w:right w:val="none" w:sz="0" w:space="0" w:color="auto"/>
      </w:divBdr>
    </w:div>
    <w:div w:id="213465231">
      <w:bodyDiv w:val="1"/>
      <w:marLeft w:val="0"/>
      <w:marRight w:val="0"/>
      <w:marTop w:val="0"/>
      <w:marBottom w:val="0"/>
      <w:divBdr>
        <w:top w:val="none" w:sz="0" w:space="0" w:color="auto"/>
        <w:left w:val="none" w:sz="0" w:space="0" w:color="auto"/>
        <w:bottom w:val="none" w:sz="0" w:space="0" w:color="auto"/>
        <w:right w:val="none" w:sz="0" w:space="0" w:color="auto"/>
      </w:divBdr>
    </w:div>
    <w:div w:id="240722339">
      <w:bodyDiv w:val="1"/>
      <w:marLeft w:val="0"/>
      <w:marRight w:val="0"/>
      <w:marTop w:val="0"/>
      <w:marBottom w:val="0"/>
      <w:divBdr>
        <w:top w:val="none" w:sz="0" w:space="0" w:color="auto"/>
        <w:left w:val="none" w:sz="0" w:space="0" w:color="auto"/>
        <w:bottom w:val="none" w:sz="0" w:space="0" w:color="auto"/>
        <w:right w:val="none" w:sz="0" w:space="0" w:color="auto"/>
      </w:divBdr>
    </w:div>
    <w:div w:id="247034064">
      <w:bodyDiv w:val="1"/>
      <w:marLeft w:val="0"/>
      <w:marRight w:val="0"/>
      <w:marTop w:val="0"/>
      <w:marBottom w:val="0"/>
      <w:divBdr>
        <w:top w:val="none" w:sz="0" w:space="0" w:color="auto"/>
        <w:left w:val="none" w:sz="0" w:space="0" w:color="auto"/>
        <w:bottom w:val="none" w:sz="0" w:space="0" w:color="auto"/>
        <w:right w:val="none" w:sz="0" w:space="0" w:color="auto"/>
      </w:divBdr>
    </w:div>
    <w:div w:id="249461762">
      <w:bodyDiv w:val="1"/>
      <w:marLeft w:val="0"/>
      <w:marRight w:val="0"/>
      <w:marTop w:val="0"/>
      <w:marBottom w:val="0"/>
      <w:divBdr>
        <w:top w:val="none" w:sz="0" w:space="0" w:color="auto"/>
        <w:left w:val="none" w:sz="0" w:space="0" w:color="auto"/>
        <w:bottom w:val="none" w:sz="0" w:space="0" w:color="auto"/>
        <w:right w:val="none" w:sz="0" w:space="0" w:color="auto"/>
      </w:divBdr>
    </w:div>
    <w:div w:id="254900894">
      <w:bodyDiv w:val="1"/>
      <w:marLeft w:val="0"/>
      <w:marRight w:val="0"/>
      <w:marTop w:val="0"/>
      <w:marBottom w:val="0"/>
      <w:divBdr>
        <w:top w:val="none" w:sz="0" w:space="0" w:color="auto"/>
        <w:left w:val="none" w:sz="0" w:space="0" w:color="auto"/>
        <w:bottom w:val="none" w:sz="0" w:space="0" w:color="auto"/>
        <w:right w:val="none" w:sz="0" w:space="0" w:color="auto"/>
      </w:divBdr>
    </w:div>
    <w:div w:id="260258922">
      <w:bodyDiv w:val="1"/>
      <w:marLeft w:val="0"/>
      <w:marRight w:val="0"/>
      <w:marTop w:val="0"/>
      <w:marBottom w:val="0"/>
      <w:divBdr>
        <w:top w:val="none" w:sz="0" w:space="0" w:color="auto"/>
        <w:left w:val="none" w:sz="0" w:space="0" w:color="auto"/>
        <w:bottom w:val="none" w:sz="0" w:space="0" w:color="auto"/>
        <w:right w:val="none" w:sz="0" w:space="0" w:color="auto"/>
      </w:divBdr>
    </w:div>
    <w:div w:id="279649635">
      <w:bodyDiv w:val="1"/>
      <w:marLeft w:val="0"/>
      <w:marRight w:val="0"/>
      <w:marTop w:val="0"/>
      <w:marBottom w:val="0"/>
      <w:divBdr>
        <w:top w:val="none" w:sz="0" w:space="0" w:color="auto"/>
        <w:left w:val="none" w:sz="0" w:space="0" w:color="auto"/>
        <w:bottom w:val="none" w:sz="0" w:space="0" w:color="auto"/>
        <w:right w:val="none" w:sz="0" w:space="0" w:color="auto"/>
      </w:divBdr>
    </w:div>
    <w:div w:id="315037399">
      <w:bodyDiv w:val="1"/>
      <w:marLeft w:val="0"/>
      <w:marRight w:val="0"/>
      <w:marTop w:val="0"/>
      <w:marBottom w:val="0"/>
      <w:divBdr>
        <w:top w:val="none" w:sz="0" w:space="0" w:color="auto"/>
        <w:left w:val="none" w:sz="0" w:space="0" w:color="auto"/>
        <w:bottom w:val="none" w:sz="0" w:space="0" w:color="auto"/>
        <w:right w:val="none" w:sz="0" w:space="0" w:color="auto"/>
      </w:divBdr>
    </w:div>
    <w:div w:id="317850402">
      <w:bodyDiv w:val="1"/>
      <w:marLeft w:val="0"/>
      <w:marRight w:val="0"/>
      <w:marTop w:val="0"/>
      <w:marBottom w:val="0"/>
      <w:divBdr>
        <w:top w:val="none" w:sz="0" w:space="0" w:color="auto"/>
        <w:left w:val="none" w:sz="0" w:space="0" w:color="auto"/>
        <w:bottom w:val="none" w:sz="0" w:space="0" w:color="auto"/>
        <w:right w:val="none" w:sz="0" w:space="0" w:color="auto"/>
      </w:divBdr>
    </w:div>
    <w:div w:id="321087378">
      <w:bodyDiv w:val="1"/>
      <w:marLeft w:val="0"/>
      <w:marRight w:val="0"/>
      <w:marTop w:val="0"/>
      <w:marBottom w:val="0"/>
      <w:divBdr>
        <w:top w:val="none" w:sz="0" w:space="0" w:color="auto"/>
        <w:left w:val="none" w:sz="0" w:space="0" w:color="auto"/>
        <w:bottom w:val="none" w:sz="0" w:space="0" w:color="auto"/>
        <w:right w:val="none" w:sz="0" w:space="0" w:color="auto"/>
      </w:divBdr>
    </w:div>
    <w:div w:id="338312594">
      <w:bodyDiv w:val="1"/>
      <w:marLeft w:val="0"/>
      <w:marRight w:val="0"/>
      <w:marTop w:val="0"/>
      <w:marBottom w:val="0"/>
      <w:divBdr>
        <w:top w:val="none" w:sz="0" w:space="0" w:color="auto"/>
        <w:left w:val="none" w:sz="0" w:space="0" w:color="auto"/>
        <w:bottom w:val="none" w:sz="0" w:space="0" w:color="auto"/>
        <w:right w:val="none" w:sz="0" w:space="0" w:color="auto"/>
      </w:divBdr>
    </w:div>
    <w:div w:id="351344274">
      <w:bodyDiv w:val="1"/>
      <w:marLeft w:val="0"/>
      <w:marRight w:val="0"/>
      <w:marTop w:val="0"/>
      <w:marBottom w:val="0"/>
      <w:divBdr>
        <w:top w:val="none" w:sz="0" w:space="0" w:color="auto"/>
        <w:left w:val="none" w:sz="0" w:space="0" w:color="auto"/>
        <w:bottom w:val="none" w:sz="0" w:space="0" w:color="auto"/>
        <w:right w:val="none" w:sz="0" w:space="0" w:color="auto"/>
      </w:divBdr>
    </w:div>
    <w:div w:id="374163819">
      <w:bodyDiv w:val="1"/>
      <w:marLeft w:val="0"/>
      <w:marRight w:val="0"/>
      <w:marTop w:val="0"/>
      <w:marBottom w:val="0"/>
      <w:divBdr>
        <w:top w:val="none" w:sz="0" w:space="0" w:color="auto"/>
        <w:left w:val="none" w:sz="0" w:space="0" w:color="auto"/>
        <w:bottom w:val="none" w:sz="0" w:space="0" w:color="auto"/>
        <w:right w:val="none" w:sz="0" w:space="0" w:color="auto"/>
      </w:divBdr>
    </w:div>
    <w:div w:id="390739705">
      <w:bodyDiv w:val="1"/>
      <w:marLeft w:val="0"/>
      <w:marRight w:val="0"/>
      <w:marTop w:val="0"/>
      <w:marBottom w:val="0"/>
      <w:divBdr>
        <w:top w:val="none" w:sz="0" w:space="0" w:color="auto"/>
        <w:left w:val="none" w:sz="0" w:space="0" w:color="auto"/>
        <w:bottom w:val="none" w:sz="0" w:space="0" w:color="auto"/>
        <w:right w:val="none" w:sz="0" w:space="0" w:color="auto"/>
      </w:divBdr>
    </w:div>
    <w:div w:id="394209033">
      <w:bodyDiv w:val="1"/>
      <w:marLeft w:val="0"/>
      <w:marRight w:val="0"/>
      <w:marTop w:val="0"/>
      <w:marBottom w:val="0"/>
      <w:divBdr>
        <w:top w:val="none" w:sz="0" w:space="0" w:color="auto"/>
        <w:left w:val="none" w:sz="0" w:space="0" w:color="auto"/>
        <w:bottom w:val="none" w:sz="0" w:space="0" w:color="auto"/>
        <w:right w:val="none" w:sz="0" w:space="0" w:color="auto"/>
      </w:divBdr>
    </w:div>
    <w:div w:id="405878940">
      <w:bodyDiv w:val="1"/>
      <w:marLeft w:val="0"/>
      <w:marRight w:val="0"/>
      <w:marTop w:val="0"/>
      <w:marBottom w:val="0"/>
      <w:divBdr>
        <w:top w:val="none" w:sz="0" w:space="0" w:color="auto"/>
        <w:left w:val="none" w:sz="0" w:space="0" w:color="auto"/>
        <w:bottom w:val="none" w:sz="0" w:space="0" w:color="auto"/>
        <w:right w:val="none" w:sz="0" w:space="0" w:color="auto"/>
      </w:divBdr>
    </w:div>
    <w:div w:id="406533261">
      <w:bodyDiv w:val="1"/>
      <w:marLeft w:val="0"/>
      <w:marRight w:val="0"/>
      <w:marTop w:val="0"/>
      <w:marBottom w:val="0"/>
      <w:divBdr>
        <w:top w:val="none" w:sz="0" w:space="0" w:color="auto"/>
        <w:left w:val="none" w:sz="0" w:space="0" w:color="auto"/>
        <w:bottom w:val="none" w:sz="0" w:space="0" w:color="auto"/>
        <w:right w:val="none" w:sz="0" w:space="0" w:color="auto"/>
      </w:divBdr>
    </w:div>
    <w:div w:id="407533766">
      <w:bodyDiv w:val="1"/>
      <w:marLeft w:val="0"/>
      <w:marRight w:val="0"/>
      <w:marTop w:val="0"/>
      <w:marBottom w:val="0"/>
      <w:divBdr>
        <w:top w:val="none" w:sz="0" w:space="0" w:color="auto"/>
        <w:left w:val="none" w:sz="0" w:space="0" w:color="auto"/>
        <w:bottom w:val="none" w:sz="0" w:space="0" w:color="auto"/>
        <w:right w:val="none" w:sz="0" w:space="0" w:color="auto"/>
      </w:divBdr>
    </w:div>
    <w:div w:id="409274781">
      <w:bodyDiv w:val="1"/>
      <w:marLeft w:val="0"/>
      <w:marRight w:val="0"/>
      <w:marTop w:val="0"/>
      <w:marBottom w:val="0"/>
      <w:divBdr>
        <w:top w:val="none" w:sz="0" w:space="0" w:color="auto"/>
        <w:left w:val="none" w:sz="0" w:space="0" w:color="auto"/>
        <w:bottom w:val="none" w:sz="0" w:space="0" w:color="auto"/>
        <w:right w:val="none" w:sz="0" w:space="0" w:color="auto"/>
      </w:divBdr>
    </w:div>
    <w:div w:id="419106055">
      <w:bodyDiv w:val="1"/>
      <w:marLeft w:val="0"/>
      <w:marRight w:val="0"/>
      <w:marTop w:val="0"/>
      <w:marBottom w:val="0"/>
      <w:divBdr>
        <w:top w:val="none" w:sz="0" w:space="0" w:color="auto"/>
        <w:left w:val="none" w:sz="0" w:space="0" w:color="auto"/>
        <w:bottom w:val="none" w:sz="0" w:space="0" w:color="auto"/>
        <w:right w:val="none" w:sz="0" w:space="0" w:color="auto"/>
      </w:divBdr>
    </w:div>
    <w:div w:id="425541873">
      <w:bodyDiv w:val="1"/>
      <w:marLeft w:val="0"/>
      <w:marRight w:val="0"/>
      <w:marTop w:val="0"/>
      <w:marBottom w:val="0"/>
      <w:divBdr>
        <w:top w:val="none" w:sz="0" w:space="0" w:color="auto"/>
        <w:left w:val="none" w:sz="0" w:space="0" w:color="auto"/>
        <w:bottom w:val="none" w:sz="0" w:space="0" w:color="auto"/>
        <w:right w:val="none" w:sz="0" w:space="0" w:color="auto"/>
      </w:divBdr>
    </w:div>
    <w:div w:id="435105279">
      <w:bodyDiv w:val="1"/>
      <w:marLeft w:val="0"/>
      <w:marRight w:val="0"/>
      <w:marTop w:val="0"/>
      <w:marBottom w:val="0"/>
      <w:divBdr>
        <w:top w:val="none" w:sz="0" w:space="0" w:color="auto"/>
        <w:left w:val="none" w:sz="0" w:space="0" w:color="auto"/>
        <w:bottom w:val="none" w:sz="0" w:space="0" w:color="auto"/>
        <w:right w:val="none" w:sz="0" w:space="0" w:color="auto"/>
      </w:divBdr>
    </w:div>
    <w:div w:id="449471754">
      <w:bodyDiv w:val="1"/>
      <w:marLeft w:val="0"/>
      <w:marRight w:val="0"/>
      <w:marTop w:val="0"/>
      <w:marBottom w:val="0"/>
      <w:divBdr>
        <w:top w:val="none" w:sz="0" w:space="0" w:color="auto"/>
        <w:left w:val="none" w:sz="0" w:space="0" w:color="auto"/>
        <w:bottom w:val="none" w:sz="0" w:space="0" w:color="auto"/>
        <w:right w:val="none" w:sz="0" w:space="0" w:color="auto"/>
      </w:divBdr>
    </w:div>
    <w:div w:id="456948443">
      <w:bodyDiv w:val="1"/>
      <w:marLeft w:val="0"/>
      <w:marRight w:val="0"/>
      <w:marTop w:val="0"/>
      <w:marBottom w:val="0"/>
      <w:divBdr>
        <w:top w:val="none" w:sz="0" w:space="0" w:color="auto"/>
        <w:left w:val="none" w:sz="0" w:space="0" w:color="auto"/>
        <w:bottom w:val="none" w:sz="0" w:space="0" w:color="auto"/>
        <w:right w:val="none" w:sz="0" w:space="0" w:color="auto"/>
      </w:divBdr>
    </w:div>
    <w:div w:id="467431304">
      <w:bodyDiv w:val="1"/>
      <w:marLeft w:val="0"/>
      <w:marRight w:val="0"/>
      <w:marTop w:val="0"/>
      <w:marBottom w:val="0"/>
      <w:divBdr>
        <w:top w:val="none" w:sz="0" w:space="0" w:color="auto"/>
        <w:left w:val="none" w:sz="0" w:space="0" w:color="auto"/>
        <w:bottom w:val="none" w:sz="0" w:space="0" w:color="auto"/>
        <w:right w:val="none" w:sz="0" w:space="0" w:color="auto"/>
      </w:divBdr>
    </w:div>
    <w:div w:id="469517282">
      <w:bodyDiv w:val="1"/>
      <w:marLeft w:val="0"/>
      <w:marRight w:val="0"/>
      <w:marTop w:val="0"/>
      <w:marBottom w:val="0"/>
      <w:divBdr>
        <w:top w:val="none" w:sz="0" w:space="0" w:color="auto"/>
        <w:left w:val="none" w:sz="0" w:space="0" w:color="auto"/>
        <w:bottom w:val="none" w:sz="0" w:space="0" w:color="auto"/>
        <w:right w:val="none" w:sz="0" w:space="0" w:color="auto"/>
      </w:divBdr>
    </w:div>
    <w:div w:id="501434630">
      <w:bodyDiv w:val="1"/>
      <w:marLeft w:val="0"/>
      <w:marRight w:val="0"/>
      <w:marTop w:val="0"/>
      <w:marBottom w:val="0"/>
      <w:divBdr>
        <w:top w:val="none" w:sz="0" w:space="0" w:color="auto"/>
        <w:left w:val="none" w:sz="0" w:space="0" w:color="auto"/>
        <w:bottom w:val="none" w:sz="0" w:space="0" w:color="auto"/>
        <w:right w:val="none" w:sz="0" w:space="0" w:color="auto"/>
      </w:divBdr>
    </w:div>
    <w:div w:id="508108105">
      <w:bodyDiv w:val="1"/>
      <w:marLeft w:val="0"/>
      <w:marRight w:val="0"/>
      <w:marTop w:val="0"/>
      <w:marBottom w:val="0"/>
      <w:divBdr>
        <w:top w:val="none" w:sz="0" w:space="0" w:color="auto"/>
        <w:left w:val="none" w:sz="0" w:space="0" w:color="auto"/>
        <w:bottom w:val="none" w:sz="0" w:space="0" w:color="auto"/>
        <w:right w:val="none" w:sz="0" w:space="0" w:color="auto"/>
      </w:divBdr>
    </w:div>
    <w:div w:id="513887183">
      <w:bodyDiv w:val="1"/>
      <w:marLeft w:val="0"/>
      <w:marRight w:val="0"/>
      <w:marTop w:val="0"/>
      <w:marBottom w:val="0"/>
      <w:divBdr>
        <w:top w:val="none" w:sz="0" w:space="0" w:color="auto"/>
        <w:left w:val="none" w:sz="0" w:space="0" w:color="auto"/>
        <w:bottom w:val="none" w:sz="0" w:space="0" w:color="auto"/>
        <w:right w:val="none" w:sz="0" w:space="0" w:color="auto"/>
      </w:divBdr>
    </w:div>
    <w:div w:id="522938186">
      <w:bodyDiv w:val="1"/>
      <w:marLeft w:val="0"/>
      <w:marRight w:val="0"/>
      <w:marTop w:val="0"/>
      <w:marBottom w:val="0"/>
      <w:divBdr>
        <w:top w:val="none" w:sz="0" w:space="0" w:color="auto"/>
        <w:left w:val="none" w:sz="0" w:space="0" w:color="auto"/>
        <w:bottom w:val="none" w:sz="0" w:space="0" w:color="auto"/>
        <w:right w:val="none" w:sz="0" w:space="0" w:color="auto"/>
      </w:divBdr>
    </w:div>
    <w:div w:id="533616852">
      <w:bodyDiv w:val="1"/>
      <w:marLeft w:val="0"/>
      <w:marRight w:val="0"/>
      <w:marTop w:val="0"/>
      <w:marBottom w:val="0"/>
      <w:divBdr>
        <w:top w:val="none" w:sz="0" w:space="0" w:color="auto"/>
        <w:left w:val="none" w:sz="0" w:space="0" w:color="auto"/>
        <w:bottom w:val="none" w:sz="0" w:space="0" w:color="auto"/>
        <w:right w:val="none" w:sz="0" w:space="0" w:color="auto"/>
      </w:divBdr>
    </w:div>
    <w:div w:id="554663083">
      <w:bodyDiv w:val="1"/>
      <w:marLeft w:val="0"/>
      <w:marRight w:val="0"/>
      <w:marTop w:val="0"/>
      <w:marBottom w:val="0"/>
      <w:divBdr>
        <w:top w:val="none" w:sz="0" w:space="0" w:color="auto"/>
        <w:left w:val="none" w:sz="0" w:space="0" w:color="auto"/>
        <w:bottom w:val="none" w:sz="0" w:space="0" w:color="auto"/>
        <w:right w:val="none" w:sz="0" w:space="0" w:color="auto"/>
      </w:divBdr>
    </w:div>
    <w:div w:id="557209039">
      <w:bodyDiv w:val="1"/>
      <w:marLeft w:val="0"/>
      <w:marRight w:val="0"/>
      <w:marTop w:val="0"/>
      <w:marBottom w:val="0"/>
      <w:divBdr>
        <w:top w:val="none" w:sz="0" w:space="0" w:color="auto"/>
        <w:left w:val="none" w:sz="0" w:space="0" w:color="auto"/>
        <w:bottom w:val="none" w:sz="0" w:space="0" w:color="auto"/>
        <w:right w:val="none" w:sz="0" w:space="0" w:color="auto"/>
      </w:divBdr>
    </w:div>
    <w:div w:id="561789704">
      <w:bodyDiv w:val="1"/>
      <w:marLeft w:val="0"/>
      <w:marRight w:val="0"/>
      <w:marTop w:val="0"/>
      <w:marBottom w:val="0"/>
      <w:divBdr>
        <w:top w:val="none" w:sz="0" w:space="0" w:color="auto"/>
        <w:left w:val="none" w:sz="0" w:space="0" w:color="auto"/>
        <w:bottom w:val="none" w:sz="0" w:space="0" w:color="auto"/>
        <w:right w:val="none" w:sz="0" w:space="0" w:color="auto"/>
      </w:divBdr>
    </w:div>
    <w:div w:id="598025188">
      <w:bodyDiv w:val="1"/>
      <w:marLeft w:val="0"/>
      <w:marRight w:val="0"/>
      <w:marTop w:val="0"/>
      <w:marBottom w:val="0"/>
      <w:divBdr>
        <w:top w:val="none" w:sz="0" w:space="0" w:color="auto"/>
        <w:left w:val="none" w:sz="0" w:space="0" w:color="auto"/>
        <w:bottom w:val="none" w:sz="0" w:space="0" w:color="auto"/>
        <w:right w:val="none" w:sz="0" w:space="0" w:color="auto"/>
      </w:divBdr>
    </w:div>
    <w:div w:id="607466057">
      <w:bodyDiv w:val="1"/>
      <w:marLeft w:val="0"/>
      <w:marRight w:val="0"/>
      <w:marTop w:val="0"/>
      <w:marBottom w:val="0"/>
      <w:divBdr>
        <w:top w:val="none" w:sz="0" w:space="0" w:color="auto"/>
        <w:left w:val="none" w:sz="0" w:space="0" w:color="auto"/>
        <w:bottom w:val="none" w:sz="0" w:space="0" w:color="auto"/>
        <w:right w:val="none" w:sz="0" w:space="0" w:color="auto"/>
      </w:divBdr>
    </w:div>
    <w:div w:id="619531963">
      <w:bodyDiv w:val="1"/>
      <w:marLeft w:val="0"/>
      <w:marRight w:val="0"/>
      <w:marTop w:val="0"/>
      <w:marBottom w:val="0"/>
      <w:divBdr>
        <w:top w:val="none" w:sz="0" w:space="0" w:color="auto"/>
        <w:left w:val="none" w:sz="0" w:space="0" w:color="auto"/>
        <w:bottom w:val="none" w:sz="0" w:space="0" w:color="auto"/>
        <w:right w:val="none" w:sz="0" w:space="0" w:color="auto"/>
      </w:divBdr>
    </w:div>
    <w:div w:id="633100557">
      <w:bodyDiv w:val="1"/>
      <w:marLeft w:val="0"/>
      <w:marRight w:val="0"/>
      <w:marTop w:val="0"/>
      <w:marBottom w:val="0"/>
      <w:divBdr>
        <w:top w:val="none" w:sz="0" w:space="0" w:color="auto"/>
        <w:left w:val="none" w:sz="0" w:space="0" w:color="auto"/>
        <w:bottom w:val="none" w:sz="0" w:space="0" w:color="auto"/>
        <w:right w:val="none" w:sz="0" w:space="0" w:color="auto"/>
      </w:divBdr>
    </w:div>
    <w:div w:id="643436751">
      <w:bodyDiv w:val="1"/>
      <w:marLeft w:val="0"/>
      <w:marRight w:val="0"/>
      <w:marTop w:val="0"/>
      <w:marBottom w:val="0"/>
      <w:divBdr>
        <w:top w:val="none" w:sz="0" w:space="0" w:color="auto"/>
        <w:left w:val="none" w:sz="0" w:space="0" w:color="auto"/>
        <w:bottom w:val="none" w:sz="0" w:space="0" w:color="auto"/>
        <w:right w:val="none" w:sz="0" w:space="0" w:color="auto"/>
      </w:divBdr>
    </w:div>
    <w:div w:id="687608015">
      <w:bodyDiv w:val="1"/>
      <w:marLeft w:val="0"/>
      <w:marRight w:val="0"/>
      <w:marTop w:val="0"/>
      <w:marBottom w:val="0"/>
      <w:divBdr>
        <w:top w:val="none" w:sz="0" w:space="0" w:color="auto"/>
        <w:left w:val="none" w:sz="0" w:space="0" w:color="auto"/>
        <w:bottom w:val="none" w:sz="0" w:space="0" w:color="auto"/>
        <w:right w:val="none" w:sz="0" w:space="0" w:color="auto"/>
      </w:divBdr>
    </w:div>
    <w:div w:id="698508950">
      <w:bodyDiv w:val="1"/>
      <w:marLeft w:val="0"/>
      <w:marRight w:val="0"/>
      <w:marTop w:val="0"/>
      <w:marBottom w:val="0"/>
      <w:divBdr>
        <w:top w:val="none" w:sz="0" w:space="0" w:color="auto"/>
        <w:left w:val="none" w:sz="0" w:space="0" w:color="auto"/>
        <w:bottom w:val="none" w:sz="0" w:space="0" w:color="auto"/>
        <w:right w:val="none" w:sz="0" w:space="0" w:color="auto"/>
      </w:divBdr>
    </w:div>
    <w:div w:id="708384958">
      <w:bodyDiv w:val="1"/>
      <w:marLeft w:val="0"/>
      <w:marRight w:val="0"/>
      <w:marTop w:val="0"/>
      <w:marBottom w:val="0"/>
      <w:divBdr>
        <w:top w:val="none" w:sz="0" w:space="0" w:color="auto"/>
        <w:left w:val="none" w:sz="0" w:space="0" w:color="auto"/>
        <w:bottom w:val="none" w:sz="0" w:space="0" w:color="auto"/>
        <w:right w:val="none" w:sz="0" w:space="0" w:color="auto"/>
      </w:divBdr>
    </w:div>
    <w:div w:id="713696811">
      <w:bodyDiv w:val="1"/>
      <w:marLeft w:val="0"/>
      <w:marRight w:val="0"/>
      <w:marTop w:val="0"/>
      <w:marBottom w:val="0"/>
      <w:divBdr>
        <w:top w:val="none" w:sz="0" w:space="0" w:color="auto"/>
        <w:left w:val="none" w:sz="0" w:space="0" w:color="auto"/>
        <w:bottom w:val="none" w:sz="0" w:space="0" w:color="auto"/>
        <w:right w:val="none" w:sz="0" w:space="0" w:color="auto"/>
      </w:divBdr>
    </w:div>
    <w:div w:id="715858721">
      <w:bodyDiv w:val="1"/>
      <w:marLeft w:val="0"/>
      <w:marRight w:val="0"/>
      <w:marTop w:val="0"/>
      <w:marBottom w:val="0"/>
      <w:divBdr>
        <w:top w:val="none" w:sz="0" w:space="0" w:color="auto"/>
        <w:left w:val="none" w:sz="0" w:space="0" w:color="auto"/>
        <w:bottom w:val="none" w:sz="0" w:space="0" w:color="auto"/>
        <w:right w:val="none" w:sz="0" w:space="0" w:color="auto"/>
      </w:divBdr>
    </w:div>
    <w:div w:id="718476921">
      <w:bodyDiv w:val="1"/>
      <w:marLeft w:val="0"/>
      <w:marRight w:val="0"/>
      <w:marTop w:val="0"/>
      <w:marBottom w:val="0"/>
      <w:divBdr>
        <w:top w:val="none" w:sz="0" w:space="0" w:color="auto"/>
        <w:left w:val="none" w:sz="0" w:space="0" w:color="auto"/>
        <w:bottom w:val="none" w:sz="0" w:space="0" w:color="auto"/>
        <w:right w:val="none" w:sz="0" w:space="0" w:color="auto"/>
      </w:divBdr>
    </w:div>
    <w:div w:id="754477039">
      <w:bodyDiv w:val="1"/>
      <w:marLeft w:val="0"/>
      <w:marRight w:val="0"/>
      <w:marTop w:val="0"/>
      <w:marBottom w:val="0"/>
      <w:divBdr>
        <w:top w:val="none" w:sz="0" w:space="0" w:color="auto"/>
        <w:left w:val="none" w:sz="0" w:space="0" w:color="auto"/>
        <w:bottom w:val="none" w:sz="0" w:space="0" w:color="auto"/>
        <w:right w:val="none" w:sz="0" w:space="0" w:color="auto"/>
      </w:divBdr>
    </w:div>
    <w:div w:id="774397329">
      <w:bodyDiv w:val="1"/>
      <w:marLeft w:val="0"/>
      <w:marRight w:val="0"/>
      <w:marTop w:val="0"/>
      <w:marBottom w:val="0"/>
      <w:divBdr>
        <w:top w:val="none" w:sz="0" w:space="0" w:color="auto"/>
        <w:left w:val="none" w:sz="0" w:space="0" w:color="auto"/>
        <w:bottom w:val="none" w:sz="0" w:space="0" w:color="auto"/>
        <w:right w:val="none" w:sz="0" w:space="0" w:color="auto"/>
      </w:divBdr>
    </w:div>
    <w:div w:id="795873285">
      <w:bodyDiv w:val="1"/>
      <w:marLeft w:val="0"/>
      <w:marRight w:val="0"/>
      <w:marTop w:val="0"/>
      <w:marBottom w:val="0"/>
      <w:divBdr>
        <w:top w:val="none" w:sz="0" w:space="0" w:color="auto"/>
        <w:left w:val="none" w:sz="0" w:space="0" w:color="auto"/>
        <w:bottom w:val="none" w:sz="0" w:space="0" w:color="auto"/>
        <w:right w:val="none" w:sz="0" w:space="0" w:color="auto"/>
      </w:divBdr>
    </w:div>
    <w:div w:id="799230144">
      <w:bodyDiv w:val="1"/>
      <w:marLeft w:val="0"/>
      <w:marRight w:val="0"/>
      <w:marTop w:val="0"/>
      <w:marBottom w:val="0"/>
      <w:divBdr>
        <w:top w:val="none" w:sz="0" w:space="0" w:color="auto"/>
        <w:left w:val="none" w:sz="0" w:space="0" w:color="auto"/>
        <w:bottom w:val="none" w:sz="0" w:space="0" w:color="auto"/>
        <w:right w:val="none" w:sz="0" w:space="0" w:color="auto"/>
      </w:divBdr>
    </w:div>
    <w:div w:id="811556418">
      <w:bodyDiv w:val="1"/>
      <w:marLeft w:val="0"/>
      <w:marRight w:val="0"/>
      <w:marTop w:val="0"/>
      <w:marBottom w:val="0"/>
      <w:divBdr>
        <w:top w:val="none" w:sz="0" w:space="0" w:color="auto"/>
        <w:left w:val="none" w:sz="0" w:space="0" w:color="auto"/>
        <w:bottom w:val="none" w:sz="0" w:space="0" w:color="auto"/>
        <w:right w:val="none" w:sz="0" w:space="0" w:color="auto"/>
      </w:divBdr>
    </w:div>
    <w:div w:id="833031170">
      <w:bodyDiv w:val="1"/>
      <w:marLeft w:val="0"/>
      <w:marRight w:val="0"/>
      <w:marTop w:val="0"/>
      <w:marBottom w:val="0"/>
      <w:divBdr>
        <w:top w:val="none" w:sz="0" w:space="0" w:color="auto"/>
        <w:left w:val="none" w:sz="0" w:space="0" w:color="auto"/>
        <w:bottom w:val="none" w:sz="0" w:space="0" w:color="auto"/>
        <w:right w:val="none" w:sz="0" w:space="0" w:color="auto"/>
      </w:divBdr>
    </w:div>
    <w:div w:id="835652923">
      <w:bodyDiv w:val="1"/>
      <w:marLeft w:val="0"/>
      <w:marRight w:val="0"/>
      <w:marTop w:val="0"/>
      <w:marBottom w:val="0"/>
      <w:divBdr>
        <w:top w:val="none" w:sz="0" w:space="0" w:color="auto"/>
        <w:left w:val="none" w:sz="0" w:space="0" w:color="auto"/>
        <w:bottom w:val="none" w:sz="0" w:space="0" w:color="auto"/>
        <w:right w:val="none" w:sz="0" w:space="0" w:color="auto"/>
      </w:divBdr>
    </w:div>
    <w:div w:id="842015021">
      <w:bodyDiv w:val="1"/>
      <w:marLeft w:val="0"/>
      <w:marRight w:val="0"/>
      <w:marTop w:val="0"/>
      <w:marBottom w:val="0"/>
      <w:divBdr>
        <w:top w:val="none" w:sz="0" w:space="0" w:color="auto"/>
        <w:left w:val="none" w:sz="0" w:space="0" w:color="auto"/>
        <w:bottom w:val="none" w:sz="0" w:space="0" w:color="auto"/>
        <w:right w:val="none" w:sz="0" w:space="0" w:color="auto"/>
      </w:divBdr>
    </w:div>
    <w:div w:id="843934510">
      <w:bodyDiv w:val="1"/>
      <w:marLeft w:val="0"/>
      <w:marRight w:val="0"/>
      <w:marTop w:val="0"/>
      <w:marBottom w:val="0"/>
      <w:divBdr>
        <w:top w:val="none" w:sz="0" w:space="0" w:color="auto"/>
        <w:left w:val="none" w:sz="0" w:space="0" w:color="auto"/>
        <w:bottom w:val="none" w:sz="0" w:space="0" w:color="auto"/>
        <w:right w:val="none" w:sz="0" w:space="0" w:color="auto"/>
      </w:divBdr>
    </w:div>
    <w:div w:id="848908228">
      <w:bodyDiv w:val="1"/>
      <w:marLeft w:val="0"/>
      <w:marRight w:val="0"/>
      <w:marTop w:val="0"/>
      <w:marBottom w:val="0"/>
      <w:divBdr>
        <w:top w:val="none" w:sz="0" w:space="0" w:color="auto"/>
        <w:left w:val="none" w:sz="0" w:space="0" w:color="auto"/>
        <w:bottom w:val="none" w:sz="0" w:space="0" w:color="auto"/>
        <w:right w:val="none" w:sz="0" w:space="0" w:color="auto"/>
      </w:divBdr>
    </w:div>
    <w:div w:id="869030478">
      <w:bodyDiv w:val="1"/>
      <w:marLeft w:val="0"/>
      <w:marRight w:val="0"/>
      <w:marTop w:val="0"/>
      <w:marBottom w:val="0"/>
      <w:divBdr>
        <w:top w:val="none" w:sz="0" w:space="0" w:color="auto"/>
        <w:left w:val="none" w:sz="0" w:space="0" w:color="auto"/>
        <w:bottom w:val="none" w:sz="0" w:space="0" w:color="auto"/>
        <w:right w:val="none" w:sz="0" w:space="0" w:color="auto"/>
      </w:divBdr>
    </w:div>
    <w:div w:id="872110620">
      <w:bodyDiv w:val="1"/>
      <w:marLeft w:val="0"/>
      <w:marRight w:val="0"/>
      <w:marTop w:val="0"/>
      <w:marBottom w:val="0"/>
      <w:divBdr>
        <w:top w:val="none" w:sz="0" w:space="0" w:color="auto"/>
        <w:left w:val="none" w:sz="0" w:space="0" w:color="auto"/>
        <w:bottom w:val="none" w:sz="0" w:space="0" w:color="auto"/>
        <w:right w:val="none" w:sz="0" w:space="0" w:color="auto"/>
      </w:divBdr>
    </w:div>
    <w:div w:id="883565661">
      <w:bodyDiv w:val="1"/>
      <w:marLeft w:val="0"/>
      <w:marRight w:val="0"/>
      <w:marTop w:val="0"/>
      <w:marBottom w:val="0"/>
      <w:divBdr>
        <w:top w:val="none" w:sz="0" w:space="0" w:color="auto"/>
        <w:left w:val="none" w:sz="0" w:space="0" w:color="auto"/>
        <w:bottom w:val="none" w:sz="0" w:space="0" w:color="auto"/>
        <w:right w:val="none" w:sz="0" w:space="0" w:color="auto"/>
      </w:divBdr>
    </w:div>
    <w:div w:id="922565445">
      <w:bodyDiv w:val="1"/>
      <w:marLeft w:val="0"/>
      <w:marRight w:val="0"/>
      <w:marTop w:val="0"/>
      <w:marBottom w:val="0"/>
      <w:divBdr>
        <w:top w:val="none" w:sz="0" w:space="0" w:color="auto"/>
        <w:left w:val="none" w:sz="0" w:space="0" w:color="auto"/>
        <w:bottom w:val="none" w:sz="0" w:space="0" w:color="auto"/>
        <w:right w:val="none" w:sz="0" w:space="0" w:color="auto"/>
      </w:divBdr>
    </w:div>
    <w:div w:id="958150698">
      <w:bodyDiv w:val="1"/>
      <w:marLeft w:val="0"/>
      <w:marRight w:val="0"/>
      <w:marTop w:val="0"/>
      <w:marBottom w:val="0"/>
      <w:divBdr>
        <w:top w:val="none" w:sz="0" w:space="0" w:color="auto"/>
        <w:left w:val="none" w:sz="0" w:space="0" w:color="auto"/>
        <w:bottom w:val="none" w:sz="0" w:space="0" w:color="auto"/>
        <w:right w:val="none" w:sz="0" w:space="0" w:color="auto"/>
      </w:divBdr>
    </w:div>
    <w:div w:id="964122294">
      <w:bodyDiv w:val="1"/>
      <w:marLeft w:val="0"/>
      <w:marRight w:val="0"/>
      <w:marTop w:val="0"/>
      <w:marBottom w:val="0"/>
      <w:divBdr>
        <w:top w:val="none" w:sz="0" w:space="0" w:color="auto"/>
        <w:left w:val="none" w:sz="0" w:space="0" w:color="auto"/>
        <w:bottom w:val="none" w:sz="0" w:space="0" w:color="auto"/>
        <w:right w:val="none" w:sz="0" w:space="0" w:color="auto"/>
      </w:divBdr>
    </w:div>
    <w:div w:id="966548674">
      <w:bodyDiv w:val="1"/>
      <w:marLeft w:val="0"/>
      <w:marRight w:val="0"/>
      <w:marTop w:val="0"/>
      <w:marBottom w:val="0"/>
      <w:divBdr>
        <w:top w:val="none" w:sz="0" w:space="0" w:color="auto"/>
        <w:left w:val="none" w:sz="0" w:space="0" w:color="auto"/>
        <w:bottom w:val="none" w:sz="0" w:space="0" w:color="auto"/>
        <w:right w:val="none" w:sz="0" w:space="0" w:color="auto"/>
      </w:divBdr>
    </w:div>
    <w:div w:id="973825322">
      <w:bodyDiv w:val="1"/>
      <w:marLeft w:val="0"/>
      <w:marRight w:val="0"/>
      <w:marTop w:val="0"/>
      <w:marBottom w:val="0"/>
      <w:divBdr>
        <w:top w:val="none" w:sz="0" w:space="0" w:color="auto"/>
        <w:left w:val="none" w:sz="0" w:space="0" w:color="auto"/>
        <w:bottom w:val="none" w:sz="0" w:space="0" w:color="auto"/>
        <w:right w:val="none" w:sz="0" w:space="0" w:color="auto"/>
      </w:divBdr>
    </w:div>
    <w:div w:id="998076901">
      <w:bodyDiv w:val="1"/>
      <w:marLeft w:val="0"/>
      <w:marRight w:val="0"/>
      <w:marTop w:val="0"/>
      <w:marBottom w:val="0"/>
      <w:divBdr>
        <w:top w:val="none" w:sz="0" w:space="0" w:color="auto"/>
        <w:left w:val="none" w:sz="0" w:space="0" w:color="auto"/>
        <w:bottom w:val="none" w:sz="0" w:space="0" w:color="auto"/>
        <w:right w:val="none" w:sz="0" w:space="0" w:color="auto"/>
      </w:divBdr>
    </w:div>
    <w:div w:id="1012606275">
      <w:bodyDiv w:val="1"/>
      <w:marLeft w:val="0"/>
      <w:marRight w:val="0"/>
      <w:marTop w:val="0"/>
      <w:marBottom w:val="0"/>
      <w:divBdr>
        <w:top w:val="none" w:sz="0" w:space="0" w:color="auto"/>
        <w:left w:val="none" w:sz="0" w:space="0" w:color="auto"/>
        <w:bottom w:val="none" w:sz="0" w:space="0" w:color="auto"/>
        <w:right w:val="none" w:sz="0" w:space="0" w:color="auto"/>
      </w:divBdr>
    </w:div>
    <w:div w:id="1027947969">
      <w:bodyDiv w:val="1"/>
      <w:marLeft w:val="0"/>
      <w:marRight w:val="0"/>
      <w:marTop w:val="0"/>
      <w:marBottom w:val="0"/>
      <w:divBdr>
        <w:top w:val="none" w:sz="0" w:space="0" w:color="auto"/>
        <w:left w:val="none" w:sz="0" w:space="0" w:color="auto"/>
        <w:bottom w:val="none" w:sz="0" w:space="0" w:color="auto"/>
        <w:right w:val="none" w:sz="0" w:space="0" w:color="auto"/>
      </w:divBdr>
    </w:div>
    <w:div w:id="1032463627">
      <w:bodyDiv w:val="1"/>
      <w:marLeft w:val="0"/>
      <w:marRight w:val="0"/>
      <w:marTop w:val="0"/>
      <w:marBottom w:val="0"/>
      <w:divBdr>
        <w:top w:val="none" w:sz="0" w:space="0" w:color="auto"/>
        <w:left w:val="none" w:sz="0" w:space="0" w:color="auto"/>
        <w:bottom w:val="none" w:sz="0" w:space="0" w:color="auto"/>
        <w:right w:val="none" w:sz="0" w:space="0" w:color="auto"/>
      </w:divBdr>
    </w:div>
    <w:div w:id="1035616295">
      <w:bodyDiv w:val="1"/>
      <w:marLeft w:val="0"/>
      <w:marRight w:val="0"/>
      <w:marTop w:val="0"/>
      <w:marBottom w:val="0"/>
      <w:divBdr>
        <w:top w:val="none" w:sz="0" w:space="0" w:color="auto"/>
        <w:left w:val="none" w:sz="0" w:space="0" w:color="auto"/>
        <w:bottom w:val="none" w:sz="0" w:space="0" w:color="auto"/>
        <w:right w:val="none" w:sz="0" w:space="0" w:color="auto"/>
      </w:divBdr>
    </w:div>
    <w:div w:id="1036928277">
      <w:bodyDiv w:val="1"/>
      <w:marLeft w:val="0"/>
      <w:marRight w:val="0"/>
      <w:marTop w:val="0"/>
      <w:marBottom w:val="0"/>
      <w:divBdr>
        <w:top w:val="none" w:sz="0" w:space="0" w:color="auto"/>
        <w:left w:val="none" w:sz="0" w:space="0" w:color="auto"/>
        <w:bottom w:val="none" w:sz="0" w:space="0" w:color="auto"/>
        <w:right w:val="none" w:sz="0" w:space="0" w:color="auto"/>
      </w:divBdr>
    </w:div>
    <w:div w:id="1057631559">
      <w:bodyDiv w:val="1"/>
      <w:marLeft w:val="0"/>
      <w:marRight w:val="0"/>
      <w:marTop w:val="0"/>
      <w:marBottom w:val="0"/>
      <w:divBdr>
        <w:top w:val="none" w:sz="0" w:space="0" w:color="auto"/>
        <w:left w:val="none" w:sz="0" w:space="0" w:color="auto"/>
        <w:bottom w:val="none" w:sz="0" w:space="0" w:color="auto"/>
        <w:right w:val="none" w:sz="0" w:space="0" w:color="auto"/>
      </w:divBdr>
    </w:div>
    <w:div w:id="1069616741">
      <w:bodyDiv w:val="1"/>
      <w:marLeft w:val="0"/>
      <w:marRight w:val="0"/>
      <w:marTop w:val="0"/>
      <w:marBottom w:val="0"/>
      <w:divBdr>
        <w:top w:val="none" w:sz="0" w:space="0" w:color="auto"/>
        <w:left w:val="none" w:sz="0" w:space="0" w:color="auto"/>
        <w:bottom w:val="none" w:sz="0" w:space="0" w:color="auto"/>
        <w:right w:val="none" w:sz="0" w:space="0" w:color="auto"/>
      </w:divBdr>
    </w:div>
    <w:div w:id="1082222583">
      <w:bodyDiv w:val="1"/>
      <w:marLeft w:val="0"/>
      <w:marRight w:val="0"/>
      <w:marTop w:val="0"/>
      <w:marBottom w:val="0"/>
      <w:divBdr>
        <w:top w:val="none" w:sz="0" w:space="0" w:color="auto"/>
        <w:left w:val="none" w:sz="0" w:space="0" w:color="auto"/>
        <w:bottom w:val="none" w:sz="0" w:space="0" w:color="auto"/>
        <w:right w:val="none" w:sz="0" w:space="0" w:color="auto"/>
      </w:divBdr>
    </w:div>
    <w:div w:id="1106582193">
      <w:bodyDiv w:val="1"/>
      <w:marLeft w:val="0"/>
      <w:marRight w:val="0"/>
      <w:marTop w:val="0"/>
      <w:marBottom w:val="0"/>
      <w:divBdr>
        <w:top w:val="none" w:sz="0" w:space="0" w:color="auto"/>
        <w:left w:val="none" w:sz="0" w:space="0" w:color="auto"/>
        <w:bottom w:val="none" w:sz="0" w:space="0" w:color="auto"/>
        <w:right w:val="none" w:sz="0" w:space="0" w:color="auto"/>
      </w:divBdr>
    </w:div>
    <w:div w:id="1135562567">
      <w:bodyDiv w:val="1"/>
      <w:marLeft w:val="0"/>
      <w:marRight w:val="0"/>
      <w:marTop w:val="0"/>
      <w:marBottom w:val="0"/>
      <w:divBdr>
        <w:top w:val="none" w:sz="0" w:space="0" w:color="auto"/>
        <w:left w:val="none" w:sz="0" w:space="0" w:color="auto"/>
        <w:bottom w:val="none" w:sz="0" w:space="0" w:color="auto"/>
        <w:right w:val="none" w:sz="0" w:space="0" w:color="auto"/>
      </w:divBdr>
    </w:div>
    <w:div w:id="1142651961">
      <w:bodyDiv w:val="1"/>
      <w:marLeft w:val="0"/>
      <w:marRight w:val="0"/>
      <w:marTop w:val="0"/>
      <w:marBottom w:val="0"/>
      <w:divBdr>
        <w:top w:val="none" w:sz="0" w:space="0" w:color="auto"/>
        <w:left w:val="none" w:sz="0" w:space="0" w:color="auto"/>
        <w:bottom w:val="none" w:sz="0" w:space="0" w:color="auto"/>
        <w:right w:val="none" w:sz="0" w:space="0" w:color="auto"/>
      </w:divBdr>
    </w:div>
    <w:div w:id="1145585987">
      <w:bodyDiv w:val="1"/>
      <w:marLeft w:val="0"/>
      <w:marRight w:val="0"/>
      <w:marTop w:val="0"/>
      <w:marBottom w:val="0"/>
      <w:divBdr>
        <w:top w:val="none" w:sz="0" w:space="0" w:color="auto"/>
        <w:left w:val="none" w:sz="0" w:space="0" w:color="auto"/>
        <w:bottom w:val="none" w:sz="0" w:space="0" w:color="auto"/>
        <w:right w:val="none" w:sz="0" w:space="0" w:color="auto"/>
      </w:divBdr>
    </w:div>
    <w:div w:id="1190682793">
      <w:bodyDiv w:val="1"/>
      <w:marLeft w:val="0"/>
      <w:marRight w:val="0"/>
      <w:marTop w:val="0"/>
      <w:marBottom w:val="0"/>
      <w:divBdr>
        <w:top w:val="none" w:sz="0" w:space="0" w:color="auto"/>
        <w:left w:val="none" w:sz="0" w:space="0" w:color="auto"/>
        <w:bottom w:val="none" w:sz="0" w:space="0" w:color="auto"/>
        <w:right w:val="none" w:sz="0" w:space="0" w:color="auto"/>
      </w:divBdr>
    </w:div>
    <w:div w:id="1196969847">
      <w:bodyDiv w:val="1"/>
      <w:marLeft w:val="0"/>
      <w:marRight w:val="0"/>
      <w:marTop w:val="0"/>
      <w:marBottom w:val="0"/>
      <w:divBdr>
        <w:top w:val="none" w:sz="0" w:space="0" w:color="auto"/>
        <w:left w:val="none" w:sz="0" w:space="0" w:color="auto"/>
        <w:bottom w:val="none" w:sz="0" w:space="0" w:color="auto"/>
        <w:right w:val="none" w:sz="0" w:space="0" w:color="auto"/>
      </w:divBdr>
    </w:div>
    <w:div w:id="1208882398">
      <w:bodyDiv w:val="1"/>
      <w:marLeft w:val="0"/>
      <w:marRight w:val="0"/>
      <w:marTop w:val="0"/>
      <w:marBottom w:val="0"/>
      <w:divBdr>
        <w:top w:val="none" w:sz="0" w:space="0" w:color="auto"/>
        <w:left w:val="none" w:sz="0" w:space="0" w:color="auto"/>
        <w:bottom w:val="none" w:sz="0" w:space="0" w:color="auto"/>
        <w:right w:val="none" w:sz="0" w:space="0" w:color="auto"/>
      </w:divBdr>
    </w:div>
    <w:div w:id="1214776770">
      <w:bodyDiv w:val="1"/>
      <w:marLeft w:val="0"/>
      <w:marRight w:val="0"/>
      <w:marTop w:val="0"/>
      <w:marBottom w:val="0"/>
      <w:divBdr>
        <w:top w:val="none" w:sz="0" w:space="0" w:color="auto"/>
        <w:left w:val="none" w:sz="0" w:space="0" w:color="auto"/>
        <w:bottom w:val="none" w:sz="0" w:space="0" w:color="auto"/>
        <w:right w:val="none" w:sz="0" w:space="0" w:color="auto"/>
      </w:divBdr>
    </w:div>
    <w:div w:id="1232815325">
      <w:bodyDiv w:val="1"/>
      <w:marLeft w:val="0"/>
      <w:marRight w:val="0"/>
      <w:marTop w:val="0"/>
      <w:marBottom w:val="0"/>
      <w:divBdr>
        <w:top w:val="none" w:sz="0" w:space="0" w:color="auto"/>
        <w:left w:val="none" w:sz="0" w:space="0" w:color="auto"/>
        <w:bottom w:val="none" w:sz="0" w:space="0" w:color="auto"/>
        <w:right w:val="none" w:sz="0" w:space="0" w:color="auto"/>
      </w:divBdr>
    </w:div>
    <w:div w:id="1270161821">
      <w:bodyDiv w:val="1"/>
      <w:marLeft w:val="0"/>
      <w:marRight w:val="0"/>
      <w:marTop w:val="0"/>
      <w:marBottom w:val="0"/>
      <w:divBdr>
        <w:top w:val="none" w:sz="0" w:space="0" w:color="auto"/>
        <w:left w:val="none" w:sz="0" w:space="0" w:color="auto"/>
        <w:bottom w:val="none" w:sz="0" w:space="0" w:color="auto"/>
        <w:right w:val="none" w:sz="0" w:space="0" w:color="auto"/>
      </w:divBdr>
    </w:div>
    <w:div w:id="1278558948">
      <w:bodyDiv w:val="1"/>
      <w:marLeft w:val="0"/>
      <w:marRight w:val="0"/>
      <w:marTop w:val="0"/>
      <w:marBottom w:val="0"/>
      <w:divBdr>
        <w:top w:val="none" w:sz="0" w:space="0" w:color="auto"/>
        <w:left w:val="none" w:sz="0" w:space="0" w:color="auto"/>
        <w:bottom w:val="none" w:sz="0" w:space="0" w:color="auto"/>
        <w:right w:val="none" w:sz="0" w:space="0" w:color="auto"/>
      </w:divBdr>
    </w:div>
    <w:div w:id="1282420528">
      <w:bodyDiv w:val="1"/>
      <w:marLeft w:val="0"/>
      <w:marRight w:val="0"/>
      <w:marTop w:val="0"/>
      <w:marBottom w:val="0"/>
      <w:divBdr>
        <w:top w:val="none" w:sz="0" w:space="0" w:color="auto"/>
        <w:left w:val="none" w:sz="0" w:space="0" w:color="auto"/>
        <w:bottom w:val="none" w:sz="0" w:space="0" w:color="auto"/>
        <w:right w:val="none" w:sz="0" w:space="0" w:color="auto"/>
      </w:divBdr>
    </w:div>
    <w:div w:id="1284187945">
      <w:bodyDiv w:val="1"/>
      <w:marLeft w:val="0"/>
      <w:marRight w:val="0"/>
      <w:marTop w:val="0"/>
      <w:marBottom w:val="0"/>
      <w:divBdr>
        <w:top w:val="none" w:sz="0" w:space="0" w:color="auto"/>
        <w:left w:val="none" w:sz="0" w:space="0" w:color="auto"/>
        <w:bottom w:val="none" w:sz="0" w:space="0" w:color="auto"/>
        <w:right w:val="none" w:sz="0" w:space="0" w:color="auto"/>
      </w:divBdr>
    </w:div>
    <w:div w:id="1284310907">
      <w:bodyDiv w:val="1"/>
      <w:marLeft w:val="0"/>
      <w:marRight w:val="0"/>
      <w:marTop w:val="0"/>
      <w:marBottom w:val="0"/>
      <w:divBdr>
        <w:top w:val="none" w:sz="0" w:space="0" w:color="auto"/>
        <w:left w:val="none" w:sz="0" w:space="0" w:color="auto"/>
        <w:bottom w:val="none" w:sz="0" w:space="0" w:color="auto"/>
        <w:right w:val="none" w:sz="0" w:space="0" w:color="auto"/>
      </w:divBdr>
    </w:div>
    <w:div w:id="1294672305">
      <w:bodyDiv w:val="1"/>
      <w:marLeft w:val="0"/>
      <w:marRight w:val="0"/>
      <w:marTop w:val="0"/>
      <w:marBottom w:val="0"/>
      <w:divBdr>
        <w:top w:val="none" w:sz="0" w:space="0" w:color="auto"/>
        <w:left w:val="none" w:sz="0" w:space="0" w:color="auto"/>
        <w:bottom w:val="none" w:sz="0" w:space="0" w:color="auto"/>
        <w:right w:val="none" w:sz="0" w:space="0" w:color="auto"/>
      </w:divBdr>
    </w:div>
    <w:div w:id="1296328746">
      <w:bodyDiv w:val="1"/>
      <w:marLeft w:val="0"/>
      <w:marRight w:val="0"/>
      <w:marTop w:val="0"/>
      <w:marBottom w:val="0"/>
      <w:divBdr>
        <w:top w:val="none" w:sz="0" w:space="0" w:color="auto"/>
        <w:left w:val="none" w:sz="0" w:space="0" w:color="auto"/>
        <w:bottom w:val="none" w:sz="0" w:space="0" w:color="auto"/>
        <w:right w:val="none" w:sz="0" w:space="0" w:color="auto"/>
      </w:divBdr>
    </w:div>
    <w:div w:id="1305617433">
      <w:bodyDiv w:val="1"/>
      <w:marLeft w:val="0"/>
      <w:marRight w:val="0"/>
      <w:marTop w:val="0"/>
      <w:marBottom w:val="0"/>
      <w:divBdr>
        <w:top w:val="none" w:sz="0" w:space="0" w:color="auto"/>
        <w:left w:val="none" w:sz="0" w:space="0" w:color="auto"/>
        <w:bottom w:val="none" w:sz="0" w:space="0" w:color="auto"/>
        <w:right w:val="none" w:sz="0" w:space="0" w:color="auto"/>
      </w:divBdr>
    </w:div>
    <w:div w:id="1326322943">
      <w:bodyDiv w:val="1"/>
      <w:marLeft w:val="0"/>
      <w:marRight w:val="0"/>
      <w:marTop w:val="0"/>
      <w:marBottom w:val="0"/>
      <w:divBdr>
        <w:top w:val="none" w:sz="0" w:space="0" w:color="auto"/>
        <w:left w:val="none" w:sz="0" w:space="0" w:color="auto"/>
        <w:bottom w:val="none" w:sz="0" w:space="0" w:color="auto"/>
        <w:right w:val="none" w:sz="0" w:space="0" w:color="auto"/>
      </w:divBdr>
    </w:div>
    <w:div w:id="1333145590">
      <w:bodyDiv w:val="1"/>
      <w:marLeft w:val="0"/>
      <w:marRight w:val="0"/>
      <w:marTop w:val="0"/>
      <w:marBottom w:val="0"/>
      <w:divBdr>
        <w:top w:val="none" w:sz="0" w:space="0" w:color="auto"/>
        <w:left w:val="none" w:sz="0" w:space="0" w:color="auto"/>
        <w:bottom w:val="none" w:sz="0" w:space="0" w:color="auto"/>
        <w:right w:val="none" w:sz="0" w:space="0" w:color="auto"/>
      </w:divBdr>
    </w:div>
    <w:div w:id="1337347239">
      <w:bodyDiv w:val="1"/>
      <w:marLeft w:val="0"/>
      <w:marRight w:val="0"/>
      <w:marTop w:val="0"/>
      <w:marBottom w:val="0"/>
      <w:divBdr>
        <w:top w:val="none" w:sz="0" w:space="0" w:color="auto"/>
        <w:left w:val="none" w:sz="0" w:space="0" w:color="auto"/>
        <w:bottom w:val="none" w:sz="0" w:space="0" w:color="auto"/>
        <w:right w:val="none" w:sz="0" w:space="0" w:color="auto"/>
      </w:divBdr>
    </w:div>
    <w:div w:id="1354113411">
      <w:bodyDiv w:val="1"/>
      <w:marLeft w:val="0"/>
      <w:marRight w:val="0"/>
      <w:marTop w:val="0"/>
      <w:marBottom w:val="0"/>
      <w:divBdr>
        <w:top w:val="none" w:sz="0" w:space="0" w:color="auto"/>
        <w:left w:val="none" w:sz="0" w:space="0" w:color="auto"/>
        <w:bottom w:val="none" w:sz="0" w:space="0" w:color="auto"/>
        <w:right w:val="none" w:sz="0" w:space="0" w:color="auto"/>
      </w:divBdr>
    </w:div>
    <w:div w:id="1354920698">
      <w:bodyDiv w:val="1"/>
      <w:marLeft w:val="0"/>
      <w:marRight w:val="0"/>
      <w:marTop w:val="0"/>
      <w:marBottom w:val="0"/>
      <w:divBdr>
        <w:top w:val="none" w:sz="0" w:space="0" w:color="auto"/>
        <w:left w:val="none" w:sz="0" w:space="0" w:color="auto"/>
        <w:bottom w:val="none" w:sz="0" w:space="0" w:color="auto"/>
        <w:right w:val="none" w:sz="0" w:space="0" w:color="auto"/>
      </w:divBdr>
    </w:div>
    <w:div w:id="1354964282">
      <w:bodyDiv w:val="1"/>
      <w:marLeft w:val="0"/>
      <w:marRight w:val="0"/>
      <w:marTop w:val="0"/>
      <w:marBottom w:val="0"/>
      <w:divBdr>
        <w:top w:val="none" w:sz="0" w:space="0" w:color="auto"/>
        <w:left w:val="none" w:sz="0" w:space="0" w:color="auto"/>
        <w:bottom w:val="none" w:sz="0" w:space="0" w:color="auto"/>
        <w:right w:val="none" w:sz="0" w:space="0" w:color="auto"/>
      </w:divBdr>
    </w:div>
    <w:div w:id="1364745163">
      <w:bodyDiv w:val="1"/>
      <w:marLeft w:val="0"/>
      <w:marRight w:val="0"/>
      <w:marTop w:val="0"/>
      <w:marBottom w:val="0"/>
      <w:divBdr>
        <w:top w:val="none" w:sz="0" w:space="0" w:color="auto"/>
        <w:left w:val="none" w:sz="0" w:space="0" w:color="auto"/>
        <w:bottom w:val="none" w:sz="0" w:space="0" w:color="auto"/>
        <w:right w:val="none" w:sz="0" w:space="0" w:color="auto"/>
      </w:divBdr>
    </w:div>
    <w:div w:id="1376155270">
      <w:bodyDiv w:val="1"/>
      <w:marLeft w:val="0"/>
      <w:marRight w:val="0"/>
      <w:marTop w:val="0"/>
      <w:marBottom w:val="0"/>
      <w:divBdr>
        <w:top w:val="none" w:sz="0" w:space="0" w:color="auto"/>
        <w:left w:val="none" w:sz="0" w:space="0" w:color="auto"/>
        <w:bottom w:val="none" w:sz="0" w:space="0" w:color="auto"/>
        <w:right w:val="none" w:sz="0" w:space="0" w:color="auto"/>
      </w:divBdr>
    </w:div>
    <w:div w:id="1389839618">
      <w:bodyDiv w:val="1"/>
      <w:marLeft w:val="0"/>
      <w:marRight w:val="0"/>
      <w:marTop w:val="0"/>
      <w:marBottom w:val="0"/>
      <w:divBdr>
        <w:top w:val="none" w:sz="0" w:space="0" w:color="auto"/>
        <w:left w:val="none" w:sz="0" w:space="0" w:color="auto"/>
        <w:bottom w:val="none" w:sz="0" w:space="0" w:color="auto"/>
        <w:right w:val="none" w:sz="0" w:space="0" w:color="auto"/>
      </w:divBdr>
    </w:div>
    <w:div w:id="1440759768">
      <w:bodyDiv w:val="1"/>
      <w:marLeft w:val="0"/>
      <w:marRight w:val="0"/>
      <w:marTop w:val="0"/>
      <w:marBottom w:val="0"/>
      <w:divBdr>
        <w:top w:val="none" w:sz="0" w:space="0" w:color="auto"/>
        <w:left w:val="none" w:sz="0" w:space="0" w:color="auto"/>
        <w:bottom w:val="none" w:sz="0" w:space="0" w:color="auto"/>
        <w:right w:val="none" w:sz="0" w:space="0" w:color="auto"/>
      </w:divBdr>
    </w:div>
    <w:div w:id="1463615964">
      <w:bodyDiv w:val="1"/>
      <w:marLeft w:val="0"/>
      <w:marRight w:val="0"/>
      <w:marTop w:val="0"/>
      <w:marBottom w:val="0"/>
      <w:divBdr>
        <w:top w:val="none" w:sz="0" w:space="0" w:color="auto"/>
        <w:left w:val="none" w:sz="0" w:space="0" w:color="auto"/>
        <w:bottom w:val="none" w:sz="0" w:space="0" w:color="auto"/>
        <w:right w:val="none" w:sz="0" w:space="0" w:color="auto"/>
      </w:divBdr>
    </w:div>
    <w:div w:id="1491752384">
      <w:bodyDiv w:val="1"/>
      <w:marLeft w:val="0"/>
      <w:marRight w:val="0"/>
      <w:marTop w:val="0"/>
      <w:marBottom w:val="0"/>
      <w:divBdr>
        <w:top w:val="none" w:sz="0" w:space="0" w:color="auto"/>
        <w:left w:val="none" w:sz="0" w:space="0" w:color="auto"/>
        <w:bottom w:val="none" w:sz="0" w:space="0" w:color="auto"/>
        <w:right w:val="none" w:sz="0" w:space="0" w:color="auto"/>
      </w:divBdr>
    </w:div>
    <w:div w:id="1545022793">
      <w:bodyDiv w:val="1"/>
      <w:marLeft w:val="0"/>
      <w:marRight w:val="0"/>
      <w:marTop w:val="0"/>
      <w:marBottom w:val="0"/>
      <w:divBdr>
        <w:top w:val="none" w:sz="0" w:space="0" w:color="auto"/>
        <w:left w:val="none" w:sz="0" w:space="0" w:color="auto"/>
        <w:bottom w:val="none" w:sz="0" w:space="0" w:color="auto"/>
        <w:right w:val="none" w:sz="0" w:space="0" w:color="auto"/>
      </w:divBdr>
    </w:div>
    <w:div w:id="1554347834">
      <w:bodyDiv w:val="1"/>
      <w:marLeft w:val="0"/>
      <w:marRight w:val="0"/>
      <w:marTop w:val="0"/>
      <w:marBottom w:val="0"/>
      <w:divBdr>
        <w:top w:val="none" w:sz="0" w:space="0" w:color="auto"/>
        <w:left w:val="none" w:sz="0" w:space="0" w:color="auto"/>
        <w:bottom w:val="none" w:sz="0" w:space="0" w:color="auto"/>
        <w:right w:val="none" w:sz="0" w:space="0" w:color="auto"/>
      </w:divBdr>
    </w:div>
    <w:div w:id="1567645912">
      <w:bodyDiv w:val="1"/>
      <w:marLeft w:val="0"/>
      <w:marRight w:val="0"/>
      <w:marTop w:val="0"/>
      <w:marBottom w:val="0"/>
      <w:divBdr>
        <w:top w:val="none" w:sz="0" w:space="0" w:color="auto"/>
        <w:left w:val="none" w:sz="0" w:space="0" w:color="auto"/>
        <w:bottom w:val="none" w:sz="0" w:space="0" w:color="auto"/>
        <w:right w:val="none" w:sz="0" w:space="0" w:color="auto"/>
      </w:divBdr>
    </w:div>
    <w:div w:id="1597328394">
      <w:bodyDiv w:val="1"/>
      <w:marLeft w:val="0"/>
      <w:marRight w:val="0"/>
      <w:marTop w:val="0"/>
      <w:marBottom w:val="0"/>
      <w:divBdr>
        <w:top w:val="none" w:sz="0" w:space="0" w:color="auto"/>
        <w:left w:val="none" w:sz="0" w:space="0" w:color="auto"/>
        <w:bottom w:val="none" w:sz="0" w:space="0" w:color="auto"/>
        <w:right w:val="none" w:sz="0" w:space="0" w:color="auto"/>
      </w:divBdr>
    </w:div>
    <w:div w:id="1604025150">
      <w:bodyDiv w:val="1"/>
      <w:marLeft w:val="0"/>
      <w:marRight w:val="0"/>
      <w:marTop w:val="0"/>
      <w:marBottom w:val="0"/>
      <w:divBdr>
        <w:top w:val="none" w:sz="0" w:space="0" w:color="auto"/>
        <w:left w:val="none" w:sz="0" w:space="0" w:color="auto"/>
        <w:bottom w:val="none" w:sz="0" w:space="0" w:color="auto"/>
        <w:right w:val="none" w:sz="0" w:space="0" w:color="auto"/>
      </w:divBdr>
    </w:div>
    <w:div w:id="1611158920">
      <w:bodyDiv w:val="1"/>
      <w:marLeft w:val="0"/>
      <w:marRight w:val="0"/>
      <w:marTop w:val="0"/>
      <w:marBottom w:val="0"/>
      <w:divBdr>
        <w:top w:val="none" w:sz="0" w:space="0" w:color="auto"/>
        <w:left w:val="none" w:sz="0" w:space="0" w:color="auto"/>
        <w:bottom w:val="none" w:sz="0" w:space="0" w:color="auto"/>
        <w:right w:val="none" w:sz="0" w:space="0" w:color="auto"/>
      </w:divBdr>
    </w:div>
    <w:div w:id="1613707148">
      <w:bodyDiv w:val="1"/>
      <w:marLeft w:val="0"/>
      <w:marRight w:val="0"/>
      <w:marTop w:val="0"/>
      <w:marBottom w:val="0"/>
      <w:divBdr>
        <w:top w:val="none" w:sz="0" w:space="0" w:color="auto"/>
        <w:left w:val="none" w:sz="0" w:space="0" w:color="auto"/>
        <w:bottom w:val="none" w:sz="0" w:space="0" w:color="auto"/>
        <w:right w:val="none" w:sz="0" w:space="0" w:color="auto"/>
      </w:divBdr>
    </w:div>
    <w:div w:id="1620137506">
      <w:bodyDiv w:val="1"/>
      <w:marLeft w:val="0"/>
      <w:marRight w:val="0"/>
      <w:marTop w:val="0"/>
      <w:marBottom w:val="0"/>
      <w:divBdr>
        <w:top w:val="none" w:sz="0" w:space="0" w:color="auto"/>
        <w:left w:val="none" w:sz="0" w:space="0" w:color="auto"/>
        <w:bottom w:val="none" w:sz="0" w:space="0" w:color="auto"/>
        <w:right w:val="none" w:sz="0" w:space="0" w:color="auto"/>
      </w:divBdr>
    </w:div>
    <w:div w:id="1623614160">
      <w:bodyDiv w:val="1"/>
      <w:marLeft w:val="0"/>
      <w:marRight w:val="0"/>
      <w:marTop w:val="0"/>
      <w:marBottom w:val="0"/>
      <w:divBdr>
        <w:top w:val="none" w:sz="0" w:space="0" w:color="auto"/>
        <w:left w:val="none" w:sz="0" w:space="0" w:color="auto"/>
        <w:bottom w:val="none" w:sz="0" w:space="0" w:color="auto"/>
        <w:right w:val="none" w:sz="0" w:space="0" w:color="auto"/>
      </w:divBdr>
    </w:div>
    <w:div w:id="1624725758">
      <w:bodyDiv w:val="1"/>
      <w:marLeft w:val="0"/>
      <w:marRight w:val="0"/>
      <w:marTop w:val="0"/>
      <w:marBottom w:val="0"/>
      <w:divBdr>
        <w:top w:val="none" w:sz="0" w:space="0" w:color="auto"/>
        <w:left w:val="none" w:sz="0" w:space="0" w:color="auto"/>
        <w:bottom w:val="none" w:sz="0" w:space="0" w:color="auto"/>
        <w:right w:val="none" w:sz="0" w:space="0" w:color="auto"/>
      </w:divBdr>
    </w:div>
    <w:div w:id="1625959940">
      <w:bodyDiv w:val="1"/>
      <w:marLeft w:val="0"/>
      <w:marRight w:val="0"/>
      <w:marTop w:val="0"/>
      <w:marBottom w:val="0"/>
      <w:divBdr>
        <w:top w:val="none" w:sz="0" w:space="0" w:color="auto"/>
        <w:left w:val="none" w:sz="0" w:space="0" w:color="auto"/>
        <w:bottom w:val="none" w:sz="0" w:space="0" w:color="auto"/>
        <w:right w:val="none" w:sz="0" w:space="0" w:color="auto"/>
      </w:divBdr>
    </w:div>
    <w:div w:id="1633361016">
      <w:bodyDiv w:val="1"/>
      <w:marLeft w:val="0"/>
      <w:marRight w:val="0"/>
      <w:marTop w:val="0"/>
      <w:marBottom w:val="0"/>
      <w:divBdr>
        <w:top w:val="none" w:sz="0" w:space="0" w:color="auto"/>
        <w:left w:val="none" w:sz="0" w:space="0" w:color="auto"/>
        <w:bottom w:val="none" w:sz="0" w:space="0" w:color="auto"/>
        <w:right w:val="none" w:sz="0" w:space="0" w:color="auto"/>
      </w:divBdr>
    </w:div>
    <w:div w:id="1638148279">
      <w:bodyDiv w:val="1"/>
      <w:marLeft w:val="0"/>
      <w:marRight w:val="0"/>
      <w:marTop w:val="0"/>
      <w:marBottom w:val="0"/>
      <w:divBdr>
        <w:top w:val="none" w:sz="0" w:space="0" w:color="auto"/>
        <w:left w:val="none" w:sz="0" w:space="0" w:color="auto"/>
        <w:bottom w:val="none" w:sz="0" w:space="0" w:color="auto"/>
        <w:right w:val="none" w:sz="0" w:space="0" w:color="auto"/>
      </w:divBdr>
    </w:div>
    <w:div w:id="1638954328">
      <w:bodyDiv w:val="1"/>
      <w:marLeft w:val="0"/>
      <w:marRight w:val="0"/>
      <w:marTop w:val="0"/>
      <w:marBottom w:val="0"/>
      <w:divBdr>
        <w:top w:val="none" w:sz="0" w:space="0" w:color="auto"/>
        <w:left w:val="none" w:sz="0" w:space="0" w:color="auto"/>
        <w:bottom w:val="none" w:sz="0" w:space="0" w:color="auto"/>
        <w:right w:val="none" w:sz="0" w:space="0" w:color="auto"/>
      </w:divBdr>
    </w:div>
    <w:div w:id="1647852198">
      <w:bodyDiv w:val="1"/>
      <w:marLeft w:val="0"/>
      <w:marRight w:val="0"/>
      <w:marTop w:val="0"/>
      <w:marBottom w:val="0"/>
      <w:divBdr>
        <w:top w:val="none" w:sz="0" w:space="0" w:color="auto"/>
        <w:left w:val="none" w:sz="0" w:space="0" w:color="auto"/>
        <w:bottom w:val="none" w:sz="0" w:space="0" w:color="auto"/>
        <w:right w:val="none" w:sz="0" w:space="0" w:color="auto"/>
      </w:divBdr>
    </w:div>
    <w:div w:id="1663239858">
      <w:bodyDiv w:val="1"/>
      <w:marLeft w:val="0"/>
      <w:marRight w:val="0"/>
      <w:marTop w:val="0"/>
      <w:marBottom w:val="0"/>
      <w:divBdr>
        <w:top w:val="none" w:sz="0" w:space="0" w:color="auto"/>
        <w:left w:val="none" w:sz="0" w:space="0" w:color="auto"/>
        <w:bottom w:val="none" w:sz="0" w:space="0" w:color="auto"/>
        <w:right w:val="none" w:sz="0" w:space="0" w:color="auto"/>
      </w:divBdr>
    </w:div>
    <w:div w:id="1702046531">
      <w:bodyDiv w:val="1"/>
      <w:marLeft w:val="0"/>
      <w:marRight w:val="0"/>
      <w:marTop w:val="0"/>
      <w:marBottom w:val="0"/>
      <w:divBdr>
        <w:top w:val="none" w:sz="0" w:space="0" w:color="auto"/>
        <w:left w:val="none" w:sz="0" w:space="0" w:color="auto"/>
        <w:bottom w:val="none" w:sz="0" w:space="0" w:color="auto"/>
        <w:right w:val="none" w:sz="0" w:space="0" w:color="auto"/>
      </w:divBdr>
    </w:div>
    <w:div w:id="1705977718">
      <w:bodyDiv w:val="1"/>
      <w:marLeft w:val="0"/>
      <w:marRight w:val="0"/>
      <w:marTop w:val="0"/>
      <w:marBottom w:val="0"/>
      <w:divBdr>
        <w:top w:val="none" w:sz="0" w:space="0" w:color="auto"/>
        <w:left w:val="none" w:sz="0" w:space="0" w:color="auto"/>
        <w:bottom w:val="none" w:sz="0" w:space="0" w:color="auto"/>
        <w:right w:val="none" w:sz="0" w:space="0" w:color="auto"/>
      </w:divBdr>
    </w:div>
    <w:div w:id="1712224345">
      <w:bodyDiv w:val="1"/>
      <w:marLeft w:val="0"/>
      <w:marRight w:val="0"/>
      <w:marTop w:val="0"/>
      <w:marBottom w:val="0"/>
      <w:divBdr>
        <w:top w:val="none" w:sz="0" w:space="0" w:color="auto"/>
        <w:left w:val="none" w:sz="0" w:space="0" w:color="auto"/>
        <w:bottom w:val="none" w:sz="0" w:space="0" w:color="auto"/>
        <w:right w:val="none" w:sz="0" w:space="0" w:color="auto"/>
      </w:divBdr>
    </w:div>
    <w:div w:id="1717309971">
      <w:bodyDiv w:val="1"/>
      <w:marLeft w:val="0"/>
      <w:marRight w:val="0"/>
      <w:marTop w:val="0"/>
      <w:marBottom w:val="0"/>
      <w:divBdr>
        <w:top w:val="none" w:sz="0" w:space="0" w:color="auto"/>
        <w:left w:val="none" w:sz="0" w:space="0" w:color="auto"/>
        <w:bottom w:val="none" w:sz="0" w:space="0" w:color="auto"/>
        <w:right w:val="none" w:sz="0" w:space="0" w:color="auto"/>
      </w:divBdr>
    </w:div>
    <w:div w:id="1750927413">
      <w:bodyDiv w:val="1"/>
      <w:marLeft w:val="0"/>
      <w:marRight w:val="0"/>
      <w:marTop w:val="0"/>
      <w:marBottom w:val="0"/>
      <w:divBdr>
        <w:top w:val="none" w:sz="0" w:space="0" w:color="auto"/>
        <w:left w:val="none" w:sz="0" w:space="0" w:color="auto"/>
        <w:bottom w:val="none" w:sz="0" w:space="0" w:color="auto"/>
        <w:right w:val="none" w:sz="0" w:space="0" w:color="auto"/>
      </w:divBdr>
    </w:div>
    <w:div w:id="1757478944">
      <w:bodyDiv w:val="1"/>
      <w:marLeft w:val="0"/>
      <w:marRight w:val="0"/>
      <w:marTop w:val="0"/>
      <w:marBottom w:val="0"/>
      <w:divBdr>
        <w:top w:val="none" w:sz="0" w:space="0" w:color="auto"/>
        <w:left w:val="none" w:sz="0" w:space="0" w:color="auto"/>
        <w:bottom w:val="none" w:sz="0" w:space="0" w:color="auto"/>
        <w:right w:val="none" w:sz="0" w:space="0" w:color="auto"/>
      </w:divBdr>
    </w:div>
    <w:div w:id="1764186281">
      <w:bodyDiv w:val="1"/>
      <w:marLeft w:val="0"/>
      <w:marRight w:val="0"/>
      <w:marTop w:val="0"/>
      <w:marBottom w:val="0"/>
      <w:divBdr>
        <w:top w:val="none" w:sz="0" w:space="0" w:color="auto"/>
        <w:left w:val="none" w:sz="0" w:space="0" w:color="auto"/>
        <w:bottom w:val="none" w:sz="0" w:space="0" w:color="auto"/>
        <w:right w:val="none" w:sz="0" w:space="0" w:color="auto"/>
      </w:divBdr>
    </w:div>
    <w:div w:id="1766533705">
      <w:bodyDiv w:val="1"/>
      <w:marLeft w:val="0"/>
      <w:marRight w:val="0"/>
      <w:marTop w:val="0"/>
      <w:marBottom w:val="0"/>
      <w:divBdr>
        <w:top w:val="none" w:sz="0" w:space="0" w:color="auto"/>
        <w:left w:val="none" w:sz="0" w:space="0" w:color="auto"/>
        <w:bottom w:val="none" w:sz="0" w:space="0" w:color="auto"/>
        <w:right w:val="none" w:sz="0" w:space="0" w:color="auto"/>
      </w:divBdr>
    </w:div>
    <w:div w:id="1770078629">
      <w:bodyDiv w:val="1"/>
      <w:marLeft w:val="0"/>
      <w:marRight w:val="0"/>
      <w:marTop w:val="0"/>
      <w:marBottom w:val="0"/>
      <w:divBdr>
        <w:top w:val="none" w:sz="0" w:space="0" w:color="auto"/>
        <w:left w:val="none" w:sz="0" w:space="0" w:color="auto"/>
        <w:bottom w:val="none" w:sz="0" w:space="0" w:color="auto"/>
        <w:right w:val="none" w:sz="0" w:space="0" w:color="auto"/>
      </w:divBdr>
    </w:div>
    <w:div w:id="1777364054">
      <w:bodyDiv w:val="1"/>
      <w:marLeft w:val="0"/>
      <w:marRight w:val="0"/>
      <w:marTop w:val="0"/>
      <w:marBottom w:val="0"/>
      <w:divBdr>
        <w:top w:val="none" w:sz="0" w:space="0" w:color="auto"/>
        <w:left w:val="none" w:sz="0" w:space="0" w:color="auto"/>
        <w:bottom w:val="none" w:sz="0" w:space="0" w:color="auto"/>
        <w:right w:val="none" w:sz="0" w:space="0" w:color="auto"/>
      </w:divBdr>
    </w:div>
    <w:div w:id="1790051896">
      <w:bodyDiv w:val="1"/>
      <w:marLeft w:val="0"/>
      <w:marRight w:val="0"/>
      <w:marTop w:val="0"/>
      <w:marBottom w:val="0"/>
      <w:divBdr>
        <w:top w:val="none" w:sz="0" w:space="0" w:color="auto"/>
        <w:left w:val="none" w:sz="0" w:space="0" w:color="auto"/>
        <w:bottom w:val="none" w:sz="0" w:space="0" w:color="auto"/>
        <w:right w:val="none" w:sz="0" w:space="0" w:color="auto"/>
      </w:divBdr>
    </w:div>
    <w:div w:id="1794324634">
      <w:bodyDiv w:val="1"/>
      <w:marLeft w:val="0"/>
      <w:marRight w:val="0"/>
      <w:marTop w:val="0"/>
      <w:marBottom w:val="0"/>
      <w:divBdr>
        <w:top w:val="none" w:sz="0" w:space="0" w:color="auto"/>
        <w:left w:val="none" w:sz="0" w:space="0" w:color="auto"/>
        <w:bottom w:val="none" w:sz="0" w:space="0" w:color="auto"/>
        <w:right w:val="none" w:sz="0" w:space="0" w:color="auto"/>
      </w:divBdr>
    </w:div>
    <w:div w:id="1796555833">
      <w:bodyDiv w:val="1"/>
      <w:marLeft w:val="0"/>
      <w:marRight w:val="0"/>
      <w:marTop w:val="0"/>
      <w:marBottom w:val="0"/>
      <w:divBdr>
        <w:top w:val="none" w:sz="0" w:space="0" w:color="auto"/>
        <w:left w:val="none" w:sz="0" w:space="0" w:color="auto"/>
        <w:bottom w:val="none" w:sz="0" w:space="0" w:color="auto"/>
        <w:right w:val="none" w:sz="0" w:space="0" w:color="auto"/>
      </w:divBdr>
    </w:div>
    <w:div w:id="1815637067">
      <w:bodyDiv w:val="1"/>
      <w:marLeft w:val="0"/>
      <w:marRight w:val="0"/>
      <w:marTop w:val="0"/>
      <w:marBottom w:val="0"/>
      <w:divBdr>
        <w:top w:val="none" w:sz="0" w:space="0" w:color="auto"/>
        <w:left w:val="none" w:sz="0" w:space="0" w:color="auto"/>
        <w:bottom w:val="none" w:sz="0" w:space="0" w:color="auto"/>
        <w:right w:val="none" w:sz="0" w:space="0" w:color="auto"/>
      </w:divBdr>
    </w:div>
    <w:div w:id="1837071008">
      <w:bodyDiv w:val="1"/>
      <w:marLeft w:val="0"/>
      <w:marRight w:val="0"/>
      <w:marTop w:val="0"/>
      <w:marBottom w:val="0"/>
      <w:divBdr>
        <w:top w:val="none" w:sz="0" w:space="0" w:color="auto"/>
        <w:left w:val="none" w:sz="0" w:space="0" w:color="auto"/>
        <w:bottom w:val="none" w:sz="0" w:space="0" w:color="auto"/>
        <w:right w:val="none" w:sz="0" w:space="0" w:color="auto"/>
      </w:divBdr>
    </w:div>
    <w:div w:id="1845049298">
      <w:bodyDiv w:val="1"/>
      <w:marLeft w:val="0"/>
      <w:marRight w:val="0"/>
      <w:marTop w:val="0"/>
      <w:marBottom w:val="0"/>
      <w:divBdr>
        <w:top w:val="none" w:sz="0" w:space="0" w:color="auto"/>
        <w:left w:val="none" w:sz="0" w:space="0" w:color="auto"/>
        <w:bottom w:val="none" w:sz="0" w:space="0" w:color="auto"/>
        <w:right w:val="none" w:sz="0" w:space="0" w:color="auto"/>
      </w:divBdr>
    </w:div>
    <w:div w:id="1857573180">
      <w:bodyDiv w:val="1"/>
      <w:marLeft w:val="0"/>
      <w:marRight w:val="0"/>
      <w:marTop w:val="0"/>
      <w:marBottom w:val="0"/>
      <w:divBdr>
        <w:top w:val="none" w:sz="0" w:space="0" w:color="auto"/>
        <w:left w:val="none" w:sz="0" w:space="0" w:color="auto"/>
        <w:bottom w:val="none" w:sz="0" w:space="0" w:color="auto"/>
        <w:right w:val="none" w:sz="0" w:space="0" w:color="auto"/>
      </w:divBdr>
    </w:div>
    <w:div w:id="1861234424">
      <w:bodyDiv w:val="1"/>
      <w:marLeft w:val="0"/>
      <w:marRight w:val="0"/>
      <w:marTop w:val="0"/>
      <w:marBottom w:val="0"/>
      <w:divBdr>
        <w:top w:val="none" w:sz="0" w:space="0" w:color="auto"/>
        <w:left w:val="none" w:sz="0" w:space="0" w:color="auto"/>
        <w:bottom w:val="none" w:sz="0" w:space="0" w:color="auto"/>
        <w:right w:val="none" w:sz="0" w:space="0" w:color="auto"/>
      </w:divBdr>
    </w:div>
    <w:div w:id="1876893489">
      <w:bodyDiv w:val="1"/>
      <w:marLeft w:val="0"/>
      <w:marRight w:val="0"/>
      <w:marTop w:val="0"/>
      <w:marBottom w:val="0"/>
      <w:divBdr>
        <w:top w:val="none" w:sz="0" w:space="0" w:color="auto"/>
        <w:left w:val="none" w:sz="0" w:space="0" w:color="auto"/>
        <w:bottom w:val="none" w:sz="0" w:space="0" w:color="auto"/>
        <w:right w:val="none" w:sz="0" w:space="0" w:color="auto"/>
      </w:divBdr>
    </w:div>
    <w:div w:id="1883056497">
      <w:bodyDiv w:val="1"/>
      <w:marLeft w:val="0"/>
      <w:marRight w:val="0"/>
      <w:marTop w:val="0"/>
      <w:marBottom w:val="0"/>
      <w:divBdr>
        <w:top w:val="none" w:sz="0" w:space="0" w:color="auto"/>
        <w:left w:val="none" w:sz="0" w:space="0" w:color="auto"/>
        <w:bottom w:val="none" w:sz="0" w:space="0" w:color="auto"/>
        <w:right w:val="none" w:sz="0" w:space="0" w:color="auto"/>
      </w:divBdr>
    </w:div>
    <w:div w:id="1899053473">
      <w:bodyDiv w:val="1"/>
      <w:marLeft w:val="0"/>
      <w:marRight w:val="0"/>
      <w:marTop w:val="0"/>
      <w:marBottom w:val="0"/>
      <w:divBdr>
        <w:top w:val="none" w:sz="0" w:space="0" w:color="auto"/>
        <w:left w:val="none" w:sz="0" w:space="0" w:color="auto"/>
        <w:bottom w:val="none" w:sz="0" w:space="0" w:color="auto"/>
        <w:right w:val="none" w:sz="0" w:space="0" w:color="auto"/>
      </w:divBdr>
    </w:div>
    <w:div w:id="1905524800">
      <w:bodyDiv w:val="1"/>
      <w:marLeft w:val="0"/>
      <w:marRight w:val="0"/>
      <w:marTop w:val="0"/>
      <w:marBottom w:val="0"/>
      <w:divBdr>
        <w:top w:val="none" w:sz="0" w:space="0" w:color="auto"/>
        <w:left w:val="none" w:sz="0" w:space="0" w:color="auto"/>
        <w:bottom w:val="none" w:sz="0" w:space="0" w:color="auto"/>
        <w:right w:val="none" w:sz="0" w:space="0" w:color="auto"/>
      </w:divBdr>
    </w:div>
    <w:div w:id="1905794311">
      <w:bodyDiv w:val="1"/>
      <w:marLeft w:val="0"/>
      <w:marRight w:val="0"/>
      <w:marTop w:val="0"/>
      <w:marBottom w:val="0"/>
      <w:divBdr>
        <w:top w:val="none" w:sz="0" w:space="0" w:color="auto"/>
        <w:left w:val="none" w:sz="0" w:space="0" w:color="auto"/>
        <w:bottom w:val="none" w:sz="0" w:space="0" w:color="auto"/>
        <w:right w:val="none" w:sz="0" w:space="0" w:color="auto"/>
      </w:divBdr>
    </w:div>
    <w:div w:id="1925257352">
      <w:bodyDiv w:val="1"/>
      <w:marLeft w:val="0"/>
      <w:marRight w:val="0"/>
      <w:marTop w:val="0"/>
      <w:marBottom w:val="0"/>
      <w:divBdr>
        <w:top w:val="none" w:sz="0" w:space="0" w:color="auto"/>
        <w:left w:val="none" w:sz="0" w:space="0" w:color="auto"/>
        <w:bottom w:val="none" w:sz="0" w:space="0" w:color="auto"/>
        <w:right w:val="none" w:sz="0" w:space="0" w:color="auto"/>
      </w:divBdr>
    </w:div>
    <w:div w:id="1952131605">
      <w:bodyDiv w:val="1"/>
      <w:marLeft w:val="0"/>
      <w:marRight w:val="0"/>
      <w:marTop w:val="0"/>
      <w:marBottom w:val="0"/>
      <w:divBdr>
        <w:top w:val="none" w:sz="0" w:space="0" w:color="auto"/>
        <w:left w:val="none" w:sz="0" w:space="0" w:color="auto"/>
        <w:bottom w:val="none" w:sz="0" w:space="0" w:color="auto"/>
        <w:right w:val="none" w:sz="0" w:space="0" w:color="auto"/>
      </w:divBdr>
    </w:div>
    <w:div w:id="1959098429">
      <w:bodyDiv w:val="1"/>
      <w:marLeft w:val="0"/>
      <w:marRight w:val="0"/>
      <w:marTop w:val="0"/>
      <w:marBottom w:val="0"/>
      <w:divBdr>
        <w:top w:val="none" w:sz="0" w:space="0" w:color="auto"/>
        <w:left w:val="none" w:sz="0" w:space="0" w:color="auto"/>
        <w:bottom w:val="none" w:sz="0" w:space="0" w:color="auto"/>
        <w:right w:val="none" w:sz="0" w:space="0" w:color="auto"/>
      </w:divBdr>
    </w:div>
    <w:div w:id="1968272258">
      <w:bodyDiv w:val="1"/>
      <w:marLeft w:val="0"/>
      <w:marRight w:val="0"/>
      <w:marTop w:val="0"/>
      <w:marBottom w:val="0"/>
      <w:divBdr>
        <w:top w:val="none" w:sz="0" w:space="0" w:color="auto"/>
        <w:left w:val="none" w:sz="0" w:space="0" w:color="auto"/>
        <w:bottom w:val="none" w:sz="0" w:space="0" w:color="auto"/>
        <w:right w:val="none" w:sz="0" w:space="0" w:color="auto"/>
      </w:divBdr>
    </w:div>
    <w:div w:id="1974217344">
      <w:bodyDiv w:val="1"/>
      <w:marLeft w:val="0"/>
      <w:marRight w:val="0"/>
      <w:marTop w:val="0"/>
      <w:marBottom w:val="0"/>
      <w:divBdr>
        <w:top w:val="none" w:sz="0" w:space="0" w:color="auto"/>
        <w:left w:val="none" w:sz="0" w:space="0" w:color="auto"/>
        <w:bottom w:val="none" w:sz="0" w:space="0" w:color="auto"/>
        <w:right w:val="none" w:sz="0" w:space="0" w:color="auto"/>
      </w:divBdr>
    </w:div>
    <w:div w:id="2025395027">
      <w:bodyDiv w:val="1"/>
      <w:marLeft w:val="0"/>
      <w:marRight w:val="0"/>
      <w:marTop w:val="0"/>
      <w:marBottom w:val="0"/>
      <w:divBdr>
        <w:top w:val="none" w:sz="0" w:space="0" w:color="auto"/>
        <w:left w:val="none" w:sz="0" w:space="0" w:color="auto"/>
        <w:bottom w:val="none" w:sz="0" w:space="0" w:color="auto"/>
        <w:right w:val="none" w:sz="0" w:space="0" w:color="auto"/>
      </w:divBdr>
    </w:div>
    <w:div w:id="2035492622">
      <w:bodyDiv w:val="1"/>
      <w:marLeft w:val="0"/>
      <w:marRight w:val="0"/>
      <w:marTop w:val="0"/>
      <w:marBottom w:val="0"/>
      <w:divBdr>
        <w:top w:val="none" w:sz="0" w:space="0" w:color="auto"/>
        <w:left w:val="none" w:sz="0" w:space="0" w:color="auto"/>
        <w:bottom w:val="none" w:sz="0" w:space="0" w:color="auto"/>
        <w:right w:val="none" w:sz="0" w:space="0" w:color="auto"/>
      </w:divBdr>
    </w:div>
    <w:div w:id="2047758258">
      <w:bodyDiv w:val="1"/>
      <w:marLeft w:val="0"/>
      <w:marRight w:val="0"/>
      <w:marTop w:val="0"/>
      <w:marBottom w:val="0"/>
      <w:divBdr>
        <w:top w:val="none" w:sz="0" w:space="0" w:color="auto"/>
        <w:left w:val="none" w:sz="0" w:space="0" w:color="auto"/>
        <w:bottom w:val="none" w:sz="0" w:space="0" w:color="auto"/>
        <w:right w:val="none" w:sz="0" w:space="0" w:color="auto"/>
      </w:divBdr>
    </w:div>
    <w:div w:id="2051149401">
      <w:bodyDiv w:val="1"/>
      <w:marLeft w:val="0"/>
      <w:marRight w:val="0"/>
      <w:marTop w:val="0"/>
      <w:marBottom w:val="0"/>
      <w:divBdr>
        <w:top w:val="none" w:sz="0" w:space="0" w:color="auto"/>
        <w:left w:val="none" w:sz="0" w:space="0" w:color="auto"/>
        <w:bottom w:val="none" w:sz="0" w:space="0" w:color="auto"/>
        <w:right w:val="none" w:sz="0" w:space="0" w:color="auto"/>
      </w:divBdr>
    </w:div>
    <w:div w:id="2075157493">
      <w:bodyDiv w:val="1"/>
      <w:marLeft w:val="0"/>
      <w:marRight w:val="0"/>
      <w:marTop w:val="0"/>
      <w:marBottom w:val="0"/>
      <w:divBdr>
        <w:top w:val="none" w:sz="0" w:space="0" w:color="auto"/>
        <w:left w:val="none" w:sz="0" w:space="0" w:color="auto"/>
        <w:bottom w:val="none" w:sz="0" w:space="0" w:color="auto"/>
        <w:right w:val="none" w:sz="0" w:space="0" w:color="auto"/>
      </w:divBdr>
    </w:div>
    <w:div w:id="2084446285">
      <w:bodyDiv w:val="1"/>
      <w:marLeft w:val="0"/>
      <w:marRight w:val="0"/>
      <w:marTop w:val="0"/>
      <w:marBottom w:val="0"/>
      <w:divBdr>
        <w:top w:val="none" w:sz="0" w:space="0" w:color="auto"/>
        <w:left w:val="none" w:sz="0" w:space="0" w:color="auto"/>
        <w:bottom w:val="none" w:sz="0" w:space="0" w:color="auto"/>
        <w:right w:val="none" w:sz="0" w:space="0" w:color="auto"/>
      </w:divBdr>
    </w:div>
    <w:div w:id="2084833600">
      <w:bodyDiv w:val="1"/>
      <w:marLeft w:val="0"/>
      <w:marRight w:val="0"/>
      <w:marTop w:val="0"/>
      <w:marBottom w:val="0"/>
      <w:divBdr>
        <w:top w:val="none" w:sz="0" w:space="0" w:color="auto"/>
        <w:left w:val="none" w:sz="0" w:space="0" w:color="auto"/>
        <w:bottom w:val="none" w:sz="0" w:space="0" w:color="auto"/>
        <w:right w:val="none" w:sz="0" w:space="0" w:color="auto"/>
      </w:divBdr>
    </w:div>
    <w:div w:id="2096390529">
      <w:bodyDiv w:val="1"/>
      <w:marLeft w:val="0"/>
      <w:marRight w:val="0"/>
      <w:marTop w:val="0"/>
      <w:marBottom w:val="0"/>
      <w:divBdr>
        <w:top w:val="none" w:sz="0" w:space="0" w:color="auto"/>
        <w:left w:val="none" w:sz="0" w:space="0" w:color="auto"/>
        <w:bottom w:val="none" w:sz="0" w:space="0" w:color="auto"/>
        <w:right w:val="none" w:sz="0" w:space="0" w:color="auto"/>
      </w:divBdr>
    </w:div>
    <w:div w:id="2103453849">
      <w:bodyDiv w:val="1"/>
      <w:marLeft w:val="0"/>
      <w:marRight w:val="0"/>
      <w:marTop w:val="0"/>
      <w:marBottom w:val="0"/>
      <w:divBdr>
        <w:top w:val="none" w:sz="0" w:space="0" w:color="auto"/>
        <w:left w:val="none" w:sz="0" w:space="0" w:color="auto"/>
        <w:bottom w:val="none" w:sz="0" w:space="0" w:color="auto"/>
        <w:right w:val="none" w:sz="0" w:space="0" w:color="auto"/>
      </w:divBdr>
    </w:div>
    <w:div w:id="2122912254">
      <w:bodyDiv w:val="1"/>
      <w:marLeft w:val="0"/>
      <w:marRight w:val="0"/>
      <w:marTop w:val="0"/>
      <w:marBottom w:val="0"/>
      <w:divBdr>
        <w:top w:val="none" w:sz="0" w:space="0" w:color="auto"/>
        <w:left w:val="none" w:sz="0" w:space="0" w:color="auto"/>
        <w:bottom w:val="none" w:sz="0" w:space="0" w:color="auto"/>
        <w:right w:val="none" w:sz="0" w:space="0" w:color="auto"/>
      </w:divBdr>
    </w:div>
    <w:div w:id="2135637136">
      <w:bodyDiv w:val="1"/>
      <w:marLeft w:val="0"/>
      <w:marRight w:val="0"/>
      <w:marTop w:val="0"/>
      <w:marBottom w:val="0"/>
      <w:divBdr>
        <w:top w:val="none" w:sz="0" w:space="0" w:color="auto"/>
        <w:left w:val="none" w:sz="0" w:space="0" w:color="auto"/>
        <w:bottom w:val="none" w:sz="0" w:space="0" w:color="auto"/>
        <w:right w:val="none" w:sz="0" w:space="0" w:color="auto"/>
      </w:divBdr>
    </w:div>
    <w:div w:id="2142644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
      <w:docPartPr>
        <w:name w:val="422BC06E216F4B4FADCDDA78CF4598BE"/>
        <w:category>
          <w:name w:val="General"/>
          <w:gallery w:val="placeholder"/>
        </w:category>
        <w:types>
          <w:type w:val="bbPlcHdr"/>
        </w:types>
        <w:behaviors>
          <w:behavior w:val="content"/>
        </w:behaviors>
        <w:guid w:val="{49FCB97B-789F-459A-86C0-55DC7E7B3844}"/>
      </w:docPartPr>
      <w:docPartBody>
        <w:p w:rsidR="00B80871" w:rsidRDefault="00B80871" w:rsidP="00B80871">
          <w:pPr>
            <w:pStyle w:val="422BC06E216F4B4FADCDDA78CF4598BE"/>
          </w:pPr>
          <w:r>
            <w:rPr>
              <w:color w:val="404040" w:themeColor="text1" w:themeTint="BF"/>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129A7"/>
    <w:rsid w:val="00145AD8"/>
    <w:rsid w:val="00233C8B"/>
    <w:rsid w:val="00242260"/>
    <w:rsid w:val="002450A7"/>
    <w:rsid w:val="0027280E"/>
    <w:rsid w:val="003203C2"/>
    <w:rsid w:val="003B2E65"/>
    <w:rsid w:val="00477A50"/>
    <w:rsid w:val="004D25D2"/>
    <w:rsid w:val="0078655A"/>
    <w:rsid w:val="007E7F70"/>
    <w:rsid w:val="0085646C"/>
    <w:rsid w:val="00860DDC"/>
    <w:rsid w:val="008920ED"/>
    <w:rsid w:val="008B501A"/>
    <w:rsid w:val="0098446E"/>
    <w:rsid w:val="009B6829"/>
    <w:rsid w:val="009D7389"/>
    <w:rsid w:val="00A34C42"/>
    <w:rsid w:val="00B652B8"/>
    <w:rsid w:val="00B80871"/>
    <w:rsid w:val="00BC1251"/>
    <w:rsid w:val="00BC6131"/>
    <w:rsid w:val="00BD2BF8"/>
    <w:rsid w:val="00C67429"/>
    <w:rsid w:val="00E07463"/>
    <w:rsid w:val="00F216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422BC06E216F4B4FADCDDA78CF4598BE">
    <w:name w:val="422BC06E216F4B4FADCDDA78CF4598BE"/>
    <w:rsid w:val="00B80871"/>
    <w:pPr>
      <w:spacing w:line="278" w:lineRule="auto"/>
    </w:pPr>
    <w:rPr>
      <w:kern w:val="2"/>
      <w:sz w:val="24"/>
      <w:szCs w:val="24"/>
      <w14:ligatures w14:val="standardContextual"/>
    </w:rPr>
  </w:style>
  <w:style w:type="character" w:styleId="PlaceholderText">
    <w:name w:val="Placeholder Text"/>
    <w:basedOn w:val="DefaultParagraphFont"/>
    <w:uiPriority w:val="99"/>
    <w:semiHidden/>
    <w:rsid w:val="00B80871"/>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Mul16</b:Tag>
    <b:SourceType>Book</b:SourceType>
    <b:Guid>{BCFF3D6C-5AE2-467B-BD53-311F1C99B47C}</b:Guid>
    <b:Author>
      <b:Author>
        <b:NameList>
          <b:Person>
            <b:Last>Mullins</b:Last>
            <b:First>L.J</b:First>
          </b:Person>
        </b:NameList>
      </b:Author>
    </b:Author>
    <b:Title>Management and Organisation Behaviour</b:Title>
    <b:Year>2016</b:Year>
    <b:City>Harlow</b:City>
    <b:Publisher>Pearson Education</b:Publisher>
    <b:RefOrder>5</b:RefOrder>
  </b:Source>
  <b:Source>
    <b:Tag>Ada79</b:Tag>
    <b:SourceType>Book</b:SourceType>
    <b:Guid>{A77464EF-6112-4FDF-AE03-89A6D9DD2A4F}</b:Guid>
    <b:Author>
      <b:Author>
        <b:NameList>
          <b:Person>
            <b:Last>Adair</b:Last>
            <b:First>J.</b:First>
          </b:Person>
        </b:NameList>
      </b:Author>
    </b:Author>
    <b:Title>Action Centred Leadership</b:Title>
    <b:Year>1979</b:Year>
    <b:City>Aldershot</b:City>
    <b:Publisher>Gower Publishing</b:Publisher>
    <b:RefOrder>15</b:RefOrder>
  </b:Source>
  <b:Source>
    <b:Tag>McG60</b:Tag>
    <b:SourceType>Book</b:SourceType>
    <b:Guid>{37212450-874D-449A-97D3-C6492A70EDE3}</b:Guid>
    <b:Author>
      <b:Author>
        <b:NameList>
          <b:Person>
            <b:Last>McGregor</b:Last>
            <b:First>D.</b:First>
          </b:Person>
        </b:NameList>
      </b:Author>
    </b:Author>
    <b:Title>The Human Side of Enterprise</b:Title>
    <b:Year>1960</b:Year>
    <b:City>New York</b:City>
    <b:Publisher>McGraw-Hill</b:Publisher>
    <b:RefOrder>16</b:RefOrder>
  </b:Source>
  <b:Source>
    <b:Tag>Bur17</b:Tag>
    <b:SourceType>Book</b:SourceType>
    <b:Guid>{4262A850-2968-4B67-9C63-171969B5DF92}</b:Guid>
    <b:Author>
      <b:Author>
        <b:NameList>
          <b:Person>
            <b:Last>Burnes</b:Last>
            <b:First>B.</b:First>
          </b:Person>
        </b:NameList>
      </b:Author>
    </b:Author>
    <b:Title>Managing Change</b:Title>
    <b:Year>2017</b:Year>
    <b:City>Harlow</b:City>
    <b:Publisher>Pearson Education</b:Publisher>
    <b:RefOrder>4</b:RefOrder>
  </b:Source>
  <b:Source>
    <b:Tag>Rob22</b:Tag>
    <b:SourceType>Book</b:SourceType>
    <b:Guid>{CD4A368B-3F69-45BF-8675-6EAD2788EC53}</b:Guid>
    <b:Author>
      <b:Author>
        <b:NameList>
          <b:Person>
            <b:Last>Robbins</b:Last>
            <b:First>S.P.</b:First>
            <b:Middle>and Judge, T.A.</b:Middle>
          </b:Person>
        </b:NameList>
      </b:Author>
    </b:Author>
    <b:Title>Organisation Behaviour</b:Title>
    <b:Year>2022</b:Year>
    <b:City>Harlow</b:City>
    <b:Publisher>Pearson Education</b:Publisher>
    <b:RefOrder>17</b:RefOrder>
  </b:Source>
  <b:Source>
    <b:Tag>Cam19</b:Tag>
    <b:SourceType>Book</b:SourceType>
    <b:Guid>{5A195D85-BC1B-4016-8A77-AD8A7F8B4425}</b:Guid>
    <b:Author>
      <b:Author>
        <b:NameList>
          <b:Person>
            <b:Last>Cameron</b:Last>
            <b:First>E.</b:First>
            <b:Middle>and Green, M.</b:Middle>
          </b:Person>
        </b:NameList>
      </b:Author>
    </b:Author>
    <b:Title>Making Sense of Change Management</b:Title>
    <b:Year>2019</b:Year>
    <b:City>London</b:City>
    <b:Publisher>Kogan Page</b:Publisher>
    <b:RefOrder>9</b:RefOrder>
  </b:Source>
  <b:Source>
    <b:Tag>Yuk13</b:Tag>
    <b:SourceType>Book</b:SourceType>
    <b:Guid>{524D4C11-4B70-4EED-AD37-59BDF7B4896A}</b:Guid>
    <b:Author>
      <b:Author>
        <b:NameList>
          <b:Person>
            <b:Last>Yukl</b:Last>
            <b:First>G.</b:First>
          </b:Person>
        </b:NameList>
      </b:Author>
    </b:Author>
    <b:Title>Leadership in Organisations</b:Title>
    <b:Year>2013</b:Year>
    <b:City>Harlow</b:City>
    <b:Publisher>Pearson Education</b:Publisher>
    <b:RefOrder>14</b:RefOrder>
  </b:Source>
  <b:Source>
    <b:Tag>Fre19</b:Tag>
    <b:SourceType>Book</b:SourceType>
    <b:Guid>{FAEC83A6-9ADC-4F51-BC05-4AE9C7CF2118}</b:Guid>
    <b:Author>
      <b:Author>
        <b:NameList>
          <b:Person>
            <b:Last>French</b:Last>
            <b:First>W.L.,</b:First>
            <b:Middle>Bell, C.H. and Vohra, V.</b:Middle>
          </b:Person>
        </b:NameList>
      </b:Author>
    </b:Author>
    <b:Title>Organisation Development</b:Title>
    <b:Year>2019</b:Year>
    <b:City>Noida</b:City>
    <b:Publisher>Pearson</b:Publisher>
    <b:RefOrder>7</b:RefOrder>
  </b:Source>
  <b:Source>
    <b:Tag>Bas94</b:Tag>
    <b:SourceType>Book</b:SourceType>
    <b:Guid>{18797555-C81F-4F14-81E7-762C43DF0F18}</b:Guid>
    <b:Author>
      <b:Author>
        <b:NameList>
          <b:Person>
            <b:Last>Bass</b:Last>
            <b:First>B.M.</b:First>
            <b:Middle>and Avolio, B.J.</b:Middle>
          </b:Person>
        </b:NameList>
      </b:Author>
    </b:Author>
    <b:Title>Improving Organisational Effectiveness through Transformational Leadership</b:Title>
    <b:Year>1994</b:Year>
    <b:City>Thousand Oaks, CA</b:City>
    <b:Publisher>Sage Publications</b:Publisher>
    <b:RefOrder>12</b:RefOrder>
  </b:Source>
  <b:Source>
    <b:Tag>Mas43</b:Tag>
    <b:SourceType>JournalArticle</b:SourceType>
    <b:Guid>{39E4C2CE-F0CF-4BE5-8931-840B411E2F3E}</b:Guid>
    <b:Title>A theory of human motivation</b:Title>
    <b:Year>1943</b:Year>
    <b:Author>
      <b:Author>
        <b:NameList>
          <b:Person>
            <b:Last>Maslow</b:Last>
            <b:First>A.H.</b:First>
          </b:Person>
        </b:NameList>
      </b:Author>
    </b:Author>
    <b:JournalName>Psychological Review</b:JournalName>
    <b:Pages>370-396</b:Pages>
    <b:Issue>4</b:Issue>
    <b:RefOrder>18</b:RefOrder>
  </b:Source>
  <b:Source>
    <b:Tag>Gol00</b:Tag>
    <b:SourceType>JournalArticle</b:SourceType>
    <b:Guid>{F6E28406-BFB4-4EB0-92EE-4718A73C95D7}</b:Guid>
    <b:Author>
      <b:Author>
        <b:NameList>
          <b:Person>
            <b:Last>Goleman</b:Last>
            <b:First>D.</b:First>
          </b:Person>
        </b:NameList>
      </b:Author>
    </b:Author>
    <b:Title>Leadership that gets results</b:Title>
    <b:JournalName>Harvard Business Review</b:JournalName>
    <b:Year>2000</b:Year>
    <b:Pages>78-90</b:Pages>
    <b:Issue>2</b:Issue>
    <b:RefOrder>19</b:RefOrder>
  </b:Source>
  <b:Source>
    <b:Tag>Arm99</b:Tag>
    <b:SourceType>JournalArticle</b:SourceType>
    <b:Guid>{B75BCE77-982F-4CF6-9B7C-A0E7310F81BC}</b:Guid>
    <b:Author>
      <b:Author>
        <b:NameList>
          <b:Person>
            <b:Last>Armenakis</b:Last>
            <b:First>A.A.</b:First>
            <b:Middle>and Bedeian, A.G.</b:Middle>
          </b:Person>
        </b:NameList>
      </b:Author>
    </b:Author>
    <b:Title>Organisational change: A review of theory and research in the 1990s</b:Title>
    <b:JournalName>Journal of Management</b:JournalName>
    <b:Year>1999</b:Year>
    <b:Pages>239-315</b:Pages>
    <b:Volume>25</b:Volume>
    <b:Issue>3</b:Issue>
    <b:RefOrder>20</b:RefOrder>
  </b:Source>
  <b:Source>
    <b:Tag>Jud04</b:Tag>
    <b:SourceType>JournalArticle</b:SourceType>
    <b:Guid>{70918118-516F-4648-BB53-566907357035}</b:Guid>
    <b:Author>
      <b:Author>
        <b:NameList>
          <b:Person>
            <b:Last>Judge</b:Last>
            <b:First>T.A.</b:First>
            <b:Middle>and Piccolo, R.F.</b:Middle>
          </b:Person>
        </b:NameList>
      </b:Author>
    </b:Author>
    <b:Title>Transformational and transactional leadership: A meta-analytic test of their relative validity</b:Title>
    <b:JournalName>Journal of Applied Psychology</b:JournalName>
    <b:Year>2004</b:Year>
    <b:Pages>755-768</b:Pages>
    <b:Volume>89</b:Volume>
    <b:Issue>5</b:Issue>
    <b:RefOrder>21</b:RefOrder>
  </b:Source>
  <b:Source>
    <b:Tag>Hig05</b:Tag>
    <b:SourceType>JournalArticle</b:SourceType>
    <b:Guid>{1C0995AA-1091-44A8-AF27-FB74643A38B1}</b:Guid>
    <b:Author>
      <b:Author>
        <b:NameList>
          <b:Person>
            <b:Last>Higgs</b:Last>
            <b:First>M.</b:First>
            <b:Middle>and Rowland, D</b:Middle>
          </b:Person>
        </b:NameList>
      </b:Author>
    </b:Author>
    <b:Title>All changes great and small: Exploring approaches to change and its leadership</b:Title>
    <b:JournalName>Journal of Change Management</b:JournalName>
    <b:Year>2005</b:Year>
    <b:Pages>121-151</b:Pages>
    <b:Volume>5</b:Volume>
    <b:Issue>2</b:Issue>
    <b:RefOrder>22</b:RefOrder>
  </b:Source>
  <b:Source>
    <b:Tag>Lin04</b:Tag>
    <b:SourceType>JournalArticle</b:SourceType>
    <b:Guid>{77F35D27-33DA-45EA-ABF3-DAEB2D8D739F}</b:Guid>
    <b:Author>
      <b:Author>
        <b:NameList>
          <b:Person>
            <b:Last>Lines</b:Last>
            <b:First>R.</b:First>
          </b:Person>
        </b:NameList>
      </b:Author>
    </b:Author>
    <b:Title>Influence of participation in strategic change: Resistance, organisational commitment and change goal achievement</b:Title>
    <b:JournalName>Journal of Change Management</b:JournalName>
    <b:Year>2004</b:Year>
    <b:Pages>193-215</b:Pages>
    <b:Volume>4</b:Volume>
    <b:Issue>3</b:Issue>
    <b:RefOrder>23</b:RefOrder>
  </b:Source>
  <b:Source>
    <b:Tag>AlH15</b:Tag>
    <b:SourceType>JournalArticle</b:SourceType>
    <b:Guid>{69A54DFA-CDAD-4958-84FA-1348EFE063C8}</b:Guid>
    <b:Author>
      <b:Author>
        <b:NameList>
          <b:Person>
            <b:Last>Al-Haddad</b:Last>
            <b:First>S.</b:First>
            <b:Middle>and Kotnour, T.</b:Middle>
          </b:Person>
        </b:NameList>
      </b:Author>
    </b:Author>
    <b:Title>Integrating the organisational change literature: A model for successful change</b:Title>
    <b:JournalName>Journal of Organisational Change Management</b:JournalName>
    <b:Year>2015</b:Year>
    <b:Pages>234-262</b:Pages>
    <b:Volume>28</b:Volume>
    <b:Issue>2</b:Issue>
    <b:RefOrder>24</b:RefOrder>
  </b:Source>
  <b:Source>
    <b:Tag>Hou71</b:Tag>
    <b:SourceType>JournalArticle</b:SourceType>
    <b:Guid>{FCA52190-D5A8-44AE-BB86-73BC4C4DBE15}</b:Guid>
    <b:Author>
      <b:Author>
        <b:NameList>
          <b:Person>
            <b:Last>House</b:Last>
            <b:First>R.J.</b:First>
          </b:Person>
        </b:NameList>
      </b:Author>
    </b:Author>
    <b:Title>A path-goal theory of leader effectiveness</b:Title>
    <b:JournalName>Administrative Science Quarterly</b:JournalName>
    <b:Year>1971</b:Year>
    <b:Pages>321-339</b:Pages>
    <b:Volume>16</b:Volume>
    <b:Issue>3</b:Issue>
    <b:RefOrder>25</b:RefOrder>
  </b:Source>
  <b:Source>
    <b:Tag>Lew51</b:Tag>
    <b:SourceType>Book</b:SourceType>
    <b:Guid>{9A5DA425-6D45-463F-BE34-AA022514FDAD}</b:Guid>
    <b:Title>Field Theory in Social Science: Selected Theoretical Papers</b:Title>
    <b:Year>1951</b:Year>
    <b:Author>
      <b:Author>
        <b:NameList>
          <b:Person>
            <b:Last>Lewin</b:Last>
            <b:First>K.</b:First>
          </b:Person>
        </b:NameList>
      </b:Author>
    </b:Author>
    <b:City>New York</b:City>
    <b:Publisher>Harper &amp; Row</b:Publisher>
    <b:RefOrder>8</b:RefOrder>
  </b:Source>
  <b:Source>
    <b:Tag>Cam191</b:Tag>
    <b:SourceType>Book</b:SourceType>
    <b:Guid>{2517EE07-D75F-427F-8265-9DFD930568CC}</b:Guid>
    <b:Author>
      <b:Author>
        <b:NameList>
          <b:Person>
            <b:Last>Cameron</b:Last>
            <b:First>E</b:First>
            <b:Middle>and Green, M.</b:Middle>
          </b:Person>
        </b:NameList>
      </b:Author>
    </b:Author>
    <b:Title>Making Sense of Change Management: A Complete Guide to the Models, Tools and Techniques of Organisational Change</b:Title>
    <b:Year>2019</b:Year>
    <b:City>London</b:City>
    <b:Publisher>Kogan Page</b:Publisher>
    <b:Edition>5th</b:Edition>
    <b:RefOrder>6</b:RefOrder>
  </b:Source>
  <b:Source>
    <b:Tag>Kot96</b:Tag>
    <b:SourceType>Book</b:SourceType>
    <b:Guid>{B3BC65F7-F738-40A6-B844-85C8B91B2D2C}</b:Guid>
    <b:Author>
      <b:Author>
        <b:NameList>
          <b:Person>
            <b:Last>Kotter</b:Last>
            <b:First>J.P</b:First>
          </b:Person>
        </b:NameList>
      </b:Author>
    </b:Author>
    <b:Title>Leading Change</b:Title>
    <b:Year>1996</b:Year>
    <b:City>Boston</b:City>
    <b:Publisher>Harvard Business Review Press</b:Publisher>
    <b:RefOrder>10</b:RefOrder>
  </b:Source>
  <b:Source>
    <b:Tag>Kot06</b:Tag>
    <b:SourceType>Book</b:SourceType>
    <b:Guid>{AC38FB14-6B20-45D3-80A0-FD9F61994F96}</b:Guid>
    <b:Author>
      <b:Author>
        <b:NameList>
          <b:Person>
            <b:Last>Kotter</b:Last>
            <b:First>J.P.</b:First>
          </b:Person>
        </b:NameList>
      </b:Author>
    </b:Author>
    <b:Title>Our Iceberg Is Melting: Changing and Succeeding Under Any Conditions</b:Title>
    <b:Year>2006</b:Year>
    <b:City>New York</b:City>
    <b:Publisher>St. Martin's Press</b:Publisher>
    <b:RefOrder>11</b:RefOrder>
  </b:Source>
  <b:Source>
    <b:Tag>Kot16</b:Tag>
    <b:SourceType>Book</b:SourceType>
    <b:Guid>{98985E56-5F66-47C7-976B-AD708C211A61}</b:Guid>
    <b:Author>
      <b:Author>
        <b:NameList>
          <b:Person>
            <b:Last>Kotter</b:Last>
            <b:First>J.P.</b:First>
          </b:Person>
        </b:NameList>
      </b:Author>
    </b:Author>
    <b:Title>Leading Change: With a New Preface by the Author</b:Title>
    <b:Year>2016</b:Year>
    <b:City>Boston</b:City>
    <b:Publisher>Harvard Business Review Press</b:Publisher>
    <b:RefOrder>1</b:RefOrder>
  </b:Source>
  <b:Source>
    <b:Tag>Gol17</b:Tag>
    <b:SourceType>Book</b:SourceType>
    <b:Guid>{3480E09C-B487-42C7-B2D2-EE26B62482BE}</b:Guid>
    <b:Author>
      <b:Author>
        <b:NameList>
          <b:Person>
            <b:Last>Goleman</b:Last>
            <b:First>D.</b:First>
          </b:Person>
        </b:NameList>
      </b:Author>
    </b:Author>
    <b:Title>Leadership That Gets Results</b:Title>
    <b:Year>2017</b:Year>
    <b:City>Boston</b:City>
    <b:Publisher>Havard Business Review Press</b:Publisher>
    <b:RefOrder>13</b:RefOrder>
  </b:Source>
  <b:Source>
    <b:Tag>Hou96</b:Tag>
    <b:SourceType>JournalArticle</b:SourceType>
    <b:Guid>{E55C40D2-CD6F-476A-8902-B5273F25C9A9}</b:Guid>
    <b:Author>
      <b:Author>
        <b:NameList>
          <b:Person>
            <b:Last>House</b:Last>
            <b:First>R.J.</b:First>
          </b:Person>
        </b:NameList>
      </b:Author>
    </b:Author>
    <b:Title>Path-Goal theory of leadership: Lessons, legacy and a reformulated theory</b:Title>
    <b:Year>1996</b:Year>
    <b:JournalName>The Leadership Quarterly</b:JournalName>
    <b:Pages>323-352</b:Pages>
    <b:Volume>7</b:Volume>
    <b:Issue>3</b:Issue>
    <b:RefOrder>3</b:RefOrder>
  </b:Source>
  <b:Source>
    <b:Tag>Her59</b:Tag>
    <b:SourceType>Book</b:SourceType>
    <b:Guid>{0F807A27-EA6D-4F80-8B07-A417A0AC2020}</b:Guid>
    <b:Author>
      <b:Author>
        <b:NameList>
          <b:Person>
            <b:Last>Herzberg</b:Last>
            <b:First>F.</b:First>
          </b:Person>
        </b:NameList>
      </b:Author>
    </b:Author>
    <b:Title>The Motivation to Work</b:Title>
    <b:Year>2017</b:Year>
    <b:City>Abingdon</b:City>
    <b:Publisher>Routledge</b:Publisher>
    <b:Edition>Revised Edition</b:Edition>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7EA8773-EAC8-4076-ADC5-B7630AE5C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13</Pages>
  <Words>3505</Words>
  <Characters>23500</Characters>
  <Application>Microsoft Office Word</Application>
  <DocSecurity>0</DocSecurity>
  <Lines>195</Lines>
  <Paragraphs>53</Paragraphs>
  <ScaleCrop>false</ScaleCrop>
  <HeadingPairs>
    <vt:vector size="2" baseType="variant">
      <vt:variant>
        <vt:lpstr>Title</vt:lpstr>
      </vt:variant>
      <vt:variant>
        <vt:i4>1</vt:i4>
      </vt:variant>
    </vt:vector>
  </HeadingPairs>
  <TitlesOfParts>
    <vt:vector size="1" baseType="lpstr">
      <vt:lpstr>ACMA5007 – Approaches to Innovation and Organisational Change</vt:lpstr>
    </vt:vector>
  </TitlesOfParts>
  <Company>University of Wales Trinity Saint David</Company>
  <LinksUpToDate>false</LinksUpToDate>
  <CharactersWithSpaces>26952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ACMA5007 – Approaches to Innovation and Organisational Change</dc:title>
  <dc:subject>Joseph James - 2320115</dc:subject>
  <dc:creator>Marie Pitson</dc:creator>
  <cp:keywords/>
  <dc:description/>
  <cp:lastModifiedBy>joe james</cp:lastModifiedBy>
  <cp:revision>12</cp:revision>
  <dcterms:created xsi:type="dcterms:W3CDTF">2025-05-08T22:26:00Z</dcterms:created>
  <dcterms:modified xsi:type="dcterms:W3CDTF">2025-05-10T20:59:00Z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27ca2c2d7ecbe7691163f4ce4fb9aeb3598e2cf328e5aa2918a9b41d4eb6b0d6</vt:lpwstr>
  </property>
</Properties>
</file>