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46494" w14:textId="77777777" w:rsidR="00023BB0" w:rsidRPr="00AC03D4" w:rsidRDefault="00847C84" w:rsidP="00847C84">
      <w:pPr>
        <w:jc w:val="center"/>
        <w:rPr>
          <w:b/>
          <w:sz w:val="32"/>
        </w:rPr>
      </w:pPr>
      <w:r w:rsidRPr="00AC03D4">
        <w:rPr>
          <w:b/>
          <w:sz w:val="32"/>
        </w:rPr>
        <w:t>Critically discuss whether recent ancient DNA analyses can provide reliable information on the identity, origin</w:t>
      </w:r>
      <w:r w:rsidR="00FA1EBA" w:rsidRPr="00AC03D4">
        <w:rPr>
          <w:b/>
          <w:sz w:val="32"/>
        </w:rPr>
        <w:t>,</w:t>
      </w:r>
      <w:r w:rsidRPr="00AC03D4">
        <w:rPr>
          <w:b/>
          <w:sz w:val="32"/>
        </w:rPr>
        <w:t xml:space="preserve"> </w:t>
      </w:r>
      <w:r w:rsidRPr="00AC03D4">
        <w:rPr>
          <w:b/>
          <w:noProof/>
          <w:sz w:val="32"/>
        </w:rPr>
        <w:t>and</w:t>
      </w:r>
      <w:r w:rsidRPr="00AC03D4">
        <w:rPr>
          <w:b/>
          <w:sz w:val="32"/>
        </w:rPr>
        <w:t xml:space="preserve"> spread of ‘Celtic’ populations in the 5th-1st century BC</w:t>
      </w:r>
    </w:p>
    <w:p w14:paraId="57E33132" w14:textId="77777777" w:rsidR="00847C84" w:rsidRPr="00847C84" w:rsidRDefault="00847C84" w:rsidP="00847C84">
      <w:pPr>
        <w:jc w:val="center"/>
        <w:rPr>
          <w:b/>
          <w:sz w:val="36"/>
        </w:rPr>
      </w:pPr>
    </w:p>
    <w:p w14:paraId="41E3242E" w14:textId="77777777" w:rsidR="003F37FD" w:rsidRPr="00847C84" w:rsidRDefault="00023BB0">
      <w:r w:rsidRPr="00847C84">
        <w:t xml:space="preserve">There is nothing quite as mysterious as the Celtic people of the Iron Age. </w:t>
      </w:r>
      <w:r w:rsidR="003F37FD" w:rsidRPr="00847C84">
        <w:t xml:space="preserve">The Romantic view that these people were a pan-European culture that gradually developed into </w:t>
      </w:r>
      <w:r w:rsidR="003F37FD" w:rsidRPr="00FA1EBA">
        <w:rPr>
          <w:noProof/>
        </w:rPr>
        <w:t>today</w:t>
      </w:r>
      <w:r w:rsidR="00FA1EBA">
        <w:rPr>
          <w:noProof/>
        </w:rPr>
        <w:t>'</w:t>
      </w:r>
      <w:r w:rsidR="003F37FD" w:rsidRPr="00FA1EBA">
        <w:rPr>
          <w:noProof/>
        </w:rPr>
        <w:t>s</w:t>
      </w:r>
      <w:r w:rsidR="003F37FD" w:rsidRPr="00847C84">
        <w:t>’ world</w:t>
      </w:r>
      <w:r w:rsidR="009253CC" w:rsidRPr="00847C84">
        <w:t>,</w:t>
      </w:r>
      <w:r w:rsidR="003F37FD" w:rsidRPr="00847C84">
        <w:t xml:space="preserve"> and therefore provides a nostalgic shared cultural identity for people in Western Europe</w:t>
      </w:r>
      <w:r w:rsidR="009253CC" w:rsidRPr="00847C84">
        <w:t xml:space="preserve">, is one that has reached a global scale. As the world grows increasingly connected due to </w:t>
      </w:r>
      <w:r w:rsidR="009253CC" w:rsidRPr="00FA1EBA">
        <w:rPr>
          <w:noProof/>
        </w:rPr>
        <w:t>globali</w:t>
      </w:r>
      <w:r w:rsidR="00FA1EBA">
        <w:rPr>
          <w:noProof/>
        </w:rPr>
        <w:t>z</w:t>
      </w:r>
      <w:r w:rsidR="009253CC" w:rsidRPr="00FA1EBA">
        <w:rPr>
          <w:noProof/>
        </w:rPr>
        <w:t>ation</w:t>
      </w:r>
      <w:r w:rsidR="009253CC" w:rsidRPr="00847C84">
        <w:t>, people are searching for ways to identify themselves as individuals and as part of a shared community. For many, there is a form of ‘</w:t>
      </w:r>
      <w:r w:rsidR="009253CC" w:rsidRPr="00FA1EBA">
        <w:rPr>
          <w:noProof/>
        </w:rPr>
        <w:t>ethno</w:t>
      </w:r>
      <w:r w:rsidR="009253CC" w:rsidRPr="00847C84">
        <w:t>-envy’ (</w:t>
      </w:r>
      <w:proofErr w:type="spellStart"/>
      <w:r w:rsidR="009253CC" w:rsidRPr="00847C84">
        <w:t>Dietler</w:t>
      </w:r>
      <w:proofErr w:type="spellEnd"/>
      <w:r w:rsidR="009253CC" w:rsidRPr="00847C84">
        <w:t xml:space="preserve"> 2006:240) as </w:t>
      </w:r>
      <w:r w:rsidR="009253CC" w:rsidRPr="00FA1EBA">
        <w:rPr>
          <w:noProof/>
        </w:rPr>
        <w:t>coloni</w:t>
      </w:r>
      <w:r w:rsidR="00FA1EBA">
        <w:rPr>
          <w:noProof/>
        </w:rPr>
        <w:t>z</w:t>
      </w:r>
      <w:r w:rsidR="009253CC" w:rsidRPr="00FA1EBA">
        <w:rPr>
          <w:noProof/>
        </w:rPr>
        <w:t>ers</w:t>
      </w:r>
      <w:r w:rsidR="009253CC" w:rsidRPr="00847C84">
        <w:t xml:space="preserve"> witness the shared cultural unity of indigenous peoples, and the Celts provide a ‘white’ cultural connection. </w:t>
      </w:r>
      <w:r w:rsidR="00FA1EBA">
        <w:rPr>
          <w:noProof/>
        </w:rPr>
        <w:t>C</w:t>
      </w:r>
      <w:r w:rsidR="009253CC" w:rsidRPr="00847C84">
        <w:t xml:space="preserve">an the identity of the Celtic people of Iron Age Europe be reliably identified through the study of their genetics? </w:t>
      </w:r>
    </w:p>
    <w:p w14:paraId="41EFD5EC" w14:textId="17BEDF48" w:rsidR="00975CF7" w:rsidRPr="00847C84" w:rsidRDefault="009253CC" w:rsidP="00975CF7">
      <w:r w:rsidRPr="00FA1EBA">
        <w:rPr>
          <w:noProof/>
        </w:rPr>
        <w:t>First, it</w:t>
      </w:r>
      <w:r w:rsidR="00FA1EBA" w:rsidRPr="00FA1EBA">
        <w:rPr>
          <w:noProof/>
        </w:rPr>
        <w:t>'</w:t>
      </w:r>
      <w:r w:rsidRPr="00FA1EBA">
        <w:rPr>
          <w:noProof/>
        </w:rPr>
        <w:t>s imperative to define what is meant when using the term ‘Celt</w:t>
      </w:r>
      <w:r w:rsidR="00FA1EBA">
        <w:rPr>
          <w:noProof/>
        </w:rPr>
        <w:t>.’</w:t>
      </w:r>
      <w:r w:rsidRPr="00847C84">
        <w:t xml:space="preserve"> It </w:t>
      </w:r>
      <w:r w:rsidRPr="00FA1EBA">
        <w:rPr>
          <w:noProof/>
        </w:rPr>
        <w:t>is understood</w:t>
      </w:r>
      <w:r w:rsidRPr="00847C84">
        <w:t xml:space="preserve"> that these people covered the geographical range from the Danube basin to the Atlantic, and even on the Insular islands to include modern Britain, Wales and Ireland (Jones 2005:7</w:t>
      </w:r>
      <w:r w:rsidR="00EF154D" w:rsidRPr="00847C84">
        <w:t>, Sims-Williams 1998:26</w:t>
      </w:r>
      <w:r w:rsidRPr="00847C84">
        <w:t xml:space="preserve">).  In terms of archaeology, they are understood to be the creators of the Hallstatt culture, identified from the 1200-475 BC, and the later La </w:t>
      </w:r>
      <w:proofErr w:type="spellStart"/>
      <w:r w:rsidRPr="00847C84">
        <w:t>Tene</w:t>
      </w:r>
      <w:proofErr w:type="spellEnd"/>
      <w:r w:rsidRPr="00847C84">
        <w:t xml:space="preserve"> culture (Jones 2005:15)</w:t>
      </w:r>
      <w:r w:rsidR="00EF154D" w:rsidRPr="00847C84">
        <w:t xml:space="preserve"> although Sims-Williams (1998:31</w:t>
      </w:r>
      <w:r w:rsidR="00706775" w:rsidRPr="00847C84">
        <w:t>, 2012:442</w:t>
      </w:r>
      <w:r w:rsidR="00EF154D" w:rsidRPr="00847C84">
        <w:t>) believe it is incorrect to claim that these material cultures were ethnically Celtic</w:t>
      </w:r>
      <w:r w:rsidRPr="00847C84">
        <w:t xml:space="preserve">. The settlements, coined as oppida by Julius </w:t>
      </w:r>
      <w:proofErr w:type="spellStart"/>
      <w:r w:rsidRPr="00847C84">
        <w:t>Ceasar</w:t>
      </w:r>
      <w:proofErr w:type="spellEnd"/>
      <w:r w:rsidRPr="00847C84">
        <w:t xml:space="preserve">, were proto-urban, complex and often show evidence of planning, for </w:t>
      </w:r>
      <w:r w:rsidRPr="00FA1EBA">
        <w:rPr>
          <w:noProof/>
        </w:rPr>
        <w:t>example</w:t>
      </w:r>
      <w:r w:rsidR="00FA1EBA">
        <w:rPr>
          <w:noProof/>
        </w:rPr>
        <w:t>,</w:t>
      </w:r>
      <w:r w:rsidRPr="00847C84">
        <w:t xml:space="preserve"> the site in north Italy, Monte </w:t>
      </w:r>
      <w:r w:rsidRPr="00FA1EBA">
        <w:rPr>
          <w:noProof/>
        </w:rPr>
        <w:t>Bibele</w:t>
      </w:r>
      <w:r w:rsidRPr="00847C84">
        <w:t xml:space="preserve">. </w:t>
      </w:r>
      <w:r w:rsidR="00975CF7" w:rsidRPr="00847C84">
        <w:t xml:space="preserve">Little is known about the Celts from themselves as their religion did not allow for knowledge sharing through the written word, and there is only rare </w:t>
      </w:r>
      <w:proofErr w:type="spellStart"/>
      <w:r w:rsidR="00975CF7" w:rsidRPr="00847C84">
        <w:t>Leponic</w:t>
      </w:r>
      <w:proofErr w:type="spellEnd"/>
      <w:r w:rsidR="00975CF7" w:rsidRPr="00847C84">
        <w:t xml:space="preserve"> (Celtic) inscriptions in the Po Valley, Italy</w:t>
      </w:r>
      <w:r w:rsidR="00706775" w:rsidRPr="00847C84">
        <w:t xml:space="preserve"> and some in Iberia too</w:t>
      </w:r>
      <w:r w:rsidR="00447025" w:rsidRPr="00847C84">
        <w:t xml:space="preserve"> (Sims-Williams </w:t>
      </w:r>
      <w:r w:rsidR="00706775" w:rsidRPr="00847C84">
        <w:t>2012:440)</w:t>
      </w:r>
      <w:r w:rsidR="00975CF7" w:rsidRPr="00847C84">
        <w:t>. It is believed that ‘Celts’ were not a homogenous group even if the archaeological and linguistic classification is to remain (</w:t>
      </w:r>
      <w:proofErr w:type="spellStart"/>
      <w:r w:rsidR="00975CF7" w:rsidRPr="00847C84">
        <w:t>Haeussler</w:t>
      </w:r>
      <w:proofErr w:type="spellEnd"/>
      <w:r w:rsidR="00975CF7" w:rsidRPr="00847C84">
        <w:t xml:space="preserve"> 2018:</w:t>
      </w:r>
      <w:r w:rsidR="00EF154D" w:rsidRPr="00847C84">
        <w:t>722</w:t>
      </w:r>
      <w:proofErr w:type="gramStart"/>
      <w:r w:rsidR="00975CF7" w:rsidRPr="00847C84">
        <w:t>), but</w:t>
      </w:r>
      <w:proofErr w:type="gramEnd"/>
      <w:r w:rsidR="00975CF7" w:rsidRPr="00847C84">
        <w:t xml:space="preserve"> were instead made up of “a mosaic of tribes, a rich and diverse pattern of chiefdoms and kingdoms” (Jones 2005:33) that saw dramatic socio-economic changes with the increasingly frequent trading from the Mediterranean. It has even </w:t>
      </w:r>
      <w:r w:rsidR="00975CF7" w:rsidRPr="00FA1EBA">
        <w:rPr>
          <w:noProof/>
        </w:rPr>
        <w:t>been argued</w:t>
      </w:r>
      <w:r w:rsidR="00975CF7" w:rsidRPr="00847C84">
        <w:t xml:space="preserve"> that the term Celts, which stems from the Grecian ‘</w:t>
      </w:r>
      <w:proofErr w:type="spellStart"/>
      <w:r w:rsidR="00975CF7" w:rsidRPr="00847C84">
        <w:t>Keltoi</w:t>
      </w:r>
      <w:proofErr w:type="spellEnd"/>
      <w:r w:rsidR="00FA1EBA">
        <w:rPr>
          <w:noProof/>
        </w:rPr>
        <w:t>,’</w:t>
      </w:r>
      <w:r w:rsidR="00975CF7" w:rsidRPr="00847C84">
        <w:t xml:space="preserve"> did not refer to an ethnic group of peoples but </w:t>
      </w:r>
      <w:r w:rsidR="00975CF7" w:rsidRPr="00FA1EBA">
        <w:rPr>
          <w:noProof/>
        </w:rPr>
        <w:t>rather</w:t>
      </w:r>
      <w:r w:rsidR="00975CF7" w:rsidRPr="00847C84">
        <w:t xml:space="preserve"> was a word designed to indicate that these were barbarians living </w:t>
      </w:r>
      <w:r w:rsidR="00EF154D" w:rsidRPr="00847C84">
        <w:t>outside of Grecian territory (Sims-Williams 1998:22-24)</w:t>
      </w:r>
      <w:r w:rsidR="00975CF7" w:rsidRPr="00847C84">
        <w:t>.</w:t>
      </w:r>
    </w:p>
    <w:p w14:paraId="28EE9714" w14:textId="548020B1" w:rsidR="00975CF7" w:rsidRPr="00847C84" w:rsidRDefault="00975CF7" w:rsidP="00975CF7">
      <w:r w:rsidRPr="00847C84">
        <w:t xml:space="preserve">It has </w:t>
      </w:r>
      <w:r w:rsidRPr="00FA1EBA">
        <w:rPr>
          <w:noProof/>
        </w:rPr>
        <w:t>been argued</w:t>
      </w:r>
      <w:r w:rsidRPr="00847C84">
        <w:t xml:space="preserve"> that DNA </w:t>
      </w:r>
      <w:proofErr w:type="gramStart"/>
      <w:r w:rsidRPr="00847C84">
        <w:t>is capable of holding</w:t>
      </w:r>
      <w:proofErr w:type="gramEnd"/>
      <w:r w:rsidRPr="00847C84">
        <w:t xml:space="preserve"> hundreds of megabytes of </w:t>
      </w:r>
      <w:r w:rsidRPr="00FA1EBA">
        <w:rPr>
          <w:noProof/>
        </w:rPr>
        <w:t>data</w:t>
      </w:r>
      <w:r w:rsidRPr="00847C84">
        <w:t xml:space="preserve"> and is thus the future of data storage (Service 2017), so it could provide reliable identity data. </w:t>
      </w:r>
      <w:r w:rsidR="00706775" w:rsidRPr="00847C84">
        <w:t xml:space="preserve">It </w:t>
      </w:r>
      <w:r w:rsidR="00706775" w:rsidRPr="00FA1EBA">
        <w:rPr>
          <w:noProof/>
        </w:rPr>
        <w:t>is believed</w:t>
      </w:r>
      <w:r w:rsidR="00706775" w:rsidRPr="00847C84">
        <w:t xml:space="preserve"> that genetic and linguistic trees share some similarities, although notably due to geographical location, and since the Celt classification formed through linguistics, it is unsurprising that scholars have turned to genetics to attempt to classify the </w:t>
      </w:r>
      <w:r w:rsidR="00706775" w:rsidRPr="00FA1EBA">
        <w:rPr>
          <w:noProof/>
        </w:rPr>
        <w:t>prehistoric</w:t>
      </w:r>
      <w:r w:rsidR="00706775" w:rsidRPr="00847C84">
        <w:t xml:space="preserve"> identity (Sims-Williams 2012:430). An article focused on understanding Celtic migrations through DNA is that of </w:t>
      </w:r>
      <w:proofErr w:type="spellStart"/>
      <w:r w:rsidR="00706775" w:rsidRPr="00847C84">
        <w:t>Scheeres</w:t>
      </w:r>
      <w:proofErr w:type="spellEnd"/>
      <w:r w:rsidR="00706775" w:rsidRPr="00847C84">
        <w:t xml:space="preserve"> </w:t>
      </w:r>
      <w:r w:rsidR="00706775" w:rsidRPr="00FA1EBA">
        <w:rPr>
          <w:noProof/>
        </w:rPr>
        <w:t>et al</w:t>
      </w:r>
      <w:r w:rsidR="00FA1EBA">
        <w:rPr>
          <w:noProof/>
        </w:rPr>
        <w:t>.</w:t>
      </w:r>
      <w:r w:rsidR="00706775" w:rsidRPr="00847C84">
        <w:t xml:space="preserve"> (2013). It notes that warriors, who tended to be male, were more mobile than women and that ‘Celtic’ people were involved in contact with the </w:t>
      </w:r>
      <w:r w:rsidR="00706775" w:rsidRPr="00FA1EBA">
        <w:rPr>
          <w:noProof/>
        </w:rPr>
        <w:t>wider</w:t>
      </w:r>
      <w:r w:rsidR="00706775" w:rsidRPr="00847C84">
        <w:t xml:space="preserve"> known world of the Mediterranean. Furthermore, they conclude that Celtic people were not migrating huge distances but small </w:t>
      </w:r>
      <w:r w:rsidR="00706775" w:rsidRPr="00FA1EBA">
        <w:rPr>
          <w:noProof/>
        </w:rPr>
        <w:t>ones</w:t>
      </w:r>
      <w:r w:rsidR="00930F26" w:rsidRPr="00847C84">
        <w:t xml:space="preserve"> and that ideas were freely shared, adopted and adapted by ancient communities (</w:t>
      </w:r>
      <w:proofErr w:type="spellStart"/>
      <w:r w:rsidR="00930F26" w:rsidRPr="00847C84">
        <w:t>Scheeres</w:t>
      </w:r>
      <w:proofErr w:type="spellEnd"/>
      <w:r w:rsidR="00930F26" w:rsidRPr="00847C84">
        <w:t xml:space="preserve"> et al. 2013:3623). </w:t>
      </w:r>
      <w:r w:rsidR="00FA1EBA" w:rsidRPr="00FA1EBA">
        <w:rPr>
          <w:noProof/>
        </w:rPr>
        <w:t>The l</w:t>
      </w:r>
      <w:r w:rsidR="00930F26" w:rsidRPr="00FA1EBA">
        <w:rPr>
          <w:noProof/>
        </w:rPr>
        <w:t xml:space="preserve">anguage would have been one of these concepts that were shared within communities, one eventually </w:t>
      </w:r>
      <w:r w:rsidR="00930F26" w:rsidRPr="00FA1EBA">
        <w:rPr>
          <w:noProof/>
        </w:rPr>
        <w:lastRenderedPageBreak/>
        <w:t xml:space="preserve">dying out whereas the other becoming more prominent – this does not equate to invasion or dominant peoples but is down to </w:t>
      </w:r>
      <w:r w:rsidR="00FA1EBA" w:rsidRPr="00FA1EBA">
        <w:rPr>
          <w:noProof/>
        </w:rPr>
        <w:t xml:space="preserve">the </w:t>
      </w:r>
      <w:r w:rsidR="00930F26" w:rsidRPr="00FA1EBA">
        <w:rPr>
          <w:noProof/>
        </w:rPr>
        <w:t>luck of the draw (</w:t>
      </w:r>
      <w:r w:rsidR="00847C84" w:rsidRPr="00FA1EBA">
        <w:rPr>
          <w:noProof/>
        </w:rPr>
        <w:t>Sims-Williams 2012:437)</w:t>
      </w:r>
      <w:r w:rsidR="00930F26" w:rsidRPr="00FA1EBA">
        <w:rPr>
          <w:noProof/>
        </w:rPr>
        <w:t>.</w:t>
      </w:r>
      <w:r w:rsidR="00930F26" w:rsidRPr="00847C84">
        <w:t xml:space="preserve"> The genetic and language trees may be models for classifications of these prehistoric people, but it must </w:t>
      </w:r>
      <w:r w:rsidR="00930F26" w:rsidRPr="00FA1EBA">
        <w:rPr>
          <w:noProof/>
        </w:rPr>
        <w:t>be noted</w:t>
      </w:r>
      <w:r w:rsidR="00930F26" w:rsidRPr="00847C84">
        <w:t xml:space="preserve"> that </w:t>
      </w:r>
      <w:r w:rsidR="00930F26" w:rsidRPr="00FA1EBA">
        <w:rPr>
          <w:noProof/>
        </w:rPr>
        <w:t>genetic</w:t>
      </w:r>
      <w:r w:rsidR="00930F26" w:rsidRPr="00847C84">
        <w:t xml:space="preserve"> trees run vertically, whereas </w:t>
      </w:r>
      <w:r w:rsidR="00930F26" w:rsidRPr="00FA1EBA">
        <w:rPr>
          <w:noProof/>
        </w:rPr>
        <w:t>languages</w:t>
      </w:r>
      <w:r w:rsidR="00930F26" w:rsidRPr="00847C84">
        <w:t xml:space="preserve"> run vertically, horizontally and overlap (Sims-Williams 2012:442). </w:t>
      </w:r>
      <w:r w:rsidR="00706775" w:rsidRPr="00847C84">
        <w:t xml:space="preserve"> </w:t>
      </w:r>
    </w:p>
    <w:p w14:paraId="642693A9" w14:textId="0DB3A5FE" w:rsidR="00265117" w:rsidRPr="00847C84" w:rsidRDefault="00975CF7" w:rsidP="00975CF7">
      <w:r w:rsidRPr="00847C84">
        <w:t xml:space="preserve">However, identifying identity is not as straightforward as identifying haplogroups within genetics. Identity is connected to the mind and thus is not something necessarily identifiable through the archaeological record. </w:t>
      </w:r>
      <w:proofErr w:type="spellStart"/>
      <w:r w:rsidR="00265117" w:rsidRPr="00847C84">
        <w:t>Berzonsky</w:t>
      </w:r>
      <w:proofErr w:type="spellEnd"/>
      <w:r w:rsidR="00265117" w:rsidRPr="00847C84">
        <w:t xml:space="preserve"> et al. in their 2011 article discuss identity, stressing its importance because “individuals need to develop a stable and meaningful identity structure, which enables them to maintain a sense of self-continuity over time and space” (</w:t>
      </w:r>
      <w:proofErr w:type="spellStart"/>
      <w:r w:rsidR="00265117" w:rsidRPr="00847C84">
        <w:t>Berzonsky</w:t>
      </w:r>
      <w:proofErr w:type="spellEnd"/>
      <w:r w:rsidR="00265117" w:rsidRPr="00847C84">
        <w:t xml:space="preserve"> et al. 2011:295). </w:t>
      </w:r>
      <w:r w:rsidR="00EF154D" w:rsidRPr="00847C84">
        <w:t>Currently, ‘Celtic’ identity has been forced onto the people of Iron Age Europe for convenience sake and to encourage the selling of books as it has become popularised in the world of capitalism. ‘</w:t>
      </w:r>
      <w:proofErr w:type="spellStart"/>
      <w:r w:rsidR="00EF154D" w:rsidRPr="00847C84">
        <w:t>Celtomania</w:t>
      </w:r>
      <w:proofErr w:type="spellEnd"/>
      <w:r w:rsidR="00EF154D" w:rsidRPr="00847C84">
        <w:t xml:space="preserve">’ (Sims-Williams 1998:1) provides a false vision of prehistoric Europe to provide comfort in a </w:t>
      </w:r>
      <w:r w:rsidR="00EF154D" w:rsidRPr="00FA1EBA">
        <w:rPr>
          <w:noProof/>
        </w:rPr>
        <w:t>globali</w:t>
      </w:r>
      <w:r w:rsidR="00FA1EBA">
        <w:rPr>
          <w:noProof/>
        </w:rPr>
        <w:t>z</w:t>
      </w:r>
      <w:r w:rsidR="00EF154D" w:rsidRPr="00FA1EBA">
        <w:rPr>
          <w:noProof/>
        </w:rPr>
        <w:t>ed</w:t>
      </w:r>
      <w:r w:rsidR="00EF154D" w:rsidRPr="00847C84">
        <w:t xml:space="preserve"> landscape where ethnic divisions are strife, with </w:t>
      </w:r>
      <w:proofErr w:type="spellStart"/>
      <w:r w:rsidR="00EF154D" w:rsidRPr="00847C84">
        <w:t>Dietler</w:t>
      </w:r>
      <w:proofErr w:type="spellEnd"/>
      <w:r w:rsidR="00EF154D" w:rsidRPr="00847C84">
        <w:t xml:space="preserve"> (2006:244) highlighting that the “construction of collective memory and the embodiment of a comforting sense of authenticity and continuity</w:t>
      </w:r>
      <w:r w:rsidR="00FA1EBA">
        <w:rPr>
          <w:noProof/>
        </w:rPr>
        <w:t>.”</w:t>
      </w:r>
      <w:r w:rsidR="00EF154D" w:rsidRPr="00847C84">
        <w:t xml:space="preserve"> Furthermore, the Neo-Druid movement is flourishing, with people adorning themselves with Celtic-inspired tattoo’s, involved in ‘Celtic’ crafts and even attending ‘Celtic’ festivals, keeping their communications flowing through a multitude of websites – somewhat ironically considering Druids had originally frowned upon written knowledge (</w:t>
      </w:r>
      <w:proofErr w:type="spellStart"/>
      <w:r w:rsidR="00EF154D" w:rsidRPr="00847C84">
        <w:t>Dietler</w:t>
      </w:r>
      <w:proofErr w:type="spellEnd"/>
      <w:r w:rsidR="00EF154D" w:rsidRPr="00847C84">
        <w:t xml:space="preserve"> 2006:240-1).</w:t>
      </w:r>
      <w:r w:rsidRPr="00847C84">
        <w:t xml:space="preserve">  </w:t>
      </w:r>
      <w:r w:rsidR="00EF154D" w:rsidRPr="00847C84">
        <w:t>However, increasingly, scholars are trying to move away from using the term ‘Celtic’ concerning European archaeological data, as it distorts data and academia should not pander to popular public pictures (</w:t>
      </w:r>
      <w:proofErr w:type="spellStart"/>
      <w:r w:rsidR="00EF154D" w:rsidRPr="00847C84">
        <w:t>Dietler</w:t>
      </w:r>
      <w:proofErr w:type="spellEnd"/>
      <w:r w:rsidR="00EF154D" w:rsidRPr="00847C84">
        <w:t xml:space="preserve"> 2006:245, Sims-Williams 1998:3). </w:t>
      </w:r>
      <w:r w:rsidR="00265117" w:rsidRPr="00847C84">
        <w:t xml:space="preserve">Furthermore, </w:t>
      </w:r>
      <w:proofErr w:type="spellStart"/>
      <w:r w:rsidR="00265117" w:rsidRPr="00847C84">
        <w:t>Dietler</w:t>
      </w:r>
      <w:proofErr w:type="spellEnd"/>
      <w:r w:rsidR="00265117" w:rsidRPr="00847C84">
        <w:t xml:space="preserve"> (2006) notes three differing types of Celtic consumption of the past to enforce modern life including; </w:t>
      </w:r>
      <w:proofErr w:type="spellStart"/>
      <w:r w:rsidR="00265117" w:rsidRPr="00847C84">
        <w:t>Celticism</w:t>
      </w:r>
      <w:proofErr w:type="spellEnd"/>
      <w:r w:rsidR="00265117" w:rsidRPr="00847C84">
        <w:t xml:space="preserve"> (“</w:t>
      </w:r>
      <w:proofErr w:type="spellStart"/>
      <w:r w:rsidR="00265117" w:rsidRPr="00847C84">
        <w:t>ethnicized</w:t>
      </w:r>
      <w:proofErr w:type="spellEnd"/>
      <w:r w:rsidR="00265117" w:rsidRPr="00847C84">
        <w:t xml:space="preserve"> forms of collective memory and communal identity that are territorially bounded and embedded in overt political projects and ideologies” (</w:t>
      </w:r>
      <w:proofErr w:type="spellStart"/>
      <w:r w:rsidR="00265117" w:rsidRPr="00847C84">
        <w:t>Dietler</w:t>
      </w:r>
      <w:proofErr w:type="spellEnd"/>
      <w:r w:rsidR="00265117" w:rsidRPr="00847C84">
        <w:t xml:space="preserve"> 2006:237)), Celticity (a spiritual-focused form) and </w:t>
      </w:r>
      <w:proofErr w:type="spellStart"/>
      <w:r w:rsidR="00265117" w:rsidRPr="00847C84">
        <w:t>Celtitude</w:t>
      </w:r>
      <w:proofErr w:type="spellEnd"/>
      <w:r w:rsidR="00265117" w:rsidRPr="00847C84">
        <w:t xml:space="preserve"> (a ‘</w:t>
      </w:r>
      <w:r w:rsidR="00265117" w:rsidRPr="00FA1EBA">
        <w:rPr>
          <w:noProof/>
        </w:rPr>
        <w:t>ethno</w:t>
      </w:r>
      <w:r w:rsidR="00265117" w:rsidRPr="00847C84">
        <w:t>-nostalgic’ approach)(</w:t>
      </w:r>
      <w:proofErr w:type="spellStart"/>
      <w:r w:rsidR="00265117" w:rsidRPr="00847C84">
        <w:t>Dietler</w:t>
      </w:r>
      <w:proofErr w:type="spellEnd"/>
      <w:r w:rsidR="00265117" w:rsidRPr="00847C84">
        <w:t xml:space="preserve"> 2006:238). Celticity is a particularly </w:t>
      </w:r>
      <w:r w:rsidR="00265117" w:rsidRPr="00FA1EBA">
        <w:rPr>
          <w:noProof/>
        </w:rPr>
        <w:t>interesting</w:t>
      </w:r>
      <w:r w:rsidR="00265117" w:rsidRPr="00847C84">
        <w:t xml:space="preserve"> concept as it is </w:t>
      </w:r>
      <w:r w:rsidR="00265117" w:rsidRPr="00847C84">
        <w:rPr>
          <w:i/>
        </w:rPr>
        <w:t>not</w:t>
      </w:r>
      <w:r w:rsidR="00265117" w:rsidRPr="00847C84">
        <w:t xml:space="preserve"> identifiable through blood lineages, but is spiritual rather than concerned with race, ethnicity or geographical location (</w:t>
      </w:r>
      <w:proofErr w:type="spellStart"/>
      <w:r w:rsidR="00265117" w:rsidRPr="00847C84">
        <w:t>Dietler</w:t>
      </w:r>
      <w:proofErr w:type="spellEnd"/>
      <w:r w:rsidR="00265117" w:rsidRPr="00847C84">
        <w:t xml:space="preserve"> 2006:239). </w:t>
      </w:r>
      <w:r w:rsidR="00265117" w:rsidRPr="00847C84">
        <w:rPr>
          <w:noProof/>
        </w:rPr>
        <w:t xml:space="preserve"> </w:t>
      </w:r>
    </w:p>
    <w:p w14:paraId="36FB997B" w14:textId="1AF965FA" w:rsidR="00265117" w:rsidRPr="00847C84" w:rsidRDefault="00265117" w:rsidP="00975CF7">
      <w:r w:rsidRPr="00847C84">
        <w:t>Not only does the modern world have Celtic identity problems, but within the ancient world it is difficult to identify one ‘Celtic’ culture, or identity, not just because they were constantly evolving, adapting and re-inventing themselves, but also because grave goods are not a reliable indicator of identity (</w:t>
      </w:r>
      <w:proofErr w:type="spellStart"/>
      <w:r w:rsidRPr="00847C84">
        <w:t>Haeussler</w:t>
      </w:r>
      <w:proofErr w:type="spellEnd"/>
      <w:r w:rsidRPr="00847C84">
        <w:t xml:space="preserve"> 2018:723). While the material culture is all the scholar can use, albeit literary sources from the Romans and Greeks who feared the ‘barbaric invader</w:t>
      </w:r>
      <w:r w:rsidR="00FA1EBA">
        <w:rPr>
          <w:noProof/>
        </w:rPr>
        <w:t>,’</w:t>
      </w:r>
      <w:r w:rsidRPr="00847C84">
        <w:t xml:space="preserve"> it is not enough to finish the jigsaw puzzle. The ethnic boundaries of Celts, especially those living within other nationalities (Etruscan, for example) </w:t>
      </w:r>
      <w:proofErr w:type="gramStart"/>
      <w:r w:rsidRPr="00847C84">
        <w:t>settlements’</w:t>
      </w:r>
      <w:proofErr w:type="gramEnd"/>
      <w:r w:rsidRPr="00847C84">
        <w:t xml:space="preserve"> are not clear cut and even within ‘Celtic’ lands, regional differences are abundant (</w:t>
      </w:r>
      <w:proofErr w:type="spellStart"/>
      <w:r w:rsidRPr="00847C84">
        <w:t>Haeussler</w:t>
      </w:r>
      <w:proofErr w:type="spellEnd"/>
      <w:r w:rsidRPr="00847C84">
        <w:t xml:space="preserve"> 2018:738). It is near-impossible to know whether these people classified themselves as Celts, or even that groups spoke a ‘Celtic’ language, yet they are all summarised as one group (Sims-Williams 1998:2). However, the communication between Britain and Germany for its Druidry training could indicate some form of identity classification. </w:t>
      </w:r>
      <w:r w:rsidRPr="00FA1EBA">
        <w:rPr>
          <w:noProof/>
        </w:rPr>
        <w:t>This</w:t>
      </w:r>
      <w:r w:rsidRPr="00847C84">
        <w:t xml:space="preserve"> is because </w:t>
      </w:r>
      <w:r w:rsidRPr="00FA1EBA">
        <w:rPr>
          <w:noProof/>
        </w:rPr>
        <w:t>“historically</w:t>
      </w:r>
      <w:r w:rsidRPr="00847C84">
        <w:t xml:space="preserve">, religious and other institutional traditions have served as the basis for defining good character, providing people with a standard </w:t>
      </w:r>
      <w:r w:rsidRPr="00FA1EBA">
        <w:rPr>
          <w:noProof/>
        </w:rPr>
        <w:t>to define their identity” (Berzonsky et al. 2011:297</w:t>
      </w:r>
      <w:r w:rsidR="00A61130" w:rsidRPr="00FA1EBA">
        <w:rPr>
          <w:noProof/>
        </w:rPr>
        <w:t>)</w:t>
      </w:r>
      <w:r w:rsidR="00A61130" w:rsidRPr="00847C84">
        <w:rPr>
          <w:noProof/>
        </w:rPr>
        <w:t xml:space="preserve">, and the Druid practices would </w:t>
      </w:r>
      <w:r w:rsidR="00A61130" w:rsidRPr="00FA1EBA">
        <w:rPr>
          <w:noProof/>
        </w:rPr>
        <w:t>certainly</w:t>
      </w:r>
      <w:r w:rsidR="00A61130" w:rsidRPr="00847C84">
        <w:rPr>
          <w:noProof/>
        </w:rPr>
        <w:t xml:space="preserve"> provide a </w:t>
      </w:r>
      <w:r w:rsidR="00A61130" w:rsidRPr="00FA1EBA">
        <w:rPr>
          <w:noProof/>
        </w:rPr>
        <w:t>solid</w:t>
      </w:r>
      <w:r w:rsidR="00A61130" w:rsidRPr="00847C84">
        <w:rPr>
          <w:noProof/>
        </w:rPr>
        <w:t xml:space="preserve"> identity identifier. But, the </w:t>
      </w:r>
      <w:r w:rsidR="00A61130" w:rsidRPr="00FA1EBA">
        <w:rPr>
          <w:noProof/>
        </w:rPr>
        <w:t>practice</w:t>
      </w:r>
      <w:r w:rsidR="00A61130" w:rsidRPr="00847C84">
        <w:rPr>
          <w:noProof/>
        </w:rPr>
        <w:t xml:space="preserve"> of Druidry is barely </w:t>
      </w:r>
      <w:r w:rsidR="00A61130" w:rsidRPr="00FA1EBA">
        <w:rPr>
          <w:noProof/>
        </w:rPr>
        <w:t>notice</w:t>
      </w:r>
      <w:r w:rsidR="00FA1EBA">
        <w:rPr>
          <w:noProof/>
        </w:rPr>
        <w:t>ab</w:t>
      </w:r>
      <w:r w:rsidR="00A61130" w:rsidRPr="00FA1EBA">
        <w:rPr>
          <w:noProof/>
        </w:rPr>
        <w:t>le</w:t>
      </w:r>
      <w:r w:rsidR="00A61130" w:rsidRPr="00847C84">
        <w:rPr>
          <w:noProof/>
        </w:rPr>
        <w:t xml:space="preserve"> amongst the material record </w:t>
      </w:r>
      <w:r w:rsidR="00A61130" w:rsidRPr="00FA1EBA">
        <w:rPr>
          <w:noProof/>
        </w:rPr>
        <w:t>so</w:t>
      </w:r>
      <w:r w:rsidR="00A61130" w:rsidRPr="00847C84">
        <w:rPr>
          <w:noProof/>
        </w:rPr>
        <w:t xml:space="preserve"> this is something that cannot </w:t>
      </w:r>
      <w:r w:rsidR="00A61130" w:rsidRPr="00FA1EBA">
        <w:rPr>
          <w:noProof/>
        </w:rPr>
        <w:t>be relied</w:t>
      </w:r>
      <w:r w:rsidR="00A61130" w:rsidRPr="00847C84">
        <w:rPr>
          <w:noProof/>
        </w:rPr>
        <w:t xml:space="preserve"> </w:t>
      </w:r>
      <w:r w:rsidR="00A61130" w:rsidRPr="00FA1EBA">
        <w:rPr>
          <w:noProof/>
        </w:rPr>
        <w:t>upon</w:t>
      </w:r>
      <w:r w:rsidR="00A61130" w:rsidRPr="00847C84">
        <w:rPr>
          <w:noProof/>
        </w:rPr>
        <w:t xml:space="preserve">. </w:t>
      </w:r>
    </w:p>
    <w:p w14:paraId="6D3BCA6A" w14:textId="34D01671" w:rsidR="009253CC" w:rsidRDefault="00FA1EBA">
      <w:r>
        <w:lastRenderedPageBreak/>
        <w:t>To conclude, the entire encompassing dataset for the ‘Celts’ does not provide enough information to formulate an accepted identity. Identity is an individual’s social construct that is affected by socialisation and the institutions they are involved in. without further data concerning the social lives and organisation of the Celts, it is problematic to assume that people who shared a language group, or genetics, identify themselves as an ethnic group. It has been noted that Celts integrated with other nations, thus developing a differing identity. Furthermore, it is not possible to determine identity through linguistic, material culture of DNA analysis. This is because both linguistic and genetic trees are highly complicated and complex, with a lot of the information required to create a working model being missing concerning the Celts. The material cultures do not necessarily equate culture as it can be affected by trade, travelling and trends. While genetic analysis can reveal where people migrated from, it does not provide a reliable data set that can be used to understand these people further. The concept of identity is complex, complicated and confusing; DNA data is simply not enough to formulate an identity for peoples that remain so mysterious. Pieces of the puzzle are still missing, and assuming identity for the sake of easy archaeological classification is a direct assault against knowledge acquisition. For future studies, possibly it would be prudent to move away from the term ‘Celt’ and attempt to understand these individual groups as separate cultures rather than grouping them under the romantic concept of pan-European Celts.</w:t>
      </w:r>
    </w:p>
    <w:p w14:paraId="2DF9C2FF" w14:textId="61BA7139" w:rsidR="007D38DA" w:rsidRDefault="007D38DA"/>
    <w:p w14:paraId="48968793" w14:textId="3A31BAB6" w:rsidR="007D38DA" w:rsidRPr="00AC03D4" w:rsidRDefault="007D38DA" w:rsidP="00D56D1A">
      <w:pPr>
        <w:rPr>
          <w:b/>
          <w:sz w:val="24"/>
        </w:rPr>
      </w:pPr>
      <w:r w:rsidRPr="00AC03D4">
        <w:rPr>
          <w:b/>
          <w:sz w:val="24"/>
        </w:rPr>
        <w:t>Reference</w:t>
      </w:r>
      <w:r w:rsidR="00B10E2E">
        <w:rPr>
          <w:b/>
          <w:sz w:val="24"/>
        </w:rPr>
        <w:t>s</w:t>
      </w:r>
      <w:bookmarkStart w:id="0" w:name="_GoBack"/>
      <w:bookmarkEnd w:id="0"/>
    </w:p>
    <w:p w14:paraId="029B5034" w14:textId="77777777" w:rsidR="00AC03D4" w:rsidRPr="00AC03D4" w:rsidRDefault="00AC03D4" w:rsidP="00D56D1A">
      <w:pPr>
        <w:spacing w:after="0" w:line="256" w:lineRule="auto"/>
        <w:rPr>
          <w:sz w:val="20"/>
          <w:szCs w:val="20"/>
        </w:rPr>
      </w:pPr>
    </w:p>
    <w:p w14:paraId="62175FC3" w14:textId="77777777" w:rsidR="00AC03D4" w:rsidRPr="00AC03D4" w:rsidRDefault="00AC03D4" w:rsidP="00C82EE4">
      <w:pPr>
        <w:rPr>
          <w:rFonts w:cs="Arial"/>
          <w:color w:val="000000"/>
          <w:sz w:val="20"/>
          <w:szCs w:val="20"/>
          <w:shd w:val="clear" w:color="auto" w:fill="FFFFFF"/>
        </w:rPr>
      </w:pPr>
      <w:proofErr w:type="spellStart"/>
      <w:r w:rsidRPr="00AC03D4">
        <w:rPr>
          <w:rFonts w:cs="Arial"/>
          <w:color w:val="000000"/>
          <w:sz w:val="20"/>
          <w:szCs w:val="20"/>
          <w:shd w:val="clear" w:color="auto" w:fill="FFFFFF"/>
        </w:rPr>
        <w:t>Berzonsky</w:t>
      </w:r>
      <w:proofErr w:type="spellEnd"/>
      <w:r w:rsidRPr="00AC03D4">
        <w:rPr>
          <w:rFonts w:cs="Arial"/>
          <w:color w:val="000000"/>
          <w:sz w:val="20"/>
          <w:szCs w:val="20"/>
          <w:shd w:val="clear" w:color="auto" w:fill="FFFFFF"/>
        </w:rPr>
        <w:t xml:space="preserve">, M., </w:t>
      </w:r>
      <w:proofErr w:type="spellStart"/>
      <w:r w:rsidRPr="00AC03D4">
        <w:rPr>
          <w:rFonts w:cs="Arial"/>
          <w:color w:val="000000"/>
          <w:sz w:val="20"/>
          <w:szCs w:val="20"/>
          <w:shd w:val="clear" w:color="auto" w:fill="FFFFFF"/>
        </w:rPr>
        <w:t>Cieciuch</w:t>
      </w:r>
      <w:proofErr w:type="spellEnd"/>
      <w:r w:rsidRPr="00AC03D4">
        <w:rPr>
          <w:rFonts w:cs="Arial"/>
          <w:color w:val="000000"/>
          <w:sz w:val="20"/>
          <w:szCs w:val="20"/>
          <w:shd w:val="clear" w:color="auto" w:fill="FFFFFF"/>
        </w:rPr>
        <w:t xml:space="preserve">, J., </w:t>
      </w:r>
      <w:proofErr w:type="spellStart"/>
      <w:r w:rsidRPr="00AC03D4">
        <w:rPr>
          <w:rFonts w:cs="Arial"/>
          <w:color w:val="000000"/>
          <w:sz w:val="20"/>
          <w:szCs w:val="20"/>
          <w:shd w:val="clear" w:color="auto" w:fill="FFFFFF"/>
        </w:rPr>
        <w:t>Duriez</w:t>
      </w:r>
      <w:proofErr w:type="spellEnd"/>
      <w:r w:rsidRPr="00AC03D4">
        <w:rPr>
          <w:rFonts w:cs="Arial"/>
          <w:color w:val="000000"/>
          <w:sz w:val="20"/>
          <w:szCs w:val="20"/>
          <w:shd w:val="clear" w:color="auto" w:fill="FFFFFF"/>
        </w:rPr>
        <w:t xml:space="preserve">, B. and </w:t>
      </w:r>
      <w:proofErr w:type="spellStart"/>
      <w:r w:rsidRPr="00AC03D4">
        <w:rPr>
          <w:rFonts w:cs="Arial"/>
          <w:color w:val="000000"/>
          <w:sz w:val="20"/>
          <w:szCs w:val="20"/>
          <w:shd w:val="clear" w:color="auto" w:fill="FFFFFF"/>
        </w:rPr>
        <w:t>Soenens</w:t>
      </w:r>
      <w:proofErr w:type="spellEnd"/>
      <w:r w:rsidRPr="00AC03D4">
        <w:rPr>
          <w:rFonts w:cs="Arial"/>
          <w:color w:val="000000"/>
          <w:sz w:val="20"/>
          <w:szCs w:val="20"/>
          <w:shd w:val="clear" w:color="auto" w:fill="FFFFFF"/>
        </w:rPr>
        <w:t>, B. (2011). The how and what of identity formation: Associations between identity styles and value orientations. </w:t>
      </w:r>
      <w:r w:rsidRPr="00AC03D4">
        <w:rPr>
          <w:rFonts w:cs="Arial"/>
          <w:i/>
          <w:iCs/>
          <w:color w:val="000000"/>
          <w:sz w:val="20"/>
          <w:szCs w:val="20"/>
          <w:shd w:val="clear" w:color="auto" w:fill="FFFFFF"/>
        </w:rPr>
        <w:t>Personality and Individual Differences</w:t>
      </w:r>
      <w:r w:rsidRPr="00AC03D4">
        <w:rPr>
          <w:rFonts w:cs="Arial"/>
          <w:color w:val="000000"/>
          <w:sz w:val="20"/>
          <w:szCs w:val="20"/>
          <w:shd w:val="clear" w:color="auto" w:fill="FFFFFF"/>
        </w:rPr>
        <w:t>, 50(2), pp.295-299.</w:t>
      </w:r>
    </w:p>
    <w:p w14:paraId="35C19D53" w14:textId="77777777" w:rsidR="00AC03D4" w:rsidRPr="00AC03D4" w:rsidRDefault="00AC03D4" w:rsidP="00D56D1A">
      <w:pPr>
        <w:spacing w:after="0" w:line="256" w:lineRule="auto"/>
        <w:rPr>
          <w:sz w:val="20"/>
          <w:szCs w:val="20"/>
        </w:rPr>
      </w:pPr>
      <w:proofErr w:type="spellStart"/>
      <w:r w:rsidRPr="00AC03D4">
        <w:rPr>
          <w:rFonts w:cs="Arial"/>
          <w:color w:val="000000"/>
          <w:sz w:val="20"/>
          <w:szCs w:val="20"/>
          <w:shd w:val="clear" w:color="auto" w:fill="FFFFFF"/>
        </w:rPr>
        <w:t>Dietler</w:t>
      </w:r>
      <w:proofErr w:type="spellEnd"/>
      <w:r w:rsidRPr="00AC03D4">
        <w:rPr>
          <w:rFonts w:cs="Arial"/>
          <w:color w:val="000000"/>
          <w:sz w:val="20"/>
          <w:szCs w:val="20"/>
          <w:shd w:val="clear" w:color="auto" w:fill="FFFFFF"/>
        </w:rPr>
        <w:t xml:space="preserve">, M. (2006). </w:t>
      </w:r>
      <w:proofErr w:type="spellStart"/>
      <w:r w:rsidRPr="00AC03D4">
        <w:rPr>
          <w:rFonts w:cs="Arial"/>
          <w:color w:val="000000"/>
          <w:sz w:val="20"/>
          <w:szCs w:val="20"/>
          <w:shd w:val="clear" w:color="auto" w:fill="FFFFFF"/>
        </w:rPr>
        <w:t>Celticism</w:t>
      </w:r>
      <w:proofErr w:type="spellEnd"/>
      <w:r w:rsidRPr="00AC03D4">
        <w:rPr>
          <w:rFonts w:cs="Arial"/>
          <w:color w:val="000000"/>
          <w:sz w:val="20"/>
          <w:szCs w:val="20"/>
          <w:shd w:val="clear" w:color="auto" w:fill="FFFFFF"/>
        </w:rPr>
        <w:t xml:space="preserve">, </w:t>
      </w:r>
      <w:proofErr w:type="spellStart"/>
      <w:r w:rsidRPr="00AC03D4">
        <w:rPr>
          <w:rFonts w:cs="Arial"/>
          <w:color w:val="000000"/>
          <w:sz w:val="20"/>
          <w:szCs w:val="20"/>
          <w:shd w:val="clear" w:color="auto" w:fill="FFFFFF"/>
        </w:rPr>
        <w:t>Celtitude</w:t>
      </w:r>
      <w:proofErr w:type="spellEnd"/>
      <w:r w:rsidRPr="00AC03D4">
        <w:rPr>
          <w:rFonts w:cs="Arial"/>
          <w:color w:val="000000"/>
          <w:sz w:val="20"/>
          <w:szCs w:val="20"/>
          <w:shd w:val="clear" w:color="auto" w:fill="FFFFFF"/>
        </w:rPr>
        <w:t>, and Celticity: the consumption of the past in the age of globalization. </w:t>
      </w:r>
      <w:proofErr w:type="spellStart"/>
      <w:r w:rsidRPr="00AC03D4">
        <w:rPr>
          <w:rFonts w:cs="Arial"/>
          <w:i/>
          <w:iCs/>
          <w:color w:val="000000"/>
          <w:sz w:val="20"/>
          <w:szCs w:val="20"/>
          <w:shd w:val="clear" w:color="auto" w:fill="FFFFFF"/>
        </w:rPr>
        <w:t>Celtes</w:t>
      </w:r>
      <w:proofErr w:type="spellEnd"/>
      <w:r w:rsidRPr="00AC03D4">
        <w:rPr>
          <w:rFonts w:cs="Arial"/>
          <w:i/>
          <w:iCs/>
          <w:color w:val="000000"/>
          <w:sz w:val="20"/>
          <w:szCs w:val="20"/>
          <w:shd w:val="clear" w:color="auto" w:fill="FFFFFF"/>
        </w:rPr>
        <w:t xml:space="preserve"> et </w:t>
      </w:r>
      <w:proofErr w:type="spellStart"/>
      <w:r w:rsidRPr="00AC03D4">
        <w:rPr>
          <w:rFonts w:cs="Arial"/>
          <w:i/>
          <w:iCs/>
          <w:color w:val="000000"/>
          <w:sz w:val="20"/>
          <w:szCs w:val="20"/>
          <w:shd w:val="clear" w:color="auto" w:fill="FFFFFF"/>
        </w:rPr>
        <w:t>Gaulois</w:t>
      </w:r>
      <w:proofErr w:type="spellEnd"/>
      <w:r w:rsidRPr="00AC03D4">
        <w:rPr>
          <w:rFonts w:cs="Arial"/>
          <w:i/>
          <w:iCs/>
          <w:color w:val="000000"/>
          <w:sz w:val="20"/>
          <w:szCs w:val="20"/>
          <w:shd w:val="clear" w:color="auto" w:fill="FFFFFF"/>
        </w:rPr>
        <w:t xml:space="preserve"> dans </w:t>
      </w:r>
      <w:proofErr w:type="spellStart"/>
      <w:r w:rsidRPr="00AC03D4">
        <w:rPr>
          <w:rFonts w:cs="Arial"/>
          <w:i/>
          <w:iCs/>
          <w:color w:val="000000"/>
          <w:sz w:val="20"/>
          <w:szCs w:val="20"/>
          <w:shd w:val="clear" w:color="auto" w:fill="FFFFFF"/>
        </w:rPr>
        <w:t>l’histoire</w:t>
      </w:r>
      <w:proofErr w:type="spellEnd"/>
      <w:r w:rsidRPr="00AC03D4">
        <w:rPr>
          <w:rFonts w:cs="Arial"/>
          <w:i/>
          <w:iCs/>
          <w:color w:val="000000"/>
          <w:sz w:val="20"/>
          <w:szCs w:val="20"/>
          <w:shd w:val="clear" w:color="auto" w:fill="FFFFFF"/>
        </w:rPr>
        <w:t xml:space="preserve">, </w:t>
      </w:r>
      <w:proofErr w:type="spellStart"/>
      <w:r w:rsidRPr="00AC03D4">
        <w:rPr>
          <w:rFonts w:cs="Arial"/>
          <w:i/>
          <w:iCs/>
          <w:color w:val="000000"/>
          <w:sz w:val="20"/>
          <w:szCs w:val="20"/>
          <w:shd w:val="clear" w:color="auto" w:fill="FFFFFF"/>
        </w:rPr>
        <w:t>l’historiographie</w:t>
      </w:r>
      <w:proofErr w:type="spellEnd"/>
      <w:r w:rsidRPr="00AC03D4">
        <w:rPr>
          <w:rFonts w:cs="Arial"/>
          <w:i/>
          <w:iCs/>
          <w:color w:val="000000"/>
          <w:sz w:val="20"/>
          <w:szCs w:val="20"/>
          <w:shd w:val="clear" w:color="auto" w:fill="FFFFFF"/>
        </w:rPr>
        <w:t xml:space="preserve"> et </w:t>
      </w:r>
      <w:proofErr w:type="spellStart"/>
      <w:r w:rsidRPr="00AC03D4">
        <w:rPr>
          <w:rFonts w:cs="Arial"/>
          <w:i/>
          <w:iCs/>
          <w:color w:val="000000"/>
          <w:sz w:val="20"/>
          <w:szCs w:val="20"/>
          <w:shd w:val="clear" w:color="auto" w:fill="FFFFFF"/>
        </w:rPr>
        <w:t>l’idéologie</w:t>
      </w:r>
      <w:proofErr w:type="spellEnd"/>
      <w:r w:rsidRPr="00AC03D4">
        <w:rPr>
          <w:rFonts w:cs="Arial"/>
          <w:i/>
          <w:iCs/>
          <w:color w:val="000000"/>
          <w:sz w:val="20"/>
          <w:szCs w:val="20"/>
          <w:shd w:val="clear" w:color="auto" w:fill="FFFFFF"/>
        </w:rPr>
        <w:t xml:space="preserve"> </w:t>
      </w:r>
      <w:proofErr w:type="spellStart"/>
      <w:r w:rsidRPr="00AC03D4">
        <w:rPr>
          <w:rFonts w:cs="Arial"/>
          <w:i/>
          <w:iCs/>
          <w:color w:val="000000"/>
          <w:sz w:val="20"/>
          <w:szCs w:val="20"/>
          <w:shd w:val="clear" w:color="auto" w:fill="FFFFFF"/>
        </w:rPr>
        <w:t>moderne</w:t>
      </w:r>
      <w:proofErr w:type="spellEnd"/>
      <w:r w:rsidRPr="00AC03D4">
        <w:rPr>
          <w:rFonts w:cs="Arial"/>
          <w:color w:val="000000"/>
          <w:sz w:val="20"/>
          <w:szCs w:val="20"/>
          <w:shd w:val="clear" w:color="auto" w:fill="FFFFFF"/>
        </w:rPr>
        <w:t>, [online] pp.237-248. Available at: https://www.academia.edu/273595/Celticism_Celtitude_and_Celticity_the_consumption_of_the_past_in_the_age_of_globalization [Accessed 8 Feb. 2019].</w:t>
      </w:r>
    </w:p>
    <w:p w14:paraId="5FBD38B1" w14:textId="77777777" w:rsidR="00AC03D4" w:rsidRPr="00AC03D4" w:rsidRDefault="00AC03D4" w:rsidP="00D56D1A">
      <w:pPr>
        <w:rPr>
          <w:rFonts w:cs="Arial"/>
          <w:sz w:val="20"/>
          <w:szCs w:val="20"/>
          <w:shd w:val="clear" w:color="auto" w:fill="FFFFFF"/>
        </w:rPr>
      </w:pPr>
      <w:proofErr w:type="spellStart"/>
      <w:r w:rsidRPr="00AC03D4">
        <w:rPr>
          <w:rFonts w:cs="Arial"/>
          <w:sz w:val="20"/>
          <w:szCs w:val="20"/>
          <w:shd w:val="clear" w:color="auto" w:fill="FFFFFF"/>
        </w:rPr>
        <w:t>Haeussler</w:t>
      </w:r>
      <w:proofErr w:type="spellEnd"/>
      <w:r w:rsidRPr="00AC03D4">
        <w:rPr>
          <w:rFonts w:cs="Arial"/>
          <w:sz w:val="20"/>
          <w:szCs w:val="20"/>
          <w:shd w:val="clear" w:color="auto" w:fill="FFFFFF"/>
        </w:rPr>
        <w:t xml:space="preserve">, R. (2017). The Galli. In: G. </w:t>
      </w:r>
      <w:proofErr w:type="spellStart"/>
      <w:r w:rsidRPr="00AC03D4">
        <w:rPr>
          <w:rFonts w:cs="Arial"/>
          <w:sz w:val="20"/>
          <w:szCs w:val="20"/>
          <w:shd w:val="clear" w:color="auto" w:fill="FFFFFF"/>
        </w:rPr>
        <w:t>Farney</w:t>
      </w:r>
      <w:proofErr w:type="spellEnd"/>
      <w:r w:rsidRPr="00AC03D4">
        <w:rPr>
          <w:rFonts w:cs="Arial"/>
          <w:sz w:val="20"/>
          <w:szCs w:val="20"/>
          <w:shd w:val="clear" w:color="auto" w:fill="FFFFFF"/>
        </w:rPr>
        <w:t xml:space="preserve"> and G. Bradley, ed., </w:t>
      </w:r>
      <w:r w:rsidRPr="00AC03D4">
        <w:rPr>
          <w:rFonts w:cs="Arial"/>
          <w:i/>
          <w:iCs/>
          <w:sz w:val="20"/>
          <w:szCs w:val="20"/>
          <w:shd w:val="clear" w:color="auto" w:fill="FFFFFF"/>
        </w:rPr>
        <w:t>The Peoples of Ancient Italy</w:t>
      </w:r>
      <w:r w:rsidRPr="00AC03D4">
        <w:rPr>
          <w:rFonts w:cs="Arial"/>
          <w:sz w:val="20"/>
          <w:szCs w:val="20"/>
          <w:shd w:val="clear" w:color="auto" w:fill="FFFFFF"/>
        </w:rPr>
        <w:t>. Berlin: De Gruyter, pp.719-754.</w:t>
      </w:r>
    </w:p>
    <w:p w14:paraId="7934B956" w14:textId="77777777" w:rsidR="00AC03D4" w:rsidRPr="00AC03D4" w:rsidRDefault="00AC03D4" w:rsidP="00D56D1A">
      <w:pPr>
        <w:widowControl w:val="0"/>
        <w:rPr>
          <w:sz w:val="20"/>
          <w:szCs w:val="20"/>
        </w:rPr>
      </w:pPr>
      <w:r w:rsidRPr="00AC03D4">
        <w:rPr>
          <w:sz w:val="20"/>
          <w:szCs w:val="20"/>
        </w:rPr>
        <w:t>James, S. (2005). </w:t>
      </w:r>
      <w:r w:rsidRPr="00AC03D4">
        <w:rPr>
          <w:i/>
          <w:iCs/>
          <w:sz w:val="20"/>
          <w:szCs w:val="20"/>
        </w:rPr>
        <w:t>Exploring the world of the Celts</w:t>
      </w:r>
      <w:r w:rsidRPr="00AC03D4">
        <w:rPr>
          <w:sz w:val="20"/>
          <w:szCs w:val="20"/>
        </w:rPr>
        <w:t>. London: Thames and Hudson</w:t>
      </w:r>
    </w:p>
    <w:p w14:paraId="76B70CAE" w14:textId="77777777" w:rsidR="00AC03D4" w:rsidRPr="00AC03D4" w:rsidRDefault="00AC03D4" w:rsidP="00D56D1A">
      <w:pPr>
        <w:spacing w:after="0" w:line="256" w:lineRule="auto"/>
        <w:rPr>
          <w:sz w:val="20"/>
          <w:szCs w:val="20"/>
        </w:rPr>
      </w:pPr>
      <w:proofErr w:type="spellStart"/>
      <w:r w:rsidRPr="00AC03D4">
        <w:rPr>
          <w:sz w:val="20"/>
          <w:szCs w:val="20"/>
        </w:rPr>
        <w:t>Scheeres</w:t>
      </w:r>
      <w:proofErr w:type="spellEnd"/>
      <w:r w:rsidRPr="00AC03D4">
        <w:rPr>
          <w:sz w:val="20"/>
          <w:szCs w:val="20"/>
        </w:rPr>
        <w:t xml:space="preserve">, </w:t>
      </w:r>
      <w:proofErr w:type="spellStart"/>
      <w:r w:rsidRPr="00AC03D4">
        <w:rPr>
          <w:sz w:val="20"/>
          <w:szCs w:val="20"/>
        </w:rPr>
        <w:t>Mirjam</w:t>
      </w:r>
      <w:proofErr w:type="spellEnd"/>
      <w:r w:rsidRPr="00AC03D4">
        <w:rPr>
          <w:sz w:val="20"/>
          <w:szCs w:val="20"/>
        </w:rPr>
        <w:t xml:space="preserve"> &amp; </w:t>
      </w:r>
      <w:proofErr w:type="spellStart"/>
      <w:r w:rsidRPr="00AC03D4">
        <w:rPr>
          <w:sz w:val="20"/>
          <w:szCs w:val="20"/>
        </w:rPr>
        <w:t>Knipper</w:t>
      </w:r>
      <w:proofErr w:type="spellEnd"/>
      <w:r w:rsidRPr="00AC03D4">
        <w:rPr>
          <w:sz w:val="20"/>
          <w:szCs w:val="20"/>
        </w:rPr>
        <w:t xml:space="preserve">, Corina &amp; </w:t>
      </w:r>
      <w:proofErr w:type="spellStart"/>
      <w:r w:rsidRPr="00AC03D4">
        <w:rPr>
          <w:sz w:val="20"/>
          <w:szCs w:val="20"/>
        </w:rPr>
        <w:t>Hauschild</w:t>
      </w:r>
      <w:proofErr w:type="spellEnd"/>
      <w:r w:rsidRPr="00AC03D4">
        <w:rPr>
          <w:sz w:val="20"/>
          <w:szCs w:val="20"/>
        </w:rPr>
        <w:t xml:space="preserve">, Maya &amp; </w:t>
      </w:r>
      <w:proofErr w:type="spellStart"/>
      <w:r w:rsidRPr="00AC03D4">
        <w:rPr>
          <w:sz w:val="20"/>
          <w:szCs w:val="20"/>
        </w:rPr>
        <w:t>Schönfelder</w:t>
      </w:r>
      <w:proofErr w:type="spellEnd"/>
      <w:r w:rsidRPr="00AC03D4">
        <w:rPr>
          <w:sz w:val="20"/>
          <w:szCs w:val="20"/>
        </w:rPr>
        <w:t xml:space="preserve">, Martin &amp; Siebel, Wolfgang &amp; Vitali, Daniele &amp; Pare, Christopher &amp; Alt, Kurt. (2013). Evidence for “Celtic migrations”? Strontium isotope analysis at the early La </w:t>
      </w:r>
      <w:proofErr w:type="spellStart"/>
      <w:r w:rsidRPr="00AC03D4">
        <w:rPr>
          <w:sz w:val="20"/>
          <w:szCs w:val="20"/>
        </w:rPr>
        <w:t>Tène</w:t>
      </w:r>
      <w:proofErr w:type="spellEnd"/>
      <w:r w:rsidRPr="00AC03D4">
        <w:rPr>
          <w:sz w:val="20"/>
          <w:szCs w:val="20"/>
        </w:rPr>
        <w:t xml:space="preserve"> (LT B) cemeteries of </w:t>
      </w:r>
      <w:proofErr w:type="spellStart"/>
      <w:r w:rsidRPr="00AC03D4">
        <w:rPr>
          <w:sz w:val="20"/>
          <w:szCs w:val="20"/>
        </w:rPr>
        <w:t>Nebringen</w:t>
      </w:r>
      <w:proofErr w:type="spellEnd"/>
      <w:r w:rsidRPr="00AC03D4">
        <w:rPr>
          <w:sz w:val="20"/>
          <w:szCs w:val="20"/>
        </w:rPr>
        <w:t xml:space="preserve"> (Germany) and Monte </w:t>
      </w:r>
      <w:proofErr w:type="spellStart"/>
      <w:r w:rsidRPr="00AC03D4">
        <w:rPr>
          <w:sz w:val="20"/>
          <w:szCs w:val="20"/>
        </w:rPr>
        <w:t>Bibele</w:t>
      </w:r>
      <w:proofErr w:type="spellEnd"/>
      <w:r w:rsidRPr="00AC03D4">
        <w:rPr>
          <w:sz w:val="20"/>
          <w:szCs w:val="20"/>
        </w:rPr>
        <w:t xml:space="preserve"> (Italy). Journal of Archaeological Science. 40. 3614-3625. 10.1016/j.jas.2013.</w:t>
      </w:r>
      <w:proofErr w:type="gramStart"/>
      <w:r w:rsidRPr="00AC03D4">
        <w:rPr>
          <w:sz w:val="20"/>
          <w:szCs w:val="20"/>
        </w:rPr>
        <w:t>05.003..</w:t>
      </w:r>
      <w:proofErr w:type="gramEnd"/>
    </w:p>
    <w:p w14:paraId="676E538A" w14:textId="77777777" w:rsidR="00AC03D4" w:rsidRPr="00AC03D4" w:rsidRDefault="00AC03D4" w:rsidP="00D56D1A">
      <w:pPr>
        <w:rPr>
          <w:rFonts w:cs="Arial"/>
          <w:sz w:val="20"/>
          <w:szCs w:val="20"/>
          <w:shd w:val="clear" w:color="auto" w:fill="FFFFFF"/>
        </w:rPr>
      </w:pPr>
      <w:r w:rsidRPr="00AC03D4">
        <w:rPr>
          <w:rFonts w:cs="Arial"/>
          <w:sz w:val="20"/>
          <w:szCs w:val="20"/>
          <w:shd w:val="clear" w:color="auto" w:fill="FFFFFF"/>
        </w:rPr>
        <w:t>Service, R. (2017). </w:t>
      </w:r>
      <w:r w:rsidRPr="00AC03D4">
        <w:rPr>
          <w:rFonts w:cs="Arial"/>
          <w:i/>
          <w:iCs/>
          <w:sz w:val="20"/>
          <w:szCs w:val="20"/>
          <w:shd w:val="clear" w:color="auto" w:fill="FFFFFF"/>
        </w:rPr>
        <w:t xml:space="preserve">DNA could store </w:t>
      </w:r>
      <w:proofErr w:type="gramStart"/>
      <w:r w:rsidRPr="00AC03D4">
        <w:rPr>
          <w:rFonts w:cs="Arial"/>
          <w:i/>
          <w:iCs/>
          <w:sz w:val="20"/>
          <w:szCs w:val="20"/>
          <w:shd w:val="clear" w:color="auto" w:fill="FFFFFF"/>
        </w:rPr>
        <w:t>all of</w:t>
      </w:r>
      <w:proofErr w:type="gramEnd"/>
      <w:r w:rsidRPr="00AC03D4">
        <w:rPr>
          <w:rFonts w:cs="Arial"/>
          <w:i/>
          <w:iCs/>
          <w:sz w:val="20"/>
          <w:szCs w:val="20"/>
          <w:shd w:val="clear" w:color="auto" w:fill="FFFFFF"/>
        </w:rPr>
        <w:t xml:space="preserve"> the world's data in one room</w:t>
      </w:r>
      <w:r w:rsidRPr="00AC03D4">
        <w:rPr>
          <w:rFonts w:cs="Arial"/>
          <w:sz w:val="20"/>
          <w:szCs w:val="20"/>
          <w:shd w:val="clear" w:color="auto" w:fill="FFFFFF"/>
        </w:rPr>
        <w:t>. [online] Science | AAAS. Available at: https://www.sciencemag.org/news/2017/03/dna-could-store-all-worlds-data-one-room?r3f_986=https://www.google.com/ [Accessed 8 Feb. 2019].</w:t>
      </w:r>
    </w:p>
    <w:p w14:paraId="0E87B75E" w14:textId="77777777" w:rsidR="00AC03D4" w:rsidRPr="00AC03D4" w:rsidRDefault="00AC03D4" w:rsidP="00C82EE4">
      <w:pPr>
        <w:rPr>
          <w:sz w:val="20"/>
          <w:szCs w:val="20"/>
          <w:lang w:eastAsia="en-GB"/>
        </w:rPr>
      </w:pPr>
      <w:r w:rsidRPr="00AC03D4">
        <w:rPr>
          <w:rFonts w:cs="Arial"/>
          <w:color w:val="000000"/>
          <w:sz w:val="20"/>
          <w:szCs w:val="20"/>
          <w:shd w:val="clear" w:color="auto" w:fill="FFFFFF"/>
        </w:rPr>
        <w:t>Sims-Williams, P. (2012). Bronze- and Iron-Age Celtic-speakers: what don't we know, what can't we know, and what could we know? Language, genetics and archaeology in the twenty-first century. </w:t>
      </w:r>
      <w:r w:rsidRPr="00AC03D4">
        <w:rPr>
          <w:rFonts w:cs="Arial"/>
          <w:i/>
          <w:iCs/>
          <w:color w:val="000000"/>
          <w:sz w:val="20"/>
          <w:szCs w:val="20"/>
          <w:shd w:val="clear" w:color="auto" w:fill="FFFFFF"/>
        </w:rPr>
        <w:t>The Antiquaries Journal</w:t>
      </w:r>
      <w:r w:rsidRPr="00AC03D4">
        <w:rPr>
          <w:rFonts w:cs="Arial"/>
          <w:color w:val="000000"/>
          <w:sz w:val="20"/>
          <w:szCs w:val="20"/>
          <w:shd w:val="clear" w:color="auto" w:fill="FFFFFF"/>
        </w:rPr>
        <w:t>, 92, pp.427-449.</w:t>
      </w:r>
    </w:p>
    <w:p w14:paraId="51DA3B62" w14:textId="25D48F72" w:rsidR="00023BB0" w:rsidRPr="00AC03D4" w:rsidRDefault="00AC03D4">
      <w:pPr>
        <w:rPr>
          <w:sz w:val="20"/>
          <w:szCs w:val="20"/>
          <w:lang w:eastAsia="en-GB"/>
        </w:rPr>
      </w:pPr>
      <w:r w:rsidRPr="00AC03D4">
        <w:rPr>
          <w:sz w:val="20"/>
          <w:szCs w:val="20"/>
          <w:lang w:eastAsia="en-GB"/>
        </w:rPr>
        <w:t>Sims-Williams, Patrick</w:t>
      </w:r>
      <w:r w:rsidRPr="00AC03D4">
        <w:rPr>
          <w:sz w:val="20"/>
          <w:szCs w:val="20"/>
          <w:lang w:eastAsia="en-GB"/>
        </w:rPr>
        <w:t>. (1998).</w:t>
      </w:r>
      <w:r w:rsidRPr="00AC03D4">
        <w:rPr>
          <w:sz w:val="20"/>
          <w:szCs w:val="20"/>
          <w:lang w:eastAsia="en-GB"/>
        </w:rPr>
        <w:t xml:space="preserve"> </w:t>
      </w:r>
      <w:proofErr w:type="spellStart"/>
      <w:r w:rsidRPr="00AC03D4">
        <w:rPr>
          <w:sz w:val="20"/>
          <w:szCs w:val="20"/>
          <w:lang w:eastAsia="en-GB"/>
        </w:rPr>
        <w:t>Celtomania</w:t>
      </w:r>
      <w:proofErr w:type="spellEnd"/>
      <w:r w:rsidRPr="00AC03D4">
        <w:rPr>
          <w:sz w:val="20"/>
          <w:szCs w:val="20"/>
          <w:lang w:eastAsia="en-GB"/>
        </w:rPr>
        <w:t xml:space="preserve"> and </w:t>
      </w:r>
      <w:proofErr w:type="spellStart"/>
      <w:r w:rsidRPr="00AC03D4">
        <w:rPr>
          <w:sz w:val="20"/>
          <w:szCs w:val="20"/>
          <w:lang w:eastAsia="en-GB"/>
        </w:rPr>
        <w:t>Celtoscepticism</w:t>
      </w:r>
      <w:proofErr w:type="spellEnd"/>
      <w:r w:rsidRPr="00AC03D4">
        <w:rPr>
          <w:sz w:val="20"/>
          <w:szCs w:val="20"/>
          <w:lang w:eastAsia="en-GB"/>
        </w:rPr>
        <w:t>.</w:t>
      </w:r>
      <w:r w:rsidRPr="00AC03D4">
        <w:rPr>
          <w:sz w:val="20"/>
          <w:szCs w:val="20"/>
          <w:lang w:eastAsia="en-GB"/>
        </w:rPr>
        <w:t> </w:t>
      </w:r>
      <w:r w:rsidRPr="00AC03D4">
        <w:rPr>
          <w:i/>
          <w:iCs/>
          <w:sz w:val="20"/>
          <w:szCs w:val="20"/>
          <w:lang w:eastAsia="en-GB"/>
        </w:rPr>
        <w:t>Cambrian Medieval Celtic Studies</w:t>
      </w:r>
      <w:r w:rsidRPr="00AC03D4">
        <w:rPr>
          <w:sz w:val="20"/>
          <w:szCs w:val="20"/>
          <w:lang w:eastAsia="en-GB"/>
        </w:rPr>
        <w:t> 36</w:t>
      </w:r>
      <w:r w:rsidRPr="00AC03D4">
        <w:rPr>
          <w:sz w:val="20"/>
          <w:szCs w:val="20"/>
          <w:lang w:eastAsia="en-GB"/>
        </w:rPr>
        <w:t>.</w:t>
      </w:r>
      <w:r w:rsidRPr="00AC03D4">
        <w:rPr>
          <w:sz w:val="20"/>
          <w:szCs w:val="20"/>
          <w:lang w:eastAsia="en-GB"/>
        </w:rPr>
        <w:t xml:space="preserve"> </w:t>
      </w:r>
      <w:r w:rsidRPr="00AC03D4">
        <w:rPr>
          <w:sz w:val="20"/>
          <w:szCs w:val="20"/>
          <w:lang w:eastAsia="en-GB"/>
        </w:rPr>
        <w:t>pp.</w:t>
      </w:r>
      <w:r w:rsidRPr="00AC03D4">
        <w:rPr>
          <w:sz w:val="20"/>
          <w:szCs w:val="20"/>
          <w:lang w:eastAsia="en-GB"/>
        </w:rPr>
        <w:t>1–36.</w:t>
      </w:r>
    </w:p>
    <w:sectPr w:rsidR="00023BB0" w:rsidRPr="00AC0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0NjKwMDE0sjQwtjBW0lEKTi0uzszPAykwrAUATCxdmywAAAA="/>
  </w:docVars>
  <w:rsids>
    <w:rsidRoot w:val="00023BB0"/>
    <w:rsid w:val="00023BB0"/>
    <w:rsid w:val="000420DF"/>
    <w:rsid w:val="0007386B"/>
    <w:rsid w:val="00076A01"/>
    <w:rsid w:val="000B3D64"/>
    <w:rsid w:val="000D7469"/>
    <w:rsid w:val="001006A7"/>
    <w:rsid w:val="00120E6C"/>
    <w:rsid w:val="001C7756"/>
    <w:rsid w:val="001F4E6A"/>
    <w:rsid w:val="00221EAE"/>
    <w:rsid w:val="00227A62"/>
    <w:rsid w:val="00265117"/>
    <w:rsid w:val="00281A43"/>
    <w:rsid w:val="002F170B"/>
    <w:rsid w:val="003F37FD"/>
    <w:rsid w:val="00401779"/>
    <w:rsid w:val="0040561E"/>
    <w:rsid w:val="00442C47"/>
    <w:rsid w:val="00447025"/>
    <w:rsid w:val="004513B6"/>
    <w:rsid w:val="00460A6D"/>
    <w:rsid w:val="004C3F9C"/>
    <w:rsid w:val="004C47DA"/>
    <w:rsid w:val="00547757"/>
    <w:rsid w:val="005E72BA"/>
    <w:rsid w:val="0064184F"/>
    <w:rsid w:val="00650643"/>
    <w:rsid w:val="00664594"/>
    <w:rsid w:val="00671400"/>
    <w:rsid w:val="006A1F6B"/>
    <w:rsid w:val="006B05AD"/>
    <w:rsid w:val="006C2183"/>
    <w:rsid w:val="006C590A"/>
    <w:rsid w:val="006F2BAC"/>
    <w:rsid w:val="00706775"/>
    <w:rsid w:val="0074662E"/>
    <w:rsid w:val="0074684C"/>
    <w:rsid w:val="007D38DA"/>
    <w:rsid w:val="008033D1"/>
    <w:rsid w:val="00847C84"/>
    <w:rsid w:val="008764BB"/>
    <w:rsid w:val="008847A5"/>
    <w:rsid w:val="008960DA"/>
    <w:rsid w:val="008E1068"/>
    <w:rsid w:val="008F6EED"/>
    <w:rsid w:val="009253CC"/>
    <w:rsid w:val="00930F26"/>
    <w:rsid w:val="00975CF7"/>
    <w:rsid w:val="009D0EFD"/>
    <w:rsid w:val="009D6184"/>
    <w:rsid w:val="009F09FB"/>
    <w:rsid w:val="00A12318"/>
    <w:rsid w:val="00A32F5C"/>
    <w:rsid w:val="00A61130"/>
    <w:rsid w:val="00A73497"/>
    <w:rsid w:val="00A85A82"/>
    <w:rsid w:val="00A87EDC"/>
    <w:rsid w:val="00AC03D4"/>
    <w:rsid w:val="00AE4543"/>
    <w:rsid w:val="00B10E2E"/>
    <w:rsid w:val="00BB0EB0"/>
    <w:rsid w:val="00BB6013"/>
    <w:rsid w:val="00BD5AD2"/>
    <w:rsid w:val="00BE314A"/>
    <w:rsid w:val="00BE3305"/>
    <w:rsid w:val="00C27DEC"/>
    <w:rsid w:val="00C4026D"/>
    <w:rsid w:val="00C82EE4"/>
    <w:rsid w:val="00CA406E"/>
    <w:rsid w:val="00CF6772"/>
    <w:rsid w:val="00D0191B"/>
    <w:rsid w:val="00D56D1A"/>
    <w:rsid w:val="00D60E24"/>
    <w:rsid w:val="00DA7F93"/>
    <w:rsid w:val="00DF328B"/>
    <w:rsid w:val="00ED0AB4"/>
    <w:rsid w:val="00EF0561"/>
    <w:rsid w:val="00EF154D"/>
    <w:rsid w:val="00F06822"/>
    <w:rsid w:val="00F1085F"/>
    <w:rsid w:val="00F30378"/>
    <w:rsid w:val="00F427F1"/>
    <w:rsid w:val="00F605AF"/>
    <w:rsid w:val="00F835B8"/>
    <w:rsid w:val="00FA1EBA"/>
    <w:rsid w:val="00FA36CC"/>
    <w:rsid w:val="00FC1E4F"/>
    <w:rsid w:val="00FF6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3BFA50"/>
  <w15:chartTrackingRefBased/>
  <w15:docId w15:val="{BB08F647-61D1-489C-9B45-1B5097EAD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Nova" w:eastAsiaTheme="minorHAnsi" w:hAnsi="Arial Nov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32F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F5C"/>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A32F5C"/>
  </w:style>
  <w:style w:type="character" w:styleId="Emphasis">
    <w:name w:val="Emphasis"/>
    <w:basedOn w:val="DefaultParagraphFont"/>
    <w:uiPriority w:val="20"/>
    <w:qFormat/>
    <w:rsid w:val="00A32F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753531">
      <w:bodyDiv w:val="1"/>
      <w:marLeft w:val="0"/>
      <w:marRight w:val="0"/>
      <w:marTop w:val="0"/>
      <w:marBottom w:val="0"/>
      <w:divBdr>
        <w:top w:val="none" w:sz="0" w:space="0" w:color="auto"/>
        <w:left w:val="none" w:sz="0" w:space="0" w:color="auto"/>
        <w:bottom w:val="none" w:sz="0" w:space="0" w:color="auto"/>
        <w:right w:val="none" w:sz="0" w:space="0" w:color="auto"/>
      </w:divBdr>
    </w:div>
    <w:div w:id="870530424">
      <w:bodyDiv w:val="1"/>
      <w:marLeft w:val="0"/>
      <w:marRight w:val="0"/>
      <w:marTop w:val="0"/>
      <w:marBottom w:val="0"/>
      <w:divBdr>
        <w:top w:val="none" w:sz="0" w:space="0" w:color="auto"/>
        <w:left w:val="none" w:sz="0" w:space="0" w:color="auto"/>
        <w:bottom w:val="none" w:sz="0" w:space="0" w:color="auto"/>
        <w:right w:val="none" w:sz="0" w:space="0" w:color="auto"/>
      </w:divBdr>
    </w:div>
    <w:div w:id="103496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3</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 (1600109)</dc:creator>
  <cp:keywords/>
  <dc:description/>
  <cp:lastModifiedBy>Danielle Alexander (1600109)</cp:lastModifiedBy>
  <cp:revision>14</cp:revision>
  <dcterms:created xsi:type="dcterms:W3CDTF">2019-02-08T17:01:00Z</dcterms:created>
  <dcterms:modified xsi:type="dcterms:W3CDTF">2019-02-08T21:12:00Z</dcterms:modified>
</cp:coreProperties>
</file>