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0464378" w:displacedByCustomXml="next"/>
    <w:bookmarkEnd w:id="0" w:displacedByCustomXml="next"/>
    <w:sdt>
      <w:sdtPr>
        <w:rPr>
          <w:color w:val="156082" w:themeColor="accent1"/>
        </w:rPr>
        <w:id w:val="-497356227"/>
        <w:docPartObj>
          <w:docPartGallery w:val="Cover Pages"/>
          <w:docPartUnique/>
        </w:docPartObj>
      </w:sdtPr>
      <w:sdtEndPr>
        <w:rPr>
          <w:color w:val="auto"/>
        </w:rPr>
      </w:sdtEndPr>
      <w:sdtContent>
        <w:p w14:paraId="4D093AF6" w14:textId="349D0364" w:rsidR="00E638E6" w:rsidRDefault="00000000" w:rsidP="00571033">
          <w:pPr>
            <w:pStyle w:val="NoSpacing"/>
            <w:pBdr>
              <w:top w:val="single" w:sz="6" w:space="1" w:color="156082" w:themeColor="accent1"/>
              <w:bottom w:val="single" w:sz="6" w:space="6" w:color="156082" w:themeColor="accent1"/>
            </w:pBdr>
            <w:spacing w:after="240"/>
            <w:jc w:val="center"/>
          </w:pPr>
        </w:p>
      </w:sdtContent>
    </w:sdt>
    <w:p w14:paraId="0CF13655" w14:textId="58D6B7B7" w:rsidR="00F35A39" w:rsidRDefault="000F794E">
      <w:r>
        <w:t xml:space="preserve">                                         </w:t>
      </w:r>
      <w:r w:rsidR="00964614">
        <w:rPr>
          <w:noProof/>
          <w:color w:val="156082" w:themeColor="accent1"/>
        </w:rPr>
        <w:drawing>
          <wp:inline distT="0" distB="0" distL="0" distR="0" wp14:anchorId="0E82F67A" wp14:editId="645C3218">
            <wp:extent cx="1844040" cy="914400"/>
            <wp:effectExtent l="0" t="0" r="381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983970" cy="983787"/>
                    </a:xfrm>
                    <a:prstGeom prst="rect">
                      <a:avLst/>
                    </a:prstGeom>
                    <a:noFill/>
                    <a:ln>
                      <a:noFill/>
                    </a:ln>
                  </pic:spPr>
                </pic:pic>
              </a:graphicData>
            </a:graphic>
          </wp:inline>
        </w:drawing>
      </w:r>
    </w:p>
    <w:p w14:paraId="4444BC23" w14:textId="77777777" w:rsidR="000F794E" w:rsidRDefault="000F794E" w:rsidP="00806EDF">
      <w:pPr>
        <w:widowControl w:val="0"/>
        <w:tabs>
          <w:tab w:val="left" w:pos="392"/>
        </w:tabs>
        <w:autoSpaceDE w:val="0"/>
        <w:autoSpaceDN w:val="0"/>
        <w:ind w:right="473"/>
        <w:jc w:val="center"/>
        <w:rPr>
          <w:rFonts w:cs="Arial"/>
          <w:b/>
          <w:sz w:val="22"/>
          <w:szCs w:val="22"/>
        </w:rPr>
      </w:pPr>
    </w:p>
    <w:p w14:paraId="634D0E14" w14:textId="11E93F86" w:rsidR="000F794E" w:rsidRDefault="00000000" w:rsidP="000F794E">
      <w:pPr>
        <w:pStyle w:val="NoSpacing"/>
        <w:spacing w:before="1540" w:after="240"/>
        <w:jc w:val="center"/>
        <w:rPr>
          <w:color w:val="156082" w:themeColor="accent1"/>
        </w:rPr>
      </w:pPr>
      <w:sdt>
        <w:sdtPr>
          <w:rPr>
            <w:rFonts w:asciiTheme="majorHAnsi" w:eastAsiaTheme="majorEastAsia" w:hAnsiTheme="majorHAnsi" w:cstheme="majorBidi"/>
            <w:caps/>
            <w:color w:val="156082" w:themeColor="accent1"/>
            <w:sz w:val="72"/>
            <w:szCs w:val="72"/>
          </w:rPr>
          <w:alias w:val="Title"/>
          <w:tag w:val=""/>
          <w:id w:val="1735040861"/>
          <w:placeholder>
            <w:docPart w:val="2635FEB04BF74280B8B0DF2ABCC0BF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FE5377">
            <w:rPr>
              <w:rFonts w:asciiTheme="majorHAnsi" w:eastAsiaTheme="majorEastAsia" w:hAnsiTheme="majorHAnsi" w:cstheme="majorBidi"/>
              <w:caps/>
              <w:color w:val="156082" w:themeColor="accent1"/>
              <w:sz w:val="72"/>
              <w:szCs w:val="72"/>
            </w:rPr>
            <w:t>introduction to health and social care</w:t>
          </w:r>
        </w:sdtContent>
      </w:sdt>
    </w:p>
    <w:sdt>
      <w:sdtPr>
        <w:rPr>
          <w:color w:val="156082" w:themeColor="accent1"/>
          <w:sz w:val="32"/>
          <w:szCs w:val="32"/>
        </w:rPr>
        <w:alias w:val="Subtitle"/>
        <w:tag w:val=""/>
        <w:id w:val="328029620"/>
        <w:placeholder>
          <w:docPart w:val="9A902C63B4B541E886436EDE97A9A9B5"/>
        </w:placeholder>
        <w:dataBinding w:prefixMappings="xmlns:ns0='http://purl.org/dc/elements/1.1/' xmlns:ns1='http://schemas.openxmlformats.org/package/2006/metadata/core-properties' " w:xpath="/ns1:coreProperties[1]/ns0:subject[1]" w:storeItemID="{6C3C8BC8-F283-45AE-878A-BAB7291924A1}"/>
        <w:text/>
      </w:sdtPr>
      <w:sdtEndPr>
        <w:rPr>
          <w:sz w:val="28"/>
          <w:szCs w:val="28"/>
        </w:rPr>
      </w:sdtEndPr>
      <w:sdtContent>
        <w:p w14:paraId="46758499" w14:textId="5FF4D8B0" w:rsidR="00FD0D48" w:rsidRDefault="006710ED" w:rsidP="00FD0D48">
          <w:pPr>
            <w:pStyle w:val="NoSpacing"/>
            <w:jc w:val="center"/>
            <w:rPr>
              <w:color w:val="156082" w:themeColor="accent1"/>
              <w:sz w:val="28"/>
              <w:szCs w:val="28"/>
            </w:rPr>
          </w:pPr>
          <w:r>
            <w:rPr>
              <w:color w:val="156082" w:themeColor="accent1"/>
              <w:sz w:val="32"/>
              <w:szCs w:val="32"/>
            </w:rPr>
            <w:t xml:space="preserve">Poster and </w:t>
          </w:r>
          <w:r w:rsidR="00A53A9D">
            <w:rPr>
              <w:color w:val="156082" w:themeColor="accent1"/>
              <w:sz w:val="32"/>
              <w:szCs w:val="32"/>
            </w:rPr>
            <w:t>Essay</w:t>
          </w:r>
        </w:p>
      </w:sdtContent>
    </w:sdt>
    <w:p w14:paraId="3FB1AE9C" w14:textId="3F0A85BD" w:rsidR="000F794E" w:rsidRDefault="000F794E" w:rsidP="00372CA5">
      <w:pPr>
        <w:widowControl w:val="0"/>
        <w:tabs>
          <w:tab w:val="left" w:pos="392"/>
        </w:tabs>
        <w:autoSpaceDE w:val="0"/>
        <w:autoSpaceDN w:val="0"/>
        <w:ind w:right="473"/>
        <w:rPr>
          <w:rFonts w:cs="Arial"/>
          <w:b/>
          <w:sz w:val="22"/>
          <w:szCs w:val="22"/>
        </w:rPr>
      </w:pPr>
    </w:p>
    <w:p w14:paraId="5728626E" w14:textId="77777777" w:rsidR="000F794E" w:rsidRDefault="000F794E" w:rsidP="00806EDF">
      <w:pPr>
        <w:widowControl w:val="0"/>
        <w:tabs>
          <w:tab w:val="left" w:pos="392"/>
        </w:tabs>
        <w:autoSpaceDE w:val="0"/>
        <w:autoSpaceDN w:val="0"/>
        <w:ind w:right="473"/>
        <w:jc w:val="center"/>
        <w:rPr>
          <w:rFonts w:cs="Arial"/>
          <w:b/>
          <w:sz w:val="22"/>
          <w:szCs w:val="22"/>
        </w:rPr>
      </w:pPr>
    </w:p>
    <w:p w14:paraId="20DF7D15" w14:textId="476226F4" w:rsidR="00F35A39" w:rsidRPr="002134CF" w:rsidRDefault="00F35A39" w:rsidP="00F115ED">
      <w:pPr>
        <w:jc w:val="center"/>
        <w:rPr>
          <w:color w:val="215E99" w:themeColor="text2" w:themeTint="BF"/>
        </w:rPr>
      </w:pPr>
      <w:r w:rsidRPr="002134CF">
        <w:rPr>
          <w:color w:val="215E99" w:themeColor="text2" w:themeTint="BF"/>
        </w:rPr>
        <w:t>[</w:t>
      </w:r>
      <w:r w:rsidR="00806EDF" w:rsidRPr="002134CF">
        <w:rPr>
          <w:color w:val="215E99" w:themeColor="text2" w:themeTint="BF"/>
        </w:rPr>
        <w:t>STUDENT</w:t>
      </w:r>
      <w:r w:rsidRPr="002134CF">
        <w:rPr>
          <w:color w:val="215E99" w:themeColor="text2" w:themeTint="BF"/>
        </w:rPr>
        <w:t xml:space="preserve"> </w:t>
      </w:r>
      <w:r w:rsidR="006C55EF" w:rsidRPr="002134CF">
        <w:rPr>
          <w:color w:val="215E99" w:themeColor="text2" w:themeTint="BF"/>
        </w:rPr>
        <w:t>NAME</w:t>
      </w:r>
      <w:r w:rsidR="00A91706" w:rsidRPr="002134CF">
        <w:rPr>
          <w:color w:val="215E99" w:themeColor="text2" w:themeTint="BF"/>
        </w:rPr>
        <w:t>- Daljeet Matharu</w:t>
      </w:r>
      <w:r w:rsidRPr="002134CF">
        <w:rPr>
          <w:color w:val="215E99" w:themeColor="text2" w:themeTint="BF"/>
        </w:rPr>
        <w:t>]</w:t>
      </w:r>
    </w:p>
    <w:p w14:paraId="560D252B" w14:textId="0DFFEE46" w:rsidR="00F35A39" w:rsidRPr="002134CF" w:rsidRDefault="00F35A39" w:rsidP="00F115ED">
      <w:pPr>
        <w:jc w:val="center"/>
        <w:rPr>
          <w:color w:val="215E99" w:themeColor="text2" w:themeTint="BF"/>
        </w:rPr>
      </w:pPr>
      <w:r w:rsidRPr="002134CF">
        <w:rPr>
          <w:color w:val="215E99" w:themeColor="text2" w:themeTint="BF"/>
        </w:rPr>
        <w:t>[</w:t>
      </w:r>
      <w:r w:rsidR="006C55EF" w:rsidRPr="002134CF">
        <w:rPr>
          <w:color w:val="215E99" w:themeColor="text2" w:themeTint="BF"/>
        </w:rPr>
        <w:t xml:space="preserve">STUDENT </w:t>
      </w:r>
      <w:r w:rsidRPr="002134CF">
        <w:rPr>
          <w:color w:val="215E99" w:themeColor="text2" w:themeTint="BF"/>
        </w:rPr>
        <w:t>NUMBER</w:t>
      </w:r>
      <w:r w:rsidR="00A91706" w:rsidRPr="002134CF">
        <w:rPr>
          <w:color w:val="215E99" w:themeColor="text2" w:themeTint="BF"/>
        </w:rPr>
        <w:t>- 2433456</w:t>
      </w:r>
      <w:r w:rsidRPr="002134CF">
        <w:rPr>
          <w:color w:val="215E99" w:themeColor="text2" w:themeTint="BF"/>
        </w:rPr>
        <w:t>]</w:t>
      </w:r>
    </w:p>
    <w:p w14:paraId="75163324" w14:textId="0CF1FDA1" w:rsidR="00F35A39" w:rsidRPr="002134CF" w:rsidRDefault="00F35A39" w:rsidP="00F115ED">
      <w:pPr>
        <w:jc w:val="center"/>
        <w:rPr>
          <w:color w:val="215E99" w:themeColor="text2" w:themeTint="BF"/>
        </w:rPr>
      </w:pPr>
      <w:r w:rsidRPr="002134CF">
        <w:rPr>
          <w:color w:val="215E99" w:themeColor="text2" w:themeTint="BF"/>
        </w:rPr>
        <w:t>[IMODULE CODE</w:t>
      </w:r>
      <w:r w:rsidR="00A91706" w:rsidRPr="002134CF">
        <w:rPr>
          <w:color w:val="215E99" w:themeColor="text2" w:themeTint="BF"/>
        </w:rPr>
        <w:t>-LCHS4003</w:t>
      </w:r>
      <w:r w:rsidRPr="002134CF">
        <w:rPr>
          <w:color w:val="215E99" w:themeColor="text2" w:themeTint="BF"/>
        </w:rPr>
        <w:t>]</w:t>
      </w:r>
    </w:p>
    <w:p w14:paraId="413E9AD9" w14:textId="4CE5104B" w:rsidR="00F35A39" w:rsidRPr="002134CF" w:rsidRDefault="00F35A39" w:rsidP="00F115ED">
      <w:pPr>
        <w:jc w:val="center"/>
        <w:rPr>
          <w:color w:val="215E99" w:themeColor="text2" w:themeTint="BF"/>
        </w:rPr>
      </w:pPr>
      <w:r w:rsidRPr="002134CF">
        <w:rPr>
          <w:color w:val="215E99" w:themeColor="text2" w:themeTint="BF"/>
        </w:rPr>
        <w:t>[MODULE NAME</w:t>
      </w:r>
      <w:r w:rsidR="00A91706" w:rsidRPr="002134CF">
        <w:rPr>
          <w:color w:val="215E99" w:themeColor="text2" w:themeTint="BF"/>
        </w:rPr>
        <w:t xml:space="preserve"> - Introduction to Health and Social Care</w:t>
      </w:r>
      <w:r w:rsidR="00806EDF" w:rsidRPr="002134CF">
        <w:rPr>
          <w:color w:val="215E99" w:themeColor="text2" w:themeTint="BF"/>
        </w:rPr>
        <w:t>]</w:t>
      </w:r>
    </w:p>
    <w:p w14:paraId="2AC7A452" w14:textId="4C297B4E" w:rsidR="00F32475" w:rsidRPr="002134CF" w:rsidRDefault="00F35A39" w:rsidP="00F115ED">
      <w:pPr>
        <w:jc w:val="center"/>
        <w:rPr>
          <w:color w:val="215E99" w:themeColor="text2" w:themeTint="BF"/>
        </w:rPr>
      </w:pPr>
      <w:r w:rsidRPr="002134CF">
        <w:rPr>
          <w:color w:val="215E99" w:themeColor="text2" w:themeTint="BF"/>
        </w:rPr>
        <w:t>[LECTURER</w:t>
      </w:r>
      <w:r w:rsidR="00806EDF" w:rsidRPr="002134CF">
        <w:rPr>
          <w:color w:val="215E99" w:themeColor="text2" w:themeTint="BF"/>
        </w:rPr>
        <w:t>’</w:t>
      </w:r>
      <w:r w:rsidRPr="002134CF">
        <w:rPr>
          <w:color w:val="215E99" w:themeColor="text2" w:themeTint="BF"/>
        </w:rPr>
        <w:t>S NAME</w:t>
      </w:r>
      <w:r w:rsidR="00A91706" w:rsidRPr="002134CF">
        <w:rPr>
          <w:color w:val="215E99" w:themeColor="text2" w:themeTint="BF"/>
        </w:rPr>
        <w:t xml:space="preserve"> </w:t>
      </w:r>
      <w:r w:rsidR="2150FACA" w:rsidRPr="499B8648">
        <w:rPr>
          <w:color w:val="215E99" w:themeColor="text2" w:themeTint="BF"/>
        </w:rPr>
        <w:t>– Dr</w:t>
      </w:r>
      <w:r w:rsidR="00A91706" w:rsidRPr="002134CF">
        <w:rPr>
          <w:color w:val="215E99" w:themeColor="text2" w:themeTint="BF"/>
        </w:rPr>
        <w:t xml:space="preserve"> Aishat </w:t>
      </w:r>
      <w:r w:rsidR="00F813A3" w:rsidRPr="499B8648">
        <w:rPr>
          <w:color w:val="215E99" w:themeColor="text2" w:themeTint="BF"/>
        </w:rPr>
        <w:t>Bak</w:t>
      </w:r>
      <w:r w:rsidR="00B34A5F">
        <w:rPr>
          <w:color w:val="215E99" w:themeColor="text2" w:themeTint="BF"/>
        </w:rPr>
        <w:t>re</w:t>
      </w:r>
      <w:r w:rsidRPr="002134CF">
        <w:rPr>
          <w:color w:val="215E99" w:themeColor="text2" w:themeTint="BF"/>
        </w:rPr>
        <w:t>]</w:t>
      </w:r>
      <w:r>
        <w:br/>
      </w:r>
      <w:r w:rsidRPr="002134CF">
        <w:rPr>
          <w:color w:val="215E99" w:themeColor="text2" w:themeTint="BF"/>
        </w:rPr>
        <w:t>[ASSIGNMENT TITLE</w:t>
      </w:r>
      <w:r w:rsidR="00A91706" w:rsidRPr="002134CF">
        <w:rPr>
          <w:color w:val="215E99" w:themeColor="text2" w:themeTint="BF"/>
        </w:rPr>
        <w:t xml:space="preserve"> - </w:t>
      </w:r>
      <w:r w:rsidR="002E3C05" w:rsidRPr="002134CF">
        <w:rPr>
          <w:color w:val="215E99" w:themeColor="text2" w:themeTint="BF"/>
        </w:rPr>
        <w:t xml:space="preserve"> </w:t>
      </w:r>
      <w:r w:rsidR="00912F8C" w:rsidRPr="002134CF">
        <w:rPr>
          <w:color w:val="215E99" w:themeColor="text2" w:themeTint="BF"/>
        </w:rPr>
        <w:t>C</w:t>
      </w:r>
      <w:r w:rsidR="002E3C05" w:rsidRPr="002134CF">
        <w:rPr>
          <w:color w:val="215E99" w:themeColor="text2" w:themeTint="BF"/>
        </w:rPr>
        <w:t xml:space="preserve">omponent 1, </w:t>
      </w:r>
      <w:r w:rsidR="00A91706" w:rsidRPr="002134CF">
        <w:rPr>
          <w:color w:val="215E99" w:themeColor="text2" w:themeTint="BF"/>
        </w:rPr>
        <w:t>Poster. Essay</w:t>
      </w:r>
      <w:r w:rsidRPr="002134CF">
        <w:rPr>
          <w:color w:val="215E99" w:themeColor="text2" w:themeTint="BF"/>
        </w:rPr>
        <w:t>]</w:t>
      </w:r>
    </w:p>
    <w:p w14:paraId="7A0B6A2C" w14:textId="41611531" w:rsidR="00517954" w:rsidRPr="002134CF" w:rsidRDefault="00A42FC7" w:rsidP="00F115ED">
      <w:pPr>
        <w:jc w:val="center"/>
        <w:rPr>
          <w:noProof/>
          <w:color w:val="215E99" w:themeColor="text2" w:themeTint="BF"/>
        </w:rPr>
      </w:pPr>
      <w:r w:rsidRPr="002134CF">
        <w:rPr>
          <w:color w:val="215E99" w:themeColor="text2" w:themeTint="BF"/>
        </w:rPr>
        <w:t>(</w:t>
      </w:r>
      <w:r w:rsidR="00F32475" w:rsidRPr="002134CF">
        <w:rPr>
          <w:color w:val="215E99" w:themeColor="text2" w:themeTint="BF"/>
        </w:rPr>
        <w:t>DATE</w:t>
      </w:r>
      <w:r w:rsidR="00A91706" w:rsidRPr="002134CF">
        <w:rPr>
          <w:color w:val="215E99" w:themeColor="text2" w:themeTint="BF"/>
        </w:rPr>
        <w:t>-10</w:t>
      </w:r>
      <w:r w:rsidR="00A91706" w:rsidRPr="002134CF">
        <w:rPr>
          <w:color w:val="215E99" w:themeColor="text2" w:themeTint="BF"/>
          <w:vertAlign w:val="superscript"/>
        </w:rPr>
        <w:t>th</w:t>
      </w:r>
      <w:r w:rsidR="00A91706" w:rsidRPr="002134CF">
        <w:rPr>
          <w:color w:val="215E99" w:themeColor="text2" w:themeTint="BF"/>
        </w:rPr>
        <w:t xml:space="preserve"> O</w:t>
      </w:r>
      <w:r w:rsidR="00E957AE" w:rsidRPr="002134CF">
        <w:rPr>
          <w:color w:val="215E99" w:themeColor="text2" w:themeTint="BF"/>
        </w:rPr>
        <w:t>ctober</w:t>
      </w:r>
      <w:r w:rsidRPr="002134CF">
        <w:rPr>
          <w:color w:val="215E99" w:themeColor="text2" w:themeTint="BF"/>
        </w:rPr>
        <w:t xml:space="preserve"> 2025)</w:t>
      </w:r>
    </w:p>
    <w:p w14:paraId="2CAA7B43" w14:textId="77777777" w:rsidR="00517954" w:rsidRDefault="00517954" w:rsidP="00F32475">
      <w:pPr>
        <w:widowControl w:val="0"/>
        <w:tabs>
          <w:tab w:val="left" w:pos="392"/>
        </w:tabs>
        <w:autoSpaceDE w:val="0"/>
        <w:autoSpaceDN w:val="0"/>
        <w:ind w:right="473"/>
        <w:jc w:val="center"/>
        <w:rPr>
          <w:noProof/>
          <w:color w:val="156082" w:themeColor="accent1"/>
        </w:rPr>
      </w:pPr>
    </w:p>
    <w:p w14:paraId="0A0BD2BA" w14:textId="77777777" w:rsidR="00517954" w:rsidRDefault="00517954" w:rsidP="00F32475">
      <w:pPr>
        <w:widowControl w:val="0"/>
        <w:tabs>
          <w:tab w:val="left" w:pos="392"/>
        </w:tabs>
        <w:autoSpaceDE w:val="0"/>
        <w:autoSpaceDN w:val="0"/>
        <w:ind w:right="473"/>
        <w:jc w:val="center"/>
        <w:rPr>
          <w:noProof/>
          <w:color w:val="156082" w:themeColor="accent1"/>
        </w:rPr>
      </w:pPr>
    </w:p>
    <w:p w14:paraId="48495A0B" w14:textId="4A74AF96" w:rsidR="00517954" w:rsidRDefault="00517954" w:rsidP="00F32475">
      <w:pPr>
        <w:widowControl w:val="0"/>
        <w:tabs>
          <w:tab w:val="left" w:pos="392"/>
        </w:tabs>
        <w:autoSpaceDE w:val="0"/>
        <w:autoSpaceDN w:val="0"/>
        <w:ind w:right="473"/>
        <w:jc w:val="center"/>
        <w:rPr>
          <w:noProof/>
          <w:color w:val="156082" w:themeColor="accent1"/>
        </w:rPr>
      </w:pPr>
    </w:p>
    <w:p w14:paraId="240FF608" w14:textId="77777777" w:rsidR="00517954" w:rsidRDefault="00517954" w:rsidP="00F32475">
      <w:pPr>
        <w:widowControl w:val="0"/>
        <w:tabs>
          <w:tab w:val="left" w:pos="392"/>
        </w:tabs>
        <w:autoSpaceDE w:val="0"/>
        <w:autoSpaceDN w:val="0"/>
        <w:ind w:right="473"/>
        <w:jc w:val="center"/>
        <w:rPr>
          <w:noProof/>
          <w:color w:val="156082" w:themeColor="accent1"/>
        </w:rPr>
      </w:pPr>
    </w:p>
    <w:p w14:paraId="21DA5815" w14:textId="06C240F4" w:rsidR="008A7066" w:rsidRDefault="00517954" w:rsidP="00F32475">
      <w:pPr>
        <w:widowControl w:val="0"/>
        <w:tabs>
          <w:tab w:val="left" w:pos="392"/>
        </w:tabs>
        <w:autoSpaceDE w:val="0"/>
        <w:autoSpaceDN w:val="0"/>
        <w:ind w:right="473"/>
        <w:jc w:val="center"/>
        <w:rPr>
          <w:noProof/>
          <w:color w:val="156082" w:themeColor="accent1"/>
        </w:rPr>
      </w:pPr>
      <w:r>
        <w:rPr>
          <w:noProof/>
          <w:color w:val="156082" w:themeColor="accent1"/>
        </w:rPr>
        <w:t xml:space="preserve">                 </w:t>
      </w:r>
    </w:p>
    <w:p w14:paraId="397E29D6" w14:textId="3F377AF1" w:rsidR="008A7066" w:rsidRDefault="008A7066" w:rsidP="00F32475">
      <w:pPr>
        <w:widowControl w:val="0"/>
        <w:tabs>
          <w:tab w:val="left" w:pos="392"/>
        </w:tabs>
        <w:autoSpaceDE w:val="0"/>
        <w:autoSpaceDN w:val="0"/>
        <w:ind w:right="473"/>
        <w:jc w:val="center"/>
        <w:rPr>
          <w:noProof/>
          <w:color w:val="156082" w:themeColor="accent1"/>
        </w:rPr>
      </w:pPr>
    </w:p>
    <w:p w14:paraId="0CDABCE9" w14:textId="296B3F99" w:rsidR="00F32475" w:rsidRPr="00F32475" w:rsidRDefault="008A7066" w:rsidP="00F32475">
      <w:pPr>
        <w:widowControl w:val="0"/>
        <w:tabs>
          <w:tab w:val="left" w:pos="392"/>
        </w:tabs>
        <w:autoSpaceDE w:val="0"/>
        <w:autoSpaceDN w:val="0"/>
        <w:ind w:right="473"/>
        <w:jc w:val="center"/>
        <w:rPr>
          <w:rFonts w:cs="Arial"/>
          <w:b/>
          <w:sz w:val="22"/>
          <w:szCs w:val="22"/>
        </w:rPr>
        <w:sectPr w:rsidR="00F32475" w:rsidRPr="00F32475" w:rsidSect="00E638E6">
          <w:footerReference w:type="default" r:id="rId12"/>
          <w:pgSz w:w="11906" w:h="16838"/>
          <w:pgMar w:top="1440" w:right="1440" w:bottom="1440" w:left="1440" w:header="708" w:footer="708" w:gutter="0"/>
          <w:pgNumType w:start="0"/>
          <w:cols w:space="708"/>
          <w:titlePg/>
          <w:docGrid w:linePitch="360"/>
        </w:sectPr>
      </w:pPr>
      <w:r>
        <w:rPr>
          <w:noProof/>
          <w:color w:val="156082" w:themeColor="accent1"/>
        </w:rPr>
        <w:t xml:space="preserve">          </w:t>
      </w:r>
      <w:r w:rsidR="00EE03CD">
        <w:rPr>
          <w:noProof/>
          <w:color w:val="156082" w:themeColor="accent1"/>
        </w:rPr>
        <w:drawing>
          <wp:inline distT="0" distB="0" distL="0" distR="0" wp14:anchorId="4711394A" wp14:editId="1B4C2C76">
            <wp:extent cx="1157605" cy="566498"/>
            <wp:effectExtent l="0" t="0" r="4445" b="508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11216" cy="592734"/>
                    </a:xfrm>
                    <a:prstGeom prst="rect">
                      <a:avLst/>
                    </a:prstGeom>
                  </pic:spPr>
                </pic:pic>
              </a:graphicData>
            </a:graphic>
          </wp:inline>
        </w:drawing>
      </w:r>
    </w:p>
    <w:p w14:paraId="371C2E59" w14:textId="0B9CB7C7" w:rsidR="00F35A39" w:rsidRDefault="0053102D" w:rsidP="004D15D8">
      <w:pPr>
        <w:ind w:left="-567" w:right="-784"/>
        <w:sectPr w:rsidR="00F35A39" w:rsidSect="00F35A39">
          <w:pgSz w:w="16838" w:h="11906" w:orient="landscape"/>
          <w:pgMar w:top="1440" w:right="1440" w:bottom="1440" w:left="1440" w:header="708" w:footer="708" w:gutter="0"/>
          <w:cols w:space="708"/>
          <w:docGrid w:linePitch="360"/>
        </w:sectPr>
      </w:pPr>
      <w:r>
        <w:object w:dxaOrig="9605" w:dyaOrig="5393" w14:anchorId="4565A9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88pt;height:482pt" o:ole="">
            <v:imagedata r:id="rId14" o:title=""/>
          </v:shape>
          <o:OLEObject Type="Embed" ProgID="PowerPoint.Slide.12" ShapeID="_x0000_i1029" DrawAspect="Content" ObjectID="_1822205111" r:id="rId15"/>
        </w:object>
      </w:r>
    </w:p>
    <w:p w14:paraId="4C58793A" w14:textId="44840119" w:rsidR="00D05474" w:rsidRPr="00D05474" w:rsidRDefault="00D05474" w:rsidP="00D05474"/>
    <w:p w14:paraId="3594C470" w14:textId="15E930AF" w:rsidR="00023EF0" w:rsidRDefault="00023EF0" w:rsidP="00836FEB">
      <w:pPr>
        <w:spacing w:before="100" w:beforeAutospacing="1" w:after="100" w:afterAutospacing="1" w:line="276" w:lineRule="auto"/>
        <w:rPr>
          <w:rFonts w:eastAsia="Times New Roman" w:cs="Arial"/>
          <w:b/>
          <w:bCs/>
          <w:kern w:val="0"/>
          <w:sz w:val="22"/>
          <w:szCs w:val="22"/>
          <w:lang w:eastAsia="en-GB"/>
          <w14:ligatures w14:val="none"/>
        </w:rPr>
      </w:pPr>
      <w:r>
        <w:rPr>
          <w:rFonts w:eastAsia="Times New Roman" w:cs="Arial"/>
          <w:b/>
          <w:bCs/>
          <w:kern w:val="0"/>
          <w:sz w:val="22"/>
          <w:szCs w:val="22"/>
          <w:lang w:eastAsia="en-GB"/>
          <w14:ligatures w14:val="none"/>
        </w:rPr>
        <w:t>(Poster)</w:t>
      </w:r>
    </w:p>
    <w:p w14:paraId="32768E1C" w14:textId="03B799D2" w:rsidR="00836FEB" w:rsidRPr="005B401C" w:rsidRDefault="00836FEB" w:rsidP="00836FEB">
      <w:pPr>
        <w:spacing w:before="100" w:beforeAutospacing="1" w:after="100" w:afterAutospacing="1" w:line="276" w:lineRule="auto"/>
        <w:rPr>
          <w:rFonts w:eastAsia="Times New Roman" w:cs="Arial"/>
          <w:b/>
          <w:bCs/>
          <w:kern w:val="0"/>
          <w:sz w:val="22"/>
          <w:szCs w:val="22"/>
          <w:lang w:eastAsia="en-GB"/>
          <w14:ligatures w14:val="none"/>
        </w:rPr>
      </w:pPr>
      <w:r w:rsidRPr="005B401C">
        <w:rPr>
          <w:rFonts w:eastAsia="Times New Roman" w:cs="Arial"/>
          <w:b/>
          <w:bCs/>
          <w:kern w:val="0"/>
          <w:sz w:val="22"/>
          <w:szCs w:val="22"/>
          <w:lang w:eastAsia="en-GB"/>
          <w14:ligatures w14:val="none"/>
        </w:rPr>
        <w:t>Community Antenatal Midwifery Services</w:t>
      </w:r>
    </w:p>
    <w:p w14:paraId="093689F6" w14:textId="77777777" w:rsidR="00836FEB" w:rsidRPr="005C41A0" w:rsidRDefault="00836FEB" w:rsidP="00907BEA">
      <w:pPr>
        <w:pStyle w:val="NormalWeb"/>
        <w:jc w:val="both"/>
        <w:rPr>
          <w:rFonts w:ascii="Arial" w:eastAsiaTheme="minorEastAsia" w:hAnsi="Arial" w:cs="Arial"/>
          <w:b/>
          <w:bCs/>
          <w:kern w:val="24"/>
          <w:sz w:val="22"/>
          <w:szCs w:val="22"/>
          <w:lang w:val="en-US"/>
        </w:rPr>
      </w:pPr>
      <w:r w:rsidRPr="005C41A0">
        <w:rPr>
          <w:rFonts w:ascii="Arial" w:eastAsiaTheme="minorEastAsia" w:hAnsi="Arial" w:cs="Arial"/>
          <w:b/>
          <w:bCs/>
          <w:kern w:val="24"/>
          <w:sz w:val="22"/>
          <w:szCs w:val="22"/>
          <w:lang w:val="en-US"/>
        </w:rPr>
        <w:t>Introduction</w:t>
      </w:r>
    </w:p>
    <w:p w14:paraId="0C576847" w14:textId="77777777" w:rsidR="00836FEB" w:rsidRPr="005C41A0" w:rsidRDefault="00836FEB" w:rsidP="00907BEA">
      <w:pPr>
        <w:pStyle w:val="NormalWeb"/>
        <w:jc w:val="both"/>
        <w:rPr>
          <w:rFonts w:ascii="Arial" w:eastAsiaTheme="minorEastAsia" w:hAnsi="Arial" w:cs="Arial"/>
          <w:b/>
          <w:bCs/>
          <w:kern w:val="24"/>
          <w:sz w:val="22"/>
          <w:szCs w:val="22"/>
          <w:lang w:val="en-US"/>
        </w:rPr>
      </w:pPr>
    </w:p>
    <w:p w14:paraId="047CAC78" w14:textId="77777777" w:rsidR="00E36706" w:rsidRDefault="00836FEB" w:rsidP="00907BEA">
      <w:pPr>
        <w:pStyle w:val="NormalWeb"/>
        <w:jc w:val="both"/>
        <w:rPr>
          <w:rFonts w:ascii="Arial" w:eastAsiaTheme="minorEastAsia" w:hAnsi="Arial" w:cs="Arial"/>
          <w:kern w:val="24"/>
          <w:sz w:val="22"/>
          <w:szCs w:val="22"/>
          <w:lang w:val="en-US"/>
        </w:rPr>
      </w:pPr>
      <w:r w:rsidRPr="005C41A0">
        <w:rPr>
          <w:rFonts w:ascii="Arial" w:eastAsiaTheme="minorEastAsia" w:hAnsi="Arial" w:cs="Arial"/>
          <w:kern w:val="24"/>
          <w:sz w:val="22"/>
          <w:szCs w:val="22"/>
          <w:lang w:val="en-US"/>
        </w:rPr>
        <w:t>Community antenatal midwifery services provide personalised care to expectant mothers outside of hospital settings. According to NHS England (2025), these services are typically delivered in GP surgeries, children’s centres, clinics, or even at home—making care more accessible and less clinical. They primarily support pregnant women, particularly those with low-risk, uncomplicated, or normal pregnancies. As noted by NHS (2023), such women receive routine check-ups, emotional support, and health education from midwives. Many prefer home-based care or care delivered closer to home, such as in GP surgeries, children’s centres, or health centres, due to its convenience and continuity.</w:t>
      </w:r>
    </w:p>
    <w:p w14:paraId="76E4B8FA" w14:textId="77777777" w:rsidR="00E36706" w:rsidRDefault="00E36706" w:rsidP="00907BEA">
      <w:pPr>
        <w:pStyle w:val="NormalWeb"/>
        <w:jc w:val="both"/>
        <w:rPr>
          <w:rFonts w:ascii="Arial" w:eastAsiaTheme="minorEastAsia" w:hAnsi="Arial" w:cs="Arial"/>
          <w:kern w:val="24"/>
          <w:sz w:val="22"/>
          <w:szCs w:val="22"/>
          <w:lang w:val="en-US"/>
        </w:rPr>
      </w:pPr>
    </w:p>
    <w:p w14:paraId="02F334C1" w14:textId="7DC4830E" w:rsidR="00E36706" w:rsidRDefault="00836FEB" w:rsidP="00907BEA">
      <w:pPr>
        <w:pStyle w:val="NormalWeb"/>
        <w:jc w:val="both"/>
        <w:rPr>
          <w:rFonts w:ascii="Arial" w:eastAsiaTheme="minorEastAsia" w:hAnsi="Arial" w:cs="Arial"/>
          <w:kern w:val="24"/>
          <w:sz w:val="22"/>
          <w:szCs w:val="22"/>
          <w:lang w:val="en-US"/>
        </w:rPr>
      </w:pPr>
      <w:r w:rsidRPr="005C41A0">
        <w:rPr>
          <w:rFonts w:ascii="Arial" w:eastAsiaTheme="minorEastAsia" w:hAnsi="Arial" w:cs="Arial"/>
          <w:kern w:val="24"/>
          <w:sz w:val="22"/>
          <w:szCs w:val="22"/>
          <w:lang w:val="en-US"/>
        </w:rPr>
        <w:t xml:space="preserve">A significant number of service users value seeing the same midwife or small team throughout pregnancy, birth, and postnatal care, which fosters trust and contributes to improved outcomes. Antenatal care is delivered by a range of providers who support women based on their individual needs. These include community midwives, hospital midwives, consultant-led units, specialist midwives, and maternity support workers (NHS, 2023). </w:t>
      </w:r>
    </w:p>
    <w:p w14:paraId="50EF0CA2" w14:textId="77777777" w:rsidR="00E36706" w:rsidRDefault="00E36706" w:rsidP="00907BEA">
      <w:pPr>
        <w:pStyle w:val="NormalWeb"/>
        <w:jc w:val="both"/>
        <w:rPr>
          <w:rFonts w:ascii="Arial" w:eastAsiaTheme="minorEastAsia" w:hAnsi="Arial" w:cs="Arial"/>
          <w:kern w:val="24"/>
          <w:sz w:val="22"/>
          <w:szCs w:val="22"/>
          <w:lang w:val="en-US"/>
        </w:rPr>
      </w:pPr>
    </w:p>
    <w:p w14:paraId="3C1E6419" w14:textId="77777777" w:rsidR="004D0C26" w:rsidRDefault="00836FEB" w:rsidP="00907BEA">
      <w:pPr>
        <w:pStyle w:val="NormalWeb"/>
        <w:jc w:val="both"/>
        <w:rPr>
          <w:rFonts w:ascii="Arial" w:eastAsiaTheme="minorEastAsia" w:hAnsi="Arial" w:cs="Arial"/>
          <w:kern w:val="24"/>
          <w:sz w:val="22"/>
          <w:szCs w:val="22"/>
          <w:lang w:val="en-US"/>
        </w:rPr>
      </w:pPr>
      <w:r w:rsidRPr="005C41A0">
        <w:rPr>
          <w:rFonts w:ascii="Arial" w:eastAsiaTheme="minorEastAsia" w:hAnsi="Arial" w:cs="Arial"/>
          <w:kern w:val="24"/>
          <w:sz w:val="22"/>
          <w:szCs w:val="22"/>
          <w:lang w:val="en-US"/>
        </w:rPr>
        <w:t>Antenatal midwifery services play a vital role in the health and social care sector by promoting safe pregnancies, supporting holistic wellbeing, and reducing inequalities. They contribute to maternal and infant health, support informed decision-making, enhance continuity and trust, integrate health and social care, and improve long-term outcomes. Midwives provide early screening, lifestyle support, and health education that help reduce risks such as preterm birth, maternal complications, and low birth weight.</w:t>
      </w:r>
      <w:r w:rsidRPr="00E36706">
        <w:rPr>
          <w:rFonts w:ascii="Arial" w:eastAsiaTheme="minorEastAsia" w:hAnsi="Arial" w:cs="Arial"/>
          <w:color w:val="EE0000"/>
          <w:kern w:val="24"/>
          <w:sz w:val="22"/>
          <w:szCs w:val="22"/>
          <w:lang w:val="en-US"/>
        </w:rPr>
        <w:t xml:space="preserve"> </w:t>
      </w:r>
      <w:r w:rsidR="00E944D2" w:rsidRPr="00E944D2">
        <w:rPr>
          <w:rFonts w:ascii="Arial" w:eastAsiaTheme="minorEastAsia" w:hAnsi="Arial" w:cs="Arial"/>
          <w:color w:val="auto"/>
          <w:kern w:val="24"/>
          <w:sz w:val="22"/>
          <w:szCs w:val="22"/>
          <w:lang w:val="en-US"/>
        </w:rPr>
        <w:t>National Institute for Health and Care Excellence</w:t>
      </w:r>
      <w:r w:rsidR="00E944D2">
        <w:rPr>
          <w:rFonts w:ascii="Arial" w:eastAsiaTheme="minorEastAsia" w:hAnsi="Arial" w:cs="Arial"/>
          <w:color w:val="auto"/>
          <w:kern w:val="24"/>
          <w:sz w:val="22"/>
          <w:szCs w:val="22"/>
          <w:lang w:val="en-US"/>
        </w:rPr>
        <w:t xml:space="preserve"> </w:t>
      </w:r>
      <w:r w:rsidRPr="005C41A0">
        <w:rPr>
          <w:rFonts w:ascii="Arial" w:eastAsiaTheme="minorEastAsia" w:hAnsi="Arial" w:cs="Arial"/>
          <w:kern w:val="24"/>
          <w:sz w:val="22"/>
          <w:szCs w:val="22"/>
          <w:lang w:val="en-US"/>
        </w:rPr>
        <w:t>(2021) recommends early access to antenatal care to address modifiable risk factors including smoking, mental health, and nutrition. Community-based midwifery services also reach vulnerable populations, including women from deprived areas, those with limited access to hospital care, and ethnic minorities.</w:t>
      </w:r>
    </w:p>
    <w:p w14:paraId="10483154" w14:textId="74F2F682" w:rsidR="00836FEB" w:rsidRPr="005C41A0" w:rsidRDefault="00836FEB" w:rsidP="00907BEA">
      <w:pPr>
        <w:pStyle w:val="NormalWeb"/>
        <w:jc w:val="both"/>
        <w:rPr>
          <w:rFonts w:ascii="Arial" w:eastAsiaTheme="minorEastAsia" w:hAnsi="Arial" w:cs="Arial"/>
          <w:kern w:val="24"/>
          <w:sz w:val="22"/>
          <w:szCs w:val="22"/>
          <w:lang w:val="en-US"/>
        </w:rPr>
      </w:pPr>
      <w:r w:rsidRPr="005C41A0">
        <w:rPr>
          <w:rFonts w:ascii="Arial" w:eastAsiaTheme="minorEastAsia" w:hAnsi="Arial" w:cs="Arial"/>
          <w:kern w:val="24"/>
          <w:sz w:val="22"/>
          <w:szCs w:val="22"/>
          <w:lang w:val="en-US"/>
        </w:rPr>
        <w:t xml:space="preserve">The Nursing and Midwifery Council (NMC, 2025) highlights that Black and minority ethnic women face higher risks during childbirth, and midwifery-led models can help address these disparities. Midwives empower women to make informed choices about their care, birth plans, and parenting through personalised information and emotional support. Seeing the same midwife or small team throughout pregnancy builds trust, improves communication, and leads </w:t>
      </w:r>
      <w:r w:rsidRPr="005C41A0">
        <w:rPr>
          <w:rFonts w:ascii="Arial" w:eastAsiaTheme="minorEastAsia" w:hAnsi="Arial" w:cs="Arial"/>
          <w:kern w:val="24"/>
          <w:sz w:val="22"/>
          <w:szCs w:val="22"/>
          <w:lang w:val="en-US"/>
        </w:rPr>
        <w:lastRenderedPageBreak/>
        <w:t>to better outcomes. Midwives also collaborate with GPs, health visitors, social workers, and safeguarding teams to provide wraparound support for families. GOV.UK’s midwifery strategy (2025) highlights the profession’s role in linking maternity services with public health, voluntary organisations, and social services.</w:t>
      </w:r>
    </w:p>
    <w:p w14:paraId="3C992C92" w14:textId="77777777" w:rsidR="00836FEB" w:rsidRPr="005C41A0" w:rsidRDefault="00836FEB" w:rsidP="00907BEA">
      <w:pPr>
        <w:pStyle w:val="NormalWeb"/>
        <w:jc w:val="both"/>
        <w:rPr>
          <w:rFonts w:ascii="Arial" w:hAnsi="Arial" w:cs="Arial"/>
          <w:b/>
          <w:bCs/>
          <w:sz w:val="22"/>
          <w:szCs w:val="22"/>
        </w:rPr>
      </w:pPr>
    </w:p>
    <w:p w14:paraId="5B4FBAB3" w14:textId="77777777" w:rsidR="00836FEB" w:rsidRPr="005C41A0" w:rsidRDefault="00836FEB" w:rsidP="00907BEA">
      <w:pPr>
        <w:pStyle w:val="NormalWeb"/>
        <w:jc w:val="both"/>
        <w:rPr>
          <w:rFonts w:ascii="Arial" w:hAnsi="Arial" w:cs="Arial"/>
          <w:b/>
          <w:bCs/>
          <w:sz w:val="22"/>
          <w:szCs w:val="22"/>
        </w:rPr>
      </w:pPr>
      <w:r w:rsidRPr="005C41A0">
        <w:rPr>
          <w:rFonts w:ascii="Arial" w:hAnsi="Arial" w:cs="Arial"/>
          <w:b/>
          <w:bCs/>
          <w:sz w:val="22"/>
          <w:szCs w:val="22"/>
        </w:rPr>
        <w:t>Function of service</w:t>
      </w:r>
    </w:p>
    <w:p w14:paraId="56833AD0" w14:textId="76777BFD" w:rsidR="00DF2C33" w:rsidRDefault="00836FEB" w:rsidP="00907BEA">
      <w:pPr>
        <w:jc w:val="both"/>
        <w:rPr>
          <w:rFonts w:cs="Arial"/>
          <w:sz w:val="22"/>
          <w:szCs w:val="22"/>
        </w:rPr>
      </w:pPr>
      <w:r w:rsidRPr="005C41A0">
        <w:rPr>
          <w:rFonts w:cs="Arial"/>
          <w:sz w:val="22"/>
          <w:szCs w:val="22"/>
        </w:rPr>
        <w:t xml:space="preserve">Antenatal midwifery services are essential in promoting maternal and </w:t>
      </w:r>
      <w:r w:rsidR="000A2B96" w:rsidRPr="005C41A0">
        <w:rPr>
          <w:rFonts w:cs="Arial"/>
          <w:sz w:val="22"/>
          <w:szCs w:val="22"/>
        </w:rPr>
        <w:t>fatal</w:t>
      </w:r>
      <w:r w:rsidRPr="005C41A0">
        <w:rPr>
          <w:rFonts w:cs="Arial"/>
          <w:sz w:val="22"/>
          <w:szCs w:val="22"/>
        </w:rPr>
        <w:t xml:space="preserve"> wellbeing throughout pregnancy. According to NHS(2023) midwives conduct routine health assessments, including monitoring blood pressure, urine analysis and fatal growth, to identify potential complications early. They provide tailored education on childbirth, postnatal care and  pain management, empowering women to make informed decisions. NICE (2021) refers to nutritional and lifestyle guidance, such as safe exercise and recommending folic </w:t>
      </w:r>
      <w:r w:rsidR="00DF2C33" w:rsidRPr="005C41A0">
        <w:rPr>
          <w:rFonts w:cs="Arial"/>
          <w:sz w:val="22"/>
          <w:szCs w:val="22"/>
        </w:rPr>
        <w:t>acid supplements, supports healthy pregnancies. Emotional support is central to midwifery care, fostering trust and reducing anxiety through compassionate, woman-centred approaches. According to DOH (2020) midwives also play a safeguarding role, identifying risks such as mental health concerns or domestic abuse and referring to appropriate services These services in the UK are delivered by a range of trained professionals such as Maternity Support Workers. Community, Hospital and Specialist Midwives NHS (2023). These services in the UK are widely accessible and designed to be easy to reach for all pregnant women such as GP Surgeries, Children’s Centres and Community Clinic, Hospitals. It`s very easy to access by self-referral to hospital or through a GP. NICE (2023) recommends that women access antenatal care by 10 weeks of pregnancy. These services in the UK are primarily funded through the National Health Service (NHS), which allocates resources from public taxation. According to National Maternity Review (2016) Midwifery services in the UK, focusing on safety, continuity of care and personalisation. Aims to make maternity care safer, more personalised, and family-centred.</w:t>
      </w:r>
    </w:p>
    <w:p w14:paraId="2D5AFFA4" w14:textId="77777777" w:rsidR="00023EF0" w:rsidRDefault="00023EF0" w:rsidP="00907BEA">
      <w:pPr>
        <w:jc w:val="both"/>
        <w:rPr>
          <w:rFonts w:cs="Arial"/>
          <w:sz w:val="22"/>
          <w:szCs w:val="22"/>
        </w:rPr>
      </w:pPr>
    </w:p>
    <w:p w14:paraId="75B23041" w14:textId="5AA5AFBC" w:rsidR="004F1E0C" w:rsidRDefault="004F1E0C" w:rsidP="00907BEA">
      <w:pPr>
        <w:jc w:val="both"/>
        <w:rPr>
          <w:rFonts w:cs="Arial"/>
          <w:b/>
          <w:bCs/>
          <w:sz w:val="22"/>
          <w:szCs w:val="22"/>
        </w:rPr>
      </w:pPr>
      <w:r w:rsidRPr="00B55739">
        <w:rPr>
          <w:rFonts w:cs="Arial"/>
          <w:b/>
          <w:bCs/>
          <w:sz w:val="22"/>
          <w:szCs w:val="22"/>
        </w:rPr>
        <w:t>History of services</w:t>
      </w:r>
    </w:p>
    <w:p w14:paraId="0FC13FC1" w14:textId="77777777" w:rsidR="00023EF0" w:rsidRPr="00B55739" w:rsidRDefault="00023EF0" w:rsidP="00907BEA">
      <w:pPr>
        <w:jc w:val="both"/>
        <w:rPr>
          <w:rFonts w:cs="Arial"/>
          <w:b/>
          <w:bCs/>
          <w:sz w:val="22"/>
          <w:szCs w:val="22"/>
        </w:rPr>
      </w:pPr>
    </w:p>
    <w:p w14:paraId="19CBB18E" w14:textId="678038E7" w:rsidR="004F1E0C" w:rsidRDefault="004F1E0C" w:rsidP="00907BEA">
      <w:pPr>
        <w:jc w:val="both"/>
        <w:rPr>
          <w:rFonts w:eastAsiaTheme="minorEastAsia" w:cs="Arial"/>
          <w:kern w:val="24"/>
          <w:sz w:val="22"/>
          <w:szCs w:val="22"/>
          <w:lang w:val="en-US"/>
        </w:rPr>
      </w:pPr>
      <w:r w:rsidRPr="004F1E0C">
        <w:rPr>
          <w:rFonts w:eastAsiaTheme="minorEastAsia" w:cs="Arial"/>
          <w:kern w:val="24"/>
          <w:sz w:val="22"/>
          <w:szCs w:val="22"/>
          <w:lang w:val="en-US"/>
        </w:rPr>
        <w:t>According to Royal College of Midwives,(2022) In Britain, the first Midwives Act was passed in1902, which legally recognized the profession, also created a new structure for training and certification.</w:t>
      </w:r>
      <w:r w:rsidRPr="004F1E0C">
        <w:rPr>
          <w:rFonts w:eastAsiaTheme="minorEastAsia" w:cs="Arial"/>
          <w:color w:val="FFFFFF" w:themeColor="light1"/>
          <w:kern w:val="24"/>
          <w:sz w:val="22"/>
          <w:szCs w:val="22"/>
          <w:lang w:val="en-US"/>
        </w:rPr>
        <w:t xml:space="preserve"> </w:t>
      </w:r>
      <w:r w:rsidRPr="004F1E0C">
        <w:rPr>
          <w:rFonts w:eastAsiaTheme="minorEastAsia" w:cs="Arial"/>
          <w:kern w:val="24"/>
          <w:sz w:val="22"/>
          <w:szCs w:val="22"/>
          <w:lang w:val="en-US"/>
        </w:rPr>
        <w:t>Today midwives play a vital role in providing safe, personalised maternity</w:t>
      </w:r>
      <w:r w:rsidRPr="004F1E0C">
        <w:rPr>
          <w:rFonts w:eastAsiaTheme="minorEastAsia" w:cs="Arial"/>
          <w:color w:val="FFFFFF" w:themeColor="light1"/>
          <w:kern w:val="24"/>
          <w:sz w:val="22"/>
          <w:szCs w:val="22"/>
          <w:lang w:val="en-US"/>
        </w:rPr>
        <w:t xml:space="preserve"> </w:t>
      </w:r>
      <w:r w:rsidRPr="004F1E0C">
        <w:rPr>
          <w:rFonts w:eastAsiaTheme="minorEastAsia" w:cs="Arial"/>
          <w:kern w:val="24"/>
          <w:sz w:val="22"/>
          <w:szCs w:val="22"/>
          <w:lang w:val="en-US"/>
        </w:rPr>
        <w:t>care within the NHS</w:t>
      </w:r>
      <w:r w:rsidR="00B55739">
        <w:rPr>
          <w:rFonts w:eastAsiaTheme="minorEastAsia" w:cs="Arial"/>
          <w:kern w:val="24"/>
          <w:sz w:val="22"/>
          <w:szCs w:val="22"/>
          <w:lang w:val="en-US"/>
        </w:rPr>
        <w:t>.</w:t>
      </w:r>
    </w:p>
    <w:p w14:paraId="42D564DF" w14:textId="77777777" w:rsidR="00023EF0" w:rsidRPr="004F1E0C" w:rsidRDefault="00023EF0" w:rsidP="00907BEA">
      <w:pPr>
        <w:jc w:val="both"/>
        <w:rPr>
          <w:rFonts w:cs="Arial"/>
          <w:sz w:val="22"/>
          <w:szCs w:val="22"/>
        </w:rPr>
      </w:pPr>
    </w:p>
    <w:p w14:paraId="03741A54" w14:textId="77777777" w:rsidR="00DF2C33" w:rsidRDefault="00DF2C33" w:rsidP="00907BEA">
      <w:pPr>
        <w:jc w:val="both"/>
        <w:rPr>
          <w:rFonts w:cs="Arial"/>
          <w:b/>
          <w:bCs/>
          <w:sz w:val="22"/>
          <w:szCs w:val="22"/>
        </w:rPr>
      </w:pPr>
      <w:r w:rsidRPr="005C41A0">
        <w:rPr>
          <w:rFonts w:cs="Arial"/>
          <w:b/>
          <w:bCs/>
          <w:sz w:val="22"/>
          <w:szCs w:val="22"/>
        </w:rPr>
        <w:t xml:space="preserve">Challenges </w:t>
      </w:r>
    </w:p>
    <w:p w14:paraId="605D6805" w14:textId="77777777" w:rsidR="00023EF0" w:rsidRPr="005C41A0" w:rsidRDefault="00023EF0" w:rsidP="00907BEA">
      <w:pPr>
        <w:jc w:val="both"/>
        <w:rPr>
          <w:rFonts w:cs="Arial"/>
          <w:b/>
          <w:bCs/>
          <w:sz w:val="22"/>
          <w:szCs w:val="22"/>
        </w:rPr>
      </w:pPr>
    </w:p>
    <w:p w14:paraId="1822B70D" w14:textId="77777777" w:rsidR="00DF2C33" w:rsidRPr="005C41A0" w:rsidRDefault="00DF2C33" w:rsidP="00907BEA">
      <w:pPr>
        <w:jc w:val="both"/>
        <w:rPr>
          <w:rFonts w:cs="Arial"/>
          <w:sz w:val="22"/>
          <w:szCs w:val="22"/>
        </w:rPr>
      </w:pPr>
      <w:r w:rsidRPr="005C41A0">
        <w:rPr>
          <w:rFonts w:cs="Arial"/>
          <w:b/>
          <w:bCs/>
          <w:sz w:val="22"/>
          <w:szCs w:val="22"/>
        </w:rPr>
        <w:lastRenderedPageBreak/>
        <w:t>Staffing Shortages</w:t>
      </w:r>
      <w:r w:rsidRPr="005C41A0">
        <w:rPr>
          <w:rFonts w:cs="Arial"/>
          <w:sz w:val="22"/>
          <w:szCs w:val="22"/>
        </w:rPr>
        <w:t xml:space="preserve">. According to NHS England (2023), the UK is experiencing a significant shortage of midwives, with many leaving the profession due to stress, burnout, and unmanageable workloads. This shortage affects the ability to deliver continuity of care, which is a core principle of high-quality antenatal services. As a result, women may see multiple midwives during their pregnancy, reducing trust and consistency in care. </w:t>
      </w:r>
    </w:p>
    <w:p w14:paraId="06D5197C" w14:textId="77777777" w:rsidR="00DF2C33" w:rsidRPr="005C41A0" w:rsidRDefault="00DF2C33" w:rsidP="00907BEA">
      <w:pPr>
        <w:jc w:val="both"/>
        <w:rPr>
          <w:rFonts w:cs="Arial"/>
          <w:sz w:val="22"/>
          <w:szCs w:val="22"/>
        </w:rPr>
      </w:pPr>
      <w:r w:rsidRPr="005C41A0">
        <w:rPr>
          <w:rFonts w:cs="Arial"/>
          <w:b/>
          <w:bCs/>
          <w:sz w:val="22"/>
          <w:szCs w:val="22"/>
        </w:rPr>
        <w:t>Health Inequalities</w:t>
      </w:r>
      <w:r w:rsidRPr="005C41A0">
        <w:rPr>
          <w:rFonts w:cs="Arial"/>
          <w:sz w:val="22"/>
          <w:szCs w:val="22"/>
        </w:rPr>
        <w:t xml:space="preserve"> </w:t>
      </w:r>
      <w:r w:rsidRPr="005C41A0">
        <w:rPr>
          <w:rFonts w:cs="Arial"/>
          <w:b/>
          <w:bCs/>
          <w:sz w:val="22"/>
          <w:szCs w:val="22"/>
        </w:rPr>
        <w:t>and Access Barriers</w:t>
      </w:r>
      <w:r w:rsidRPr="005C41A0">
        <w:rPr>
          <w:rFonts w:cs="Arial"/>
          <w:sz w:val="22"/>
          <w:szCs w:val="22"/>
        </w:rPr>
        <w:t>. Women from ethnic minority backgrounds, those living in deprived areas, or with limited English proficiency often face barriers to accessing timely and culturally sensitive antenatal care. These inequalities contribute to poorer maternal and neonatal outcomes, including higher rates of complications and mortality. Addressing these disparities requires targeted outreach, inclusive communication, and culturally competent care (NHS England, 2023).</w:t>
      </w:r>
    </w:p>
    <w:p w14:paraId="4A2FD196" w14:textId="77777777" w:rsidR="00E55774" w:rsidRPr="005C41A0" w:rsidRDefault="00E55774" w:rsidP="00907BEA">
      <w:pPr>
        <w:jc w:val="both"/>
        <w:rPr>
          <w:rFonts w:cs="Arial"/>
          <w:sz w:val="22"/>
          <w:szCs w:val="22"/>
        </w:rPr>
      </w:pPr>
    </w:p>
    <w:p w14:paraId="44AE6B61" w14:textId="278846E1" w:rsidR="00F35A39" w:rsidRDefault="00F35A39" w:rsidP="00907BEA">
      <w:pPr>
        <w:jc w:val="both"/>
      </w:pPr>
      <w:r>
        <w:br w:type="page"/>
      </w:r>
    </w:p>
    <w:p w14:paraId="57CE7F32" w14:textId="2F976E68" w:rsidR="00091644" w:rsidRPr="00091644" w:rsidRDefault="00091644" w:rsidP="00907BEA">
      <w:pPr>
        <w:jc w:val="both"/>
        <w:rPr>
          <w:rFonts w:cs="Arial"/>
          <w:b/>
          <w:bCs/>
          <w:sz w:val="22"/>
          <w:szCs w:val="22"/>
          <w:lang w:val="en-US"/>
        </w:rPr>
      </w:pPr>
      <w:r w:rsidRPr="00091644">
        <w:rPr>
          <w:rFonts w:cs="Arial"/>
          <w:b/>
          <w:bCs/>
          <w:sz w:val="22"/>
          <w:szCs w:val="22"/>
          <w:lang w:val="en-US"/>
        </w:rPr>
        <w:lastRenderedPageBreak/>
        <w:t>Task 2</w:t>
      </w:r>
      <w:r w:rsidR="0EBE2D2D" w:rsidRPr="499B8648">
        <w:rPr>
          <w:rFonts w:cs="Arial"/>
          <w:b/>
          <w:bCs/>
          <w:sz w:val="22"/>
          <w:szCs w:val="22"/>
          <w:lang w:val="en-US"/>
        </w:rPr>
        <w:t xml:space="preserve"> </w:t>
      </w:r>
      <w:r w:rsidR="00152A9B" w:rsidRPr="499B8648">
        <w:rPr>
          <w:rFonts w:cs="Arial"/>
          <w:b/>
          <w:bCs/>
          <w:sz w:val="22"/>
          <w:szCs w:val="22"/>
          <w:lang w:val="en-US"/>
        </w:rPr>
        <w:t>(</w:t>
      </w:r>
      <w:r w:rsidR="00BD0893">
        <w:rPr>
          <w:rFonts w:cs="Arial"/>
          <w:b/>
          <w:bCs/>
          <w:sz w:val="22"/>
          <w:szCs w:val="22"/>
          <w:lang w:val="en-US"/>
        </w:rPr>
        <w:t>E</w:t>
      </w:r>
      <w:r w:rsidR="00152A9B">
        <w:rPr>
          <w:rFonts w:cs="Arial"/>
          <w:b/>
          <w:bCs/>
          <w:sz w:val="22"/>
          <w:szCs w:val="22"/>
          <w:lang w:val="en-US"/>
        </w:rPr>
        <w:t>ssay)</w:t>
      </w:r>
    </w:p>
    <w:p w14:paraId="27F2930F" w14:textId="77777777" w:rsidR="00091644" w:rsidRPr="00091644" w:rsidRDefault="00091644" w:rsidP="00907BEA">
      <w:pPr>
        <w:jc w:val="both"/>
        <w:rPr>
          <w:rFonts w:cs="Arial"/>
          <w:sz w:val="22"/>
          <w:szCs w:val="22"/>
          <w:lang w:val="en-US"/>
        </w:rPr>
      </w:pPr>
      <w:r w:rsidRPr="00091644">
        <w:rPr>
          <w:rFonts w:cs="Arial"/>
          <w:sz w:val="22"/>
          <w:szCs w:val="22"/>
          <w:lang w:val="en-US"/>
        </w:rPr>
        <w:t xml:space="preserve"> </w:t>
      </w:r>
    </w:p>
    <w:p w14:paraId="20005D86" w14:textId="77777777" w:rsidR="00091644" w:rsidRPr="00091644" w:rsidRDefault="00091644" w:rsidP="00907BEA">
      <w:pPr>
        <w:jc w:val="both"/>
        <w:rPr>
          <w:rFonts w:cs="Arial"/>
          <w:b/>
          <w:bCs/>
          <w:sz w:val="22"/>
          <w:szCs w:val="22"/>
          <w:lang w:val="en-US"/>
        </w:rPr>
      </w:pPr>
      <w:r w:rsidRPr="00091644">
        <w:rPr>
          <w:rFonts w:cs="Arial"/>
          <w:b/>
          <w:bCs/>
          <w:sz w:val="22"/>
          <w:szCs w:val="22"/>
          <w:lang w:val="en-US"/>
        </w:rPr>
        <w:t>The Origins and Current Structure of the National Health Service (NHS)</w:t>
      </w:r>
    </w:p>
    <w:p w14:paraId="4910A490" w14:textId="77777777" w:rsidR="00091644" w:rsidRDefault="00091644" w:rsidP="00907BEA">
      <w:pPr>
        <w:jc w:val="both"/>
        <w:rPr>
          <w:rFonts w:cs="Arial"/>
          <w:sz w:val="22"/>
          <w:szCs w:val="22"/>
          <w:lang w:val="en-US"/>
        </w:rPr>
      </w:pPr>
      <w:r w:rsidRPr="00091644">
        <w:rPr>
          <w:rFonts w:cs="Arial"/>
          <w:sz w:val="22"/>
          <w:szCs w:val="22"/>
          <w:lang w:val="en-US"/>
        </w:rPr>
        <w:t xml:space="preserve">The National Health Service (NHS) was founded on 5 July 1948 as a revolutionary step in British social policy, offering healthcare free at the point of use to all citizens. Its creation was rooted in the post-war desire for social reform and was heavily influenced by the 1942 Beveridge Report, which </w:t>
      </w:r>
      <w:bookmarkStart w:id="1" w:name="_Int_abhYRwi4"/>
      <w:r w:rsidRPr="00091644">
        <w:rPr>
          <w:rFonts w:cs="Arial"/>
          <w:sz w:val="22"/>
          <w:szCs w:val="22"/>
          <w:lang w:val="en-US"/>
        </w:rPr>
        <w:t>identified</w:t>
      </w:r>
      <w:bookmarkEnd w:id="1"/>
      <w:r w:rsidRPr="00091644">
        <w:rPr>
          <w:rFonts w:cs="Arial"/>
          <w:sz w:val="22"/>
          <w:szCs w:val="22"/>
          <w:lang w:val="en-US"/>
        </w:rPr>
        <w:t xml:space="preserve"> five societal "giants": Want, Disease, Ignorance, Squalor, and Idleness (Clement, 2023). The NHS aimed to tackle "Disease" by ensuring universal access to healthcare, regardless of income.</w:t>
      </w:r>
    </w:p>
    <w:p w14:paraId="57150FD3" w14:textId="1D87666B" w:rsidR="499B8648" w:rsidRPr="00E74FB0" w:rsidRDefault="00657F6C" w:rsidP="00907BEA">
      <w:pPr>
        <w:jc w:val="both"/>
        <w:rPr>
          <w:rFonts w:cs="Arial"/>
          <w:b/>
          <w:bCs/>
          <w:sz w:val="22"/>
          <w:szCs w:val="22"/>
          <w:lang w:val="en-US"/>
        </w:rPr>
      </w:pPr>
      <w:r w:rsidRPr="00657F6C">
        <w:rPr>
          <w:rFonts w:cs="Arial"/>
          <w:b/>
          <w:bCs/>
          <w:sz w:val="22"/>
          <w:szCs w:val="22"/>
          <w:lang w:val="en-US"/>
        </w:rPr>
        <w:t>History of NHS</w:t>
      </w:r>
    </w:p>
    <w:p w14:paraId="36CD2DCF" w14:textId="054B997F" w:rsidR="00807503" w:rsidRPr="0005712D" w:rsidRDefault="00807503" w:rsidP="00907BEA">
      <w:pPr>
        <w:jc w:val="both"/>
        <w:rPr>
          <w:rFonts w:eastAsia="Arial Nova" w:cs="Arial"/>
          <w:color w:val="auto"/>
          <w:sz w:val="22"/>
          <w:szCs w:val="22"/>
        </w:rPr>
      </w:pPr>
      <w:r w:rsidRPr="0005712D">
        <w:rPr>
          <w:rFonts w:eastAsia="Arial Nova" w:cs="Arial"/>
          <w:color w:val="auto"/>
          <w:sz w:val="22"/>
          <w:szCs w:val="22"/>
        </w:rPr>
        <w:t xml:space="preserve">Historically, healthcare in Britain prior to the NHS was fragmented and </w:t>
      </w:r>
      <w:bookmarkStart w:id="2" w:name="_Int_q1McLhw4"/>
      <w:r w:rsidRPr="0005712D">
        <w:rPr>
          <w:rFonts w:eastAsia="Arial Nova" w:cs="Arial"/>
          <w:color w:val="auto"/>
          <w:sz w:val="22"/>
          <w:szCs w:val="22"/>
        </w:rPr>
        <w:t>largely inaccessible</w:t>
      </w:r>
      <w:bookmarkEnd w:id="2"/>
      <w:r w:rsidRPr="0005712D">
        <w:rPr>
          <w:rFonts w:eastAsia="Arial Nova" w:cs="Arial"/>
          <w:color w:val="auto"/>
          <w:sz w:val="22"/>
          <w:szCs w:val="22"/>
        </w:rPr>
        <w:t xml:space="preserve"> to the working class. Services were provided by voluntary hospitals, local authorities, and private practitioners, with costs often prohibitive for many families</w:t>
      </w:r>
      <w:r w:rsidR="00CE77CD" w:rsidRPr="0005712D">
        <w:rPr>
          <w:rFonts w:eastAsia="Arial Nova" w:cs="Arial"/>
          <w:color w:val="auto"/>
          <w:sz w:val="22"/>
          <w:szCs w:val="22"/>
        </w:rPr>
        <w:t>.</w:t>
      </w:r>
      <w:r w:rsidRPr="0005712D">
        <w:rPr>
          <w:rFonts w:eastAsia="Arial Nova" w:cs="Arial"/>
          <w:color w:val="auto"/>
          <w:sz w:val="22"/>
          <w:szCs w:val="22"/>
        </w:rPr>
        <w:t xml:space="preserve"> The Second World War exposed the inadequacies of this system and catalysed the push for a comprehensive, state-funded health service. The Emergency Hospital Service, </w:t>
      </w:r>
      <w:bookmarkStart w:id="3" w:name="_Int_ENp2HckW"/>
      <w:r w:rsidRPr="0005712D">
        <w:rPr>
          <w:rFonts w:eastAsia="Arial Nova" w:cs="Arial"/>
          <w:color w:val="auto"/>
          <w:sz w:val="22"/>
          <w:szCs w:val="22"/>
        </w:rPr>
        <w:t>established</w:t>
      </w:r>
      <w:bookmarkEnd w:id="3"/>
      <w:r w:rsidRPr="0005712D">
        <w:rPr>
          <w:rFonts w:eastAsia="Arial Nova" w:cs="Arial"/>
          <w:color w:val="auto"/>
          <w:sz w:val="22"/>
          <w:szCs w:val="22"/>
        </w:rPr>
        <w:t xml:space="preserve"> during the war, </w:t>
      </w:r>
      <w:bookmarkStart w:id="4" w:name="_Int_NGWfw2n3"/>
      <w:r w:rsidRPr="0005712D">
        <w:rPr>
          <w:rFonts w:eastAsia="Arial Nova" w:cs="Arial"/>
          <w:color w:val="auto"/>
          <w:sz w:val="22"/>
          <w:szCs w:val="22"/>
        </w:rPr>
        <w:t>demonstrated</w:t>
      </w:r>
      <w:bookmarkEnd w:id="4"/>
      <w:r w:rsidRPr="0005712D">
        <w:rPr>
          <w:rFonts w:eastAsia="Arial Nova" w:cs="Arial"/>
          <w:color w:val="auto"/>
          <w:sz w:val="22"/>
          <w:szCs w:val="22"/>
        </w:rPr>
        <w:t xml:space="preserve"> the feasibility of a coordinated national approach to healthcare</w:t>
      </w:r>
      <w:r w:rsidR="0005712D" w:rsidRPr="0005712D">
        <w:rPr>
          <w:rFonts w:eastAsia="Arial Nova" w:cs="Arial"/>
          <w:color w:val="auto"/>
          <w:sz w:val="22"/>
          <w:szCs w:val="22"/>
        </w:rPr>
        <w:t>.</w:t>
      </w:r>
    </w:p>
    <w:p w14:paraId="786335F0" w14:textId="77777777" w:rsidR="00807503" w:rsidRPr="00807503" w:rsidRDefault="00807503" w:rsidP="00907BEA">
      <w:pPr>
        <w:jc w:val="both"/>
        <w:rPr>
          <w:rFonts w:eastAsia="Arial Nova" w:cs="Arial"/>
          <w:sz w:val="22"/>
          <w:szCs w:val="22"/>
        </w:rPr>
      </w:pPr>
      <w:r w:rsidRPr="00807503">
        <w:rPr>
          <w:rFonts w:eastAsia="Arial Nova" w:cs="Arial"/>
          <w:sz w:val="22"/>
          <w:szCs w:val="22"/>
        </w:rPr>
        <w:t xml:space="preserve">The founding of the NHS was spearheaded by Aneurin Bevan, Minister of Health in Clement Attlee’s Labour government. Bevan’s vision was grounded in three key principles: that healthcare should be free at the point of delivery, funded through general taxation, and available to all based on need rather than ability to pay (Greengross et al., 1999). These principles </w:t>
      </w:r>
      <w:bookmarkStart w:id="5" w:name="_Int_tf7Du8J4"/>
      <w:r w:rsidRPr="00807503">
        <w:rPr>
          <w:rFonts w:eastAsia="Arial Nova" w:cs="Arial"/>
          <w:sz w:val="22"/>
          <w:szCs w:val="22"/>
        </w:rPr>
        <w:t>remain</w:t>
      </w:r>
      <w:bookmarkEnd w:id="5"/>
      <w:r w:rsidRPr="00807503">
        <w:rPr>
          <w:rFonts w:eastAsia="Arial Nova" w:cs="Arial"/>
          <w:sz w:val="22"/>
          <w:szCs w:val="22"/>
        </w:rPr>
        <w:t xml:space="preserve"> central to the NHS ethos today, although their implementation has faced increasing challenges.</w:t>
      </w:r>
    </w:p>
    <w:p w14:paraId="58E5A5FF" w14:textId="0ABF737A" w:rsidR="499B8648" w:rsidRDefault="499B8648" w:rsidP="00907BEA">
      <w:pPr>
        <w:jc w:val="both"/>
        <w:rPr>
          <w:rFonts w:eastAsia="Arial Nova" w:cs="Arial"/>
          <w:sz w:val="22"/>
          <w:szCs w:val="22"/>
        </w:rPr>
      </w:pPr>
    </w:p>
    <w:p w14:paraId="6E330EBA" w14:textId="251D37B9" w:rsidR="0059474F" w:rsidRDefault="0059474F" w:rsidP="00907BEA">
      <w:pPr>
        <w:jc w:val="both"/>
        <w:rPr>
          <w:rFonts w:eastAsia="Arial Nova" w:cs="Arial"/>
          <w:b/>
          <w:bCs/>
          <w:sz w:val="22"/>
          <w:szCs w:val="22"/>
        </w:rPr>
      </w:pPr>
      <w:r w:rsidRPr="499B8648">
        <w:rPr>
          <w:rFonts w:eastAsia="Arial Nova" w:cs="Arial"/>
          <w:b/>
          <w:bCs/>
          <w:sz w:val="22"/>
          <w:szCs w:val="22"/>
        </w:rPr>
        <w:t>Current structure of the NHS</w:t>
      </w:r>
    </w:p>
    <w:p w14:paraId="11192CEE" w14:textId="77777777" w:rsidR="00807503" w:rsidRPr="00807503" w:rsidRDefault="00807503" w:rsidP="00907BEA">
      <w:pPr>
        <w:jc w:val="both"/>
        <w:rPr>
          <w:rFonts w:eastAsia="Arial Nova" w:cs="Arial"/>
          <w:sz w:val="22"/>
          <w:szCs w:val="22"/>
        </w:rPr>
      </w:pPr>
      <w:r w:rsidRPr="00807503">
        <w:rPr>
          <w:rFonts w:eastAsia="Arial Nova" w:cs="Arial"/>
          <w:sz w:val="22"/>
          <w:szCs w:val="22"/>
        </w:rPr>
        <w:t xml:space="preserve">The current structure of the NHS is complex and multi-layered. It is not a single organisation but a network of bodies </w:t>
      </w:r>
      <w:bookmarkStart w:id="6" w:name="_Int_jPlFnY9i"/>
      <w:r w:rsidRPr="00807503">
        <w:rPr>
          <w:rFonts w:eastAsia="Arial Nova" w:cs="Arial"/>
          <w:sz w:val="22"/>
          <w:szCs w:val="22"/>
        </w:rPr>
        <w:t>operating</w:t>
      </w:r>
      <w:bookmarkEnd w:id="6"/>
      <w:r w:rsidRPr="00807503">
        <w:rPr>
          <w:rFonts w:eastAsia="Arial Nova" w:cs="Arial"/>
          <w:sz w:val="22"/>
          <w:szCs w:val="22"/>
        </w:rPr>
        <w:t xml:space="preserve"> at national, regional, and local levels. The Department of Health and Social Care (DHSC) sets overall policy and </w:t>
      </w:r>
      <w:bookmarkStart w:id="7" w:name="_Int_RkJyg9tz"/>
      <w:r w:rsidRPr="00807503">
        <w:rPr>
          <w:rFonts w:eastAsia="Arial Nova" w:cs="Arial"/>
          <w:sz w:val="22"/>
          <w:szCs w:val="22"/>
        </w:rPr>
        <w:t>allocates</w:t>
      </w:r>
      <w:bookmarkEnd w:id="7"/>
      <w:r w:rsidRPr="00807503">
        <w:rPr>
          <w:rFonts w:eastAsia="Arial Nova" w:cs="Arial"/>
          <w:sz w:val="22"/>
          <w:szCs w:val="22"/>
        </w:rPr>
        <w:t xml:space="preserve"> funding, while NHS England oversees service delivery and distributes resources to NHS Trusts and Integrated Care Boards (ICBs) (NHS England, 2024). ICBs, which replaced Clinical Commissioning Groups in 2022, </w:t>
      </w:r>
      <w:bookmarkStart w:id="8" w:name="_Int_iZlIYmAd"/>
      <w:r w:rsidRPr="00807503">
        <w:rPr>
          <w:rFonts w:eastAsia="Arial Nova" w:cs="Arial"/>
          <w:sz w:val="22"/>
          <w:szCs w:val="22"/>
        </w:rPr>
        <w:t>are responsible for</w:t>
      </w:r>
      <w:bookmarkEnd w:id="8"/>
      <w:r w:rsidRPr="00807503">
        <w:rPr>
          <w:rFonts w:eastAsia="Arial Nova" w:cs="Arial"/>
          <w:sz w:val="22"/>
          <w:szCs w:val="22"/>
        </w:rPr>
        <w:t xml:space="preserve"> planning and commissioning services tailored to local needs (Suhaani, 2024).</w:t>
      </w:r>
    </w:p>
    <w:p w14:paraId="0DDD59F1" w14:textId="77777777" w:rsidR="00807503" w:rsidRPr="00807503" w:rsidRDefault="00807503" w:rsidP="00907BEA">
      <w:pPr>
        <w:jc w:val="both"/>
        <w:rPr>
          <w:rFonts w:eastAsia="Arial Nova" w:cs="Arial"/>
          <w:sz w:val="22"/>
          <w:szCs w:val="22"/>
        </w:rPr>
      </w:pPr>
      <w:r w:rsidRPr="00807503">
        <w:rPr>
          <w:rFonts w:eastAsia="Arial Nova" w:cs="Arial"/>
          <w:sz w:val="22"/>
          <w:szCs w:val="22"/>
        </w:rPr>
        <w:t>Funding for the NHS primarily comes from general taxation and National Insurance contributions, supplemented by charges for prescriptions and dental services (NHS England, 2024). Despite being one of the largest employers in Europe, the NHS faces persistent issues including staff shortages, long waiting times, and underinvestment in community care. The 2025 government mandate acknowledges these problems, citing inefficiencies and a lack of productivity as key concerns (Department of Health and Social Care, 2025).</w:t>
      </w:r>
    </w:p>
    <w:p w14:paraId="7FD01DDB" w14:textId="0B665595" w:rsidR="00807503" w:rsidRDefault="00807503" w:rsidP="00907BEA">
      <w:pPr>
        <w:jc w:val="both"/>
        <w:rPr>
          <w:rFonts w:eastAsia="Arial Nova" w:cs="Arial"/>
          <w:sz w:val="22"/>
          <w:szCs w:val="22"/>
        </w:rPr>
      </w:pPr>
      <w:r w:rsidRPr="00807503">
        <w:rPr>
          <w:rFonts w:eastAsia="Arial Nova" w:cs="Arial"/>
          <w:sz w:val="22"/>
          <w:szCs w:val="22"/>
        </w:rPr>
        <w:lastRenderedPageBreak/>
        <w:t xml:space="preserve">Critically, while the NHS </w:t>
      </w:r>
      <w:bookmarkStart w:id="9" w:name="_Int_CiBqSoOs"/>
      <w:r w:rsidRPr="00807503">
        <w:rPr>
          <w:rFonts w:eastAsia="Arial Nova" w:cs="Arial"/>
          <w:sz w:val="22"/>
          <w:szCs w:val="22"/>
        </w:rPr>
        <w:t>retains</w:t>
      </w:r>
      <w:bookmarkEnd w:id="9"/>
      <w:r w:rsidRPr="00807503">
        <w:rPr>
          <w:rFonts w:eastAsia="Arial Nova" w:cs="Arial"/>
          <w:sz w:val="22"/>
          <w:szCs w:val="22"/>
        </w:rPr>
        <w:t xml:space="preserve"> its founding principles, its functioning has become increasingly strained. The shift towards digitalisation and preventative care outlined in the upcoming 10-Year Health Plan is a response to systemic pressures, including an ageing population and rising demand for services</w:t>
      </w:r>
      <w:r w:rsidR="00A13E5F">
        <w:rPr>
          <w:rFonts w:eastAsia="Arial Nova" w:cs="Arial"/>
          <w:sz w:val="22"/>
          <w:szCs w:val="22"/>
        </w:rPr>
        <w:t xml:space="preserve"> </w:t>
      </w:r>
      <w:r w:rsidR="00916FE2">
        <w:rPr>
          <w:rFonts w:eastAsia="Arial Nova" w:cs="Arial"/>
          <w:sz w:val="22"/>
          <w:szCs w:val="22"/>
        </w:rPr>
        <w:t>A</w:t>
      </w:r>
      <w:r w:rsidR="007742D7">
        <w:rPr>
          <w:rFonts w:eastAsia="Arial Nova" w:cs="Arial"/>
          <w:sz w:val="22"/>
          <w:szCs w:val="22"/>
        </w:rPr>
        <w:t>brahamson,(</w:t>
      </w:r>
      <w:r w:rsidR="00AC095F">
        <w:rPr>
          <w:rFonts w:eastAsia="Arial Nova" w:cs="Arial"/>
          <w:sz w:val="22"/>
          <w:szCs w:val="22"/>
        </w:rPr>
        <w:t>2009</w:t>
      </w:r>
      <w:r w:rsidRPr="00807503">
        <w:rPr>
          <w:rFonts w:eastAsia="Arial Nova" w:cs="Arial"/>
          <w:sz w:val="22"/>
          <w:szCs w:val="22"/>
        </w:rPr>
        <w:t>). However, critics argue that reforms often focus on cost-cutting rather than improving patient outcomes, and that centralised decision-making can overlook local needs.</w:t>
      </w:r>
    </w:p>
    <w:p w14:paraId="3CC9D516" w14:textId="77777777" w:rsidR="008D4943" w:rsidRPr="00807503" w:rsidRDefault="008D4943" w:rsidP="00907BEA">
      <w:pPr>
        <w:jc w:val="both"/>
        <w:rPr>
          <w:rFonts w:eastAsia="Arial Nova" w:cs="Arial"/>
          <w:sz w:val="22"/>
          <w:szCs w:val="22"/>
        </w:rPr>
      </w:pPr>
    </w:p>
    <w:p w14:paraId="6E165A4F" w14:textId="77777777" w:rsidR="00807503" w:rsidRPr="00807503" w:rsidRDefault="00807503" w:rsidP="00907BEA">
      <w:pPr>
        <w:jc w:val="both"/>
        <w:rPr>
          <w:rFonts w:eastAsia="Arial Nova" w:cs="Arial"/>
          <w:sz w:val="22"/>
          <w:szCs w:val="22"/>
        </w:rPr>
      </w:pPr>
      <w:r w:rsidRPr="00807503">
        <w:rPr>
          <w:rFonts w:eastAsia="Arial Nova" w:cs="Arial"/>
          <w:sz w:val="22"/>
          <w:szCs w:val="22"/>
        </w:rPr>
        <w:t xml:space="preserve">In conclusion, the NHS was born out of a post-war vision for equality and social justice, and its foundational principles continue to guide its mission. Yet, its current structure reflects the complexities of modern healthcare delivery, with challenges that require both strategic reform and sustained investment. Balancing efficiency with equity </w:t>
      </w:r>
      <w:bookmarkStart w:id="10" w:name="_Int_lDL71ASU"/>
      <w:r w:rsidRPr="00807503">
        <w:rPr>
          <w:rFonts w:eastAsia="Arial Nova" w:cs="Arial"/>
          <w:sz w:val="22"/>
          <w:szCs w:val="22"/>
        </w:rPr>
        <w:t>remains</w:t>
      </w:r>
      <w:bookmarkEnd w:id="10"/>
      <w:r w:rsidRPr="00807503">
        <w:rPr>
          <w:rFonts w:eastAsia="Arial Nova" w:cs="Arial"/>
          <w:sz w:val="22"/>
          <w:szCs w:val="22"/>
        </w:rPr>
        <w:t xml:space="preserve"> the central tension in ensuring the NHS </w:t>
      </w:r>
      <w:bookmarkStart w:id="11" w:name="_Int_uXEcLq0I"/>
      <w:r w:rsidRPr="00807503">
        <w:rPr>
          <w:rFonts w:eastAsia="Arial Nova" w:cs="Arial"/>
          <w:sz w:val="22"/>
          <w:szCs w:val="22"/>
        </w:rPr>
        <w:t>remains</w:t>
      </w:r>
      <w:bookmarkEnd w:id="11"/>
      <w:r w:rsidRPr="00807503">
        <w:rPr>
          <w:rFonts w:eastAsia="Arial Nova" w:cs="Arial"/>
          <w:sz w:val="22"/>
          <w:szCs w:val="22"/>
        </w:rPr>
        <w:t xml:space="preserve"> fit for purpose in the 21st century.</w:t>
      </w:r>
    </w:p>
    <w:p w14:paraId="6A937D5C" w14:textId="77777777" w:rsidR="00807503" w:rsidRPr="00807503" w:rsidRDefault="00807503" w:rsidP="499B8648">
      <w:pPr>
        <w:jc w:val="both"/>
        <w:rPr>
          <w:rFonts w:eastAsia="Arial Nova" w:cs="Arial"/>
          <w:sz w:val="22"/>
          <w:szCs w:val="22"/>
        </w:rPr>
      </w:pPr>
      <w:r w:rsidRPr="00807503">
        <w:rPr>
          <w:rFonts w:eastAsia="Arial Nova" w:cs="Arial"/>
          <w:sz w:val="22"/>
          <w:szCs w:val="22"/>
        </w:rPr>
        <w:t xml:space="preserve"> </w:t>
      </w:r>
    </w:p>
    <w:p w14:paraId="3A68E864" w14:textId="20DF4045" w:rsidR="00807503" w:rsidRPr="00807503" w:rsidRDefault="00807503" w:rsidP="499B8648">
      <w:pPr>
        <w:jc w:val="both"/>
        <w:rPr>
          <w:rFonts w:eastAsia="Arial Nova" w:cs="Arial"/>
          <w:b/>
          <w:bCs/>
          <w:sz w:val="22"/>
          <w:szCs w:val="22"/>
        </w:rPr>
      </w:pPr>
    </w:p>
    <w:p w14:paraId="3D08BB6D" w14:textId="45463F15" w:rsidR="00807503" w:rsidRPr="00807503" w:rsidRDefault="00807503" w:rsidP="499B8648">
      <w:pPr>
        <w:jc w:val="both"/>
        <w:rPr>
          <w:rFonts w:eastAsia="Arial Nova" w:cs="Arial"/>
          <w:b/>
          <w:bCs/>
          <w:sz w:val="22"/>
          <w:szCs w:val="22"/>
        </w:rPr>
      </w:pPr>
    </w:p>
    <w:p w14:paraId="2B917282" w14:textId="53E60C7F" w:rsidR="00807503" w:rsidRPr="00807503" w:rsidRDefault="00807503" w:rsidP="499B8648">
      <w:pPr>
        <w:rPr>
          <w:rFonts w:eastAsia="Arial Nova" w:cs="Arial"/>
          <w:b/>
          <w:bCs/>
          <w:sz w:val="22"/>
          <w:szCs w:val="22"/>
        </w:rPr>
      </w:pPr>
    </w:p>
    <w:p w14:paraId="34E308F3" w14:textId="2FBA89ED" w:rsidR="00807503" w:rsidRPr="00807503" w:rsidRDefault="00807503" w:rsidP="499B8648">
      <w:pPr>
        <w:rPr>
          <w:rFonts w:eastAsia="Arial Nova" w:cs="Arial"/>
          <w:b/>
          <w:bCs/>
          <w:sz w:val="22"/>
          <w:szCs w:val="22"/>
        </w:rPr>
      </w:pPr>
    </w:p>
    <w:p w14:paraId="693E1539" w14:textId="1A368B5E" w:rsidR="00807503" w:rsidRPr="00807503" w:rsidRDefault="00807503" w:rsidP="499B8648">
      <w:pPr>
        <w:rPr>
          <w:rFonts w:eastAsia="Arial Nova" w:cs="Arial"/>
          <w:b/>
          <w:bCs/>
          <w:sz w:val="22"/>
          <w:szCs w:val="22"/>
        </w:rPr>
      </w:pPr>
    </w:p>
    <w:p w14:paraId="3330F36E" w14:textId="125E373C" w:rsidR="00807503" w:rsidRPr="00807503" w:rsidRDefault="00807503" w:rsidP="499B8648">
      <w:pPr>
        <w:rPr>
          <w:rFonts w:eastAsia="Arial Nova" w:cs="Arial"/>
          <w:b/>
          <w:bCs/>
          <w:sz w:val="22"/>
          <w:szCs w:val="22"/>
        </w:rPr>
      </w:pPr>
    </w:p>
    <w:p w14:paraId="22CA81D3" w14:textId="3397D468" w:rsidR="00807503" w:rsidRPr="00807503" w:rsidRDefault="00807503" w:rsidP="499B8648">
      <w:pPr>
        <w:rPr>
          <w:rFonts w:eastAsia="Arial Nova" w:cs="Arial"/>
          <w:b/>
          <w:bCs/>
          <w:sz w:val="22"/>
          <w:szCs w:val="22"/>
        </w:rPr>
      </w:pPr>
    </w:p>
    <w:p w14:paraId="65DD0676" w14:textId="6E04066D" w:rsidR="00807503" w:rsidRPr="00807503" w:rsidRDefault="00807503" w:rsidP="499B8648">
      <w:pPr>
        <w:rPr>
          <w:rFonts w:eastAsia="Arial Nova" w:cs="Arial"/>
          <w:b/>
          <w:bCs/>
          <w:sz w:val="22"/>
          <w:szCs w:val="22"/>
        </w:rPr>
      </w:pPr>
    </w:p>
    <w:p w14:paraId="4CA0BDBC" w14:textId="05A56E4F" w:rsidR="00807503" w:rsidRPr="00807503" w:rsidRDefault="00807503" w:rsidP="499B8648">
      <w:pPr>
        <w:rPr>
          <w:rFonts w:eastAsia="Arial Nova" w:cs="Arial"/>
          <w:b/>
          <w:bCs/>
          <w:sz w:val="22"/>
          <w:szCs w:val="22"/>
        </w:rPr>
      </w:pPr>
    </w:p>
    <w:p w14:paraId="01E175A7" w14:textId="788FFA40" w:rsidR="00807503" w:rsidRPr="00807503" w:rsidRDefault="00807503" w:rsidP="499B8648">
      <w:pPr>
        <w:rPr>
          <w:rFonts w:eastAsia="Arial Nova" w:cs="Arial"/>
          <w:b/>
          <w:bCs/>
          <w:sz w:val="22"/>
          <w:szCs w:val="22"/>
        </w:rPr>
      </w:pPr>
    </w:p>
    <w:p w14:paraId="62DAEEEE" w14:textId="665E3589" w:rsidR="00807503" w:rsidRPr="00807503" w:rsidRDefault="00807503" w:rsidP="499B8648">
      <w:pPr>
        <w:rPr>
          <w:rFonts w:eastAsia="Arial Nova" w:cs="Arial"/>
          <w:b/>
          <w:bCs/>
          <w:sz w:val="22"/>
          <w:szCs w:val="22"/>
        </w:rPr>
      </w:pPr>
    </w:p>
    <w:p w14:paraId="62B1F926" w14:textId="32B68054" w:rsidR="00807503" w:rsidRPr="00807503" w:rsidRDefault="00807503" w:rsidP="499B8648">
      <w:pPr>
        <w:rPr>
          <w:rFonts w:eastAsia="Arial Nova" w:cs="Arial"/>
          <w:b/>
          <w:bCs/>
          <w:sz w:val="22"/>
          <w:szCs w:val="22"/>
        </w:rPr>
      </w:pPr>
    </w:p>
    <w:p w14:paraId="33FFC824" w14:textId="5E6D050D" w:rsidR="00807503" w:rsidRPr="00807503" w:rsidRDefault="00807503" w:rsidP="499B8648">
      <w:pPr>
        <w:rPr>
          <w:rFonts w:eastAsia="Arial Nova" w:cs="Arial"/>
          <w:b/>
          <w:bCs/>
          <w:sz w:val="22"/>
          <w:szCs w:val="22"/>
        </w:rPr>
      </w:pPr>
    </w:p>
    <w:p w14:paraId="70E85543" w14:textId="62B6BF7E" w:rsidR="00807503" w:rsidRPr="00807503" w:rsidRDefault="00807503" w:rsidP="499B8648">
      <w:pPr>
        <w:rPr>
          <w:rFonts w:eastAsia="Arial Nova" w:cs="Arial"/>
          <w:b/>
          <w:bCs/>
          <w:sz w:val="22"/>
          <w:szCs w:val="22"/>
        </w:rPr>
      </w:pPr>
    </w:p>
    <w:p w14:paraId="6AF86784" w14:textId="2B8173F5" w:rsidR="00807503" w:rsidRPr="00807503" w:rsidRDefault="00807503" w:rsidP="499B8648">
      <w:pPr>
        <w:rPr>
          <w:rFonts w:eastAsia="Arial Nova" w:cs="Arial"/>
          <w:b/>
          <w:bCs/>
          <w:sz w:val="22"/>
          <w:szCs w:val="22"/>
        </w:rPr>
      </w:pPr>
    </w:p>
    <w:p w14:paraId="2C68E2F1" w14:textId="560D3FB1" w:rsidR="00807503" w:rsidRPr="00807503" w:rsidRDefault="00807503" w:rsidP="499B8648">
      <w:pPr>
        <w:rPr>
          <w:rFonts w:eastAsia="Arial Nova" w:cs="Arial"/>
          <w:b/>
          <w:bCs/>
          <w:sz w:val="22"/>
          <w:szCs w:val="22"/>
        </w:rPr>
      </w:pPr>
    </w:p>
    <w:p w14:paraId="41F3BB0A" w14:textId="2A8AEB1A" w:rsidR="00807503" w:rsidRPr="00807503" w:rsidRDefault="00807503" w:rsidP="499B8648">
      <w:pPr>
        <w:rPr>
          <w:rFonts w:eastAsia="Arial Nova" w:cs="Arial"/>
          <w:b/>
          <w:bCs/>
          <w:sz w:val="22"/>
          <w:szCs w:val="22"/>
        </w:rPr>
      </w:pPr>
    </w:p>
    <w:p w14:paraId="4F06A7A3" w14:textId="63C77EE6" w:rsidR="00807503" w:rsidRDefault="00807503" w:rsidP="499B8648">
      <w:pPr>
        <w:rPr>
          <w:rFonts w:eastAsia="Arial Nova" w:cs="Arial"/>
          <w:b/>
          <w:bCs/>
          <w:sz w:val="22"/>
          <w:szCs w:val="22"/>
        </w:rPr>
      </w:pPr>
    </w:p>
    <w:p w14:paraId="355C4420" w14:textId="77777777" w:rsidR="00266647" w:rsidRDefault="00266647" w:rsidP="499B8648">
      <w:pPr>
        <w:rPr>
          <w:rFonts w:eastAsia="Arial Nova" w:cs="Arial"/>
          <w:b/>
          <w:bCs/>
          <w:sz w:val="22"/>
          <w:szCs w:val="22"/>
        </w:rPr>
      </w:pPr>
    </w:p>
    <w:p w14:paraId="41B1E4C2" w14:textId="77777777" w:rsidR="00496124" w:rsidRDefault="00496124" w:rsidP="499B8648">
      <w:pPr>
        <w:rPr>
          <w:rFonts w:eastAsia="Arial Nova" w:cs="Arial"/>
          <w:b/>
          <w:bCs/>
          <w:sz w:val="22"/>
          <w:szCs w:val="22"/>
        </w:rPr>
      </w:pPr>
    </w:p>
    <w:p w14:paraId="37789F51" w14:textId="77777777" w:rsidR="00496124" w:rsidRDefault="00496124" w:rsidP="499B8648">
      <w:pPr>
        <w:rPr>
          <w:rFonts w:eastAsia="Arial Nova" w:cs="Arial"/>
          <w:b/>
          <w:bCs/>
          <w:sz w:val="22"/>
          <w:szCs w:val="22"/>
        </w:rPr>
      </w:pPr>
    </w:p>
    <w:p w14:paraId="61CB8529" w14:textId="77777777" w:rsidR="00496124" w:rsidRDefault="00496124" w:rsidP="499B8648">
      <w:pPr>
        <w:rPr>
          <w:rFonts w:eastAsia="Arial Nova" w:cs="Arial"/>
          <w:b/>
          <w:bCs/>
          <w:sz w:val="22"/>
          <w:szCs w:val="22"/>
        </w:rPr>
      </w:pPr>
    </w:p>
    <w:p w14:paraId="4EF5B88A" w14:textId="77777777" w:rsidR="00266647" w:rsidRPr="00807503" w:rsidRDefault="00266647" w:rsidP="499B8648">
      <w:pPr>
        <w:rPr>
          <w:rFonts w:eastAsia="Arial Nova" w:cs="Arial"/>
          <w:b/>
          <w:bCs/>
          <w:sz w:val="22"/>
          <w:szCs w:val="22"/>
        </w:rPr>
      </w:pPr>
    </w:p>
    <w:p w14:paraId="3E7A4EE3" w14:textId="77777777" w:rsidR="00150875" w:rsidRDefault="00150875" w:rsidP="00ED77CA">
      <w:pPr>
        <w:rPr>
          <w:rFonts w:eastAsia="Arial Nova" w:cs="Arial"/>
          <w:b/>
          <w:bCs/>
          <w:sz w:val="22"/>
          <w:szCs w:val="22"/>
        </w:rPr>
      </w:pPr>
    </w:p>
    <w:p w14:paraId="6B1575BB" w14:textId="6CF64322" w:rsidR="00496124" w:rsidRPr="00150875" w:rsidRDefault="00150875" w:rsidP="00ED77CA">
      <w:pPr>
        <w:rPr>
          <w:rFonts w:eastAsia="Arial Nova" w:cs="Arial"/>
          <w:b/>
          <w:bCs/>
          <w:sz w:val="22"/>
          <w:szCs w:val="22"/>
        </w:rPr>
      </w:pPr>
      <w:r w:rsidRPr="00150875">
        <w:rPr>
          <w:rFonts w:eastAsia="Arial Nova" w:cs="Arial"/>
          <w:b/>
          <w:bCs/>
          <w:sz w:val="22"/>
          <w:szCs w:val="22"/>
        </w:rPr>
        <w:lastRenderedPageBreak/>
        <w:t>References</w:t>
      </w:r>
    </w:p>
    <w:p w14:paraId="31526917" w14:textId="77777777" w:rsidR="00496124" w:rsidRPr="00ED77CA" w:rsidRDefault="00496124" w:rsidP="00ED77CA">
      <w:pPr>
        <w:rPr>
          <w:rFonts w:cs="Arial"/>
          <w:sz w:val="22"/>
          <w:szCs w:val="22"/>
        </w:rPr>
      </w:pPr>
    </w:p>
    <w:p w14:paraId="41966F65" w14:textId="372744F0" w:rsidR="00496124" w:rsidRDefault="00496124" w:rsidP="00807503">
      <w:pPr>
        <w:rPr>
          <w:rFonts w:cs="Arial"/>
          <w:sz w:val="22"/>
          <w:szCs w:val="22"/>
        </w:rPr>
      </w:pPr>
      <w:r w:rsidRPr="007D6582">
        <w:rPr>
          <w:rFonts w:cs="Arial"/>
          <w:sz w:val="22"/>
          <w:szCs w:val="22"/>
        </w:rPr>
        <w:t xml:space="preserve">Abrahamson, V. and Raine, R., </w:t>
      </w:r>
      <w:r w:rsidR="00E15C83">
        <w:rPr>
          <w:rFonts w:cs="Arial"/>
          <w:sz w:val="22"/>
          <w:szCs w:val="22"/>
        </w:rPr>
        <w:t>(</w:t>
      </w:r>
      <w:r w:rsidRPr="007D6582">
        <w:rPr>
          <w:rFonts w:cs="Arial"/>
          <w:sz w:val="22"/>
          <w:szCs w:val="22"/>
        </w:rPr>
        <w:t>2009</w:t>
      </w:r>
      <w:r w:rsidR="00E15C83">
        <w:rPr>
          <w:rFonts w:cs="Arial"/>
          <w:sz w:val="22"/>
          <w:szCs w:val="22"/>
        </w:rPr>
        <w:t>)</w:t>
      </w:r>
      <w:r w:rsidRPr="007D6582">
        <w:rPr>
          <w:rFonts w:cs="Arial"/>
          <w:sz w:val="22"/>
          <w:szCs w:val="22"/>
        </w:rPr>
        <w:t>. Health and social care responses to the Department of Health Heatwave Plan. </w:t>
      </w:r>
      <w:r w:rsidRPr="007D6582">
        <w:rPr>
          <w:rFonts w:cs="Arial"/>
          <w:i/>
          <w:iCs/>
          <w:sz w:val="22"/>
          <w:szCs w:val="22"/>
        </w:rPr>
        <w:t>Journal of public health</w:t>
      </w:r>
      <w:r w:rsidRPr="007D6582">
        <w:rPr>
          <w:rFonts w:cs="Arial"/>
          <w:sz w:val="22"/>
          <w:szCs w:val="22"/>
        </w:rPr>
        <w:t>, </w:t>
      </w:r>
      <w:r w:rsidRPr="007D6582">
        <w:rPr>
          <w:rFonts w:cs="Arial"/>
          <w:i/>
          <w:iCs/>
          <w:sz w:val="22"/>
          <w:szCs w:val="22"/>
        </w:rPr>
        <w:t>31</w:t>
      </w:r>
      <w:r w:rsidRPr="007D6582">
        <w:rPr>
          <w:rFonts w:cs="Arial"/>
          <w:sz w:val="22"/>
          <w:szCs w:val="22"/>
        </w:rPr>
        <w:t>(4), pp.478-489.</w:t>
      </w:r>
    </w:p>
    <w:p w14:paraId="433C5FF1" w14:textId="7E92C1CB" w:rsidR="00496124" w:rsidRDefault="00496124" w:rsidP="00807503">
      <w:pPr>
        <w:rPr>
          <w:rFonts w:eastAsia="Arial Nova" w:cs="Arial"/>
          <w:sz w:val="22"/>
          <w:szCs w:val="22"/>
        </w:rPr>
      </w:pPr>
      <w:r w:rsidRPr="00807503">
        <w:rPr>
          <w:rFonts w:eastAsia="Arial Nova" w:cs="Arial"/>
          <w:sz w:val="22"/>
          <w:szCs w:val="22"/>
        </w:rPr>
        <w:t>Clement, M. (2023) The founding of the NHS: 75 years on. History of Government. Available at:</w:t>
      </w:r>
      <w:hyperlink r:id="rId16" w:history="1">
        <w:r w:rsidRPr="00921442">
          <w:rPr>
            <w:rStyle w:val="Hyperlink"/>
          </w:rPr>
          <w:t>https://history.blog.gov.uk/2023/07/13/the-founding-of-the-nhs-75-years-on/</w:t>
        </w:r>
      </w:hyperlink>
      <w:r>
        <w:rPr>
          <w:rFonts w:eastAsia="Arial Nova" w:cs="Arial"/>
          <w:sz w:val="22"/>
          <w:szCs w:val="22"/>
        </w:rPr>
        <w:t xml:space="preserve"> ( accessed 10 September 2025)</w:t>
      </w:r>
      <w:r w:rsidR="003A0661">
        <w:rPr>
          <w:rFonts w:eastAsia="Arial Nova" w:cs="Arial"/>
          <w:sz w:val="22"/>
          <w:szCs w:val="22"/>
        </w:rPr>
        <w:t>.</w:t>
      </w:r>
    </w:p>
    <w:p w14:paraId="7E3969C1" w14:textId="77777777" w:rsidR="00496124" w:rsidRPr="00ED77CA" w:rsidRDefault="00496124" w:rsidP="00ED77CA">
      <w:pPr>
        <w:rPr>
          <w:rFonts w:cs="Arial"/>
          <w:sz w:val="22"/>
          <w:szCs w:val="22"/>
        </w:rPr>
      </w:pPr>
      <w:r w:rsidRPr="00ED77CA">
        <w:rPr>
          <w:rFonts w:cs="Arial"/>
          <w:sz w:val="22"/>
          <w:szCs w:val="22"/>
        </w:rPr>
        <w:t>Department of Health (DOH) (2020) Safeguarding Adults: Roles and Responsibilities in Health Care. London: HMSO.</w:t>
      </w:r>
    </w:p>
    <w:p w14:paraId="7B9AFCB5" w14:textId="6D98160C" w:rsidR="00496124" w:rsidRDefault="00496124" w:rsidP="00807503">
      <w:pPr>
        <w:rPr>
          <w:rFonts w:eastAsia="Arial Nova" w:cs="Arial"/>
          <w:sz w:val="22"/>
          <w:szCs w:val="22"/>
        </w:rPr>
      </w:pPr>
      <w:r w:rsidRPr="00807503">
        <w:rPr>
          <w:rFonts w:eastAsia="Arial Nova" w:cs="Arial"/>
          <w:sz w:val="22"/>
          <w:szCs w:val="22"/>
        </w:rPr>
        <w:t xml:space="preserve">Department of Health and Social Care (2025) Road to recovery: the government's 2025 mandate to NHS England. GOV.UK. Available at: </w:t>
      </w:r>
      <w:hyperlink r:id="rId17" w:history="1">
        <w:r w:rsidRPr="00F80795">
          <w:rPr>
            <w:rStyle w:val="Hyperlink"/>
          </w:rPr>
          <w:t>https://www.gov.uk/government/publications/road-to-recovery-the-governments-2025-mandate-to-nhs-england/road-to-recovery-the-governments-2025</w:t>
        </w:r>
      </w:hyperlink>
      <w:r>
        <w:rPr>
          <w:rFonts w:eastAsia="Arial Nova" w:cs="Arial"/>
          <w:sz w:val="22"/>
          <w:szCs w:val="22"/>
        </w:rPr>
        <w:t xml:space="preserve"> ( Accessed 10 September 2025)</w:t>
      </w:r>
      <w:r w:rsidR="003A0661">
        <w:rPr>
          <w:rFonts w:eastAsia="Arial Nova" w:cs="Arial"/>
          <w:sz w:val="22"/>
          <w:szCs w:val="22"/>
        </w:rPr>
        <w:t>.</w:t>
      </w:r>
    </w:p>
    <w:p w14:paraId="03DDA5AB" w14:textId="77777777" w:rsidR="00496124" w:rsidRPr="00ED77CA" w:rsidRDefault="00496124" w:rsidP="00ED77CA">
      <w:pPr>
        <w:rPr>
          <w:rFonts w:cs="Arial"/>
          <w:sz w:val="22"/>
          <w:szCs w:val="22"/>
        </w:rPr>
      </w:pPr>
      <w:r w:rsidRPr="00ED77CA">
        <w:rPr>
          <w:rFonts w:cs="Arial"/>
          <w:sz w:val="22"/>
          <w:szCs w:val="22"/>
        </w:rPr>
        <w:t xml:space="preserve">GOV.UK (2018) </w:t>
      </w:r>
      <w:r w:rsidRPr="00ED77CA">
        <w:rPr>
          <w:rFonts w:cs="Arial"/>
          <w:i/>
          <w:iCs/>
          <w:sz w:val="22"/>
          <w:szCs w:val="22"/>
        </w:rPr>
        <w:t>Midwifery services for improved health and wellbeing</w:t>
      </w:r>
      <w:r w:rsidRPr="00ED77CA">
        <w:rPr>
          <w:rFonts w:cs="Arial"/>
          <w:sz w:val="22"/>
          <w:szCs w:val="22"/>
        </w:rPr>
        <w:t xml:space="preserve">. Available at: </w:t>
      </w:r>
      <w:hyperlink r:id="rId18" w:history="1">
        <w:r w:rsidRPr="00ED77CA">
          <w:rPr>
            <w:rStyle w:val="Hyperlink"/>
            <w:rFonts w:cs="Arial"/>
            <w:sz w:val="22"/>
            <w:szCs w:val="22"/>
          </w:rPr>
          <w:t>https://assets.publishing.service.gov.uk/media/5a7c732fed915d48c240fcff/Midwifery_strategy_visual_A.pdf</w:t>
        </w:r>
      </w:hyperlink>
      <w:r w:rsidRPr="00ED77CA">
        <w:rPr>
          <w:rFonts w:cs="Arial"/>
          <w:sz w:val="22"/>
          <w:szCs w:val="22"/>
        </w:rPr>
        <w:t xml:space="preserve"> (Accessed: 4 October 2025).</w:t>
      </w:r>
    </w:p>
    <w:p w14:paraId="6929329D" w14:textId="77777777" w:rsidR="00496124" w:rsidRPr="002F278F" w:rsidRDefault="00496124" w:rsidP="00807503">
      <w:pPr>
        <w:rPr>
          <w:rFonts w:eastAsia="Arial Nova" w:cs="Arial"/>
          <w:sz w:val="22"/>
          <w:szCs w:val="22"/>
        </w:rPr>
      </w:pPr>
      <w:r w:rsidRPr="002F278F">
        <w:rPr>
          <w:rFonts w:cs="Arial"/>
          <w:color w:val="222222"/>
          <w:sz w:val="22"/>
          <w:szCs w:val="22"/>
          <w:shd w:val="clear" w:color="auto" w:fill="FFFFFF"/>
        </w:rPr>
        <w:t xml:space="preserve"> Greengross, P., Grant, K. and Collini, E., (1999) The UK national health service. </w:t>
      </w:r>
      <w:r w:rsidRPr="002F278F">
        <w:rPr>
          <w:rFonts w:cs="Arial"/>
          <w:i/>
          <w:iCs/>
          <w:color w:val="222222"/>
          <w:sz w:val="22"/>
          <w:szCs w:val="22"/>
          <w:shd w:val="clear" w:color="auto" w:fill="FFFFFF"/>
        </w:rPr>
        <w:t>DFID Health Systems Resource Centre</w:t>
      </w:r>
      <w:r w:rsidRPr="002F278F">
        <w:rPr>
          <w:rFonts w:cs="Arial"/>
          <w:color w:val="222222"/>
          <w:sz w:val="22"/>
          <w:szCs w:val="22"/>
          <w:shd w:val="clear" w:color="auto" w:fill="FFFFFF"/>
        </w:rPr>
        <w:t>, </w:t>
      </w:r>
      <w:r w:rsidRPr="002F278F">
        <w:rPr>
          <w:rFonts w:cs="Arial"/>
          <w:i/>
          <w:iCs/>
          <w:color w:val="222222"/>
          <w:sz w:val="22"/>
          <w:szCs w:val="22"/>
          <w:shd w:val="clear" w:color="auto" w:fill="FFFFFF"/>
        </w:rPr>
        <w:t>2</w:t>
      </w:r>
      <w:r w:rsidRPr="002F278F">
        <w:rPr>
          <w:rFonts w:cs="Arial"/>
          <w:color w:val="222222"/>
          <w:sz w:val="22"/>
          <w:szCs w:val="22"/>
          <w:shd w:val="clear" w:color="auto" w:fill="FFFFFF"/>
        </w:rPr>
        <w:t>, p.2019.</w:t>
      </w:r>
    </w:p>
    <w:p w14:paraId="6C87924A" w14:textId="77777777" w:rsidR="00496124" w:rsidRPr="00ED77CA" w:rsidRDefault="00496124" w:rsidP="00ED77CA">
      <w:pPr>
        <w:rPr>
          <w:rFonts w:cs="Arial"/>
          <w:sz w:val="22"/>
          <w:szCs w:val="22"/>
        </w:rPr>
      </w:pPr>
      <w:r w:rsidRPr="00ED77CA">
        <w:rPr>
          <w:rFonts w:cs="Arial"/>
          <w:sz w:val="22"/>
          <w:szCs w:val="22"/>
        </w:rPr>
        <w:t>National Health Service (NHS) (2023) Your Pregnancy Care. Available at: https://www.nhs.uk/pregnancy (Accessed: 6 October 2025).</w:t>
      </w:r>
    </w:p>
    <w:p w14:paraId="2804183F" w14:textId="77777777" w:rsidR="00496124" w:rsidRPr="00ED77CA" w:rsidRDefault="00496124" w:rsidP="00ED77CA">
      <w:pPr>
        <w:rPr>
          <w:rFonts w:cs="Arial"/>
          <w:sz w:val="22"/>
          <w:szCs w:val="22"/>
        </w:rPr>
      </w:pPr>
      <w:r w:rsidRPr="00ED77CA">
        <w:rPr>
          <w:rFonts w:cs="Arial"/>
          <w:sz w:val="22"/>
          <w:szCs w:val="22"/>
        </w:rPr>
        <w:t>National Institute for Health and Care Excellence (NICE) (2021) Antenatal Care Guidelines. Available at: https://www.nice.org.uk/guidance/ng201 (Accessed: 6 October 2025).</w:t>
      </w:r>
    </w:p>
    <w:p w14:paraId="4022EA00" w14:textId="77777777" w:rsidR="00496124" w:rsidRPr="00ED77CA" w:rsidRDefault="00496124" w:rsidP="00ED77CA">
      <w:pPr>
        <w:rPr>
          <w:rFonts w:cs="Arial"/>
          <w:sz w:val="22"/>
          <w:szCs w:val="22"/>
        </w:rPr>
      </w:pPr>
      <w:r w:rsidRPr="00ED77CA">
        <w:rPr>
          <w:rFonts w:cs="Arial"/>
          <w:sz w:val="22"/>
          <w:szCs w:val="22"/>
        </w:rPr>
        <w:t>National Maternity Review (2016) Better Births: Improving outcomes of maternity services in England. NHS England. Available at: https://www.england.nhs.uk/publication/better-births-improving-outcomes-of-maternity-services-in-england/ (Accessed: 11 October 2025).</w:t>
      </w:r>
    </w:p>
    <w:p w14:paraId="1677D5EC" w14:textId="5F217744" w:rsidR="00496124" w:rsidRPr="00ED77CA" w:rsidRDefault="00496124" w:rsidP="00ED77CA">
      <w:pPr>
        <w:rPr>
          <w:rFonts w:cs="Arial"/>
          <w:sz w:val="22"/>
          <w:szCs w:val="22"/>
        </w:rPr>
      </w:pPr>
      <w:r w:rsidRPr="00ED77CA">
        <w:rPr>
          <w:rFonts w:cs="Arial"/>
          <w:sz w:val="22"/>
          <w:szCs w:val="22"/>
        </w:rPr>
        <w:t>NHS (2023) Your Pregnancy Care. Available at: https://www.nhs.uk/pregnancy (Accessed: 4 October 2025)</w:t>
      </w:r>
      <w:r w:rsidR="003A0661">
        <w:rPr>
          <w:rFonts w:cs="Arial"/>
          <w:sz w:val="22"/>
          <w:szCs w:val="22"/>
        </w:rPr>
        <w:t>.</w:t>
      </w:r>
    </w:p>
    <w:p w14:paraId="0E5682FF" w14:textId="77777777" w:rsidR="00496124" w:rsidRPr="00ED77CA" w:rsidRDefault="00496124" w:rsidP="00ED77CA">
      <w:pPr>
        <w:rPr>
          <w:rFonts w:cs="Arial"/>
          <w:sz w:val="22"/>
          <w:szCs w:val="22"/>
        </w:rPr>
      </w:pPr>
      <w:r w:rsidRPr="00ED77CA">
        <w:rPr>
          <w:rFonts w:cs="Arial"/>
          <w:sz w:val="22"/>
          <w:szCs w:val="22"/>
        </w:rPr>
        <w:t>NHS (2023) Your pregnancy care. Available at: https://www.nhs.uk/pregnancy/your-pregnancy-care/ (Accessed: 11 October 2025).</w:t>
      </w:r>
    </w:p>
    <w:p w14:paraId="27EC3652" w14:textId="77777777" w:rsidR="00496124" w:rsidRPr="00ED77CA" w:rsidRDefault="00496124" w:rsidP="00ED77CA">
      <w:pPr>
        <w:rPr>
          <w:rFonts w:cs="Arial"/>
          <w:sz w:val="22"/>
          <w:szCs w:val="22"/>
        </w:rPr>
      </w:pPr>
      <w:r w:rsidRPr="00ED77CA">
        <w:rPr>
          <w:rFonts w:cs="Arial"/>
          <w:sz w:val="22"/>
          <w:szCs w:val="22"/>
        </w:rPr>
        <w:t>NHS England (2023) Equity and equality: Guidance for local maternity systems. Available at: https://www.england.nhs.uk/publication/equity-and-equality-guidance-for-local-maternity-systems/ (Accessed: 11 October 2025).</w:t>
      </w:r>
    </w:p>
    <w:p w14:paraId="2BECBEC8" w14:textId="77777777" w:rsidR="00496124" w:rsidRDefault="00496124" w:rsidP="00807503">
      <w:pPr>
        <w:rPr>
          <w:rFonts w:eastAsia="Arial Nova" w:cs="Arial"/>
          <w:sz w:val="22"/>
          <w:szCs w:val="22"/>
        </w:rPr>
      </w:pPr>
      <w:r>
        <w:rPr>
          <w:rFonts w:eastAsia="Arial Nova" w:cs="Arial"/>
          <w:sz w:val="22"/>
          <w:szCs w:val="22"/>
        </w:rPr>
        <w:t>NHS England</w:t>
      </w:r>
      <w:r w:rsidRPr="00807503">
        <w:rPr>
          <w:rFonts w:eastAsia="Arial Nova" w:cs="Arial"/>
          <w:sz w:val="22"/>
          <w:szCs w:val="22"/>
        </w:rPr>
        <w:t xml:space="preserve"> (2024) Structure of the NHS in 2025 - How </w:t>
      </w:r>
      <w:bookmarkStart w:id="12" w:name="_Int_mIZuS4jf"/>
      <w:r w:rsidRPr="00807503">
        <w:rPr>
          <w:rFonts w:eastAsia="Arial Nova" w:cs="Arial"/>
          <w:sz w:val="22"/>
          <w:szCs w:val="22"/>
        </w:rPr>
        <w:t>The</w:t>
      </w:r>
      <w:bookmarkEnd w:id="12"/>
      <w:r w:rsidRPr="00807503">
        <w:rPr>
          <w:rFonts w:eastAsia="Arial Nova" w:cs="Arial"/>
          <w:sz w:val="22"/>
          <w:szCs w:val="22"/>
        </w:rPr>
        <w:t xml:space="preserve"> NHS in England Works. The UKCAT People. Available at</w:t>
      </w:r>
      <w:r>
        <w:rPr>
          <w:rFonts w:eastAsia="Arial Nova" w:cs="Arial"/>
          <w:sz w:val="22"/>
          <w:szCs w:val="22"/>
        </w:rPr>
        <w:t xml:space="preserve"> </w:t>
      </w:r>
      <w:r w:rsidRPr="00807503">
        <w:rPr>
          <w:rFonts w:eastAsia="Arial Nova" w:cs="Arial"/>
          <w:sz w:val="22"/>
          <w:szCs w:val="22"/>
        </w:rPr>
        <w:t>:</w:t>
      </w:r>
      <w:hyperlink r:id="rId19" w:history="1">
        <w:r w:rsidRPr="00153592">
          <w:rPr>
            <w:rStyle w:val="Hyperlink"/>
          </w:rPr>
          <w:t>https://www.england.nhs.uk/long-read/structure-of-the-nhs/</w:t>
        </w:r>
      </w:hyperlink>
      <w:r>
        <w:rPr>
          <w:rFonts w:eastAsia="Arial Nova" w:cs="Arial"/>
          <w:sz w:val="22"/>
          <w:szCs w:val="22"/>
        </w:rPr>
        <w:t xml:space="preserve"> (</w:t>
      </w:r>
      <w:r w:rsidRPr="00807503">
        <w:rPr>
          <w:rFonts w:eastAsia="Arial Nova" w:cs="Arial"/>
          <w:sz w:val="22"/>
          <w:szCs w:val="22"/>
        </w:rPr>
        <w:t>Accessed 21 Sep. 2025</w:t>
      </w:r>
      <w:r>
        <w:rPr>
          <w:rFonts w:eastAsia="Arial Nova" w:cs="Arial"/>
          <w:sz w:val="22"/>
          <w:szCs w:val="22"/>
        </w:rPr>
        <w:t>).</w:t>
      </w:r>
    </w:p>
    <w:p w14:paraId="345FD413" w14:textId="77777777" w:rsidR="00496124" w:rsidRDefault="00496124" w:rsidP="00807503">
      <w:pPr>
        <w:rPr>
          <w:rFonts w:eastAsia="Arial Nova" w:cs="Arial"/>
          <w:sz w:val="22"/>
          <w:szCs w:val="22"/>
        </w:rPr>
      </w:pPr>
      <w:r w:rsidRPr="00807503">
        <w:rPr>
          <w:rFonts w:eastAsia="Arial Nova" w:cs="Arial"/>
          <w:sz w:val="22"/>
          <w:szCs w:val="22"/>
        </w:rPr>
        <w:lastRenderedPageBreak/>
        <w:t>NHS England (2024) Structure of the NHS. Available at</w:t>
      </w:r>
      <w:r>
        <w:rPr>
          <w:rFonts w:eastAsia="Arial Nova" w:cs="Arial"/>
          <w:sz w:val="22"/>
          <w:szCs w:val="22"/>
        </w:rPr>
        <w:t xml:space="preserve"> </w:t>
      </w:r>
      <w:r w:rsidRPr="00807503">
        <w:rPr>
          <w:rFonts w:eastAsia="Arial Nova" w:cs="Arial"/>
          <w:sz w:val="22"/>
          <w:szCs w:val="22"/>
        </w:rPr>
        <w:t>:</w:t>
      </w:r>
      <w:hyperlink r:id="rId20" w:history="1">
        <w:r w:rsidRPr="008B3629">
          <w:rPr>
            <w:rStyle w:val="Hyperlink"/>
          </w:rPr>
          <w:t>https://www.england.nhs.uk/long-read/structure-of-the-nhs/</w:t>
        </w:r>
      </w:hyperlink>
      <w:r>
        <w:rPr>
          <w:rFonts w:eastAsia="Arial Nova" w:cs="Arial"/>
          <w:sz w:val="22"/>
          <w:szCs w:val="22"/>
        </w:rPr>
        <w:t xml:space="preserve">  (</w:t>
      </w:r>
      <w:r w:rsidRPr="00807503">
        <w:rPr>
          <w:rFonts w:eastAsia="Arial Nova" w:cs="Arial"/>
          <w:sz w:val="22"/>
          <w:szCs w:val="22"/>
        </w:rPr>
        <w:t>Accessed 21 Sep. 2025</w:t>
      </w:r>
      <w:r>
        <w:rPr>
          <w:rFonts w:eastAsia="Arial Nova" w:cs="Arial"/>
          <w:sz w:val="22"/>
          <w:szCs w:val="22"/>
        </w:rPr>
        <w:t>).</w:t>
      </w:r>
    </w:p>
    <w:p w14:paraId="5B57B970" w14:textId="77777777" w:rsidR="00496124" w:rsidRPr="00ED77CA" w:rsidRDefault="00496124" w:rsidP="00ED77CA">
      <w:pPr>
        <w:rPr>
          <w:rFonts w:cs="Arial"/>
          <w:sz w:val="22"/>
          <w:szCs w:val="22"/>
        </w:rPr>
      </w:pPr>
      <w:r w:rsidRPr="00ED77CA">
        <w:rPr>
          <w:rFonts w:cs="Arial"/>
          <w:sz w:val="22"/>
          <w:szCs w:val="22"/>
        </w:rPr>
        <w:t xml:space="preserve">NICE (2021) </w:t>
      </w:r>
      <w:r w:rsidRPr="00ED77CA">
        <w:rPr>
          <w:rFonts w:cs="Arial"/>
          <w:i/>
          <w:iCs/>
          <w:sz w:val="22"/>
          <w:szCs w:val="22"/>
        </w:rPr>
        <w:t>Antenatal care: recommendations</w:t>
      </w:r>
      <w:r w:rsidRPr="00ED77CA">
        <w:rPr>
          <w:rFonts w:cs="Arial"/>
          <w:sz w:val="22"/>
          <w:szCs w:val="22"/>
        </w:rPr>
        <w:t xml:space="preserve">. Available at: </w:t>
      </w:r>
      <w:hyperlink r:id="rId21" w:history="1">
        <w:r w:rsidRPr="00ED77CA">
          <w:rPr>
            <w:rStyle w:val="Hyperlink"/>
            <w:rFonts w:cs="Arial"/>
            <w:sz w:val="22"/>
            <w:szCs w:val="22"/>
          </w:rPr>
          <w:t>https://www.nice.org.uk/guidance/ng201/chapter/Recommendations</w:t>
        </w:r>
      </w:hyperlink>
      <w:r w:rsidRPr="00ED77CA">
        <w:rPr>
          <w:rFonts w:cs="Arial"/>
          <w:sz w:val="22"/>
          <w:szCs w:val="22"/>
        </w:rPr>
        <w:t xml:space="preserve"> (Accessed: 4 October 2025).</w:t>
      </w:r>
    </w:p>
    <w:p w14:paraId="37F0B4B7" w14:textId="77777777" w:rsidR="00150875" w:rsidRDefault="00496124" w:rsidP="00807503">
      <w:pPr>
        <w:rPr>
          <w:rFonts w:cs="Arial"/>
          <w:sz w:val="22"/>
          <w:szCs w:val="22"/>
        </w:rPr>
      </w:pPr>
      <w:r w:rsidRPr="00ED77CA">
        <w:rPr>
          <w:rFonts w:cs="Arial"/>
          <w:sz w:val="22"/>
          <w:szCs w:val="22"/>
        </w:rPr>
        <w:t xml:space="preserve">Nursing and Midwifery Council (2022) </w:t>
      </w:r>
      <w:r w:rsidRPr="00ED77CA">
        <w:rPr>
          <w:rFonts w:cs="Arial"/>
          <w:i/>
          <w:iCs/>
          <w:sz w:val="22"/>
          <w:szCs w:val="22"/>
        </w:rPr>
        <w:t>Challenging health inequalities in maternity services</w:t>
      </w:r>
      <w:r w:rsidRPr="00ED77CA">
        <w:rPr>
          <w:rFonts w:cs="Arial"/>
          <w:sz w:val="22"/>
          <w:szCs w:val="22"/>
        </w:rPr>
        <w:t xml:space="preserve">. Available at: </w:t>
      </w:r>
      <w:hyperlink r:id="rId22" w:history="1">
        <w:r w:rsidRPr="00ED77CA">
          <w:rPr>
            <w:rStyle w:val="Hyperlink"/>
            <w:rFonts w:cs="Arial"/>
            <w:sz w:val="22"/>
            <w:szCs w:val="22"/>
          </w:rPr>
          <w:t>https://www.nmc.org.uk/news/news-and-updates/challenging-health-inequalities-in-maternity-services-the-role-we-all-play/</w:t>
        </w:r>
      </w:hyperlink>
      <w:r w:rsidRPr="00ED77CA">
        <w:rPr>
          <w:rFonts w:cs="Arial"/>
          <w:sz w:val="22"/>
          <w:szCs w:val="22"/>
        </w:rPr>
        <w:t xml:space="preserve"> (Accessed: 4 October 2025).</w:t>
      </w:r>
    </w:p>
    <w:p w14:paraId="5F46321E" w14:textId="54D2D98C" w:rsidR="00496124" w:rsidRPr="00150875" w:rsidRDefault="00496124" w:rsidP="00807503">
      <w:pPr>
        <w:rPr>
          <w:rFonts w:cs="Arial"/>
          <w:sz w:val="22"/>
          <w:szCs w:val="22"/>
        </w:rPr>
      </w:pPr>
      <w:r w:rsidRPr="00807503">
        <w:rPr>
          <w:rFonts w:eastAsia="Arial Nova" w:cs="Arial"/>
          <w:b/>
          <w:bCs/>
          <w:sz w:val="22"/>
          <w:szCs w:val="22"/>
        </w:rPr>
        <w:t xml:space="preserve"> </w:t>
      </w:r>
    </w:p>
    <w:p w14:paraId="22FD849D" w14:textId="77777777" w:rsidR="00496124" w:rsidRPr="00ED77CA" w:rsidRDefault="00496124" w:rsidP="00ED77CA">
      <w:pPr>
        <w:rPr>
          <w:rFonts w:cs="Arial"/>
          <w:sz w:val="22"/>
          <w:szCs w:val="22"/>
        </w:rPr>
      </w:pPr>
      <w:r w:rsidRPr="00ED77CA">
        <w:rPr>
          <w:rFonts w:cs="Arial"/>
          <w:sz w:val="22"/>
          <w:szCs w:val="22"/>
        </w:rPr>
        <w:t xml:space="preserve">Royal College of Midwives (2022) 120 years of the Midwives Act in England and Wales. Available at: </w:t>
      </w:r>
      <w:hyperlink r:id="rId23" w:history="1">
        <w:r w:rsidRPr="00ED77CA">
          <w:rPr>
            <w:rStyle w:val="Hyperlink"/>
            <w:rFonts w:cs="Arial"/>
            <w:sz w:val="22"/>
            <w:szCs w:val="22"/>
          </w:rPr>
          <w:t>https://rcm.org.uk/blog/2022/07/120-years-of-the-midwives-act-in-england-and-wales/</w:t>
        </w:r>
      </w:hyperlink>
      <w:r w:rsidRPr="00ED77CA">
        <w:rPr>
          <w:rFonts w:cs="Arial"/>
          <w:sz w:val="22"/>
          <w:szCs w:val="22"/>
        </w:rPr>
        <w:t xml:space="preserve"> (Accessed: 17 October 2025).</w:t>
      </w:r>
    </w:p>
    <w:p w14:paraId="0600B4AB" w14:textId="77777777" w:rsidR="00ED77CA" w:rsidRDefault="00ED77CA" w:rsidP="00807503">
      <w:pPr>
        <w:rPr>
          <w:rFonts w:cs="Arial"/>
          <w:sz w:val="22"/>
          <w:szCs w:val="22"/>
        </w:rPr>
      </w:pPr>
    </w:p>
    <w:p w14:paraId="019FD4EA" w14:textId="77777777" w:rsidR="007D6582" w:rsidRPr="00807503" w:rsidRDefault="007D6582" w:rsidP="00807503">
      <w:pPr>
        <w:rPr>
          <w:rFonts w:cs="Arial"/>
          <w:sz w:val="22"/>
          <w:szCs w:val="22"/>
        </w:rPr>
      </w:pPr>
    </w:p>
    <w:sectPr w:rsidR="007D6582" w:rsidRPr="00807503" w:rsidSect="00F35A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0491B" w14:textId="77777777" w:rsidR="00CF588E" w:rsidRDefault="00CF588E" w:rsidP="0095542C">
      <w:pPr>
        <w:spacing w:line="240" w:lineRule="auto"/>
      </w:pPr>
      <w:r>
        <w:separator/>
      </w:r>
    </w:p>
  </w:endnote>
  <w:endnote w:type="continuationSeparator" w:id="0">
    <w:p w14:paraId="3A1E773A" w14:textId="77777777" w:rsidR="00CF588E" w:rsidRDefault="00CF588E" w:rsidP="009554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400255"/>
      <w:docPartObj>
        <w:docPartGallery w:val="Page Numbers (Bottom of Page)"/>
        <w:docPartUnique/>
      </w:docPartObj>
    </w:sdtPr>
    <w:sdtEndPr>
      <w:rPr>
        <w:noProof/>
      </w:rPr>
    </w:sdtEndPr>
    <w:sdtContent>
      <w:p w14:paraId="79593173" w14:textId="1D44A3A0" w:rsidR="00703A64" w:rsidRDefault="00703A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62D4A" w14:textId="77777777" w:rsidR="00703A64" w:rsidRDefault="00703A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42A49" w14:textId="77777777" w:rsidR="00CF588E" w:rsidRDefault="00CF588E" w:rsidP="0095542C">
      <w:pPr>
        <w:spacing w:line="240" w:lineRule="auto"/>
      </w:pPr>
      <w:r>
        <w:separator/>
      </w:r>
    </w:p>
  </w:footnote>
  <w:footnote w:type="continuationSeparator" w:id="0">
    <w:p w14:paraId="40CFAA4F" w14:textId="77777777" w:rsidR="00CF588E" w:rsidRDefault="00CF588E" w:rsidP="009554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39"/>
    <w:rsid w:val="00021D73"/>
    <w:rsid w:val="00023EF0"/>
    <w:rsid w:val="00046A01"/>
    <w:rsid w:val="0005712D"/>
    <w:rsid w:val="00074168"/>
    <w:rsid w:val="00074E0F"/>
    <w:rsid w:val="00081DB8"/>
    <w:rsid w:val="00091644"/>
    <w:rsid w:val="00091A92"/>
    <w:rsid w:val="000A2B96"/>
    <w:rsid w:val="000A691C"/>
    <w:rsid w:val="000D7D6D"/>
    <w:rsid w:val="000F230F"/>
    <w:rsid w:val="000F794E"/>
    <w:rsid w:val="00102D33"/>
    <w:rsid w:val="001031DB"/>
    <w:rsid w:val="00104880"/>
    <w:rsid w:val="00104C1B"/>
    <w:rsid w:val="001130DC"/>
    <w:rsid w:val="00123666"/>
    <w:rsid w:val="00136164"/>
    <w:rsid w:val="00150875"/>
    <w:rsid w:val="00152A9B"/>
    <w:rsid w:val="00153592"/>
    <w:rsid w:val="001553EF"/>
    <w:rsid w:val="00161283"/>
    <w:rsid w:val="00164D46"/>
    <w:rsid w:val="00193277"/>
    <w:rsid w:val="00195957"/>
    <w:rsid w:val="001B06D3"/>
    <w:rsid w:val="001D1E65"/>
    <w:rsid w:val="001E2E67"/>
    <w:rsid w:val="00210E21"/>
    <w:rsid w:val="002134CF"/>
    <w:rsid w:val="002155F5"/>
    <w:rsid w:val="00241BFF"/>
    <w:rsid w:val="002528B5"/>
    <w:rsid w:val="00266647"/>
    <w:rsid w:val="002720CD"/>
    <w:rsid w:val="00272DEC"/>
    <w:rsid w:val="00283952"/>
    <w:rsid w:val="00283FBB"/>
    <w:rsid w:val="002E3C05"/>
    <w:rsid w:val="002F278F"/>
    <w:rsid w:val="002F47C3"/>
    <w:rsid w:val="00301190"/>
    <w:rsid w:val="00326FE4"/>
    <w:rsid w:val="003328C1"/>
    <w:rsid w:val="0033719C"/>
    <w:rsid w:val="00343F09"/>
    <w:rsid w:val="0034659B"/>
    <w:rsid w:val="00351D4A"/>
    <w:rsid w:val="003550E8"/>
    <w:rsid w:val="00372CA5"/>
    <w:rsid w:val="00386AFB"/>
    <w:rsid w:val="00387E38"/>
    <w:rsid w:val="0039556E"/>
    <w:rsid w:val="003A0661"/>
    <w:rsid w:val="003A067E"/>
    <w:rsid w:val="003A4DCB"/>
    <w:rsid w:val="003C19DA"/>
    <w:rsid w:val="003E5D73"/>
    <w:rsid w:val="003E6020"/>
    <w:rsid w:val="00451926"/>
    <w:rsid w:val="00452F10"/>
    <w:rsid w:val="0046034C"/>
    <w:rsid w:val="0047352F"/>
    <w:rsid w:val="00496124"/>
    <w:rsid w:val="004A18EC"/>
    <w:rsid w:val="004B3782"/>
    <w:rsid w:val="004C0B6F"/>
    <w:rsid w:val="004C478D"/>
    <w:rsid w:val="004D0C26"/>
    <w:rsid w:val="004D15D8"/>
    <w:rsid w:val="004D6E5E"/>
    <w:rsid w:val="004F1E0C"/>
    <w:rsid w:val="005028AB"/>
    <w:rsid w:val="00517954"/>
    <w:rsid w:val="0053102D"/>
    <w:rsid w:val="00562255"/>
    <w:rsid w:val="00570334"/>
    <w:rsid w:val="00571033"/>
    <w:rsid w:val="00582942"/>
    <w:rsid w:val="0058309D"/>
    <w:rsid w:val="0059474F"/>
    <w:rsid w:val="005A5F90"/>
    <w:rsid w:val="005B401C"/>
    <w:rsid w:val="005C41A0"/>
    <w:rsid w:val="005D7EAE"/>
    <w:rsid w:val="005E7337"/>
    <w:rsid w:val="005F2BE2"/>
    <w:rsid w:val="006061EF"/>
    <w:rsid w:val="00633BE7"/>
    <w:rsid w:val="00657F6C"/>
    <w:rsid w:val="006622D1"/>
    <w:rsid w:val="00662B56"/>
    <w:rsid w:val="006710ED"/>
    <w:rsid w:val="00671774"/>
    <w:rsid w:val="006746A4"/>
    <w:rsid w:val="00695A72"/>
    <w:rsid w:val="006A0983"/>
    <w:rsid w:val="006A24DB"/>
    <w:rsid w:val="006A2A69"/>
    <w:rsid w:val="006C55EF"/>
    <w:rsid w:val="006F1C24"/>
    <w:rsid w:val="006F2D84"/>
    <w:rsid w:val="007030D7"/>
    <w:rsid w:val="00703A64"/>
    <w:rsid w:val="00710929"/>
    <w:rsid w:val="0074738B"/>
    <w:rsid w:val="00764D95"/>
    <w:rsid w:val="00772946"/>
    <w:rsid w:val="007742D7"/>
    <w:rsid w:val="007A0969"/>
    <w:rsid w:val="007B583F"/>
    <w:rsid w:val="007D3087"/>
    <w:rsid w:val="007D6582"/>
    <w:rsid w:val="007E584A"/>
    <w:rsid w:val="007E6239"/>
    <w:rsid w:val="007F0E9D"/>
    <w:rsid w:val="00800867"/>
    <w:rsid w:val="00806EDF"/>
    <w:rsid w:val="00807503"/>
    <w:rsid w:val="00817B23"/>
    <w:rsid w:val="00836FEB"/>
    <w:rsid w:val="008615FA"/>
    <w:rsid w:val="008A7066"/>
    <w:rsid w:val="008B3629"/>
    <w:rsid w:val="008D4943"/>
    <w:rsid w:val="008E3668"/>
    <w:rsid w:val="00907BEA"/>
    <w:rsid w:val="00912F8C"/>
    <w:rsid w:val="00916FE2"/>
    <w:rsid w:val="00921442"/>
    <w:rsid w:val="00924927"/>
    <w:rsid w:val="00925C2B"/>
    <w:rsid w:val="0094457D"/>
    <w:rsid w:val="0095542C"/>
    <w:rsid w:val="00955F61"/>
    <w:rsid w:val="00964614"/>
    <w:rsid w:val="009907BD"/>
    <w:rsid w:val="009927AA"/>
    <w:rsid w:val="009A46F2"/>
    <w:rsid w:val="009B0AA1"/>
    <w:rsid w:val="009B6D38"/>
    <w:rsid w:val="009D1251"/>
    <w:rsid w:val="00A13E5F"/>
    <w:rsid w:val="00A2645D"/>
    <w:rsid w:val="00A4107B"/>
    <w:rsid w:val="00A42FC7"/>
    <w:rsid w:val="00A43AD7"/>
    <w:rsid w:val="00A53A9D"/>
    <w:rsid w:val="00A66408"/>
    <w:rsid w:val="00A91706"/>
    <w:rsid w:val="00AC095F"/>
    <w:rsid w:val="00B00410"/>
    <w:rsid w:val="00B15285"/>
    <w:rsid w:val="00B34A5F"/>
    <w:rsid w:val="00B37453"/>
    <w:rsid w:val="00B507CD"/>
    <w:rsid w:val="00B55739"/>
    <w:rsid w:val="00B62192"/>
    <w:rsid w:val="00B66045"/>
    <w:rsid w:val="00B71CA8"/>
    <w:rsid w:val="00B7203C"/>
    <w:rsid w:val="00B90115"/>
    <w:rsid w:val="00B92640"/>
    <w:rsid w:val="00B96A24"/>
    <w:rsid w:val="00BB2FAC"/>
    <w:rsid w:val="00BB3BDB"/>
    <w:rsid w:val="00BC5E3E"/>
    <w:rsid w:val="00BD0893"/>
    <w:rsid w:val="00BD1368"/>
    <w:rsid w:val="00BD24F4"/>
    <w:rsid w:val="00BE2FCC"/>
    <w:rsid w:val="00BE752D"/>
    <w:rsid w:val="00C03451"/>
    <w:rsid w:val="00C07907"/>
    <w:rsid w:val="00C10857"/>
    <w:rsid w:val="00C26BA2"/>
    <w:rsid w:val="00C408BD"/>
    <w:rsid w:val="00C40F65"/>
    <w:rsid w:val="00C43AE2"/>
    <w:rsid w:val="00C55835"/>
    <w:rsid w:val="00C86BAF"/>
    <w:rsid w:val="00CA2DAA"/>
    <w:rsid w:val="00CA4061"/>
    <w:rsid w:val="00CC5CE9"/>
    <w:rsid w:val="00CD46C4"/>
    <w:rsid w:val="00CE293A"/>
    <w:rsid w:val="00CE77CD"/>
    <w:rsid w:val="00CF16AE"/>
    <w:rsid w:val="00CF588E"/>
    <w:rsid w:val="00D02D0E"/>
    <w:rsid w:val="00D05474"/>
    <w:rsid w:val="00D15C9B"/>
    <w:rsid w:val="00D43BA6"/>
    <w:rsid w:val="00D5218D"/>
    <w:rsid w:val="00D92FE4"/>
    <w:rsid w:val="00D97290"/>
    <w:rsid w:val="00DB35E3"/>
    <w:rsid w:val="00DC0BD0"/>
    <w:rsid w:val="00DC3AD9"/>
    <w:rsid w:val="00DC7968"/>
    <w:rsid w:val="00DD4CCA"/>
    <w:rsid w:val="00DE3E6C"/>
    <w:rsid w:val="00DF2C33"/>
    <w:rsid w:val="00DF56A7"/>
    <w:rsid w:val="00E07188"/>
    <w:rsid w:val="00E12C54"/>
    <w:rsid w:val="00E15C3D"/>
    <w:rsid w:val="00E15C83"/>
    <w:rsid w:val="00E235B2"/>
    <w:rsid w:val="00E26F4A"/>
    <w:rsid w:val="00E36706"/>
    <w:rsid w:val="00E43554"/>
    <w:rsid w:val="00E44376"/>
    <w:rsid w:val="00E55774"/>
    <w:rsid w:val="00E614E3"/>
    <w:rsid w:val="00E638E6"/>
    <w:rsid w:val="00E72CE8"/>
    <w:rsid w:val="00E74FB0"/>
    <w:rsid w:val="00E944D2"/>
    <w:rsid w:val="00E94EA6"/>
    <w:rsid w:val="00E957AE"/>
    <w:rsid w:val="00EB0C03"/>
    <w:rsid w:val="00EC15A5"/>
    <w:rsid w:val="00EC21CD"/>
    <w:rsid w:val="00EC3008"/>
    <w:rsid w:val="00ED77CA"/>
    <w:rsid w:val="00EE03CD"/>
    <w:rsid w:val="00EE10A6"/>
    <w:rsid w:val="00F10798"/>
    <w:rsid w:val="00F115ED"/>
    <w:rsid w:val="00F26D40"/>
    <w:rsid w:val="00F32475"/>
    <w:rsid w:val="00F33714"/>
    <w:rsid w:val="00F35A39"/>
    <w:rsid w:val="00F80795"/>
    <w:rsid w:val="00F813A3"/>
    <w:rsid w:val="00FA360D"/>
    <w:rsid w:val="00FA6B58"/>
    <w:rsid w:val="00FB11C4"/>
    <w:rsid w:val="00FC0422"/>
    <w:rsid w:val="00FC3234"/>
    <w:rsid w:val="00FD0D48"/>
    <w:rsid w:val="00FD551B"/>
    <w:rsid w:val="00FE5377"/>
    <w:rsid w:val="057A389A"/>
    <w:rsid w:val="0D521C97"/>
    <w:rsid w:val="0EBE2D2D"/>
    <w:rsid w:val="0EFC622D"/>
    <w:rsid w:val="12632275"/>
    <w:rsid w:val="202B990E"/>
    <w:rsid w:val="2150FACA"/>
    <w:rsid w:val="2ABDC159"/>
    <w:rsid w:val="3E92E137"/>
    <w:rsid w:val="3F5C147B"/>
    <w:rsid w:val="41F3A060"/>
    <w:rsid w:val="442A00EC"/>
    <w:rsid w:val="499B8648"/>
    <w:rsid w:val="52DCC1FA"/>
    <w:rsid w:val="5564348A"/>
    <w:rsid w:val="568C801C"/>
    <w:rsid w:val="56B81611"/>
    <w:rsid w:val="5C6F3DA5"/>
    <w:rsid w:val="5FF0FAD3"/>
    <w:rsid w:val="74CDE68A"/>
    <w:rsid w:val="75FF6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8AA1"/>
  <w15:chartTrackingRefBased/>
  <w15:docId w15:val="{CE609D56-4284-7C48-9D8C-2CFA7BB0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A6"/>
    <w:pPr>
      <w:spacing w:line="360" w:lineRule="auto"/>
    </w:pPr>
  </w:style>
  <w:style w:type="paragraph" w:styleId="Heading1">
    <w:name w:val="heading 1"/>
    <w:basedOn w:val="Normal"/>
    <w:next w:val="Normal"/>
    <w:link w:val="Heading1Char"/>
    <w:uiPriority w:val="9"/>
    <w:qFormat/>
    <w:rsid w:val="00F3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Heading3">
    <w:name w:val="heading 3"/>
    <w:basedOn w:val="Normal"/>
    <w:next w:val="Normal"/>
    <w:link w:val="Heading3Char"/>
    <w:uiPriority w:val="9"/>
    <w:semiHidden/>
    <w:unhideWhenUsed/>
    <w:qFormat/>
    <w:rsid w:val="00F35A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A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5A3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5A3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A3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A3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A3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83F"/>
    <w:rPr>
      <w:rFonts w:ascii="Times New Roman" w:eastAsiaTheme="majorEastAsia" w:hAnsi="Times New Roman" w:cstheme="majorBidi"/>
      <w:b/>
      <w:color w:val="000000" w:themeColor="text1"/>
      <w:kern w:val="0"/>
      <w:szCs w:val="32"/>
      <w:lang w:eastAsia="en-GB"/>
      <w14:ligatures w14:val="none"/>
    </w:rPr>
  </w:style>
  <w:style w:type="paragraph" w:styleId="TOC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customStyle="1" w:styleId="Heading1Char">
    <w:name w:val="Heading 1 Char"/>
    <w:basedOn w:val="DefaultParagraphFont"/>
    <w:link w:val="Heading1"/>
    <w:uiPriority w:val="9"/>
    <w:rsid w:val="00F35A39"/>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35A3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A3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5A3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5A3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5A3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5A3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5A3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5A3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35A3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35A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A3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5A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A39"/>
    <w:rPr>
      <w:i/>
      <w:iCs/>
      <w:color w:val="404040" w:themeColor="text1" w:themeTint="BF"/>
    </w:rPr>
  </w:style>
  <w:style w:type="paragraph" w:styleId="ListParagraph">
    <w:name w:val="List Paragraph"/>
    <w:basedOn w:val="Normal"/>
    <w:uiPriority w:val="34"/>
    <w:qFormat/>
    <w:rsid w:val="00F35A39"/>
    <w:pPr>
      <w:ind w:left="720"/>
      <w:contextualSpacing/>
    </w:pPr>
  </w:style>
  <w:style w:type="character" w:styleId="IntenseEmphasis">
    <w:name w:val="Intense Emphasis"/>
    <w:basedOn w:val="DefaultParagraphFont"/>
    <w:uiPriority w:val="21"/>
    <w:qFormat/>
    <w:rsid w:val="00F35A39"/>
    <w:rPr>
      <w:i/>
      <w:iCs/>
      <w:color w:val="0F4761" w:themeColor="accent1" w:themeShade="BF"/>
    </w:rPr>
  </w:style>
  <w:style w:type="paragraph" w:styleId="IntenseQuote">
    <w:name w:val="Intense Quote"/>
    <w:basedOn w:val="Normal"/>
    <w:next w:val="Normal"/>
    <w:link w:val="IntenseQuoteChar"/>
    <w:uiPriority w:val="30"/>
    <w:qFormat/>
    <w:rsid w:val="00F3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A39"/>
    <w:rPr>
      <w:i/>
      <w:iCs/>
      <w:color w:val="0F4761" w:themeColor="accent1" w:themeShade="BF"/>
    </w:rPr>
  </w:style>
  <w:style w:type="character" w:styleId="IntenseReference">
    <w:name w:val="Intense Reference"/>
    <w:basedOn w:val="DefaultParagraphFont"/>
    <w:uiPriority w:val="32"/>
    <w:qFormat/>
    <w:rsid w:val="00F35A39"/>
    <w:rPr>
      <w:b/>
      <w:bCs/>
      <w:smallCaps/>
      <w:color w:val="0F4761" w:themeColor="accent1" w:themeShade="BF"/>
      <w:spacing w:val="5"/>
    </w:rPr>
  </w:style>
  <w:style w:type="character" w:styleId="Hyperlink">
    <w:name w:val="Hyperlink"/>
    <w:basedOn w:val="DefaultParagraphFont"/>
    <w:uiPriority w:val="99"/>
    <w:unhideWhenUsed/>
    <w:rsid w:val="00695A72"/>
    <w:rPr>
      <w:color w:val="467886" w:themeColor="hyperlink"/>
      <w:u w:val="single"/>
    </w:rPr>
  </w:style>
  <w:style w:type="character" w:styleId="UnresolvedMention">
    <w:name w:val="Unresolved Mention"/>
    <w:basedOn w:val="DefaultParagraphFont"/>
    <w:uiPriority w:val="99"/>
    <w:semiHidden/>
    <w:unhideWhenUsed/>
    <w:rsid w:val="00695A72"/>
    <w:rPr>
      <w:color w:val="605E5C"/>
      <w:shd w:val="clear" w:color="auto" w:fill="E1DFDD"/>
    </w:rPr>
  </w:style>
  <w:style w:type="paragraph" w:styleId="NormalWeb">
    <w:name w:val="Normal (Web)"/>
    <w:basedOn w:val="Normal"/>
    <w:uiPriority w:val="99"/>
    <w:unhideWhenUsed/>
    <w:rsid w:val="00D05474"/>
    <w:rPr>
      <w:rFonts w:ascii="Times New Roman" w:hAnsi="Times New Roman" w:cs="Times New Roman"/>
    </w:rPr>
  </w:style>
  <w:style w:type="paragraph" w:styleId="NoSpacing">
    <w:name w:val="No Spacing"/>
    <w:link w:val="NoSpacingChar"/>
    <w:uiPriority w:val="1"/>
    <w:qFormat/>
    <w:rsid w:val="00E638E6"/>
    <w:rPr>
      <w:rFonts w:asciiTheme="minorHAnsi" w:eastAsiaTheme="minorEastAsia" w:hAnsiTheme="minorHAnsi"/>
      <w:color w:val="auto"/>
      <w:kern w:val="0"/>
      <w:sz w:val="22"/>
      <w:szCs w:val="22"/>
      <w:lang w:val="en-US"/>
      <w14:ligatures w14:val="none"/>
    </w:rPr>
  </w:style>
  <w:style w:type="character" w:customStyle="1" w:styleId="NoSpacingChar">
    <w:name w:val="No Spacing Char"/>
    <w:basedOn w:val="DefaultParagraphFont"/>
    <w:link w:val="NoSpacing"/>
    <w:uiPriority w:val="1"/>
    <w:rsid w:val="00E638E6"/>
    <w:rPr>
      <w:rFonts w:asciiTheme="minorHAnsi" w:eastAsiaTheme="minorEastAsia" w:hAnsiTheme="minorHAnsi"/>
      <w:color w:val="auto"/>
      <w:kern w:val="0"/>
      <w:sz w:val="22"/>
      <w:szCs w:val="22"/>
      <w:lang w:val="en-US"/>
      <w14:ligatures w14:val="none"/>
    </w:rPr>
  </w:style>
  <w:style w:type="paragraph" w:styleId="Header">
    <w:name w:val="header"/>
    <w:basedOn w:val="Normal"/>
    <w:link w:val="HeaderChar"/>
    <w:uiPriority w:val="99"/>
    <w:unhideWhenUsed/>
    <w:rsid w:val="0095542C"/>
    <w:pPr>
      <w:tabs>
        <w:tab w:val="center" w:pos="4513"/>
        <w:tab w:val="right" w:pos="9026"/>
      </w:tabs>
      <w:spacing w:line="240" w:lineRule="auto"/>
    </w:pPr>
  </w:style>
  <w:style w:type="character" w:customStyle="1" w:styleId="HeaderChar">
    <w:name w:val="Header Char"/>
    <w:basedOn w:val="DefaultParagraphFont"/>
    <w:link w:val="Header"/>
    <w:uiPriority w:val="99"/>
    <w:rsid w:val="0095542C"/>
  </w:style>
  <w:style w:type="paragraph" w:styleId="Footer">
    <w:name w:val="footer"/>
    <w:basedOn w:val="Normal"/>
    <w:link w:val="FooterChar"/>
    <w:uiPriority w:val="99"/>
    <w:unhideWhenUsed/>
    <w:rsid w:val="0095542C"/>
    <w:pPr>
      <w:tabs>
        <w:tab w:val="center" w:pos="4513"/>
        <w:tab w:val="right" w:pos="9026"/>
      </w:tabs>
      <w:spacing w:line="240" w:lineRule="auto"/>
    </w:pPr>
  </w:style>
  <w:style w:type="character" w:customStyle="1" w:styleId="FooterChar">
    <w:name w:val="Footer Char"/>
    <w:basedOn w:val="DefaultParagraphFont"/>
    <w:link w:val="Footer"/>
    <w:uiPriority w:val="99"/>
    <w:rsid w:val="00955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assets.publishing.service.gov.uk/media/5a7c732fed915d48c240fcff/Midwifery_strategy_visual_A.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ice.org.uk/guidance/ng201/chapter/Recommendation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road-to-recovery-the-governments-2025-mandate-to-nhs-england/road-to-recovery-the-governments-2025-m"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history.blog.gov.uk/2023/07/13/the-founding-of-the-nhs-75-years-on/" TargetMode="External"/><Relationship Id="rId20" Type="http://schemas.openxmlformats.org/officeDocument/2006/relationships/hyperlink" Target="https://www.england.nhs.uk/long-read/structure-of-the-nh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package" Target="embeddings/Microsoft_PowerPoint_Slide.sldx"/><Relationship Id="rId23" Type="http://schemas.openxmlformats.org/officeDocument/2006/relationships/hyperlink" Target="https://rcm.org.uk/blog/2022/07/120-years-of-the-midwives-act-in-england-and-wales/" TargetMode="External"/><Relationship Id="rId10" Type="http://schemas.openxmlformats.org/officeDocument/2006/relationships/endnotes" Target="endnotes.xml"/><Relationship Id="rId19" Type="http://schemas.openxmlformats.org/officeDocument/2006/relationships/hyperlink" Target="https://www.england.nhs.uk/long-read/structure-of-the-nh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yperlink" Target="https://www.nmc.org.uk/news/news-and-updates/challenging-health-inequalities-in-maternity-services-the-role-we-all-pla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635FEB04BF74280B8B0DF2ABCC0BF49"/>
        <w:category>
          <w:name w:val="General"/>
          <w:gallery w:val="placeholder"/>
        </w:category>
        <w:types>
          <w:type w:val="bbPlcHdr"/>
        </w:types>
        <w:behaviors>
          <w:behavior w:val="content"/>
        </w:behaviors>
        <w:guid w:val="{FD2040A5-B36C-419D-B05C-253D708811E0}"/>
      </w:docPartPr>
      <w:docPartBody>
        <w:p w:rsidR="00831246" w:rsidRDefault="00375915" w:rsidP="00375915">
          <w:pPr>
            <w:pStyle w:val="2635FEB04BF74280B8B0DF2ABCC0BF49"/>
          </w:pPr>
          <w:r>
            <w:rPr>
              <w:rFonts w:asciiTheme="majorHAnsi" w:eastAsiaTheme="majorEastAsia" w:hAnsiTheme="majorHAnsi" w:cstheme="majorBidi"/>
              <w:caps/>
              <w:color w:val="156082" w:themeColor="accent1"/>
              <w:sz w:val="80"/>
              <w:szCs w:val="80"/>
            </w:rPr>
            <w:t>[Document title]</w:t>
          </w:r>
        </w:p>
      </w:docPartBody>
    </w:docPart>
    <w:docPart>
      <w:docPartPr>
        <w:name w:val="9A902C63B4B541E886436EDE97A9A9B5"/>
        <w:category>
          <w:name w:val="General"/>
          <w:gallery w:val="placeholder"/>
        </w:category>
        <w:types>
          <w:type w:val="bbPlcHdr"/>
        </w:types>
        <w:behaviors>
          <w:behavior w:val="content"/>
        </w:behaviors>
        <w:guid w:val="{E4CF1274-E3B1-4233-A614-87F15EF274FB}"/>
      </w:docPartPr>
      <w:docPartBody>
        <w:p w:rsidR="00831246" w:rsidRDefault="00375915" w:rsidP="00375915">
          <w:pPr>
            <w:pStyle w:val="9A902C63B4B541E886436EDE97A9A9B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2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915"/>
    <w:rsid w:val="000D7D6D"/>
    <w:rsid w:val="00136164"/>
    <w:rsid w:val="00375915"/>
    <w:rsid w:val="00831246"/>
    <w:rsid w:val="00992557"/>
    <w:rsid w:val="00A91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35FEB04BF74280B8B0DF2ABCC0BF49">
    <w:name w:val="2635FEB04BF74280B8B0DF2ABCC0BF49"/>
    <w:rsid w:val="00375915"/>
  </w:style>
  <w:style w:type="paragraph" w:customStyle="1" w:styleId="9A902C63B4B541E886436EDE97A9A9B5">
    <w:name w:val="9A902C63B4B541E886436EDE97A9A9B5"/>
    <w:rsid w:val="003759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October 10, 202</PublishDate>
  <Abstract/>
  <CompanyAddress>LCHS4003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b9a84f82446008e9b365e866fcfe9255">
  <xsd:schema xmlns:xsd="http://www.w3.org/2001/XMLSchema" xmlns:xs="http://www.w3.org/2001/XMLSchema" xmlns:p="http://schemas.microsoft.com/office/2006/metadata/properties" xmlns:ns3="f799553d-1ac0-48da-9ae3-fe400ced9c3b" targetNamespace="http://schemas.microsoft.com/office/2006/metadata/properties" ma:root="true" ma:fieldsID="d517e8049b2f84d8d2bd9a815229638f"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708D8B-705C-44BB-9E03-E17D107340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60F3F4-DABC-40EB-BA92-E35FC07D48DE}">
  <ds:schemaRefs>
    <ds:schemaRef ds:uri="http://schemas.microsoft.com/office/2006/metadata/properties"/>
    <ds:schemaRef ds:uri="http://schemas.microsoft.com/office/infopath/2007/PartnerControls"/>
    <ds:schemaRef ds:uri="f799553d-1ac0-48da-9ae3-fe400ced9c3b"/>
  </ds:schemaRefs>
</ds:datastoreItem>
</file>

<file path=customXml/itemProps4.xml><?xml version="1.0" encoding="utf-8"?>
<ds:datastoreItem xmlns:ds="http://schemas.openxmlformats.org/officeDocument/2006/customXml" ds:itemID="{F89DA542-6A59-4601-86BC-BB992502F8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2066</Words>
  <Characters>11779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lecturer name – aishat baker</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health and social care</dc:title>
  <dc:subject>Poster and Essay</dc:subject>
  <dc:creator>Helen Parsons</dc:creator>
  <cp:keywords/>
  <dc:description/>
  <cp:lastModifiedBy>Daljeet Matharu (2433456)</cp:lastModifiedBy>
  <cp:revision>219</cp:revision>
  <dcterms:created xsi:type="dcterms:W3CDTF">2025-10-03T15:51:00Z</dcterms:created>
  <dcterms:modified xsi:type="dcterms:W3CDTF">2025-10-17T10:18:00Z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