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7958E9" w:rsidRDefault="007958E9" w14:paraId="513805CC" w14:textId="37C1551F" w:rsidP="007958E9" w:rsidRPr="007958E9">
      <w:pPr>
        <w:jc w:val="center"/>
        <w:spacing w:line="360" w:lineRule="auto"/>
        <w:rPr>
          <w:bCs/>
          <w:b/>
          <w:sz w:val="40"/>
          <w:szCs w:val="40"/>
        </w:rPr>
      </w:pPr>
      <w:r w:rsidRPr="007958E9">
        <w:rPr>
          <w:bCs/>
          <w:b/>
          <w:sz w:val="40"/>
          <w:szCs w:val="40"/>
        </w:rPr>
        <w:t>LCBB4001</w:t>
      </w:r>
    </w:p>
    <w:p w:rsidR="007E7160" w:rsidRDefault="007E7160" w14:paraId="46D4D82A" w14:textId="0EEB64D3" w:rsidP="007958E9" w:rsidRPr="007958E9">
      <w:pPr>
        <w:jc w:val="center"/>
        <w:spacing w:line="360" w:lineRule="auto"/>
        <w:rPr>
          <w:bCs/>
          <w:b/>
          <w:sz w:val="40"/>
          <w:szCs w:val="40"/>
        </w:rPr>
      </w:pPr>
      <w:r w:rsidRPr="007958E9">
        <w:rPr>
          <w:bCs/>
          <w:b/>
          <w:sz w:val="40"/>
          <w:szCs w:val="40"/>
        </w:rPr>
        <w:t>Accounting Fundamentals</w:t>
      </w:r>
    </w:p>
    <w:p w:rsidR="007958E9" w:rsidRDefault="007958E9" w14:paraId="7787AEF7" w14:textId="36087506" w:rsidP="007958E9" w:rsidRPr="007958E9">
      <w:pPr>
        <w:jc w:val="center"/>
        <w:spacing w:line="360" w:lineRule="auto"/>
        <w:rPr>
          <w:bCs/>
          <w:b/>
          <w:sz w:val="40"/>
          <w:szCs w:val="40"/>
        </w:rPr>
      </w:pPr>
      <w:r w:rsidRPr="007958E9">
        <w:rPr>
          <w:bCs/>
          <w:b/>
          <w:sz w:val="40"/>
          <w:szCs w:val="40"/>
        </w:rPr>
        <w:t>Assessment 1</w:t>
      </w:r>
    </w:p>
    <w:p>
      <w:pPr>
        <w:jc w:val="center"/>
        <w:spacing w:line="360" w:lineRule="auto"/>
      </w:pPr>
      <w:r>
        <w:rPr>
          <w:b/>
          <w:sz w:val="40"/>
        </w:rPr>
        <w:t>Martina Martinova Karadzhova</w:t>
      </w:r>
    </w:p>
    <w:p>
      <w:pPr>
        <w:jc w:val="center"/>
        <w:spacing w:line="360" w:lineRule="auto"/>
      </w:pPr>
      <w:r>
        <w:rPr>
          <w:b/>
          <w:sz w:val="40"/>
        </w:rPr>
        <w:t>Student ID: 2021296</w:t>
      </w:r>
    </w:p>
    <w:p>
      <w:pPr>
        <w:jc w:val="center"/>
        <w:spacing w:line="360" w:lineRule="auto"/>
      </w:pPr>
      <w:r>
        <w:rPr>
          <w:b/>
          <w:sz w:val="40"/>
        </w:rPr>
      </w:r>
    </w:p>
    <w:p w:rsidR="007E7160" w:rsidRDefault="007E7160" w14:paraId="6E75AC74" w14:textId="77777777" w:rsidRPr="007E7160">
      <w:pPr>
        <w:rPr>
          <w:sz w:val="82"/>
          <w:szCs w:val="48"/>
        </w:rPr>
      </w:pPr>
      <w:r>
        <w:rPr>
          <w:sz w:val="82"/>
          <w:szCs w:val="48"/>
        </w:rPr>
        <w:br w:type="page"/>
      </w:r>
    </w:p>
    <w:sdt>
      <w:sdtPr>
        <w:rPr>
          <w:rFonts w:ascii="Times New Roman" w:eastAsiaTheme="minorHAnsi" w:hAnsi="Times New Roman" w:cs="Times New Roman"/>
          <w:b w:val="0"/>
          <w:color w:val="auto"/>
          <w:sz w:val="24"/>
          <w:szCs w:val="22"/>
          <w:lang w:val="en-GB"/>
        </w:rPr>
        <w:id w:val="-49234375"/>
        <w:docPartObj>
          <w:docPartGallery w:val="Table of Contents"/>
          <w:docPartUnique/>
        </w:docPartObj>
      </w:sdtPr>
      <w:sdtEndPr>
        <w:rPr>
          <w:rFonts w:cstheme="minorBidi"/>
          <w:bCs/>
          <w:noProof/>
        </w:rPr>
      </w:sdtEndPr>
      <w:sdtContent>
        <w:p w:rsidR="007E7160" w:rsidRDefault="007E7160" w14:paraId="3365DF3E" w14:textId="77777777" w:rsidRPr="007E7160">
          <w:pPr>
            <w:pStyle w:val="TOCHeading"/>
            <w:rPr>
              <w:rFonts w:ascii="Times New Roman" w:cs="Times New Roman" w:hAnsi="Times New Roman"/>
            </w:rPr>
          </w:pPr>
          <w:r w:rsidRPr="007E7160">
            <w:rPr>
              <w:rFonts w:ascii="Times New Roman" w:cs="Times New Roman" w:hAnsi="Times New Roman"/>
            </w:rPr>
            <w:t>Table of Contents</w:t>
          </w:r>
        </w:p>
        <w:p w:rsidR="00AC0A17" w:rsidRDefault="007E7160" w14:paraId="76883B59" w14:textId="6756B78F">
          <w:pPr>
            <w:pStyle w:val="TOC1"/>
            <w:tabs>
              <w:tab w:val="right" w:leader="dot" w:pos="9016"/>
            </w:tabs>
            <w:rPr>
              <w:noProof/>
              <w:lang w:val="en-US"/>
              <w:rFonts w:ascii="Calibri" w:eastAsiaTheme="minorEastAsia" w:hAnsiTheme="minorHAnsi"/>
              <w:sz w:val="22"/>
            </w:rPr>
          </w:pPr>
          <w:r>
            <w:fldChar w:fldCharType="begin"/>
          </w:r>
          <w:r>
            <w:instrText xml:space="preserve"> TOC \o "1-3" \h \z \u </w:instrText>
          </w:r>
          <w:r>
            <w:fldChar w:fldCharType="separate"/>
          </w:r>
          <w:hyperlink w:anchor="_Toc77717508" w:history="1">
            <w:r w:rsidR="00AC0A17" w:rsidRPr="00E134D1">
              <w:rPr>
                <w:noProof/>
                <w:rStyle w:val="Hyperlink"/>
              </w:rPr>
              <w:t>Introduction</w:t>
            </w:r>
            <w:r w:rsidR="00AC0A17">
              <w:rPr>
                <w:noProof/>
                <w:webHidden/>
              </w:rPr>
              <w:tab/>
            </w:r>
            <w:r w:rsidR="00AC0A17">
              <w:rPr>
                <w:noProof/>
                <w:webHidden/>
              </w:rPr>
              <w:fldChar w:fldCharType="begin"/>
            </w:r>
            <w:r w:rsidR="00AC0A17">
              <w:rPr>
                <w:noProof/>
                <w:webHidden/>
              </w:rPr>
              <w:instrText xml:space="preserve"> PAGEREF _Toc77717508 \h </w:instrText>
            </w:r>
            <w:r w:rsidR="00AC0A17">
              <w:rPr>
                <w:noProof/>
                <w:webHidden/>
              </w:rPr>
            </w:r>
            <w:r w:rsidR="00AC0A17">
              <w:rPr>
                <w:noProof/>
                <w:webHidden/>
              </w:rPr>
              <w:fldChar w:fldCharType="separate"/>
            </w:r>
            <w:r w:rsidR="00AC0A17">
              <w:rPr>
                <w:noProof/>
                <w:webHidden/>
              </w:rPr>
              <w:t>3</w:t>
            </w:r>
            <w:r w:rsidR="00AC0A17">
              <w:rPr>
                <w:noProof/>
                <w:webHidden/>
              </w:rPr>
              <w:fldChar w:fldCharType="end"/>
            </w:r>
          </w:hyperlink>
        </w:p>
        <w:p w:rsidR="00AC0A17" w:rsidRDefault="007958E9" w14:paraId="6359ADA1" w14:textId="0D3DB44A">
          <w:pPr>
            <w:pStyle w:val="TOC1"/>
            <w:tabs>
              <w:tab w:val="right" w:leader="dot" w:pos="9016"/>
            </w:tabs>
            <w:rPr>
              <w:noProof/>
              <w:lang w:val="en-US"/>
              <w:rFonts w:ascii="Calibri" w:eastAsiaTheme="minorEastAsia" w:hAnsiTheme="minorHAnsi"/>
              <w:sz w:val="22"/>
            </w:rPr>
          </w:pPr>
          <w:hyperlink w:anchor="_Toc77717509" w:history="1">
            <w:r w:rsidR="00AC0A17" w:rsidRPr="00E134D1">
              <w:rPr>
                <w:noProof/>
                <w:rStyle w:val="Hyperlink"/>
              </w:rPr>
              <w:t>Answer to the Question No 1 (a)</w:t>
            </w:r>
            <w:r w:rsidR="00AC0A17">
              <w:rPr>
                <w:noProof/>
                <w:webHidden/>
              </w:rPr>
              <w:tab/>
            </w:r>
            <w:r w:rsidR="00AC0A17">
              <w:rPr>
                <w:noProof/>
                <w:webHidden/>
              </w:rPr>
              <w:fldChar w:fldCharType="begin"/>
            </w:r>
            <w:r w:rsidR="00AC0A17">
              <w:rPr>
                <w:noProof/>
                <w:webHidden/>
              </w:rPr>
              <w:instrText xml:space="preserve"> PAGEREF _Toc77717509 \h </w:instrText>
            </w:r>
            <w:r w:rsidR="00AC0A17">
              <w:rPr>
                <w:noProof/>
                <w:webHidden/>
              </w:rPr>
            </w:r>
            <w:r w:rsidR="00AC0A17">
              <w:rPr>
                <w:noProof/>
                <w:webHidden/>
              </w:rPr>
              <w:fldChar w:fldCharType="separate"/>
            </w:r>
            <w:r w:rsidR="00AC0A17">
              <w:rPr>
                <w:noProof/>
                <w:webHidden/>
              </w:rPr>
              <w:t>4</w:t>
            </w:r>
            <w:r w:rsidR="00AC0A17">
              <w:rPr>
                <w:noProof/>
                <w:webHidden/>
              </w:rPr>
              <w:fldChar w:fldCharType="end"/>
            </w:r>
          </w:hyperlink>
        </w:p>
        <w:p w:rsidR="00AC0A17" w:rsidRDefault="007958E9" w14:paraId="0266F3B3" w14:textId="0B5448F8">
          <w:pPr>
            <w:pStyle w:val="TOC2"/>
            <w:tabs>
              <w:tab w:val="right" w:leader="dot" w:pos="9016"/>
            </w:tabs>
            <w:rPr>
              <w:noProof/>
              <w:lang w:val="en-US"/>
              <w:rFonts w:ascii="Calibri" w:eastAsiaTheme="minorEastAsia" w:hAnsiTheme="minorHAnsi"/>
              <w:sz w:val="22"/>
            </w:rPr>
          </w:pPr>
          <w:hyperlink w:anchor="_Toc77717510" w:history="1">
            <w:r w:rsidR="00AC0A17" w:rsidRPr="00E134D1">
              <w:rPr>
                <w:noProof/>
                <w:rStyle w:val="Hyperlink"/>
              </w:rPr>
              <w:t>Profit and Loss Statement &amp; Statement of Financial position of Kedison PLC for the year ended 31 December, 2020</w:t>
            </w:r>
            <w:r w:rsidR="00AC0A17">
              <w:rPr>
                <w:noProof/>
                <w:webHidden/>
              </w:rPr>
              <w:tab/>
            </w:r>
            <w:r w:rsidR="00AC0A17">
              <w:rPr>
                <w:noProof/>
                <w:webHidden/>
              </w:rPr>
              <w:fldChar w:fldCharType="begin"/>
            </w:r>
            <w:r w:rsidR="00AC0A17">
              <w:rPr>
                <w:noProof/>
                <w:webHidden/>
              </w:rPr>
              <w:instrText xml:space="preserve"> PAGEREF _Toc77717510 \h </w:instrText>
            </w:r>
            <w:r w:rsidR="00AC0A17">
              <w:rPr>
                <w:noProof/>
                <w:webHidden/>
              </w:rPr>
            </w:r>
            <w:r w:rsidR="00AC0A17">
              <w:rPr>
                <w:noProof/>
                <w:webHidden/>
              </w:rPr>
              <w:fldChar w:fldCharType="separate"/>
            </w:r>
            <w:r w:rsidR="00AC0A17">
              <w:rPr>
                <w:noProof/>
                <w:webHidden/>
              </w:rPr>
              <w:t>4</w:t>
            </w:r>
            <w:r w:rsidR="00AC0A17">
              <w:rPr>
                <w:noProof/>
                <w:webHidden/>
              </w:rPr>
              <w:fldChar w:fldCharType="end"/>
            </w:r>
          </w:hyperlink>
        </w:p>
        <w:p w:rsidR="00AC0A17" w:rsidRDefault="007958E9" w14:paraId="429FD752" w14:textId="5A44F61F">
          <w:pPr>
            <w:pStyle w:val="TOC1"/>
            <w:tabs>
              <w:tab w:val="right" w:leader="dot" w:pos="9016"/>
            </w:tabs>
            <w:rPr>
              <w:noProof/>
              <w:lang w:val="en-US"/>
              <w:rFonts w:ascii="Calibri" w:eastAsiaTheme="minorEastAsia" w:hAnsiTheme="minorHAnsi"/>
              <w:sz w:val="22"/>
            </w:rPr>
          </w:pPr>
          <w:hyperlink w:anchor="_Toc77717511" w:history="1">
            <w:r w:rsidR="00AC0A17" w:rsidRPr="00E134D1">
              <w:rPr>
                <w:noProof/>
                <w:rStyle w:val="Hyperlink"/>
              </w:rPr>
              <w:t>Answer to the Question No 1 (b)</w:t>
            </w:r>
            <w:r w:rsidR="00AC0A17">
              <w:rPr>
                <w:noProof/>
                <w:webHidden/>
              </w:rPr>
              <w:tab/>
            </w:r>
            <w:r w:rsidR="00AC0A17">
              <w:rPr>
                <w:noProof/>
                <w:webHidden/>
              </w:rPr>
              <w:fldChar w:fldCharType="begin"/>
            </w:r>
            <w:r w:rsidR="00AC0A17">
              <w:rPr>
                <w:noProof/>
                <w:webHidden/>
              </w:rPr>
              <w:instrText xml:space="preserve"> PAGEREF _Toc77717511 \h </w:instrText>
            </w:r>
            <w:r w:rsidR="00AC0A17">
              <w:rPr>
                <w:noProof/>
                <w:webHidden/>
              </w:rPr>
            </w:r>
            <w:r w:rsidR="00AC0A17">
              <w:rPr>
                <w:noProof/>
                <w:webHidden/>
              </w:rPr>
              <w:fldChar w:fldCharType="separate"/>
            </w:r>
            <w:r w:rsidR="00AC0A17">
              <w:rPr>
                <w:noProof/>
                <w:webHidden/>
              </w:rPr>
              <w:t>8</w:t>
            </w:r>
            <w:r w:rsidR="00AC0A17">
              <w:rPr>
                <w:noProof/>
                <w:webHidden/>
              </w:rPr>
              <w:fldChar w:fldCharType="end"/>
            </w:r>
          </w:hyperlink>
        </w:p>
        <w:p w:rsidR="00AC0A17" w:rsidRDefault="007958E9" w14:paraId="09142E99" w14:textId="680D9CEA">
          <w:pPr>
            <w:pStyle w:val="TOC2"/>
            <w:tabs>
              <w:tab w:val="right" w:leader="dot" w:pos="9016"/>
            </w:tabs>
            <w:rPr>
              <w:noProof/>
              <w:lang w:val="en-US"/>
              <w:rFonts w:ascii="Calibri" w:eastAsiaTheme="minorEastAsia" w:hAnsiTheme="minorHAnsi"/>
              <w:sz w:val="22"/>
            </w:rPr>
          </w:pPr>
          <w:hyperlink w:anchor="_Toc77717512" w:history="1">
            <w:r w:rsidR="00AC0A17" w:rsidRPr="00E134D1">
              <w:rPr>
                <w:noProof/>
                <w:rStyle w:val="Hyperlink"/>
              </w:rPr>
              <w:t>Financial Statement position always balance: the reasons behind it</w:t>
            </w:r>
            <w:r w:rsidR="00AC0A17">
              <w:rPr>
                <w:noProof/>
                <w:webHidden/>
              </w:rPr>
              <w:tab/>
            </w:r>
            <w:r w:rsidR="00AC0A17">
              <w:rPr>
                <w:noProof/>
                <w:webHidden/>
              </w:rPr>
              <w:fldChar w:fldCharType="begin"/>
            </w:r>
            <w:r w:rsidR="00AC0A17">
              <w:rPr>
                <w:noProof/>
                <w:webHidden/>
              </w:rPr>
              <w:instrText xml:space="preserve"> PAGEREF _Toc77717512 \h </w:instrText>
            </w:r>
            <w:r w:rsidR="00AC0A17">
              <w:rPr>
                <w:noProof/>
                <w:webHidden/>
              </w:rPr>
            </w:r>
            <w:r w:rsidR="00AC0A17">
              <w:rPr>
                <w:noProof/>
                <w:webHidden/>
              </w:rPr>
              <w:fldChar w:fldCharType="separate"/>
            </w:r>
            <w:r w:rsidR="00AC0A17">
              <w:rPr>
                <w:noProof/>
                <w:webHidden/>
              </w:rPr>
              <w:t>8</w:t>
            </w:r>
            <w:r w:rsidR="00AC0A17">
              <w:rPr>
                <w:noProof/>
                <w:webHidden/>
              </w:rPr>
              <w:fldChar w:fldCharType="end"/>
            </w:r>
          </w:hyperlink>
        </w:p>
        <w:p w:rsidR="00AC0A17" w:rsidRDefault="007958E9" w14:paraId="664C6AD6" w14:textId="5F0E5421">
          <w:pPr>
            <w:pStyle w:val="TOC1"/>
            <w:tabs>
              <w:tab w:val="right" w:leader="dot" w:pos="9016"/>
            </w:tabs>
            <w:rPr>
              <w:noProof/>
              <w:lang w:val="en-US"/>
              <w:rFonts w:ascii="Calibri" w:eastAsiaTheme="minorEastAsia" w:hAnsiTheme="minorHAnsi"/>
              <w:sz w:val="22"/>
            </w:rPr>
          </w:pPr>
          <w:hyperlink w:anchor="_Toc77717513" w:history="1">
            <w:r w:rsidR="00AC0A17" w:rsidRPr="00E134D1">
              <w:rPr>
                <w:noProof/>
                <w:rStyle w:val="Hyperlink"/>
              </w:rPr>
              <w:t>Answer to the Question no 2 (a)</w:t>
            </w:r>
            <w:r w:rsidR="00AC0A17">
              <w:rPr>
                <w:noProof/>
                <w:webHidden/>
              </w:rPr>
              <w:tab/>
            </w:r>
            <w:r w:rsidR="00AC0A17">
              <w:rPr>
                <w:noProof/>
                <w:webHidden/>
              </w:rPr>
              <w:fldChar w:fldCharType="begin"/>
            </w:r>
            <w:r w:rsidR="00AC0A17">
              <w:rPr>
                <w:noProof/>
                <w:webHidden/>
              </w:rPr>
              <w:instrText xml:space="preserve"> PAGEREF _Toc77717513 \h </w:instrText>
            </w:r>
            <w:r w:rsidR="00AC0A17">
              <w:rPr>
                <w:noProof/>
                <w:webHidden/>
              </w:rPr>
            </w:r>
            <w:r w:rsidR="00AC0A17">
              <w:rPr>
                <w:noProof/>
                <w:webHidden/>
              </w:rPr>
              <w:fldChar w:fldCharType="separate"/>
            </w:r>
            <w:r w:rsidR="00AC0A17">
              <w:rPr>
                <w:noProof/>
                <w:webHidden/>
              </w:rPr>
              <w:t>11</w:t>
            </w:r>
            <w:r w:rsidR="00AC0A17">
              <w:rPr>
                <w:noProof/>
                <w:webHidden/>
              </w:rPr>
              <w:fldChar w:fldCharType="end"/>
            </w:r>
          </w:hyperlink>
        </w:p>
        <w:p w:rsidR="00AC0A17" w:rsidRDefault="007958E9" w14:paraId="1CAB89FB" w14:textId="757AD7F7">
          <w:pPr>
            <w:pStyle w:val="TOC2"/>
            <w:tabs>
              <w:tab w:val="right" w:leader="dot" w:pos="9016"/>
            </w:tabs>
            <w:rPr>
              <w:noProof/>
              <w:lang w:val="en-US"/>
              <w:rFonts w:ascii="Calibri" w:eastAsiaTheme="minorEastAsia" w:hAnsiTheme="minorHAnsi"/>
              <w:sz w:val="22"/>
            </w:rPr>
          </w:pPr>
          <w:hyperlink w:anchor="_Toc77717514" w:history="1">
            <w:r w:rsidR="00AC0A17" w:rsidRPr="00E134D1">
              <w:rPr>
                <w:noProof/>
                <w:rStyle w:val="Hyperlink"/>
              </w:rPr>
              <w:t>Calculation of various ratios for the Chocco PLC for the year 2020 &amp;2019: formulas and workings</w:t>
            </w:r>
            <w:r w:rsidR="00AC0A17">
              <w:rPr>
                <w:noProof/>
                <w:webHidden/>
              </w:rPr>
              <w:tab/>
            </w:r>
            <w:r w:rsidR="00AC0A17">
              <w:rPr>
                <w:noProof/>
                <w:webHidden/>
              </w:rPr>
              <w:fldChar w:fldCharType="begin"/>
            </w:r>
            <w:r w:rsidR="00AC0A17">
              <w:rPr>
                <w:noProof/>
                <w:webHidden/>
              </w:rPr>
              <w:instrText xml:space="preserve"> PAGEREF _Toc77717514 \h </w:instrText>
            </w:r>
            <w:r w:rsidR="00AC0A17">
              <w:rPr>
                <w:noProof/>
                <w:webHidden/>
              </w:rPr>
            </w:r>
            <w:r w:rsidR="00AC0A17">
              <w:rPr>
                <w:noProof/>
                <w:webHidden/>
              </w:rPr>
              <w:fldChar w:fldCharType="separate"/>
            </w:r>
            <w:r w:rsidR="00AC0A17">
              <w:rPr>
                <w:noProof/>
                <w:webHidden/>
              </w:rPr>
              <w:t>11</w:t>
            </w:r>
            <w:r w:rsidR="00AC0A17">
              <w:rPr>
                <w:noProof/>
                <w:webHidden/>
              </w:rPr>
              <w:fldChar w:fldCharType="end"/>
            </w:r>
          </w:hyperlink>
        </w:p>
        <w:p w:rsidR="00AC0A17" w:rsidRDefault="007958E9" w14:paraId="7BD92DC8" w14:textId="400D6505">
          <w:pPr>
            <w:pStyle w:val="TOC1"/>
            <w:tabs>
              <w:tab w:val="right" w:leader="dot" w:pos="9016"/>
            </w:tabs>
            <w:rPr>
              <w:noProof/>
              <w:lang w:val="en-US"/>
              <w:rFonts w:ascii="Calibri" w:eastAsiaTheme="minorEastAsia" w:hAnsiTheme="minorHAnsi"/>
              <w:sz w:val="22"/>
            </w:rPr>
          </w:pPr>
          <w:hyperlink w:anchor="_Toc77717515" w:history="1">
            <w:r w:rsidR="00AC0A17" w:rsidRPr="00E134D1">
              <w:rPr>
                <w:noProof/>
                <w:rStyle w:val="Hyperlink"/>
              </w:rPr>
              <w:t>Answer to the Question No 2 (b)</w:t>
            </w:r>
            <w:r w:rsidR="00AC0A17">
              <w:rPr>
                <w:noProof/>
                <w:webHidden/>
              </w:rPr>
              <w:tab/>
            </w:r>
            <w:r w:rsidR="00AC0A17">
              <w:rPr>
                <w:noProof/>
                <w:webHidden/>
              </w:rPr>
              <w:fldChar w:fldCharType="begin"/>
            </w:r>
            <w:r w:rsidR="00AC0A17">
              <w:rPr>
                <w:noProof/>
                <w:webHidden/>
              </w:rPr>
              <w:instrText xml:space="preserve"> PAGEREF _Toc77717515 \h </w:instrText>
            </w:r>
            <w:r w:rsidR="00AC0A17">
              <w:rPr>
                <w:noProof/>
                <w:webHidden/>
              </w:rPr>
            </w:r>
            <w:r w:rsidR="00AC0A17">
              <w:rPr>
                <w:noProof/>
                <w:webHidden/>
              </w:rPr>
              <w:fldChar w:fldCharType="separate"/>
            </w:r>
            <w:r w:rsidR="00AC0A17">
              <w:rPr>
                <w:noProof/>
                <w:webHidden/>
              </w:rPr>
              <w:t>14</w:t>
            </w:r>
            <w:r w:rsidR="00AC0A17">
              <w:rPr>
                <w:noProof/>
                <w:webHidden/>
              </w:rPr>
              <w:fldChar w:fldCharType="end"/>
            </w:r>
          </w:hyperlink>
        </w:p>
        <w:p w:rsidR="00AC0A17" w:rsidRDefault="007958E9" w14:paraId="55BE5C6C" w14:textId="241F633E">
          <w:pPr>
            <w:pStyle w:val="TOC2"/>
            <w:tabs>
              <w:tab w:val="right" w:leader="dot" w:pos="9016"/>
            </w:tabs>
            <w:rPr>
              <w:noProof/>
              <w:lang w:val="en-US"/>
              <w:rFonts w:ascii="Calibri" w:eastAsiaTheme="minorEastAsia" w:hAnsiTheme="minorHAnsi"/>
              <w:sz w:val="22"/>
            </w:rPr>
          </w:pPr>
          <w:hyperlink w:anchor="_Toc77717516" w:history="1">
            <w:r w:rsidR="00AC0A17" w:rsidRPr="00E134D1">
              <w:rPr>
                <w:noProof/>
                <w:rStyle w:val="Hyperlink"/>
              </w:rPr>
              <w:t>Analysing the financial position of the Chocco PLC depending on the Ratio Results</w:t>
            </w:r>
            <w:r w:rsidR="00AC0A17">
              <w:rPr>
                <w:noProof/>
                <w:webHidden/>
              </w:rPr>
              <w:tab/>
            </w:r>
            <w:r w:rsidR="00AC0A17">
              <w:rPr>
                <w:noProof/>
                <w:webHidden/>
              </w:rPr>
              <w:fldChar w:fldCharType="begin"/>
            </w:r>
            <w:r w:rsidR="00AC0A17">
              <w:rPr>
                <w:noProof/>
                <w:webHidden/>
              </w:rPr>
              <w:instrText xml:space="preserve"> PAGEREF _Toc77717516 \h </w:instrText>
            </w:r>
            <w:r w:rsidR="00AC0A17">
              <w:rPr>
                <w:noProof/>
                <w:webHidden/>
              </w:rPr>
            </w:r>
            <w:r w:rsidR="00AC0A17">
              <w:rPr>
                <w:noProof/>
                <w:webHidden/>
              </w:rPr>
              <w:fldChar w:fldCharType="separate"/>
            </w:r>
            <w:r w:rsidR="00AC0A17">
              <w:rPr>
                <w:noProof/>
                <w:webHidden/>
              </w:rPr>
              <w:t>14</w:t>
            </w:r>
            <w:r w:rsidR="00AC0A17">
              <w:rPr>
                <w:noProof/>
                <w:webHidden/>
              </w:rPr>
              <w:fldChar w:fldCharType="end"/>
            </w:r>
          </w:hyperlink>
        </w:p>
        <w:p w:rsidR="00AC0A17" w:rsidRDefault="007958E9" w14:paraId="02EC845D" w14:textId="783B7516">
          <w:pPr>
            <w:pStyle w:val="TOC1"/>
            <w:tabs>
              <w:tab w:val="right" w:leader="dot" w:pos="9016"/>
            </w:tabs>
            <w:rPr>
              <w:noProof/>
              <w:lang w:val="en-US"/>
              <w:rFonts w:ascii="Calibri" w:eastAsiaTheme="minorEastAsia" w:hAnsiTheme="minorHAnsi"/>
              <w:sz w:val="22"/>
            </w:rPr>
          </w:pPr>
          <w:hyperlink w:anchor="_Toc77717517" w:history="1">
            <w:r w:rsidR="00AC0A17" w:rsidRPr="00E134D1">
              <w:rPr>
                <w:noProof/>
                <w:rStyle w:val="Hyperlink"/>
              </w:rPr>
              <w:t>Conclusion</w:t>
            </w:r>
            <w:r w:rsidR="00AC0A17">
              <w:rPr>
                <w:noProof/>
                <w:webHidden/>
              </w:rPr>
              <w:tab/>
            </w:r>
            <w:r w:rsidR="00AC0A17">
              <w:rPr>
                <w:noProof/>
                <w:webHidden/>
              </w:rPr>
              <w:fldChar w:fldCharType="begin"/>
            </w:r>
            <w:r w:rsidR="00AC0A17">
              <w:rPr>
                <w:noProof/>
                <w:webHidden/>
              </w:rPr>
              <w:instrText xml:space="preserve"> PAGEREF _Toc77717517 \h </w:instrText>
            </w:r>
            <w:r w:rsidR="00AC0A17">
              <w:rPr>
                <w:noProof/>
                <w:webHidden/>
              </w:rPr>
            </w:r>
            <w:r w:rsidR="00AC0A17">
              <w:rPr>
                <w:noProof/>
                <w:webHidden/>
              </w:rPr>
              <w:fldChar w:fldCharType="separate"/>
            </w:r>
            <w:r w:rsidR="00AC0A17">
              <w:rPr>
                <w:noProof/>
                <w:webHidden/>
              </w:rPr>
              <w:t>16</w:t>
            </w:r>
            <w:r w:rsidR="00AC0A17">
              <w:rPr>
                <w:noProof/>
                <w:webHidden/>
              </w:rPr>
              <w:fldChar w:fldCharType="end"/>
            </w:r>
          </w:hyperlink>
        </w:p>
        <w:p w:rsidR="00AC0A17" w:rsidRDefault="007958E9" w14:paraId="469E9131" w14:textId="6C9438DC">
          <w:pPr>
            <w:pStyle w:val="TOC1"/>
            <w:tabs>
              <w:tab w:val="right" w:leader="dot" w:pos="9016"/>
            </w:tabs>
            <w:rPr>
              <w:noProof/>
              <w:lang w:val="en-US"/>
              <w:rFonts w:ascii="Calibri" w:eastAsiaTheme="minorEastAsia" w:hAnsiTheme="minorHAnsi"/>
              <w:sz w:val="22"/>
            </w:rPr>
          </w:pPr>
          <w:hyperlink w:anchor="_Toc77717518" w:history="1">
            <w:r w:rsidR="00AC0A17" w:rsidRPr="00E134D1">
              <w:rPr>
                <w:noProof/>
                <w:rStyle w:val="Hyperlink"/>
              </w:rPr>
              <w:t>References</w:t>
            </w:r>
            <w:r w:rsidR="00AC0A17">
              <w:rPr>
                <w:noProof/>
                <w:webHidden/>
              </w:rPr>
              <w:tab/>
            </w:r>
            <w:r w:rsidR="00AC0A17">
              <w:rPr>
                <w:noProof/>
                <w:webHidden/>
              </w:rPr>
              <w:fldChar w:fldCharType="begin"/>
            </w:r>
            <w:r w:rsidR="00AC0A17">
              <w:rPr>
                <w:noProof/>
                <w:webHidden/>
              </w:rPr>
              <w:instrText xml:space="preserve"> PAGEREF _Toc77717518 \h </w:instrText>
            </w:r>
            <w:r w:rsidR="00AC0A17">
              <w:rPr>
                <w:noProof/>
                <w:webHidden/>
              </w:rPr>
            </w:r>
            <w:r w:rsidR="00AC0A17">
              <w:rPr>
                <w:noProof/>
                <w:webHidden/>
              </w:rPr>
              <w:fldChar w:fldCharType="separate"/>
            </w:r>
            <w:r w:rsidR="00AC0A17">
              <w:rPr>
                <w:noProof/>
                <w:webHidden/>
              </w:rPr>
              <w:t>17</w:t>
            </w:r>
            <w:r w:rsidR="00AC0A17">
              <w:rPr>
                <w:noProof/>
                <w:webHidden/>
              </w:rPr>
              <w:fldChar w:fldCharType="end"/>
            </w:r>
          </w:hyperlink>
        </w:p>
        <w:p w:rsidR="007E7160" w:rsidRDefault="007E7160" w14:paraId="7A074574" w14:textId="4C34E17D">
          <w:r>
            <w:rPr>
              <w:bCs/>
              <w:noProof/>
              <w:b/>
            </w:rPr>
            <w:fldChar w:fldCharType="end"/>
          </w:r>
        </w:p>
      </w:sdtContent>
    </w:sdt>
    <w:p w:rsidR="007E7160" w:rsidRDefault="007E7160" w14:paraId="04007465" w14:textId="77777777">
      <w:r>
        <w:br w:type="page"/>
      </w:r>
    </w:p>
    <w:p w:rsidR="00B25C5B" w:rsidRDefault="007E7160" w14:paraId="207E06E8" w14:textId="77777777" w:rsidP="007E7160">
      <w:pPr>
        <w:pStyle w:val="Heading1"/>
        <w:spacing w:line="360" w:lineRule="auto"/>
      </w:pPr>
      <w:bookmarkStart w:id="0" w:name="_Toc77717508"/>
      <w:r>
        <w:t>Introduction</w:t>
        <w:lastRenderedPageBreak/>
      </w:r>
      <w:bookmarkEnd w:id="0"/>
      <w:r>
        <w:t xml:space="preserve"> </w:t>
      </w:r>
    </w:p>
    <w:p w:rsidR="006D0468" w:rsidRDefault="003D6C43" w14:paraId="1DDBBF4F" w14:textId="77777777" w:rsidP="007B32BE">
      <w:pPr>
        <w:jc w:val="both"/>
        <w:spacing w:line="360" w:lineRule="auto"/>
      </w:pPr>
      <w:r>
        <w:t xml:space="preserve">Businesses holds the economy of </w:t>
      </w:r>
      <w:r w:rsidR="007B32BE">
        <w:t>a country. In business, the calculation is needed to find out financial status of the organisation</w:t>
      </w:r>
      <w:r w:rsidR="008C36E5">
        <w:t xml:space="preserve"> </w:t>
      </w:r>
      <w:r w:rsidR="008C36E5" w:rsidRPr="008C36E5">
        <w:t>(Amalina, Amelia and Alfatah, 2019)</w:t>
      </w:r>
      <w:r w:rsidR="007B32BE">
        <w:t>. Accounting fundamentals is the key to understand the base of the accounting principles and procedure which consecutively developed and grew more critical but very helpful with the decision making of an organisation</w:t>
      </w:r>
      <w:r w:rsidR="00925AE5">
        <w:t xml:space="preserve"> </w:t>
      </w:r>
      <w:r w:rsidR="00925AE5" w:rsidRPr="00925AE5">
        <w:t>(Salavei, 2010)</w:t>
      </w:r>
      <w:r w:rsidR="007B32BE">
        <w:t xml:space="preserve">. To understand various financial decision accounting fundamentals is a toolkit in the way of discovering the intentions and notions of financial decisions taken by the management. Balance sheet, income statement, cash flow statement, financial statement and shareholders’ equity all these accounting tools to assess financial condition of an organisation gives information and data to make better decision and continue smooth operation of an organisation. </w:t>
      </w:r>
      <w:r w:rsidR="00294028">
        <w:t xml:space="preserve">In a nut shell, accounting is the systematic process of create entry of financial data, collecting, summarising, analysing and reporting to aid an organisation. </w:t>
      </w:r>
      <w:r w:rsidR="003B11DA">
        <w:t>In this assessment, profit and loss statement of Kedison PLC is presented, reason of the balanced financial position in financial statement is assessed</w:t>
      </w:r>
      <w:r w:rsidR="00925AE5">
        <w:t xml:space="preserve"> </w:t>
      </w:r>
      <w:r w:rsidR="00925AE5" w:rsidRPr="00925AE5">
        <w:t>(Toms and Fleischman, 2015)</w:t>
      </w:r>
      <w:r w:rsidR="003B11DA">
        <w:t xml:space="preserve">. Various ratio calculation such as ROCE, ROE, Earnings per share, Net profit margin, asset turnover, Stock holding day, Debtors collection period, Current ratio, Gearing Ratio and invertor cover </w:t>
      </w:r>
      <w:r w:rsidR="006D0468">
        <w:t>are being done in this assessment. Financial performance and financial position of Chocco plc has been assessed base on the financial data of the organisation.</w:t>
      </w:r>
      <w:r w:rsidR="003B11DA">
        <w:t xml:space="preserve"> </w:t>
      </w:r>
      <w:r w:rsidR="00294028">
        <w:t xml:space="preserve">Accounting can be used in any type of organisation. It is an essential department to run an organisation. The organisation can be core financial organisation or non-financial organisation. But to function properly accounting is a must for every type of organisation. </w:t>
      </w:r>
    </w:p>
    <w:p w:rsidR="006D0468" w:rsidRDefault="006D0468" w14:paraId="1247090D" w14:textId="77777777">
      <w:r>
        <w:br w:type="page"/>
      </w:r>
    </w:p>
    <w:p w:rsidR="007E7160" w:rsidRDefault="00D41053" w14:paraId="4A32F8E9" w14:textId="77777777" w:rsidP="00D41053">
      <w:pPr>
        <w:pStyle w:val="Heading1"/>
        <w:spacing w:line="360" w:lineRule="auto"/>
      </w:pPr>
      <w:bookmarkStart w:id="1" w:name="_Toc77717509"/>
      <w:r>
        <w:t>Answer to the Question No 1 (a)</w:t>
        <w:lastRenderedPageBreak/>
      </w:r>
      <w:bookmarkEnd w:id="1"/>
    </w:p>
    <w:p w:rsidR="00D41053" w:rsidRDefault="00D41053" w14:paraId="2083DD89" w14:textId="77777777" w:rsidP="00D41053">
      <w:pPr>
        <w:pStyle w:val="Heading2"/>
        <w:spacing w:line="360" w:lineRule="auto"/>
      </w:pPr>
      <w:bookmarkStart w:id="2" w:name="_Toc77717510"/>
      <w:r>
        <w:t>Profit and Loss Statement &amp; Statement of Financial position of Kedison PLC for the year ended 31 December, 2020</w:t>
      </w:r>
      <w:bookmarkEnd w:id="2"/>
    </w:p>
    <w:p w:rsidR="00D41053" w:rsidRDefault="00907570" w14:paraId="7DD690E8" w14:textId="77777777" w:rsidP="00DF717B">
      <w:pPr>
        <w:jc w:val="both"/>
        <w:spacing w:line="360" w:lineRule="auto"/>
      </w:pPr>
      <w:r>
        <w:t>Financial information of an organisation presents viable information to take vital decision for the organisation. The information presented in financial statement must be analysed to understand the financial performance of the organisation</w:t>
      </w:r>
      <w:r w:rsidR="00925AE5">
        <w:t xml:space="preserve"> </w:t>
      </w:r>
      <w:r w:rsidR="00925AE5" w:rsidRPr="00925AE5">
        <w:t>(Salavei, 2010)</w:t>
      </w:r>
      <w:r>
        <w:t xml:space="preserve">. The formal financial records and reports of financial activities of the organisation gradually goes through various methods and equations to revel the financial position and performance of the organisation. Profit and Loss statement, financial position assessment statement, income statement, balance sheet of the organisation and owner’s equity statements are the type of financial reports important for the organisation to assess financial performance and position of an organisation. </w:t>
      </w:r>
      <w:r w:rsidR="009F2418">
        <w:t>Income statement is also known as profit and loss statement of the organisation</w:t>
      </w:r>
      <w:r w:rsidR="00925AE5">
        <w:t xml:space="preserve"> </w:t>
      </w:r>
      <w:r w:rsidR="00925AE5" w:rsidRPr="00925AE5">
        <w:t>(Salavei, 2010)</w:t>
      </w:r>
      <w:r w:rsidR="009F2418">
        <w:t>. This financial report calculates the income, expense and profit, loss of the company over a period of time. The profit and loss statement of an organisation provides clear information about the operation of an organisation. The changes in equity is being presented in the equity statement of the financial reports</w:t>
      </w:r>
      <w:r w:rsidR="00925AE5">
        <w:t xml:space="preserve"> </w:t>
      </w:r>
      <w:r w:rsidR="00925AE5" w:rsidRPr="00925AE5">
        <w:t>(Toms and Fleischman, 2015)</w:t>
      </w:r>
      <w:r w:rsidR="009F2418">
        <w:t xml:space="preserve">. All the financial reports of the organisation is essential and functions following few basic accounting principles. These statement variations are intertwined. </w:t>
      </w:r>
      <w:r w:rsidR="002B21FB">
        <w:t>The fundamental accounting equation is also known as balance sheet equation is A = L + OE</w:t>
      </w:r>
      <w:r w:rsidR="00C76C31">
        <w:t xml:space="preserve"> </w:t>
      </w:r>
      <w:r w:rsidR="002B21FB">
        <w:t xml:space="preserve">(Assets = Liabilities + Owner’s Equity). Every transaction occurs in business that effects two of the accounts. The accounting fundamental formula presents a logic that asset of the organisation either depends on its liability or investment of the owners. </w:t>
      </w:r>
    </w:p>
    <w:p w:rsidR="002B21FB" w:rsidRDefault="00DF717B" w14:paraId="2B8200B4" w14:textId="77777777" w:rsidP="00DF717B">
      <w:pPr>
        <w:jc w:val="both"/>
        <w:spacing w:line="360" w:lineRule="auto"/>
      </w:pPr>
      <w:r>
        <w:t>The operating activities and account balances of Kedison PLC for the ended year of 31 December 2020 is accounted for to create a profit and loss statement</w:t>
      </w:r>
      <w:r w:rsidR="008C36E5">
        <w:t xml:space="preserve"> </w:t>
      </w:r>
      <w:r w:rsidR="008C36E5" w:rsidRPr="008C36E5">
        <w:t>(Amalina, Amelia and Alfatah, 2019)</w:t>
      </w:r>
      <w:r>
        <w:t xml:space="preserve">. The profit and loss statement and the essentials for the statement of financial position of Kedison PLC is given below: </w:t>
      </w:r>
    </w:p>
    <w:p w:rsidR="00D72211" w:rsidRDefault="00D72211" w14:paraId="3561CCF0" w14:textId="77777777">
      <w:pPr>
        <w:rPr>
          <w:b/>
          <w:sz w:val="32"/>
        </w:rPr>
      </w:pPr>
      <w:r>
        <w:rPr>
          <w:b/>
          <w:sz w:val="32"/>
        </w:rPr>
        <w:br w:type="page"/>
      </w:r>
    </w:p>
    <w:p w:rsidR="00DF717B" w:rsidRDefault="00DF717B" w14:paraId="03FFDAF9" w14:textId="77777777" w:rsidP="00DF717B" w:rsidRPr="00DF717B">
      <w:pPr>
        <w:jc w:val="center"/>
        <w:spacing w:line="360" w:lineRule="auto"/>
        <w:rPr>
          <w:b/>
          <w:sz w:val="32"/>
        </w:rPr>
      </w:pPr>
      <w:r w:rsidRPr="00DF717B">
        <w:rPr>
          <w:b/>
          <w:sz w:val="32"/>
        </w:rPr>
        <w:t>Income Statement or Profit &amp; Loss statement of Kedison PLC</w:t>
        <w:lastRenderedPageBreak/>
      </w:r>
    </w:p>
    <w:p w:rsidR="00DF717B" w:rsidRDefault="00DF717B" w14:paraId="09803663" w14:textId="77777777" w:rsidP="00DF717B">
      <w:pPr>
        <w:jc w:val="center"/>
        <w:spacing w:line="360" w:lineRule="auto"/>
        <w:rPr>
          <w:b/>
          <w:sz w:val="32"/>
        </w:rPr>
      </w:pPr>
      <w:r w:rsidRPr="00DF717B">
        <w:rPr>
          <w:b/>
          <w:sz w:val="32"/>
        </w:rPr>
        <w:t>For the year ended 31 December 2020</w:t>
      </w:r>
    </w:p>
    <w:tbl>
      <w:tblPr>
        <w:tblW w:w="0" w:type="auto"/>
        <w:tblStyle w:val="GridTable5Dark-Accent3"/>
        <w:tblLook w:val="4A0"/>
      </w:tblPr>
      <w:tblGrid>
        <w:gridCol w:w="3608"/>
        <w:gridCol w:w="1902"/>
        <w:gridCol w:w="1767"/>
        <w:gridCol w:w="1739"/>
      </w:tblGrid>
      <w:tr w14:paraId="5A86B885" w14:textId="77777777" w:rsidR="00DF717B" w:rsidRPr="00126D54" w:rsidTr="00DF71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16B322B9" w14:textId="77777777" w:rsidP="00DF717B" w:rsidRPr="00126D54">
            <w:pPr>
              <w:spacing w:line="360" w:lineRule="auto"/>
              <w:rPr>
                <w:bCs w:val="0"/>
                <w:b w:val="0"/>
                <w:rFonts w:cs="Times New Roman"/>
                <w:szCs w:val="24"/>
              </w:rPr>
            </w:pPr>
            <w:r w:rsidRPr="00126D54">
              <w:rPr>
                <w:rFonts w:cs="Times New Roman"/>
                <w:szCs w:val="24"/>
              </w:rPr>
              <w:t>Particulars</w:t>
            </w:r>
          </w:p>
        </w:tc>
        <w:tc>
          <w:tcPr>
            <w:tcW w:w="1975" w:type="dxa"/>
          </w:tcPr>
          <w:p w:rsidR="00DF717B" w:rsidRDefault="00DF717B" w14:paraId="7147D3DE" w14:textId="77777777" w:rsidP="00DF717B"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c>
          <w:tcPr>
            <w:tcW w:w="1809" w:type="dxa"/>
          </w:tcPr>
          <w:p w:rsidR="00DF717B" w:rsidRDefault="00DF717B" w14:paraId="6B97E27B" w14:textId="77777777" w:rsidP="00DF717B"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c>
          <w:tcPr>
            <w:tcW w:w="1809" w:type="dxa"/>
          </w:tcPr>
          <w:p w:rsidR="00DF717B" w:rsidRDefault="00DF717B" w14:paraId="3CD88C2F" w14:textId="77777777" w:rsidP="00DF717B"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r>
      <w:tr w14:paraId="6C5D8A01"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7D61B129" w14:textId="77777777" w:rsidP="00DF717B" w:rsidRPr="00126D54">
            <w:pPr>
              <w:spacing w:line="360" w:lineRule="auto"/>
              <w:rPr>
                <w:rFonts w:cs="Times New Roman"/>
                <w:szCs w:val="24"/>
              </w:rPr>
            </w:pPr>
            <w:r w:rsidRPr="00126D54">
              <w:rPr>
                <w:color w:val="000000"/>
                <w:rFonts w:cs="Times New Roman"/>
                <w:szCs w:val="24"/>
              </w:rPr>
              <w:t>Sales</w:t>
            </w:r>
          </w:p>
        </w:tc>
        <w:tc>
          <w:tcPr>
            <w:tcW w:w="1975" w:type="dxa"/>
          </w:tcPr>
          <w:p w:rsidR="00DF717B" w:rsidRDefault="00DF717B" w14:paraId="27D672D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color w:val="000000"/>
                <w:rFonts w:cs="Times New Roman"/>
                <w:szCs w:val="24"/>
              </w:rPr>
              <w:t>826,650</w:t>
            </w:r>
          </w:p>
        </w:tc>
        <w:tc>
          <w:tcPr>
            <w:tcW w:w="1809" w:type="dxa"/>
          </w:tcPr>
          <w:p w:rsidR="00DF717B" w:rsidRDefault="00DF717B" w14:paraId="6900B98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5BDA9A47"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r>
      <w:tr w14:paraId="632DA532"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5B843E00" w14:textId="77777777" w:rsidP="00DF717B" w:rsidRPr="00126D54">
            <w:pPr>
              <w:spacing w:line="360" w:lineRule="auto"/>
              <w:rPr>
                <w:color w:val="000000"/>
                <w:rFonts w:cs="Times New Roman"/>
                <w:szCs w:val="24"/>
              </w:rPr>
            </w:pPr>
            <w:r w:rsidRPr="00126D54">
              <w:rPr>
                <w:color w:val="000000"/>
                <w:rFonts w:cs="Times New Roman"/>
                <w:szCs w:val="24"/>
              </w:rPr>
              <w:t xml:space="preserve">Unearned Sales revenue </w:t>
            </w:r>
          </w:p>
        </w:tc>
        <w:tc>
          <w:tcPr>
            <w:tcW w:w="1975" w:type="dxa"/>
          </w:tcPr>
          <w:p w:rsidR="00DF717B" w:rsidRDefault="00DF717B" w14:paraId="7B4B66BB"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r w:rsidRPr="00126D54">
              <w:rPr>
                <w:u w:val="single"/>
                <w:color w:val="000000"/>
                <w:rFonts w:cs="Times New Roman"/>
                <w:szCs w:val="24"/>
              </w:rPr>
              <w:t>980</w:t>
            </w:r>
          </w:p>
        </w:tc>
        <w:tc>
          <w:tcPr>
            <w:tcW w:w="1809" w:type="dxa"/>
          </w:tcPr>
          <w:p w:rsidR="00DF717B" w:rsidRDefault="00DF717B" w14:paraId="16B100E2"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1F7B95C7"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r>
      <w:tr w14:paraId="239A885A"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692747F4" w14:textId="77777777" w:rsidP="00DF717B" w:rsidRPr="00126D54">
            <w:pPr>
              <w:spacing w:line="360" w:lineRule="auto"/>
              <w:rPr>
                <w:rFonts w:cs="Times New Roman"/>
                <w:szCs w:val="24"/>
              </w:rPr>
            </w:pPr>
            <w:r w:rsidRPr="00126D54">
              <w:rPr>
                <w:rFonts w:cs="Times New Roman"/>
                <w:szCs w:val="24"/>
              </w:rPr>
              <w:t>Total Sell</w:t>
            </w:r>
          </w:p>
        </w:tc>
        <w:tc>
          <w:tcPr>
            <w:tcW w:w="1975" w:type="dxa"/>
          </w:tcPr>
          <w:p w:rsidR="00DF717B" w:rsidRDefault="00DF717B" w14:paraId="23003ED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827630</w:t>
            </w:r>
          </w:p>
        </w:tc>
        <w:tc>
          <w:tcPr>
            <w:tcW w:w="1809" w:type="dxa"/>
          </w:tcPr>
          <w:p w:rsidR="00DF717B" w:rsidRDefault="00DF717B" w14:paraId="5B77D130"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1EA10DC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r>
      <w:tr w14:paraId="6EB1CD65"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7A6D9E3D" w14:textId="77777777" w:rsidP="00DF717B" w:rsidRPr="00126D54">
            <w:pPr>
              <w:spacing w:line="360" w:lineRule="auto"/>
              <w:rPr>
                <w:rFonts w:cs="Times New Roman"/>
                <w:szCs w:val="24"/>
              </w:rPr>
            </w:pPr>
            <w:r w:rsidRPr="00126D54">
              <w:rPr>
                <w:color w:val="000000"/>
                <w:rFonts w:cs="Times New Roman"/>
                <w:szCs w:val="24"/>
              </w:rPr>
              <w:t xml:space="preserve">(Sales Cost) </w:t>
            </w:r>
          </w:p>
        </w:tc>
        <w:tc>
          <w:tcPr>
            <w:tcW w:w="1975" w:type="dxa"/>
          </w:tcPr>
          <w:p w:rsidR="00DF717B" w:rsidRDefault="00DF717B" w14:paraId="5A5C772E"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-578,650</w:t>
            </w:r>
          </w:p>
        </w:tc>
        <w:tc>
          <w:tcPr>
            <w:tcW w:w="1809" w:type="dxa"/>
          </w:tcPr>
          <w:p w:rsidR="00DF717B" w:rsidRDefault="00DF717B" w14:paraId="285504A4"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u w:val="single"/>
                <w:color w:val="000000"/>
                <w:rFonts w:cs="Times New Roman"/>
                <w:szCs w:val="24"/>
              </w:rPr>
            </w:pPr>
          </w:p>
        </w:tc>
        <w:tc>
          <w:tcPr>
            <w:tcW w:w="1809" w:type="dxa"/>
          </w:tcPr>
          <w:p w:rsidR="00DF717B" w:rsidRDefault="00DF717B" w14:paraId="609FD4C1"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u w:val="single"/>
                <w:color w:val="000000"/>
                <w:rFonts w:cs="Times New Roman"/>
                <w:szCs w:val="24"/>
              </w:rPr>
            </w:pPr>
          </w:p>
        </w:tc>
      </w:tr>
      <w:tr w14:paraId="227B2198"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3621A15D" w14:textId="77777777" w:rsidP="00DF717B" w:rsidRPr="00126D54">
            <w:pPr>
              <w:spacing w:line="360" w:lineRule="auto"/>
              <w:rPr>
                <w:rFonts w:cs="Times New Roman"/>
                <w:szCs w:val="24"/>
              </w:rPr>
            </w:pPr>
            <w:r w:rsidRPr="00126D54">
              <w:rPr>
                <w:color w:val="000000"/>
                <w:rFonts w:cs="Times New Roman"/>
                <w:szCs w:val="24"/>
              </w:rPr>
              <w:t xml:space="preserve">Gross Profit </w:t>
            </w:r>
          </w:p>
        </w:tc>
        <w:tc>
          <w:tcPr>
            <w:tcW w:w="1975" w:type="dxa"/>
          </w:tcPr>
          <w:p w:rsidR="00DF717B" w:rsidRDefault="00DF717B" w14:paraId="4338486C"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9" w:type="dxa"/>
          </w:tcPr>
          <w:p w:rsidR="00DF717B" w:rsidRDefault="00DF717B" w14:paraId="613F36B1"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r w:rsidRPr="00126D54">
              <w:rPr>
                <w:color w:val="000000"/>
                <w:rFonts w:cs="Times New Roman"/>
                <w:szCs w:val="24"/>
              </w:rPr>
              <w:t>248,980</w:t>
            </w:r>
          </w:p>
        </w:tc>
        <w:tc>
          <w:tcPr>
            <w:tcW w:w="1809" w:type="dxa"/>
          </w:tcPr>
          <w:p w:rsidR="00DF717B" w:rsidRDefault="00DF717B" w14:paraId="51220DE0"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665BBA32"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68C4882D" w14:textId="77777777" w:rsidP="00DF717B" w:rsidRPr="00126D54">
            <w:pPr>
              <w:spacing w:line="360" w:lineRule="auto"/>
              <w:rPr>
                <w:rFonts w:cs="Times New Roman"/>
                <w:szCs w:val="24"/>
              </w:rPr>
            </w:pPr>
            <w:r w:rsidRPr="00126D54">
              <w:rPr>
                <w:color w:val="000000"/>
                <w:rFonts w:cs="Times New Roman"/>
                <w:szCs w:val="24"/>
              </w:rPr>
              <w:t>Administrative expenses</w:t>
            </w:r>
          </w:p>
        </w:tc>
        <w:tc>
          <w:tcPr>
            <w:tcW w:w="1975" w:type="dxa"/>
          </w:tcPr>
          <w:p w:rsidR="00DF717B" w:rsidRDefault="00DF717B" w14:paraId="56A91CE2"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-30,000</w:t>
            </w:r>
          </w:p>
        </w:tc>
        <w:tc>
          <w:tcPr>
            <w:tcW w:w="1809" w:type="dxa"/>
          </w:tcPr>
          <w:p w:rsidR="00DF717B" w:rsidRDefault="00DF717B" w14:paraId="30C5F194"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34D18EB0"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r>
      <w:tr w14:paraId="5A282F41"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6802FC35" w14:textId="77777777" w:rsidP="00DF717B" w:rsidRPr="00126D54">
            <w:pPr>
              <w:spacing w:line="360" w:lineRule="auto"/>
              <w:rPr>
                <w:rFonts w:cs="Times New Roman"/>
                <w:szCs w:val="24"/>
              </w:rPr>
            </w:pPr>
            <w:r w:rsidRPr="00126D54">
              <w:rPr>
                <w:color w:val="000000"/>
                <w:rFonts w:cs="Times New Roman"/>
                <w:szCs w:val="24"/>
              </w:rPr>
              <w:t>Directors remuneration</w:t>
            </w:r>
          </w:p>
        </w:tc>
        <w:tc>
          <w:tcPr>
            <w:tcW w:w="1975" w:type="dxa"/>
          </w:tcPr>
          <w:p w:rsidR="00DF717B" w:rsidRDefault="00DF717B" w14:paraId="55927A9C"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color w:val="000000"/>
                <w:rFonts w:cs="Times New Roman"/>
                <w:szCs w:val="24"/>
              </w:rPr>
              <w:t>-5,000</w:t>
            </w:r>
          </w:p>
        </w:tc>
        <w:tc>
          <w:tcPr>
            <w:tcW w:w="1809" w:type="dxa"/>
          </w:tcPr>
          <w:p w:rsidR="00DF717B" w:rsidRDefault="00DF717B" w14:paraId="6F768816"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314FB6E5"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r>
      <w:tr w14:paraId="4C4F8998"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52A9B611" w14:textId="77777777" w:rsidP="00DF717B" w:rsidRPr="00126D54">
            <w:pPr>
              <w:spacing w:line="360" w:lineRule="auto"/>
              <w:rPr>
                <w:rFonts w:cs="Times New Roman"/>
                <w:szCs w:val="24"/>
              </w:rPr>
            </w:pPr>
            <w:r w:rsidRPr="00126D54">
              <w:rPr>
                <w:color w:val="000000"/>
                <w:rFonts w:cs="Times New Roman"/>
                <w:szCs w:val="24"/>
              </w:rPr>
              <w:t>Distribution costs</w:t>
            </w:r>
          </w:p>
        </w:tc>
        <w:tc>
          <w:tcPr>
            <w:tcW w:w="1975" w:type="dxa"/>
          </w:tcPr>
          <w:p w:rsidR="00DF717B" w:rsidRDefault="00DF717B" w14:paraId="53BA81C4"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-28,000</w:t>
            </w:r>
          </w:p>
        </w:tc>
        <w:tc>
          <w:tcPr>
            <w:tcW w:w="1809" w:type="dxa"/>
          </w:tcPr>
          <w:p w:rsidR="00DF717B" w:rsidRDefault="00DF717B" w14:paraId="35112301"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6D78BF4B"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r>
      <w:tr w14:paraId="097DEBBF"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225E750C" w14:textId="77777777" w:rsidP="00DF717B" w:rsidRPr="00126D54">
            <w:pPr>
              <w:spacing w:line="360" w:lineRule="auto"/>
              <w:rPr>
                <w:rFonts w:cs="Times New Roman"/>
                <w:szCs w:val="24"/>
              </w:rPr>
            </w:pPr>
            <w:r w:rsidRPr="00126D54">
              <w:rPr>
                <w:color w:val="000000"/>
                <w:rFonts w:cs="Times New Roman"/>
                <w:szCs w:val="24"/>
              </w:rPr>
              <w:t>Preference dividend paid</w:t>
            </w:r>
          </w:p>
        </w:tc>
        <w:tc>
          <w:tcPr>
            <w:tcW w:w="1975" w:type="dxa"/>
          </w:tcPr>
          <w:p w:rsidR="00DF717B" w:rsidRDefault="00DF717B" w14:paraId="1CBD0542"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color w:val="000000"/>
                <w:rFonts w:cs="Times New Roman"/>
                <w:szCs w:val="24"/>
              </w:rPr>
              <w:t>-30,000</w:t>
            </w:r>
          </w:p>
        </w:tc>
        <w:tc>
          <w:tcPr>
            <w:tcW w:w="1809" w:type="dxa"/>
          </w:tcPr>
          <w:p w:rsidR="00DF717B" w:rsidRDefault="00DF717B" w14:paraId="1A7F7BC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27BC9A73"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r>
      <w:tr w14:paraId="4B6BD115"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3EC9BA2E" w14:textId="77777777" w:rsidP="00DF717B" w:rsidRPr="00126D54">
            <w:pPr>
              <w:spacing w:line="360" w:lineRule="auto"/>
              <w:rPr>
                <w:rFonts w:cs="Times New Roman"/>
                <w:szCs w:val="24"/>
              </w:rPr>
            </w:pPr>
            <w:r w:rsidRPr="00126D54">
              <w:rPr>
                <w:color w:val="000000"/>
                <w:rFonts w:cs="Times New Roman"/>
                <w:szCs w:val="24"/>
              </w:rPr>
              <w:t>Interest paid</w:t>
            </w:r>
          </w:p>
        </w:tc>
        <w:tc>
          <w:tcPr>
            <w:tcW w:w="1975" w:type="dxa"/>
          </w:tcPr>
          <w:p w:rsidR="00DF717B" w:rsidRDefault="00DF717B" w14:paraId="5BF84E9A"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-2,000</w:t>
            </w:r>
          </w:p>
        </w:tc>
        <w:tc>
          <w:tcPr>
            <w:tcW w:w="1809" w:type="dxa"/>
          </w:tcPr>
          <w:p w:rsidR="00DF717B" w:rsidRDefault="00DF717B" w14:paraId="5FEC4641"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0650236D"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r>
      <w:tr w14:paraId="673486A7"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0240ED39" w14:textId="77777777" w:rsidP="00DF717B" w:rsidRPr="00126D54">
            <w:pPr>
              <w:spacing w:line="360" w:lineRule="auto"/>
              <w:rPr>
                <w:rFonts w:cs="Times New Roman"/>
                <w:szCs w:val="24"/>
              </w:rPr>
            </w:pPr>
            <w:r w:rsidRPr="00126D54">
              <w:rPr>
                <w:color w:val="000000"/>
                <w:rFonts w:cs="Times New Roman"/>
                <w:szCs w:val="24"/>
              </w:rPr>
              <w:t xml:space="preserve">Salesman commission </w:t>
            </w:r>
          </w:p>
        </w:tc>
        <w:tc>
          <w:tcPr>
            <w:tcW w:w="1975" w:type="dxa"/>
          </w:tcPr>
          <w:p w:rsidR="00DF717B" w:rsidRDefault="00DF717B" w14:paraId="0FD947FA"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color w:val="000000"/>
                <w:rFonts w:cs="Times New Roman"/>
                <w:szCs w:val="24"/>
              </w:rPr>
              <w:t>-3,000</w:t>
            </w:r>
          </w:p>
        </w:tc>
        <w:tc>
          <w:tcPr>
            <w:tcW w:w="1809" w:type="dxa"/>
          </w:tcPr>
          <w:p w:rsidR="00DF717B" w:rsidRDefault="00DF717B" w14:paraId="1DAAF201"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4212D2FA"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color w:val="000000"/>
                <w:rFonts w:cs="Times New Roman"/>
                <w:szCs w:val="24"/>
              </w:rPr>
            </w:pPr>
          </w:p>
        </w:tc>
      </w:tr>
      <w:tr w14:paraId="0FD97772"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651E9998" w14:textId="77777777" w:rsidP="00DF717B" w:rsidRPr="00126D54">
            <w:pPr>
              <w:spacing w:line="360" w:lineRule="auto"/>
              <w:rPr>
                <w:rFonts w:cs="Times New Roman"/>
                <w:szCs w:val="24"/>
              </w:rPr>
            </w:pPr>
            <w:r w:rsidRPr="00126D54">
              <w:rPr>
                <w:color w:val="000000"/>
                <w:rFonts w:cs="Times New Roman"/>
                <w:szCs w:val="24"/>
              </w:rPr>
              <w:t>Interest on debentures</w:t>
            </w:r>
          </w:p>
        </w:tc>
        <w:tc>
          <w:tcPr>
            <w:tcW w:w="1975" w:type="dxa"/>
          </w:tcPr>
          <w:p w:rsidR="00DF717B" w:rsidRDefault="00DF717B" w14:paraId="61F74FC2"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-4,000</w:t>
            </w:r>
          </w:p>
        </w:tc>
        <w:tc>
          <w:tcPr>
            <w:tcW w:w="1809" w:type="dxa"/>
          </w:tcPr>
          <w:p w:rsidR="00DF717B" w:rsidRDefault="00DF717B" w14:paraId="67BBA2C3"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c>
          <w:tcPr>
            <w:tcW w:w="1809" w:type="dxa"/>
          </w:tcPr>
          <w:p w:rsidR="00DF717B" w:rsidRDefault="00DF717B" w14:paraId="245FF227"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p>
        </w:tc>
      </w:tr>
      <w:tr w14:paraId="0B0CF519"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24C80983" w14:textId="77777777" w:rsidP="00DF717B" w:rsidRPr="00126D54">
            <w:pPr>
              <w:spacing w:line="360" w:lineRule="auto"/>
              <w:rPr>
                <w:rFonts w:cs="Times New Roman"/>
                <w:szCs w:val="24"/>
              </w:rPr>
            </w:pPr>
            <w:r w:rsidRPr="00126D54">
              <w:rPr>
                <w:color w:val="000000"/>
                <w:rFonts w:cs="Times New Roman"/>
                <w:szCs w:val="24"/>
              </w:rPr>
              <w:t>Other Expenses</w:t>
            </w:r>
          </w:p>
        </w:tc>
        <w:tc>
          <w:tcPr>
            <w:tcW w:w="1975" w:type="dxa"/>
          </w:tcPr>
          <w:p w:rsidR="00DF717B" w:rsidRDefault="00DF717B" w14:paraId="2921A9CD"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9" w:type="dxa"/>
          </w:tcPr>
          <w:tbl>
            <w:tblPr>
              <w:tblW w:w="960" w:type="dxa"/>
              <w:tblLook w:val="4A0"/>
            </w:tblPr>
            <w:tblGrid>
              <w:gridCol w:w="996"/>
            </w:tblGrid>
            <w:tr w14:paraId="2D66EE43" w14:textId="77777777" w:rsidR="00DF717B" w:rsidRPr="00126D54" w:rsidTr="00B25C5B">
              <w:trPr>
                <w:trHeight w:val="288"/>
              </w:trPr>
              <w:tc>
                <w:tcPr>
                  <w:noWrap/>
                  <w:hideMark/>
                  <w:tcBorders>
                    <w:top w:val="nil" w:sz="0" w:color="auto" w:space="0"/>
                    <w:bottom w:val="nil" w:sz="0" w:color="auto" w:space="0"/>
                    <w:left w:val="nil" w:sz="0" w:color="auto" w:space="0"/>
                    <w:right w:val="nil" w:sz="0" w:color="auto" w:space="0"/>
                  </w:tcBorders>
                  <w:shd w:fill="auto" w:color="auto" w:val="clear"/>
                  <w:vAlign w:val="bottom"/>
                  <w:tcW w:w="960" w:type="dxa"/>
                </w:tcPr>
                <w:p w:rsidR="00DF717B" w:rsidRDefault="00DF717B" w14:paraId="0B7BF4B1" w14:textId="77777777" w:rsidP="00DF717B" w:rsidRPr="00126D54">
                  <w:pPr>
                    <w:spacing w:line="360" w:lineRule="auto"/>
                    <w:rPr>
                      <w:u w:val="single"/>
                      <w:color w:val="000000"/>
                      <w:rFonts w:cs="Times New Roman" w:eastAsia="Times New Roman"/>
                      <w:szCs w:val="24"/>
                    </w:rPr>
                  </w:pPr>
                  <w:r w:rsidRPr="00126D54">
                    <w:rPr>
                      <w:u w:val="single"/>
                      <w:color w:val="000000"/>
                      <w:rFonts w:cs="Times New Roman" w:eastAsia="Times New Roman"/>
                      <w:szCs w:val="24"/>
                    </w:rPr>
                    <w:t>102,000</w:t>
                  </w:r>
                </w:p>
              </w:tc>
            </w:tr>
          </w:tbl>
          <w:p w:rsidR="00DF717B" w:rsidRDefault="00DF717B" w14:paraId="60CF5083"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9" w:type="dxa"/>
          </w:tcPr>
          <w:p w:rsidR="00DF717B" w:rsidRDefault="00DF717B" w14:paraId="0C509912"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42ECF403"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0B238458" w14:textId="77777777" w:rsidP="00DF717B" w:rsidRPr="00126D54">
            <w:pPr>
              <w:spacing w:line="360" w:lineRule="auto"/>
              <w:rPr>
                <w:rFonts w:cs="Times New Roman"/>
                <w:szCs w:val="24"/>
              </w:rPr>
            </w:pPr>
            <w:r w:rsidRPr="00126D54">
              <w:rPr>
                <w:color w:val="000000"/>
                <w:rFonts w:cs="Times New Roman"/>
                <w:szCs w:val="24"/>
              </w:rPr>
              <w:t>Profit/(loss) before taxation</w:t>
            </w:r>
          </w:p>
        </w:tc>
        <w:tc>
          <w:tcPr>
            <w:tcW w:w="1975" w:type="dxa"/>
          </w:tcPr>
          <w:p w:rsidR="00DF717B" w:rsidRDefault="00DF717B" w14:paraId="6C98E9A6"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9" w:type="dxa"/>
          </w:tcPr>
          <w:tbl>
            <w:tblPr>
              <w:tblW w:w="960" w:type="dxa"/>
              <w:tblLook w:val="4A0"/>
            </w:tblPr>
            <w:tblGrid>
              <w:gridCol w:w="996"/>
            </w:tblGrid>
            <w:tr w14:paraId="15C962E4" w14:textId="77777777" w:rsidR="00DF717B" w:rsidRPr="00126D54" w:rsidTr="00B25C5B">
              <w:trPr>
                <w:trHeight w:val="288"/>
              </w:trPr>
              <w:tc>
                <w:tcPr>
                  <w:noWrap/>
                  <w:hideMark/>
                  <w:tcBorders>
                    <w:top w:val="nil" w:sz="0" w:color="auto" w:space="0"/>
                    <w:bottom w:val="nil" w:sz="0" w:color="auto" w:space="0"/>
                    <w:left w:val="nil" w:sz="0" w:color="auto" w:space="0"/>
                    <w:right w:val="nil" w:sz="0" w:color="auto" w:space="0"/>
                  </w:tcBorders>
                  <w:shd w:fill="auto" w:color="auto" w:val="clear"/>
                  <w:vAlign w:val="bottom"/>
                  <w:tcW w:w="960" w:type="dxa"/>
                </w:tcPr>
                <w:p w:rsidR="00DF717B" w:rsidRDefault="00DF717B" w14:paraId="414882A9" w14:textId="77777777" w:rsidP="00DF717B" w:rsidRPr="00126D54">
                  <w:pPr>
                    <w:spacing w:line="360" w:lineRule="auto"/>
                    <w:rPr>
                      <w:color w:val="000000"/>
                      <w:rFonts w:cs="Times New Roman" w:eastAsia="Times New Roman"/>
                      <w:szCs w:val="24"/>
                    </w:rPr>
                  </w:pPr>
                  <w:r w:rsidRPr="00126D54">
                    <w:rPr>
                      <w:color w:val="000000"/>
                      <w:rFonts w:cs="Times New Roman" w:eastAsia="Times New Roman"/>
                      <w:szCs w:val="24"/>
                    </w:rPr>
                    <w:t>146,980</w:t>
                  </w:r>
                </w:p>
              </w:tc>
            </w:tr>
          </w:tbl>
          <w:p w:rsidR="00DF717B" w:rsidRDefault="00DF717B" w14:paraId="69E381F8"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9" w:type="dxa"/>
          </w:tcPr>
          <w:p w:rsidR="00DF717B" w:rsidRDefault="00DF717B" w14:paraId="57FDE953"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38CD3D30" w14:textId="77777777" w:rsidR="00DF717B" w:rsidRPr="00126D54" w:rsidTr="00DF71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1759EF49" w14:textId="77777777" w:rsidP="00DF717B" w:rsidRPr="00126D54">
            <w:pPr>
              <w:spacing w:line="360" w:lineRule="auto"/>
              <w:rPr>
                <w:color w:val="000000"/>
                <w:rFonts w:cs="Times New Roman"/>
                <w:szCs w:val="24"/>
              </w:rPr>
            </w:pPr>
            <w:r w:rsidRPr="00126D54">
              <w:rPr>
                <w:color w:val="000000"/>
                <w:rFonts w:cs="Times New Roman"/>
                <w:szCs w:val="24"/>
              </w:rPr>
              <w:t>Corporation Tax</w:t>
            </w:r>
          </w:p>
        </w:tc>
        <w:tc>
          <w:tcPr>
            <w:tcW w:w="1975" w:type="dxa"/>
          </w:tcPr>
          <w:p w:rsidR="00DF717B" w:rsidRDefault="00DF717B" w14:paraId="703D6EFA"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9" w:type="dxa"/>
          </w:tcPr>
          <w:tbl>
            <w:tblPr>
              <w:tblW w:w="960" w:type="dxa"/>
              <w:tblLook w:val="4A0"/>
            </w:tblPr>
            <w:tblGrid>
              <w:gridCol w:w="1036"/>
            </w:tblGrid>
            <w:tr w14:paraId="02C3FBDE" w14:textId="77777777" w:rsidR="00DF717B" w:rsidRPr="00126D54" w:rsidTr="00B25C5B">
              <w:trPr>
                <w:trHeight w:val="288"/>
              </w:trPr>
              <w:tc>
                <w:tcPr>
                  <w:noWrap/>
                  <w:hideMark/>
                  <w:tcBorders>
                    <w:top w:val="nil" w:sz="0" w:color="auto" w:space="0"/>
                    <w:bottom w:val="nil" w:sz="0" w:color="auto" w:space="0"/>
                    <w:left w:val="nil" w:sz="0" w:color="auto" w:space="0"/>
                    <w:right w:val="nil" w:sz="0" w:color="auto" w:space="0"/>
                  </w:tcBorders>
                  <w:shd w:fill="auto" w:color="auto" w:val="clear"/>
                  <w:vAlign w:val="bottom"/>
                  <w:tcW w:w="960" w:type="dxa"/>
                </w:tcPr>
                <w:p w:rsidR="00DF717B" w:rsidRDefault="00DF717B" w14:paraId="7FD75425" w14:textId="77777777" w:rsidP="00DF717B" w:rsidRPr="00126D54">
                  <w:pPr>
                    <w:spacing w:line="360" w:lineRule="auto"/>
                    <w:rPr>
                      <w:u w:val="single"/>
                      <w:color w:val="000000"/>
                      <w:rFonts w:cs="Times New Roman" w:eastAsia="Times New Roman"/>
                      <w:szCs w:val="24"/>
                    </w:rPr>
                  </w:pPr>
                  <w:r w:rsidRPr="00126D54">
                    <w:rPr>
                      <w:u w:val="single"/>
                      <w:color w:val="000000"/>
                      <w:rFonts w:cs="Times New Roman" w:eastAsia="Times New Roman"/>
                      <w:szCs w:val="24"/>
                    </w:rPr>
                    <w:t>(68,000)</w:t>
                  </w:r>
                </w:p>
              </w:tc>
            </w:tr>
          </w:tbl>
          <w:p w:rsidR="00DF717B" w:rsidRDefault="00DF717B" w14:paraId="33A220D5"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9" w:type="dxa"/>
          </w:tcPr>
          <w:p w:rsidR="00DF717B" w:rsidRDefault="00DF717B" w14:paraId="6DD25329" w14:textId="77777777" w:rsidP="00DF717B"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01CDC1C6" w14:textId="77777777" w:rsidR="00DF717B" w:rsidRPr="00126D54" w:rsidTr="00DF717B">
        <w:tc>
          <w:tcPr>
            <w:cnfStyle w:val="001000000000" w:firstRow="0" w:lastRow="0" w:firstColumn="1" w:lastColumn="0" w:oddVBand="0" w:evenVBand="0" w:oddHBand="0" w:evenHBand="0" w:firstRowFirstColumn="0" w:firstRowLastColumn="0" w:lastRowFirstColumn="0" w:lastRowLastColumn="0"/>
            <w:tcW w:w="3757" w:type="dxa"/>
          </w:tcPr>
          <w:p w:rsidR="00DF717B" w:rsidRDefault="00DF717B" w14:paraId="34B1267E" w14:textId="77777777" w:rsidP="00DF717B" w:rsidRPr="00126D54">
            <w:pPr>
              <w:spacing w:line="360" w:lineRule="auto"/>
              <w:rPr>
                <w:bCs w:val="0"/>
                <w:b w:val="0"/>
                <w:color w:val="000000"/>
                <w:rFonts w:cs="Times New Roman"/>
                <w:szCs w:val="24"/>
              </w:rPr>
            </w:pPr>
            <w:r w:rsidRPr="00126D54">
              <w:rPr>
                <w:color w:val="000000"/>
                <w:rFonts w:cs="Times New Roman"/>
                <w:szCs w:val="24"/>
              </w:rPr>
              <w:t>Profit for the year</w:t>
            </w:r>
          </w:p>
        </w:tc>
        <w:tc>
          <w:tcPr>
            <w:tcW w:w="1975" w:type="dxa"/>
          </w:tcPr>
          <w:p w:rsidR="00DF717B" w:rsidRDefault="00DF717B" w14:paraId="0B1E7144"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9" w:type="dxa"/>
          </w:tcPr>
          <w:p w:rsidR="00DF717B" w:rsidRDefault="00DF717B" w14:paraId="29EBE7BD"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9" w:type="dxa"/>
          </w:tcPr>
          <w:p w:rsidR="00DF717B" w:rsidRDefault="00DF717B" w14:paraId="5A2613AD" w14:textId="77777777" w:rsidP="00DF717B" w:rsidRPr="00126D54">
            <w:pPr>
              <w:cnfStyle w:val="000000000000" w:firstRow="0" w:lastRow="0" w:firstColumn="0" w:lastColumn="0" w:oddVBand="0" w:evenVBand="0" w:oddHBand="0" w:evenHBand="0" w:firstRowFirstColumn="0" w:firstRowLastColumn="0" w:lastRowFirstColumn="0" w:lastRowLastColumn="0"/>
              <w:spacing w:line="360" w:lineRule="auto"/>
              <w:rPr>
                <w:u w:val="double"/>
                <w:color w:val="000000"/>
                <w:rFonts w:cs="Times New Roman"/>
                <w:szCs w:val="24"/>
              </w:rPr>
            </w:pPr>
            <w:r w:rsidRPr="00126D54">
              <w:rPr>
                <w:u w:val="double"/>
                <w:color w:val="000000"/>
                <w:rFonts w:cs="Times New Roman"/>
                <w:szCs w:val="24"/>
              </w:rPr>
              <w:t>78,980</w:t>
            </w:r>
          </w:p>
        </w:tc>
      </w:tr>
    </w:tbl>
    <w:p w:rsidR="00DF717B" w:rsidRDefault="00DF717B" w14:paraId="4D8F67F3" w14:textId="77777777" w:rsidP="00DF717B"/>
    <w:p w:rsidR="00DF717B" w:rsidRDefault="00B24D26" w14:paraId="1193B6C4" w14:textId="77777777" w:rsidP="00720AD7">
      <w:pPr>
        <w:jc w:val="both"/>
        <w:spacing w:line="360" w:lineRule="auto"/>
      </w:pPr>
      <w:r>
        <w:t xml:space="preserve">In the profit and loss statement of Kedison PLC Gross profit of the organisation is </w:t>
      </w:r>
      <w:r>
        <w:rPr>
          <w:rFonts w:cs="Times New Roman"/>
        </w:rPr>
        <w:t>£</w:t>
      </w:r>
      <w:r>
        <w:t xml:space="preserve">248,980 and the yearend profit of the company is </w:t>
      </w:r>
      <w:r>
        <w:rPr>
          <w:rFonts w:cs="Times New Roman"/>
        </w:rPr>
        <w:t>£</w:t>
      </w:r>
      <w:r>
        <w:t xml:space="preserve">78,980. </w:t>
      </w:r>
    </w:p>
    <w:p w:rsidR="00720AD7" w:rsidRDefault="00B24D26" w14:paraId="6AD72D61" w14:textId="77777777" w:rsidP="00720AD7">
      <w:pPr>
        <w:jc w:val="both"/>
        <w:spacing w:line="360" w:lineRule="auto"/>
      </w:pPr>
      <w:r>
        <w:t xml:space="preserve">A financial statement that reports the fundamental </w:t>
      </w:r>
      <w:r w:rsidR="00720AD7">
        <w:t>accounting equation elements is known as the balance sheet of the organisation</w:t>
      </w:r>
      <w:r w:rsidR="008C36E5">
        <w:t xml:space="preserve"> </w:t>
      </w:r>
      <w:r w:rsidR="008C36E5" w:rsidRPr="008C36E5">
        <w:t>(Amalina, Amelia and Alfatah, 2019)</w:t>
      </w:r>
      <w:r w:rsidR="00720AD7">
        <w:t>. The balance sheet of the company showcases the assets, liabilities and the shareholder’s equity. The balance Sheet of the Kedison PLC for the 31 December 2020 is as follows:</w:t>
      </w:r>
    </w:p>
    <w:p w:rsidR="00D72211" w:rsidRDefault="00D72211" w14:paraId="5BF4DA92" w14:textId="77777777">
      <w:pPr>
        <w:rPr>
          <w:b/>
          <w:sz w:val="32"/>
        </w:rPr>
      </w:pPr>
      <w:r>
        <w:rPr>
          <w:b/>
          <w:sz w:val="32"/>
        </w:rPr>
        <w:br w:type="page"/>
      </w:r>
    </w:p>
    <w:p w:rsidR="00720AD7" w:rsidRDefault="00720AD7" w14:paraId="5B720873" w14:textId="77777777" w:rsidP="00720AD7" w:rsidRPr="00720AD7">
      <w:pPr>
        <w:jc w:val="center"/>
        <w:spacing w:line="360" w:lineRule="auto"/>
        <w:rPr>
          <w:b/>
          <w:sz w:val="32"/>
        </w:rPr>
      </w:pPr>
      <w:r w:rsidRPr="00720AD7">
        <w:rPr>
          <w:b/>
          <w:sz w:val="32"/>
        </w:rPr>
        <w:t>Balance Sheet of Kedison PLC</w:t>
        <w:lastRenderedPageBreak/>
      </w:r>
    </w:p>
    <w:p w:rsidR="00720AD7" w:rsidRDefault="00720AD7" w14:paraId="40BB15D2" w14:textId="77777777" w:rsidP="00720AD7">
      <w:pPr>
        <w:jc w:val="center"/>
        <w:spacing w:line="360" w:lineRule="auto"/>
        <w:rPr>
          <w:b/>
          <w:sz w:val="32"/>
        </w:rPr>
      </w:pPr>
      <w:r w:rsidRPr="00720AD7">
        <w:rPr>
          <w:b/>
          <w:sz w:val="32"/>
        </w:rPr>
        <w:t>For the year ended 31 December 2020</w:t>
      </w:r>
    </w:p>
    <w:tbl>
      <w:tblPr>
        <w:tblW w:w="0" w:type="auto"/>
        <w:tblStyle w:val="GridTable5Dark-Accent1"/>
        <w:tblLook w:val="4A0"/>
      </w:tblPr>
      <w:tblGrid>
        <w:gridCol w:w="3607"/>
        <w:gridCol w:w="1914"/>
        <w:gridCol w:w="1756"/>
        <w:gridCol w:w="1739"/>
      </w:tblGrid>
      <w:tr w14:paraId="7523330E" w14:textId="77777777" w:rsidR="00720AD7" w:rsidRPr="00126D54" w:rsidTr="00720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6440DE4C" w14:textId="77777777" w:rsidP="00720AD7" w:rsidRPr="00126D54">
            <w:pPr>
              <w:spacing w:line="360" w:lineRule="auto"/>
              <w:rPr>
                <w:bCs w:val="0"/>
                <w:b w:val="0"/>
                <w:rFonts w:cs="Times New Roman"/>
                <w:szCs w:val="24"/>
              </w:rPr>
            </w:pPr>
            <w:r w:rsidRPr="00126D54">
              <w:rPr>
                <w:rFonts w:cs="Times New Roman"/>
                <w:szCs w:val="24"/>
              </w:rPr>
              <w:t>Particulars</w:t>
            </w:r>
          </w:p>
        </w:tc>
        <w:tc>
          <w:tcPr>
            <w:tcW w:w="1980" w:type="dxa"/>
          </w:tcPr>
          <w:p w:rsidR="00720AD7" w:rsidRDefault="00720AD7" w14:paraId="279CEE9D" w14:textId="77777777" w:rsidP="00720AD7"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c>
          <w:tcPr>
            <w:tcW w:w="1800" w:type="dxa"/>
          </w:tcPr>
          <w:p w:rsidR="00720AD7" w:rsidRDefault="00720AD7" w14:paraId="4A7AD12E" w14:textId="77777777" w:rsidP="00720AD7"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c>
          <w:tcPr>
            <w:tcW w:w="1795" w:type="dxa"/>
          </w:tcPr>
          <w:p w:rsidR="00720AD7" w:rsidRDefault="00720AD7" w14:paraId="64B7AAE0" w14:textId="77777777" w:rsidP="00720AD7"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r>
      <w:tr w14:paraId="65AB97B3"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626A9E90" w14:textId="77777777" w:rsidP="00720AD7" w:rsidRPr="00126D54">
            <w:pPr>
              <w:spacing w:line="360" w:lineRule="auto"/>
              <w:rPr>
                <w:bCs w:val="0"/>
                <w:b w:val="0"/>
                <w:rFonts w:cs="Times New Roman"/>
                <w:szCs w:val="24"/>
              </w:rPr>
            </w:pPr>
            <w:r w:rsidRPr="00126D54">
              <w:rPr>
                <w:rFonts w:cs="Times New Roman"/>
                <w:szCs w:val="24"/>
              </w:rPr>
              <w:t>Non-Current assets</w:t>
            </w:r>
          </w:p>
        </w:tc>
        <w:tc>
          <w:tcPr>
            <w:tcW w:w="1980" w:type="dxa"/>
          </w:tcPr>
          <w:p w:rsidR="00720AD7" w:rsidRDefault="00720AD7" w14:paraId="2F51EB88"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0" w:type="dxa"/>
          </w:tcPr>
          <w:p w:rsidR="00720AD7" w:rsidRDefault="00720AD7" w14:paraId="74C5857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589EF861"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3321891B"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02E78E8A" w14:textId="77777777" w:rsidP="00720AD7" w:rsidRPr="00126D54">
            <w:pPr>
              <w:spacing w:line="360" w:lineRule="auto"/>
              <w:rPr>
                <w:rFonts w:cs="Times New Roman"/>
                <w:szCs w:val="24"/>
              </w:rPr>
            </w:pPr>
            <w:r w:rsidRPr="00126D54">
              <w:rPr>
                <w:rFonts w:cs="Times New Roman"/>
                <w:szCs w:val="24"/>
              </w:rPr>
              <w:t xml:space="preserve">Plant and equipment </w:t>
            </w:r>
          </w:p>
        </w:tc>
        <w:tc>
          <w:tcPr>
            <w:tcW w:w="1980" w:type="dxa"/>
          </w:tcPr>
          <w:p w:rsidR="00720AD7" w:rsidRDefault="00720AD7" w14:paraId="0853F5D0"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0" w:type="dxa"/>
          </w:tcPr>
          <w:p w:rsidR="00720AD7" w:rsidRDefault="00720AD7" w14:paraId="1809F074"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rFonts w:cs="Times New Roman"/>
                <w:szCs w:val="24"/>
              </w:rPr>
              <w:t>632,730</w:t>
            </w:r>
          </w:p>
        </w:tc>
        <w:tc>
          <w:tcPr>
            <w:tcW w:w="1795" w:type="dxa"/>
          </w:tcPr>
          <w:p w:rsidR="00720AD7" w:rsidRDefault="00720AD7" w14:paraId="505A4BFA"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2487C677"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28959359" w14:textId="77777777" w:rsidP="00720AD7" w:rsidRPr="00126D54">
            <w:pPr>
              <w:spacing w:line="360" w:lineRule="auto"/>
              <w:rPr>
                <w:bCs w:val="0"/>
                <w:b w:val="0"/>
                <w:rFonts w:cs="Times New Roman"/>
                <w:szCs w:val="24"/>
              </w:rPr>
            </w:pPr>
            <w:r w:rsidRPr="00126D54">
              <w:rPr>
                <w:rFonts w:cs="Times New Roman"/>
                <w:szCs w:val="24"/>
              </w:rPr>
              <w:t>Current assets</w:t>
            </w:r>
          </w:p>
        </w:tc>
        <w:tc>
          <w:tcPr>
            <w:tcW w:w="1980" w:type="dxa"/>
          </w:tcPr>
          <w:p w:rsidR="00720AD7" w:rsidRDefault="00720AD7" w14:paraId="0D427C33"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0" w:type="dxa"/>
          </w:tcPr>
          <w:p w:rsidR="00720AD7" w:rsidRDefault="00720AD7" w14:paraId="4AA37337"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7B87D1C7"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1421CFE1"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07D590C9" w14:textId="77777777" w:rsidP="00720AD7" w:rsidRPr="00126D54">
            <w:pPr>
              <w:spacing w:line="360" w:lineRule="auto"/>
              <w:rPr>
                <w:rFonts w:cs="Times New Roman"/>
                <w:szCs w:val="24"/>
              </w:rPr>
            </w:pPr>
            <w:r w:rsidRPr="00126D54">
              <w:rPr>
                <w:rFonts w:cs="Times New Roman"/>
                <w:szCs w:val="24"/>
              </w:rPr>
              <w:t>Cash and bank</w:t>
            </w:r>
          </w:p>
        </w:tc>
        <w:tc>
          <w:tcPr>
            <w:tcW w:w="1980" w:type="dxa"/>
          </w:tcPr>
          <w:p w:rsidR="00720AD7" w:rsidRDefault="00720AD7" w14:paraId="2720226C"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rFonts w:cs="Times New Roman"/>
                <w:szCs w:val="24"/>
              </w:rPr>
              <w:t>12,900</w:t>
            </w:r>
          </w:p>
        </w:tc>
        <w:tc>
          <w:tcPr>
            <w:tcW w:w="1800" w:type="dxa"/>
          </w:tcPr>
          <w:p w:rsidR="00720AD7" w:rsidRDefault="00720AD7" w14:paraId="16D553F1"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1101FBB4"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5B6C2263"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7030BA03" w14:textId="77777777" w:rsidP="00720AD7" w:rsidRPr="00126D54">
            <w:pPr>
              <w:spacing w:line="360" w:lineRule="auto"/>
              <w:rPr>
                <w:rFonts w:cs="Times New Roman"/>
                <w:szCs w:val="24"/>
              </w:rPr>
            </w:pPr>
            <w:r w:rsidRPr="00126D54">
              <w:rPr>
                <w:rFonts w:cs="Times New Roman"/>
                <w:szCs w:val="24"/>
              </w:rPr>
              <w:t>Unearned sales revenue</w:t>
            </w:r>
          </w:p>
        </w:tc>
        <w:tc>
          <w:tcPr>
            <w:tcW w:w="1980" w:type="dxa"/>
          </w:tcPr>
          <w:p w:rsidR="00720AD7" w:rsidRDefault="00720AD7" w14:paraId="185CE5A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980</w:t>
            </w:r>
          </w:p>
        </w:tc>
        <w:tc>
          <w:tcPr>
            <w:tcW w:w="1800" w:type="dxa"/>
          </w:tcPr>
          <w:p w:rsidR="00720AD7" w:rsidRDefault="00720AD7" w14:paraId="3EE3D692"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45AB65C5"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4B023ED5"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5E70186A" w14:textId="77777777" w:rsidP="00720AD7" w:rsidRPr="00126D54">
            <w:pPr>
              <w:spacing w:line="360" w:lineRule="auto"/>
              <w:rPr>
                <w:rFonts w:cs="Times New Roman"/>
                <w:szCs w:val="24"/>
              </w:rPr>
            </w:pPr>
            <w:r w:rsidRPr="00126D54">
              <w:rPr>
                <w:rFonts w:cs="Times New Roman"/>
                <w:szCs w:val="24"/>
              </w:rPr>
              <w:t xml:space="preserve">Ordinary dividend paid </w:t>
            </w:r>
          </w:p>
        </w:tc>
        <w:tc>
          <w:tcPr>
            <w:tcW w:w="1980" w:type="dxa"/>
          </w:tcPr>
          <w:p w:rsidR="00720AD7" w:rsidRDefault="00720AD7" w14:paraId="0D657C4B"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u w:val="single"/>
                <w:rFonts w:cs="Times New Roman"/>
                <w:szCs w:val="24"/>
              </w:rPr>
            </w:pPr>
            <w:r w:rsidRPr="00126D54">
              <w:rPr>
                <w:u w:val="single"/>
                <w:rFonts w:cs="Times New Roman"/>
                <w:szCs w:val="24"/>
              </w:rPr>
              <w:t>(20,000)</w:t>
            </w:r>
          </w:p>
        </w:tc>
        <w:tc>
          <w:tcPr>
            <w:tcW w:w="1800" w:type="dxa"/>
          </w:tcPr>
          <w:p w:rsidR="00720AD7" w:rsidRDefault="00720AD7" w14:paraId="095DFE4D"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75F17429"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52B0BD93"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3031479F" w14:textId="77777777" w:rsidP="00720AD7" w:rsidRPr="00126D54">
            <w:pPr>
              <w:spacing w:line="360" w:lineRule="auto"/>
              <w:rPr>
                <w:rFonts w:cs="Times New Roman"/>
                <w:szCs w:val="24"/>
              </w:rPr>
            </w:pPr>
          </w:p>
        </w:tc>
        <w:tc>
          <w:tcPr>
            <w:tcW w:w="1980" w:type="dxa"/>
          </w:tcPr>
          <w:p w:rsidR="00720AD7" w:rsidRDefault="00720AD7" w14:paraId="6D957B39"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(6,120)</w:t>
            </w:r>
          </w:p>
        </w:tc>
        <w:tc>
          <w:tcPr>
            <w:tcW w:w="1800" w:type="dxa"/>
          </w:tcPr>
          <w:p w:rsidR="00720AD7" w:rsidRDefault="00720AD7" w14:paraId="1AA51918"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4AC06A09"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5A1FB85A"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6165963A" w14:textId="77777777" w:rsidP="00720AD7" w:rsidRPr="00126D54">
            <w:pPr>
              <w:spacing w:line="360" w:lineRule="auto"/>
              <w:rPr>
                <w:rFonts w:cs="Times New Roman"/>
                <w:szCs w:val="24"/>
              </w:rPr>
            </w:pPr>
            <w:r w:rsidRPr="00126D54">
              <w:rPr>
                <w:color w:val="000000"/>
                <w:rFonts w:cs="Times New Roman"/>
                <w:szCs w:val="24"/>
              </w:rPr>
              <w:t>Interest on debentures</w:t>
            </w:r>
          </w:p>
        </w:tc>
        <w:tc>
          <w:tcPr>
            <w:tcW w:w="1980" w:type="dxa"/>
          </w:tcPr>
          <w:p w:rsidR="00720AD7" w:rsidRDefault="00720AD7" w14:paraId="11412982"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rFonts w:cs="Times New Roman"/>
                <w:szCs w:val="24"/>
              </w:rPr>
              <w:t>4,000</w:t>
            </w:r>
          </w:p>
        </w:tc>
        <w:tc>
          <w:tcPr>
            <w:tcW w:w="1800" w:type="dxa"/>
          </w:tcPr>
          <w:p w:rsidR="00720AD7" w:rsidRDefault="00720AD7" w14:paraId="0BE20C10"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79F57F40"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63F24862"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0DF04983" w14:textId="77777777" w:rsidP="00720AD7" w:rsidRPr="00126D54">
            <w:pPr>
              <w:spacing w:line="360" w:lineRule="auto"/>
              <w:rPr>
                <w:rFonts w:cs="Times New Roman"/>
                <w:szCs w:val="24"/>
              </w:rPr>
            </w:pPr>
            <w:r w:rsidRPr="00126D54">
              <w:rPr>
                <w:rFonts w:cs="Times New Roman"/>
                <w:szCs w:val="24"/>
              </w:rPr>
              <w:t xml:space="preserve">Stock at </w:t>
            </w:r>
            <w:r>
              <w:rPr>
                <w:rFonts w:cs="Times New Roman"/>
                <w:szCs w:val="24"/>
              </w:rPr>
              <w:t>December 31</w:t>
            </w:r>
            <w:r w:rsidR="00A215E1">
              <w:rPr>
                <w:rFonts w:cs="Times New Roman"/>
                <w:szCs w:val="24"/>
              </w:rPr>
              <w:t xml:space="preserve"> 2019</w:t>
            </w:r>
          </w:p>
        </w:tc>
        <w:tc>
          <w:tcPr>
            <w:tcW w:w="1980" w:type="dxa"/>
          </w:tcPr>
          <w:p w:rsidR="00720AD7" w:rsidRDefault="00720AD7" w14:paraId="5640E0E2"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330,600</w:t>
            </w:r>
          </w:p>
        </w:tc>
        <w:tc>
          <w:tcPr>
            <w:tcW w:w="1800" w:type="dxa"/>
          </w:tcPr>
          <w:p w:rsidR="00720AD7" w:rsidRDefault="00720AD7" w14:paraId="12002415"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2A74F546"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6CC0F0B7"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60CFBC27" w14:textId="77777777" w:rsidP="00720AD7" w:rsidRPr="00126D54">
            <w:pPr>
              <w:spacing w:line="360" w:lineRule="auto"/>
              <w:rPr>
                <w:rFonts w:cs="Times New Roman"/>
                <w:szCs w:val="24"/>
              </w:rPr>
            </w:pPr>
            <w:r w:rsidRPr="00126D54">
              <w:rPr>
                <w:rFonts w:cs="Times New Roman"/>
                <w:szCs w:val="24"/>
              </w:rPr>
              <w:t>Debtors</w:t>
            </w:r>
          </w:p>
        </w:tc>
        <w:tc>
          <w:tcPr>
            <w:tcW w:w="1980" w:type="dxa"/>
          </w:tcPr>
          <w:p w:rsidR="00720AD7" w:rsidRDefault="00720AD7" w14:paraId="1C721B3B"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u w:val="single"/>
                <w:rFonts w:cs="Times New Roman"/>
                <w:szCs w:val="24"/>
              </w:rPr>
            </w:pPr>
            <w:r w:rsidRPr="00126D54">
              <w:rPr>
                <w:u w:val="single"/>
                <w:rFonts w:cs="Times New Roman"/>
                <w:szCs w:val="24"/>
              </w:rPr>
              <w:t>170,125</w:t>
            </w:r>
          </w:p>
        </w:tc>
        <w:tc>
          <w:tcPr>
            <w:tcW w:w="1800" w:type="dxa"/>
          </w:tcPr>
          <w:p w:rsidR="00720AD7" w:rsidRDefault="00720AD7" w14:paraId="608B71F6"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609FC7CD"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2D91990A"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40DF963D" w14:textId="77777777" w:rsidP="00720AD7" w:rsidRPr="00126D54">
            <w:pPr>
              <w:spacing w:line="360" w:lineRule="auto"/>
              <w:rPr>
                <w:rFonts w:cs="Times New Roman"/>
                <w:szCs w:val="24"/>
              </w:rPr>
            </w:pPr>
          </w:p>
        </w:tc>
        <w:tc>
          <w:tcPr>
            <w:tcW w:w="1980" w:type="dxa"/>
          </w:tcPr>
          <w:p w:rsidR="00720AD7" w:rsidRDefault="00720AD7" w14:paraId="5C938271"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u w:val="single"/>
                <w:rFonts w:cs="Times New Roman"/>
                <w:szCs w:val="24"/>
              </w:rPr>
            </w:pPr>
          </w:p>
        </w:tc>
        <w:tc>
          <w:tcPr>
            <w:tcW w:w="1800" w:type="dxa"/>
          </w:tcPr>
          <w:p w:rsidR="00720AD7" w:rsidRDefault="00720AD7" w14:paraId="2200128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color w:val="000000"/>
                <w:rFonts w:cs="Times New Roman"/>
                <w:szCs w:val="24"/>
              </w:rPr>
              <w:t>498,605</w:t>
            </w:r>
          </w:p>
        </w:tc>
        <w:tc>
          <w:tcPr>
            <w:tcW w:w="1795" w:type="dxa"/>
          </w:tcPr>
          <w:p w:rsidR="00720AD7" w:rsidRDefault="00720AD7" w14:paraId="77D47B78"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6FE581A5"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45A8E495" w14:textId="77777777" w:rsidP="00720AD7" w:rsidRPr="00126D54">
            <w:pPr>
              <w:spacing w:line="360" w:lineRule="auto"/>
              <w:rPr>
                <w:bCs w:val="0"/>
                <w:b w:val="0"/>
                <w:rFonts w:cs="Times New Roman"/>
                <w:szCs w:val="24"/>
              </w:rPr>
            </w:pPr>
            <w:r w:rsidRPr="00126D54">
              <w:rPr>
                <w:rFonts w:cs="Times New Roman"/>
                <w:szCs w:val="24"/>
              </w:rPr>
              <w:t xml:space="preserve">Total Assets </w:t>
            </w:r>
          </w:p>
        </w:tc>
        <w:tc>
          <w:tcPr>
            <w:tcW w:w="1980" w:type="dxa"/>
          </w:tcPr>
          <w:p w:rsidR="00720AD7" w:rsidRDefault="00720AD7" w14:paraId="7B55FAB2"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0" w:type="dxa"/>
          </w:tcPr>
          <w:p w:rsidR="00720AD7" w:rsidRDefault="00720AD7" w14:paraId="2C7F8550"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color w:val="000000"/>
                <w:rFonts w:cs="Times New Roman"/>
                <w:szCs w:val="24"/>
              </w:rPr>
            </w:pPr>
            <w:r w:rsidRPr="00126D54">
              <w:rPr>
                <w:color w:val="000000"/>
                <w:rFonts w:cs="Times New Roman"/>
                <w:szCs w:val="24"/>
              </w:rPr>
              <w:t>1,131,335</w:t>
            </w:r>
          </w:p>
        </w:tc>
        <w:tc>
          <w:tcPr>
            <w:tcW w:w="1795" w:type="dxa"/>
          </w:tcPr>
          <w:p w:rsidR="00720AD7" w:rsidRDefault="00720AD7" w14:paraId="332A1146"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0B313F5D"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52AB8144" w14:textId="77777777" w:rsidP="00720AD7" w:rsidRPr="00126D54">
            <w:pPr>
              <w:spacing w:line="360" w:lineRule="auto"/>
              <w:rPr>
                <w:bCs w:val="0"/>
                <w:b w:val="0"/>
                <w:rFonts w:cs="Times New Roman"/>
                <w:szCs w:val="24"/>
              </w:rPr>
            </w:pPr>
            <w:r w:rsidRPr="00126D54">
              <w:rPr>
                <w:rFonts w:cs="Times New Roman"/>
                <w:szCs w:val="24"/>
              </w:rPr>
              <w:t>Current Liabilities</w:t>
            </w:r>
          </w:p>
        </w:tc>
        <w:tc>
          <w:tcPr>
            <w:tcW w:w="1980" w:type="dxa"/>
          </w:tcPr>
          <w:p w:rsidR="00720AD7" w:rsidRDefault="00720AD7" w14:paraId="188ADDF4"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0" w:type="dxa"/>
          </w:tcPr>
          <w:p w:rsidR="00720AD7" w:rsidRDefault="00720AD7" w14:paraId="2271A1B9"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7C560601"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133098A8"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7B5894F2" w14:textId="77777777" w:rsidP="00720AD7" w:rsidRPr="00126D54">
            <w:pPr>
              <w:spacing w:line="360" w:lineRule="auto"/>
              <w:rPr>
                <w:bCs w:val="0"/>
                <w:b w:val="0"/>
                <w:rFonts w:cs="Times New Roman"/>
                <w:szCs w:val="24"/>
              </w:rPr>
            </w:pPr>
            <w:r w:rsidRPr="00126D54">
              <w:rPr>
                <w:rFonts w:cs="Times New Roman"/>
                <w:szCs w:val="24"/>
              </w:rPr>
              <w:t>Trade creditors</w:t>
            </w:r>
          </w:p>
        </w:tc>
        <w:tc>
          <w:tcPr>
            <w:tcW w:w="1980" w:type="dxa"/>
          </w:tcPr>
          <w:p w:rsidR="00720AD7" w:rsidRDefault="00720AD7" w14:paraId="1056F0AB"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rFonts w:cs="Times New Roman"/>
                <w:szCs w:val="24"/>
              </w:rPr>
              <w:t>171,355</w:t>
            </w:r>
          </w:p>
        </w:tc>
        <w:tc>
          <w:tcPr>
            <w:tcW w:w="1800" w:type="dxa"/>
          </w:tcPr>
          <w:p w:rsidR="00720AD7" w:rsidRDefault="00720AD7" w14:paraId="725B8132"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3B785A65"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7565183A"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4A5D0ED7" w14:textId="77777777" w:rsidP="00720AD7" w:rsidRPr="00126D54">
            <w:pPr>
              <w:spacing w:line="360" w:lineRule="auto"/>
              <w:rPr>
                <w:rFonts w:cs="Times New Roman"/>
                <w:szCs w:val="24"/>
              </w:rPr>
            </w:pPr>
            <w:r w:rsidRPr="00126D54">
              <w:rPr>
                <w:rFonts w:cs="Times New Roman"/>
                <w:szCs w:val="24"/>
              </w:rPr>
              <w:t>Corporate Tax</w:t>
            </w:r>
          </w:p>
        </w:tc>
        <w:tc>
          <w:tcPr>
            <w:tcW w:w="1980" w:type="dxa"/>
          </w:tcPr>
          <w:p w:rsidR="00720AD7" w:rsidRDefault="00720AD7" w14:paraId="6F0F3594"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68,000</w:t>
            </w:r>
          </w:p>
        </w:tc>
        <w:tc>
          <w:tcPr>
            <w:tcW w:w="1800" w:type="dxa"/>
          </w:tcPr>
          <w:p w:rsidR="00720AD7" w:rsidRDefault="00720AD7" w14:paraId="3587690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26D5DBFC"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16C0C31B"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425F666D" w14:textId="77777777" w:rsidP="00720AD7" w:rsidRPr="00126D54">
            <w:pPr>
              <w:spacing w:line="360" w:lineRule="auto"/>
              <w:rPr>
                <w:rFonts w:cs="Times New Roman"/>
                <w:szCs w:val="24"/>
              </w:rPr>
            </w:pPr>
            <w:r w:rsidRPr="00126D54">
              <w:rPr>
                <w:rFonts w:cs="Times New Roman"/>
                <w:szCs w:val="24"/>
              </w:rPr>
              <w:t>Non-Current Liabilities</w:t>
            </w:r>
          </w:p>
        </w:tc>
        <w:tc>
          <w:tcPr>
            <w:tcW w:w="1980" w:type="dxa"/>
          </w:tcPr>
          <w:p w:rsidR="00720AD7" w:rsidRDefault="00720AD7" w14:paraId="60E93917"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0" w:type="dxa"/>
          </w:tcPr>
          <w:p w:rsidR="00720AD7" w:rsidRDefault="00720AD7" w14:paraId="6E400ADC"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29ED7C28"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4A218462"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7C099B9A" w14:textId="77777777" w:rsidP="00720AD7" w:rsidRPr="00126D54">
            <w:pPr>
              <w:spacing w:line="360" w:lineRule="auto"/>
              <w:rPr>
                <w:rFonts w:cs="Times New Roman"/>
                <w:szCs w:val="24"/>
              </w:rPr>
            </w:pPr>
            <w:r w:rsidRPr="00126D54">
              <w:rPr>
                <w:color w:val="000000"/>
                <w:rFonts w:cs="Times New Roman"/>
                <w:szCs w:val="24"/>
              </w:rPr>
              <w:t>4% debentures</w:t>
            </w:r>
          </w:p>
        </w:tc>
        <w:tc>
          <w:tcPr>
            <w:tcW w:w="1980" w:type="dxa"/>
          </w:tcPr>
          <w:p w:rsidR="00720AD7" w:rsidRDefault="00720AD7" w14:paraId="17A35703"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u w:val="single"/>
                <w:rFonts w:cs="Times New Roman"/>
                <w:szCs w:val="24"/>
              </w:rPr>
            </w:pPr>
            <w:r w:rsidRPr="00126D54">
              <w:rPr>
                <w:u w:val="single"/>
                <w:rFonts w:cs="Times New Roman"/>
                <w:szCs w:val="24"/>
              </w:rPr>
              <w:t>100,000</w:t>
            </w:r>
          </w:p>
        </w:tc>
        <w:tc>
          <w:tcPr>
            <w:tcW w:w="1800" w:type="dxa"/>
          </w:tcPr>
          <w:p w:rsidR="00720AD7" w:rsidRDefault="00720AD7" w14:paraId="704DCF80"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741E514A"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2403C0AA"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02E0913A" w14:textId="77777777" w:rsidP="00720AD7" w:rsidRPr="00126D54">
            <w:pPr>
              <w:spacing w:line="360" w:lineRule="auto"/>
              <w:rPr>
                <w:bCs w:val="0"/>
                <w:b w:val="0"/>
                <w:color w:val="000000"/>
                <w:rFonts w:cs="Times New Roman"/>
                <w:szCs w:val="24"/>
              </w:rPr>
            </w:pPr>
            <w:r w:rsidRPr="00126D54">
              <w:rPr>
                <w:color w:val="000000"/>
                <w:rFonts w:cs="Times New Roman"/>
                <w:szCs w:val="24"/>
              </w:rPr>
              <w:t>Total Liabilities</w:t>
            </w:r>
          </w:p>
        </w:tc>
        <w:tc>
          <w:tcPr>
            <w:tcW w:w="1980" w:type="dxa"/>
          </w:tcPr>
          <w:p w:rsidR="00720AD7" w:rsidRDefault="00720AD7" w14:paraId="7C300794"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u w:val="single"/>
                <w:rFonts w:cs="Times New Roman"/>
                <w:szCs w:val="24"/>
              </w:rPr>
            </w:pPr>
          </w:p>
        </w:tc>
        <w:tc>
          <w:tcPr>
            <w:tcW w:w="1800" w:type="dxa"/>
          </w:tcPr>
          <w:p w:rsidR="00720AD7" w:rsidRDefault="00720AD7" w14:paraId="599FAABC"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bCs/>
                <w:b/>
                <w:rFonts w:cs="Times New Roman"/>
                <w:szCs w:val="24"/>
              </w:rPr>
            </w:pPr>
            <w:r w:rsidRPr="00126D54">
              <w:rPr>
                <w:bCs/>
                <w:b/>
                <w:rFonts w:cs="Times New Roman"/>
                <w:szCs w:val="24"/>
              </w:rPr>
              <w:t>(339,355)</w:t>
            </w:r>
          </w:p>
        </w:tc>
        <w:tc>
          <w:tcPr>
            <w:tcW w:w="1795" w:type="dxa"/>
          </w:tcPr>
          <w:p w:rsidR="00720AD7" w:rsidRDefault="00720AD7" w14:paraId="5D65C357"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1661D9A7"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3F030E5A" w14:textId="77777777" w:rsidP="00720AD7" w:rsidRPr="00126D54">
            <w:pPr>
              <w:spacing w:line="360" w:lineRule="auto"/>
              <w:rPr>
                <w:bCs w:val="0"/>
                <w:b w:val="0"/>
                <w:rFonts w:cs="Times New Roman"/>
                <w:szCs w:val="24"/>
              </w:rPr>
            </w:pPr>
            <w:r w:rsidRPr="00126D54">
              <w:rPr>
                <w:rFonts w:cs="Times New Roman"/>
                <w:szCs w:val="24"/>
              </w:rPr>
              <w:t>Net Assets</w:t>
            </w:r>
          </w:p>
        </w:tc>
        <w:tc>
          <w:tcPr>
            <w:tcW w:w="1980" w:type="dxa"/>
          </w:tcPr>
          <w:p w:rsidR="00720AD7" w:rsidRDefault="00720AD7" w14:paraId="734A6F4E"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800" w:type="dxa"/>
          </w:tcPr>
          <w:p w:rsidR="00720AD7" w:rsidRDefault="00720AD7" w14:paraId="099CF0A9"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u w:val="double"/>
                <w:rFonts w:cs="Times New Roman"/>
                <w:szCs w:val="24"/>
              </w:rPr>
            </w:pPr>
          </w:p>
        </w:tc>
        <w:tc>
          <w:tcPr>
            <w:tcW w:w="1795" w:type="dxa"/>
          </w:tcPr>
          <w:p w:rsidR="00720AD7" w:rsidRDefault="00720AD7" w14:paraId="64C93778"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u w:val="double"/>
                <w:rFonts w:cs="Times New Roman"/>
                <w:szCs w:val="24"/>
              </w:rPr>
              <w:t>790,980</w:t>
            </w:r>
          </w:p>
        </w:tc>
      </w:tr>
      <w:tr w14:paraId="0E8F9543"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42E79417" w14:textId="77777777" w:rsidP="00720AD7" w:rsidRPr="00126D54">
            <w:pPr>
              <w:spacing w:line="360" w:lineRule="auto"/>
              <w:rPr>
                <w:bCs w:val="0"/>
                <w:b w:val="0"/>
                <w:rFonts w:cs="Times New Roman"/>
                <w:szCs w:val="24"/>
              </w:rPr>
            </w:pPr>
            <w:r w:rsidRPr="00126D54">
              <w:rPr>
                <w:rFonts w:cs="Times New Roman"/>
                <w:szCs w:val="24"/>
              </w:rPr>
              <w:t>Equity</w:t>
            </w:r>
          </w:p>
        </w:tc>
        <w:tc>
          <w:tcPr>
            <w:tcW w:w="1980" w:type="dxa"/>
          </w:tcPr>
          <w:p w:rsidR="00720AD7" w:rsidRDefault="00720AD7" w14:paraId="49290794"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0" w:type="dxa"/>
          </w:tcPr>
          <w:p w:rsidR="00720AD7" w:rsidRDefault="00720AD7" w14:paraId="46148EB5"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1DB39CB5"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5434A8DC"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355DE616" w14:textId="77777777" w:rsidP="00720AD7" w:rsidRPr="00126D54">
            <w:pPr>
              <w:spacing w:line="360" w:lineRule="auto"/>
              <w:rPr>
                <w:rFonts w:cs="Times New Roman"/>
                <w:szCs w:val="24"/>
              </w:rPr>
            </w:pPr>
            <w:r w:rsidRPr="00126D54">
              <w:rPr>
                <w:rFonts w:cs="Times New Roman"/>
                <w:szCs w:val="24"/>
              </w:rPr>
              <w:t>£1 ordinary shares</w:t>
            </w:r>
          </w:p>
        </w:tc>
        <w:tc>
          <w:tcPr>
            <w:tcW w:w="1980" w:type="dxa"/>
          </w:tcPr>
          <w:p w:rsidR="00720AD7" w:rsidRDefault="00720AD7" w14:paraId="6E509D0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310,000</w:t>
            </w:r>
          </w:p>
        </w:tc>
        <w:tc>
          <w:tcPr>
            <w:tcW w:w="1800" w:type="dxa"/>
          </w:tcPr>
          <w:p w:rsidR="00720AD7" w:rsidRDefault="00720AD7" w14:paraId="25A5EB5E"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69434180"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41DFAB73"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033EE634" w14:textId="77777777" w:rsidP="00720AD7" w:rsidRPr="00126D54">
            <w:pPr>
              <w:spacing w:line="360" w:lineRule="auto"/>
              <w:rPr>
                <w:rFonts w:cs="Times New Roman"/>
                <w:szCs w:val="24"/>
              </w:rPr>
            </w:pPr>
            <w:r w:rsidRPr="00126D54">
              <w:rPr>
                <w:rFonts w:cs="Times New Roman"/>
                <w:szCs w:val="24"/>
              </w:rPr>
              <w:t>10% £1 preference shares</w:t>
            </w:r>
          </w:p>
        </w:tc>
        <w:tc>
          <w:tcPr>
            <w:tcW w:w="1980" w:type="dxa"/>
          </w:tcPr>
          <w:p w:rsidR="00720AD7" w:rsidRDefault="00720AD7" w14:paraId="1F120A0C"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rFonts w:cs="Times New Roman"/>
                <w:szCs w:val="24"/>
              </w:rPr>
              <w:t>300,000</w:t>
            </w:r>
          </w:p>
        </w:tc>
        <w:tc>
          <w:tcPr>
            <w:tcW w:w="1800" w:type="dxa"/>
          </w:tcPr>
          <w:p w:rsidR="00720AD7" w:rsidRDefault="00720AD7" w14:paraId="121827D6"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795" w:type="dxa"/>
          </w:tcPr>
          <w:p w:rsidR="00720AD7" w:rsidRDefault="00720AD7" w14:paraId="43BCED12"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r>
      <w:tr w14:paraId="0824773B" w14:textId="77777777" w:rsidR="00720AD7" w:rsidRPr="00126D54" w:rsidTr="00720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3CC1216F" w14:textId="77777777" w:rsidP="00720AD7" w:rsidRPr="00126D54">
            <w:pPr>
              <w:spacing w:line="360" w:lineRule="auto"/>
              <w:rPr>
                <w:rFonts w:cs="Times New Roman"/>
                <w:szCs w:val="24"/>
              </w:rPr>
            </w:pPr>
            <w:r w:rsidRPr="00126D54">
              <w:rPr>
                <w:rFonts w:cs="Times New Roman"/>
                <w:szCs w:val="24"/>
              </w:rPr>
              <w:t xml:space="preserve">Retained profits </w:t>
            </w:r>
            <w:r>
              <w:rPr>
                <w:rFonts w:cs="Times New Roman"/>
                <w:szCs w:val="24"/>
              </w:rPr>
              <w:t>on</w:t>
            </w:r>
            <w:r w:rsidRPr="00126D54">
              <w:rPr>
                <w:rFonts w:cs="Times New Roman"/>
                <w:szCs w:val="24"/>
              </w:rPr>
              <w:t xml:space="preserve"> </w:t>
            </w:r>
            <w:r>
              <w:rPr>
                <w:rFonts w:cs="Times New Roman"/>
                <w:szCs w:val="24"/>
              </w:rPr>
              <w:t>January 1,</w:t>
            </w:r>
            <w:r w:rsidR="00A215E1">
              <w:rPr>
                <w:rFonts w:cs="Times New Roman"/>
                <w:szCs w:val="24"/>
              </w:rPr>
              <w:t xml:space="preserve"> 2019</w:t>
            </w:r>
          </w:p>
        </w:tc>
        <w:tc>
          <w:tcPr>
            <w:tcW w:w="1980" w:type="dxa"/>
          </w:tcPr>
          <w:p w:rsidR="00720AD7" w:rsidRDefault="00720AD7" w14:paraId="582C842D"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180980</w:t>
            </w:r>
          </w:p>
        </w:tc>
        <w:tc>
          <w:tcPr>
            <w:tcW w:w="1800" w:type="dxa"/>
          </w:tcPr>
          <w:p w:rsidR="00720AD7" w:rsidRDefault="00720AD7" w14:paraId="3ED79EEB"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c>
          <w:tcPr>
            <w:tcW w:w="1795" w:type="dxa"/>
          </w:tcPr>
          <w:p w:rsidR="00720AD7" w:rsidRDefault="00720AD7" w14:paraId="70F87EC6" w14:textId="77777777" w:rsidP="00720AD7"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p>
        </w:tc>
      </w:tr>
      <w:tr w14:paraId="7E5E076A" w14:textId="77777777" w:rsidR="00720AD7" w:rsidRPr="00126D54" w:rsidTr="00720AD7">
        <w:tc>
          <w:tcPr>
            <w:cnfStyle w:val="001000000000" w:firstRow="0" w:lastRow="0" w:firstColumn="1" w:lastColumn="0" w:oddVBand="0" w:evenVBand="0" w:oddHBand="0" w:evenHBand="0" w:firstRowFirstColumn="0" w:firstRowLastColumn="0" w:lastRowFirstColumn="0" w:lastRowLastColumn="0"/>
            <w:tcW w:w="3775" w:type="dxa"/>
          </w:tcPr>
          <w:p w:rsidR="00720AD7" w:rsidRDefault="00720AD7" w14:paraId="79FECB4D" w14:textId="77777777" w:rsidP="00720AD7" w:rsidRPr="00126D54">
            <w:pPr>
              <w:spacing w:line="360" w:lineRule="auto"/>
              <w:rPr>
                <w:bCs w:val="0"/>
                <w:b w:val="0"/>
                <w:rFonts w:cs="Times New Roman"/>
                <w:szCs w:val="24"/>
              </w:rPr>
            </w:pPr>
            <w:r w:rsidRPr="00126D54">
              <w:rPr>
                <w:rFonts w:cs="Times New Roman"/>
                <w:szCs w:val="24"/>
              </w:rPr>
              <w:t>Total Equity</w:t>
            </w:r>
          </w:p>
        </w:tc>
        <w:tc>
          <w:tcPr>
            <w:tcW w:w="1980" w:type="dxa"/>
          </w:tcPr>
          <w:p w:rsidR="00720AD7" w:rsidRDefault="00720AD7" w14:paraId="3ECA4401"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p>
        </w:tc>
        <w:tc>
          <w:tcPr>
            <w:tcW w:w="1800" w:type="dxa"/>
          </w:tcPr>
          <w:p w:rsidR="00720AD7" w:rsidRDefault="00720AD7" w14:paraId="709FBE17"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u w:val="double"/>
                <w:rFonts w:cs="Times New Roman"/>
                <w:szCs w:val="24"/>
              </w:rPr>
            </w:pPr>
          </w:p>
        </w:tc>
        <w:tc>
          <w:tcPr>
            <w:tcW w:w="1795" w:type="dxa"/>
          </w:tcPr>
          <w:p w:rsidR="00720AD7" w:rsidRDefault="00720AD7" w14:paraId="3B4C6F7E" w14:textId="77777777" w:rsidP="00720AD7"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u w:val="double"/>
                <w:rFonts w:cs="Times New Roman"/>
                <w:szCs w:val="24"/>
              </w:rPr>
              <w:t>790,980</w:t>
            </w:r>
          </w:p>
        </w:tc>
      </w:tr>
    </w:tbl>
    <w:p w:rsidR="00720AD7" w:rsidRDefault="00720AD7" w14:paraId="784F7B1F" w14:textId="77777777" w:rsidP="00720AD7">
      <w:pPr>
        <w:spacing w:line="360" w:lineRule="auto"/>
        <w:rPr>
          <w:b/>
          <w:sz w:val="32"/>
        </w:rPr>
      </w:pPr>
    </w:p>
    <w:p w:rsidR="00720AD7" w:rsidRDefault="00720AD7" w14:paraId="1C3339CB" w14:textId="77777777" w:rsidP="004351CB">
      <w:pPr>
        <w:jc w:val="both"/>
        <w:spacing w:line="360" w:lineRule="auto"/>
      </w:pPr>
      <w:r>
        <w:t xml:space="preserve">In the balance sheet of Kedison PLC the Net Assets of the organisation is </w:t>
      </w:r>
      <w:r>
        <w:rPr>
          <w:rFonts w:cs="Times New Roman"/>
        </w:rPr>
        <w:t>£</w:t>
      </w:r>
      <w:r>
        <w:t xml:space="preserve">790,980 and the total equity </w:t>
      </w:r>
      <w:r w:rsidR="004351CB">
        <w:t xml:space="preserve">of the company is </w:t>
      </w:r>
      <w:r w:rsidR="004351CB">
        <w:rPr>
          <w:rFonts w:cs="Times New Roman"/>
        </w:rPr>
        <w:t>£</w:t>
      </w:r>
      <w:r w:rsidR="004351CB">
        <w:t>790,980</w:t>
      </w:r>
      <w:r w:rsidR="00925AE5">
        <w:t xml:space="preserve"> </w:t>
      </w:r>
      <w:r w:rsidR="00925AE5" w:rsidRPr="00925AE5">
        <w:t>(Toms and Fleischman, 2015)</w:t>
      </w:r>
      <w:r w:rsidR="004351CB">
        <w:t xml:space="preserve">. So the statement above </w:t>
      </w:r>
      <w:r w:rsidR="004351CB">
        <w:t xml:space="preserve">shows that the sum of Assets and the sum of equity is balanced according to the accounting fundamentals equation. </w:t>
        <w:lastRenderedPageBreak/>
      </w:r>
    </w:p>
    <w:p w:rsidR="004351CB" w:rsidRDefault="00A215E1" w14:paraId="743CD904" w14:textId="77777777" w:rsidP="004351CB">
      <w:pPr>
        <w:jc w:val="both"/>
        <w:spacing w:line="360" w:lineRule="auto"/>
      </w:pPr>
      <w:r>
        <w:t>The statement of owner’s equity is also known as the equity statement presents the changes of the equity in the organisation</w:t>
      </w:r>
      <w:r w:rsidR="008C36E5">
        <w:t xml:space="preserve"> </w:t>
      </w:r>
      <w:r w:rsidR="008C36E5" w:rsidRPr="008C36E5">
        <w:t>(Bhutta and Shah, 2013)</w:t>
      </w:r>
      <w:r>
        <w:t xml:space="preserve">. The equity statement includes changes in earned profits, in flow of equity, withdrawal of equity, net loss, dividends and many more equity related balance. The equity statement of Kedison PLC is given below: </w:t>
      </w:r>
    </w:p>
    <w:p w:rsidR="00A215E1" w:rsidRDefault="00A215E1" w14:paraId="5D5E581A" w14:textId="77777777" w:rsidP="00A215E1">
      <w:pPr>
        <w:jc w:val="center"/>
        <w:spacing w:line="360" w:lineRule="auto"/>
        <w:rPr>
          <w:b/>
          <w:sz w:val="32"/>
        </w:rPr>
      </w:pPr>
    </w:p>
    <w:p w:rsidR="00A215E1" w:rsidRDefault="00A215E1" w14:paraId="0766BBC9" w14:textId="77777777" w:rsidP="00A215E1">
      <w:pPr>
        <w:jc w:val="center"/>
        <w:spacing w:line="360" w:lineRule="auto"/>
        <w:rPr>
          <w:b/>
          <w:sz w:val="32"/>
        </w:rPr>
      </w:pPr>
    </w:p>
    <w:p w:rsidR="00A215E1" w:rsidRDefault="00A215E1" w14:paraId="0B3EB56F" w14:textId="77777777" w:rsidP="00A215E1" w:rsidRPr="00A215E1">
      <w:pPr>
        <w:jc w:val="center"/>
        <w:spacing w:line="360" w:lineRule="auto"/>
        <w:rPr>
          <w:b/>
          <w:sz w:val="32"/>
        </w:rPr>
      </w:pPr>
      <w:r w:rsidRPr="00A215E1">
        <w:rPr>
          <w:b/>
          <w:sz w:val="32"/>
        </w:rPr>
        <w:t>The Statement of Equity</w:t>
      </w:r>
    </w:p>
    <w:p w:rsidR="00A215E1" w:rsidRDefault="00A215E1" w14:paraId="7FC32BA0" w14:textId="77777777" w:rsidP="00A215E1">
      <w:pPr>
        <w:jc w:val="center"/>
        <w:spacing w:line="360" w:lineRule="auto"/>
        <w:rPr>
          <w:b/>
          <w:sz w:val="32"/>
        </w:rPr>
      </w:pPr>
      <w:r w:rsidRPr="00A215E1">
        <w:rPr>
          <w:b/>
          <w:sz w:val="32"/>
        </w:rPr>
        <w:t>Kedison PLC</w:t>
      </w:r>
    </w:p>
    <w:tbl>
      <w:tblPr>
        <w:tblW w:w="9350" w:type="dxa"/>
        <w:tblStyle w:val="ListTable5Dark-Accent3"/>
        <w:tblLook w:val="4A0"/>
      </w:tblPr>
      <w:tblGrid>
        <w:gridCol w:w="6025"/>
        <w:gridCol w:w="3325"/>
      </w:tblGrid>
      <w:tr w14:paraId="3AA2EE0C" w14:textId="77777777" w:rsidR="00A215E1" w:rsidRPr="00126D54" w:rsidTr="00A215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025" w:type="dxa"/>
          </w:tcPr>
          <w:p w:rsidR="00A215E1" w:rsidRDefault="00A215E1" w14:paraId="7D6DA430" w14:textId="77777777" w:rsidP="00A215E1" w:rsidRPr="00126D54">
            <w:pPr>
              <w:spacing w:line="360" w:lineRule="auto"/>
              <w:rPr>
                <w:bCs w:val="0"/>
                <w:b w:val="0"/>
                <w:rFonts w:cs="Times New Roman"/>
                <w:szCs w:val="24"/>
              </w:rPr>
            </w:pPr>
            <w:r w:rsidRPr="00126D54">
              <w:rPr>
                <w:rFonts w:cs="Times New Roman"/>
                <w:szCs w:val="24"/>
              </w:rPr>
              <w:t>Particulars</w:t>
            </w:r>
          </w:p>
        </w:tc>
        <w:tc>
          <w:tcPr>
            <w:tcW w:w="3325" w:type="dxa"/>
          </w:tcPr>
          <w:p w:rsidR="00A215E1" w:rsidRDefault="00A215E1" w14:paraId="7240CA6F" w14:textId="77777777" w:rsidP="00A215E1" w:rsidRPr="00126D54">
            <w:pPr>
              <w:cnfStyle w:val="100000000000" w:firstRow="1" w:lastRow="0" w:firstColumn="0" w:lastColumn="0" w:oddVBand="0" w:evenVBand="0" w:oddHBand="0" w:evenHBand="0" w:firstRowFirstColumn="0" w:firstRowLastColumn="0" w:lastRowFirstColumn="0" w:lastRowLastColumn="0"/>
              <w:spacing w:line="360" w:lineRule="auto"/>
              <w:rPr>
                <w:bCs w:val="0"/>
                <w:b w:val="0"/>
                <w:rFonts w:cs="Times New Roman"/>
                <w:szCs w:val="24"/>
              </w:rPr>
            </w:pPr>
            <w:r w:rsidRPr="00126D54">
              <w:rPr>
                <w:rFonts w:cs="Times New Roman"/>
                <w:szCs w:val="24"/>
              </w:rPr>
              <w:t>£m</w:t>
            </w:r>
          </w:p>
        </w:tc>
      </w:tr>
      <w:tr w14:paraId="7703374B" w14:textId="77777777" w:rsidR="00A215E1" w:rsidRPr="00126D54" w:rsidTr="00A2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5" w:type="dxa"/>
          </w:tcPr>
          <w:p w:rsidR="00A215E1" w:rsidRDefault="00A215E1" w14:paraId="17932797" w14:textId="77777777" w:rsidP="00A215E1" w:rsidRPr="00126D54">
            <w:pPr>
              <w:spacing w:line="360" w:lineRule="auto"/>
              <w:rPr>
                <w:rFonts w:cs="Times New Roman"/>
                <w:szCs w:val="24"/>
              </w:rPr>
            </w:pPr>
            <w:r w:rsidRPr="00126D54">
              <w:rPr>
                <w:rFonts w:cs="Times New Roman"/>
                <w:szCs w:val="24"/>
              </w:rPr>
              <w:t xml:space="preserve">Retained profits at </w:t>
            </w:r>
            <w:r>
              <w:rPr>
                <w:rFonts w:cs="Times New Roman"/>
                <w:szCs w:val="24"/>
              </w:rPr>
              <w:t>January 1 2019</w:t>
            </w:r>
          </w:p>
        </w:tc>
        <w:tc>
          <w:tcPr>
            <w:tcW w:w="3325" w:type="dxa"/>
          </w:tcPr>
          <w:p w:rsidR="00A215E1" w:rsidRDefault="00A215E1" w14:paraId="03628E8C" w14:textId="77777777" w:rsidP="00A215E1"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132,000</w:t>
            </w:r>
          </w:p>
        </w:tc>
      </w:tr>
      <w:tr w14:paraId="53A43DFF" w14:textId="77777777" w:rsidR="00A215E1" w:rsidRPr="00126D54" w:rsidTr="00A215E1">
        <w:tc>
          <w:tcPr>
            <w:cnfStyle w:val="001000000000" w:firstRow="0" w:lastRow="0" w:firstColumn="1" w:lastColumn="0" w:oddVBand="0" w:evenVBand="0" w:oddHBand="0" w:evenHBand="0" w:firstRowFirstColumn="0" w:firstRowLastColumn="0" w:lastRowFirstColumn="0" w:lastRowLastColumn="0"/>
            <w:tcW w:w="6025" w:type="dxa"/>
          </w:tcPr>
          <w:p w:rsidR="00A215E1" w:rsidRDefault="00A215E1" w14:paraId="516D3F6A" w14:textId="77777777" w:rsidP="00A215E1" w:rsidRPr="00126D54">
            <w:pPr>
              <w:spacing w:line="360" w:lineRule="auto"/>
              <w:rPr>
                <w:rFonts w:cs="Times New Roman"/>
                <w:szCs w:val="24"/>
              </w:rPr>
            </w:pPr>
            <w:r w:rsidRPr="00126D54">
              <w:rPr>
                <w:color w:val="000000"/>
                <w:rFonts w:cs="Times New Roman"/>
                <w:szCs w:val="24"/>
              </w:rPr>
              <w:t>Profit for the year</w:t>
            </w:r>
          </w:p>
        </w:tc>
        <w:tc>
          <w:tcPr>
            <w:tcW w:w="3325" w:type="dxa"/>
          </w:tcPr>
          <w:p w:rsidR="00A215E1" w:rsidRDefault="00A215E1" w14:paraId="6726B96B" w14:textId="77777777" w:rsidP="00A215E1" w:rsidRPr="00126D54">
            <w:pPr>
              <w:cnfStyle w:val="000000000000" w:firstRow="0" w:lastRow="0" w:firstColumn="0" w:lastColumn="0" w:oddVBand="0" w:evenVBand="0" w:oddHBand="0" w:evenHBand="0" w:firstRowFirstColumn="0" w:firstRowLastColumn="0" w:lastRowFirstColumn="0" w:lastRowLastColumn="0"/>
              <w:spacing w:line="360" w:lineRule="auto"/>
              <w:rPr>
                <w:rFonts w:cs="Times New Roman"/>
                <w:szCs w:val="24"/>
              </w:rPr>
            </w:pPr>
            <w:r w:rsidRPr="00126D54">
              <w:rPr>
                <w:color w:val="000000"/>
                <w:rFonts w:cs="Times New Roman"/>
                <w:szCs w:val="24"/>
              </w:rPr>
              <w:t>78,980</w:t>
            </w:r>
          </w:p>
        </w:tc>
      </w:tr>
      <w:tr w14:paraId="533DF9C5" w14:textId="77777777" w:rsidR="00A215E1" w:rsidRPr="00126D54" w:rsidTr="00A215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5" w:type="dxa"/>
          </w:tcPr>
          <w:p w:rsidR="00A215E1" w:rsidRDefault="00A215E1" w14:paraId="5EEB50B4" w14:textId="77777777" w:rsidP="00A215E1" w:rsidRPr="00126D54">
            <w:pPr>
              <w:spacing w:line="360" w:lineRule="auto"/>
              <w:rPr>
                <w:rFonts w:cs="Times New Roman"/>
                <w:szCs w:val="24"/>
              </w:rPr>
            </w:pPr>
            <w:r w:rsidRPr="00126D54">
              <w:rPr>
                <w:rFonts w:cs="Times New Roman"/>
                <w:szCs w:val="24"/>
              </w:rPr>
              <w:t xml:space="preserve">Preference dividend paid </w:t>
            </w:r>
          </w:p>
        </w:tc>
        <w:tc>
          <w:tcPr>
            <w:tcW w:w="3325" w:type="dxa"/>
          </w:tcPr>
          <w:p w:rsidR="00A215E1" w:rsidRDefault="00A215E1" w14:paraId="0483E6E8" w14:textId="77777777" w:rsidP="00A215E1" w:rsidRPr="00126D54">
            <w:pPr>
              <w:cnfStyle w:val="000000100000" w:firstRow="0" w:lastRow="0" w:firstColumn="0" w:lastColumn="0" w:oddVBand="0" w:evenVBand="0" w:oddHBand="1" w:evenHBand="0" w:firstRowFirstColumn="0" w:firstRowLastColumn="0" w:lastRowFirstColumn="0" w:lastRowLastColumn="0"/>
              <w:spacing w:line="360" w:lineRule="auto"/>
              <w:rPr>
                <w:rFonts w:cs="Times New Roman"/>
                <w:szCs w:val="24"/>
              </w:rPr>
            </w:pPr>
            <w:r w:rsidRPr="00126D54">
              <w:rPr>
                <w:rFonts w:cs="Times New Roman"/>
                <w:szCs w:val="24"/>
              </w:rPr>
              <w:t>(30000)</w:t>
            </w:r>
          </w:p>
        </w:tc>
      </w:tr>
      <w:tr w14:paraId="3216C7F3" w14:textId="77777777" w:rsidR="00A215E1" w:rsidRPr="00126D54" w:rsidTr="00A215E1">
        <w:tc>
          <w:tcPr>
            <w:cnfStyle w:val="001000000000" w:firstRow="0" w:lastRow="0" w:firstColumn="1" w:lastColumn="0" w:oddVBand="0" w:evenVBand="0" w:oddHBand="0" w:evenHBand="0" w:firstRowFirstColumn="0" w:firstRowLastColumn="0" w:lastRowFirstColumn="0" w:lastRowLastColumn="0"/>
            <w:tcW w:w="6025" w:type="dxa"/>
          </w:tcPr>
          <w:p w:rsidR="00A215E1" w:rsidRDefault="00A215E1" w14:paraId="0BA3C9D8" w14:textId="77777777" w:rsidP="00A215E1" w:rsidRPr="00126D54">
            <w:pPr>
              <w:spacing w:line="360" w:lineRule="auto"/>
              <w:rPr>
                <w:rFonts w:cs="Times New Roman"/>
                <w:szCs w:val="24"/>
              </w:rPr>
            </w:pPr>
          </w:p>
        </w:tc>
        <w:tc>
          <w:tcPr>
            <w:tcW w:w="3325" w:type="dxa"/>
          </w:tcPr>
          <w:p w:rsidR="00A215E1" w:rsidRDefault="00A215E1" w14:paraId="25831DB1" w14:textId="77777777" w:rsidP="00A215E1" w:rsidRPr="00126D54">
            <w:pPr>
              <w:cnfStyle w:val="000000000000" w:firstRow="0" w:lastRow="0" w:firstColumn="0" w:lastColumn="0" w:oddVBand="0" w:evenVBand="0" w:oddHBand="0" w:evenHBand="0" w:firstRowFirstColumn="0" w:firstRowLastColumn="0" w:lastRowFirstColumn="0" w:lastRowLastColumn="0"/>
              <w:spacing w:line="360" w:lineRule="auto"/>
              <w:rPr>
                <w:u w:val="double"/>
                <w:rFonts w:cs="Times New Roman"/>
                <w:szCs w:val="24"/>
              </w:rPr>
            </w:pPr>
            <w:r w:rsidRPr="00126D54">
              <w:rPr>
                <w:u w:val="double"/>
                <w:rFonts w:cs="Times New Roman"/>
                <w:szCs w:val="24"/>
              </w:rPr>
              <w:t>180,980</w:t>
            </w:r>
          </w:p>
        </w:tc>
      </w:tr>
    </w:tbl>
    <w:p w:rsidR="00A215E1" w:rsidRDefault="00A215E1" w14:paraId="2F01750B" w14:textId="77777777" w:rsidP="00A215E1">
      <w:pPr>
        <w:jc w:val="both"/>
        <w:spacing w:line="360" w:lineRule="auto"/>
        <w:rPr>
          <w:b/>
          <w:sz w:val="32"/>
        </w:rPr>
      </w:pPr>
    </w:p>
    <w:p w:rsidR="00A215E1" w:rsidRDefault="00A215E1" w14:paraId="65F3F093" w14:textId="77777777" w:rsidP="001C502F">
      <w:pPr>
        <w:jc w:val="both"/>
        <w:spacing w:line="360" w:lineRule="auto"/>
      </w:pPr>
      <w:r>
        <w:t xml:space="preserve">The simple understanding of owner’s equity can be described as </w:t>
      </w:r>
      <w:r w:rsidR="001C502F">
        <w:t>it is the amount of money shareholders invested along with the accumulated earnings of them</w:t>
      </w:r>
      <w:r w:rsidR="00A715D9">
        <w:t xml:space="preserve"> </w:t>
      </w:r>
      <w:r w:rsidR="00A715D9" w:rsidRPr="00A715D9">
        <w:t>(Ross, 2017)</w:t>
      </w:r>
      <w:r w:rsidR="001C502F">
        <w:t>. At the end of the year the equity statement is prepared along with other important financial reports of the organisation. The statement portrays the change occurs form the beginning to the end of the fiscal year on the equity of the organisation</w:t>
      </w:r>
      <w:r w:rsidR="00A715D9">
        <w:t xml:space="preserve"> </w:t>
      </w:r>
      <w:r w:rsidR="00A715D9" w:rsidRPr="00A715D9">
        <w:t>(Salavei, 2010)</w:t>
      </w:r>
      <w:r w:rsidR="001C502F">
        <w:t xml:space="preserve">. The equity statement of Kedison PLC shows the amount of profit for the organisation and the profit amount for the organisation. </w:t>
      </w:r>
    </w:p>
    <w:p w:rsidR="001C502F" w:rsidRDefault="001C502F" w14:paraId="5A611F7A" w14:textId="77777777" w:rsidP="001C502F">
      <w:pPr>
        <w:jc w:val="both"/>
        <w:spacing w:line="360" w:lineRule="auto"/>
      </w:pPr>
      <w:r>
        <w:t xml:space="preserve">Various financial reports of the organisation portrays the financial health of the organisation and assists the management of the organisation to take essential decisions to make further progress of the business organisation. </w:t>
      </w:r>
    </w:p>
    <w:p w:rsidR="001C502F" w:rsidRDefault="001C502F" w14:paraId="5B01709F" w14:textId="77777777" w:rsidP="001C502F">
      <w:pPr>
        <w:pStyle w:val="Heading1"/>
        <w:spacing w:line="360" w:lineRule="auto"/>
      </w:pPr>
      <w:bookmarkStart w:id="3" w:name="_Toc77717511"/>
      <w:r>
        <w:t>Answer to the Question No 1 (b)</w:t>
        <w:lastRenderedPageBreak/>
      </w:r>
      <w:bookmarkEnd w:id="3"/>
      <w:r>
        <w:t xml:space="preserve"> </w:t>
      </w:r>
    </w:p>
    <w:p w:rsidR="001C502F" w:rsidRDefault="001C502F" w14:paraId="614A73C7" w14:textId="77777777" w:rsidP="001C502F">
      <w:pPr>
        <w:pStyle w:val="Heading2"/>
        <w:spacing w:line="360" w:lineRule="auto"/>
      </w:pPr>
      <w:bookmarkStart w:id="4" w:name="_Toc77717512"/>
      <w:r>
        <w:t>Financial Statement position always balance: the reasons behind it</w:t>
      </w:r>
      <w:bookmarkEnd w:id="4"/>
      <w:r>
        <w:t xml:space="preserve"> </w:t>
      </w:r>
    </w:p>
    <w:p w:rsidR="00C76C31" w:rsidRDefault="009636EC" w14:paraId="00488857" w14:textId="77777777" w:rsidP="00FE3BC9">
      <w:pPr>
        <w:jc w:val="both"/>
        <w:spacing w:line="360" w:lineRule="auto"/>
      </w:pPr>
      <w:r>
        <w:t>The statement of financial position has another name that is the balance sheet. The financial position statement reports the assets, liabilities and the equity of the business organisation within the given period of time</w:t>
      </w:r>
      <w:r w:rsidR="008C36E5">
        <w:t xml:space="preserve"> </w:t>
      </w:r>
      <w:r w:rsidR="008C36E5" w:rsidRPr="008C36E5">
        <w:t>(Bhutta and Shah, 2013)</w:t>
      </w:r>
      <w:r>
        <w:t xml:space="preserve">. This financial statement of position is the quick view of the financial condition of the company at a certain period of time. </w:t>
      </w:r>
      <w:r w:rsidR="00C76C31">
        <w:t xml:space="preserve">The accounting fundamental equation A = L + OE (Assets = Liabilities + Owner’s Equity) is the base of the financial statement position reports. </w:t>
      </w:r>
    </w:p>
    <w:p w:rsidR="00C76C31" w:rsidRDefault="00C76C31" w14:paraId="79A32C6C" w14:textId="77777777" w:rsidP="00FE3BC9">
      <w:pPr>
        <w:jc w:val="both"/>
        <w:spacing w:line="360" w:lineRule="auto"/>
      </w:pPr>
      <w:r>
        <w:t>There are few accounting principles among them the double entry accounting principle is popular and vastly used</w:t>
      </w:r>
      <w:r w:rsidR="00A715D9">
        <w:t xml:space="preserve"> </w:t>
      </w:r>
      <w:r w:rsidR="00A715D9" w:rsidRPr="00A715D9">
        <w:t>(Purnomo, 2018)</w:t>
      </w:r>
      <w:r>
        <w:t xml:space="preserve">. One of the major reason the financial statement position or balance sheet balances is the principle of double entry. </w:t>
      </w:r>
      <w:r w:rsidR="00FE3BC9">
        <w:t>In this double entry accounting system all account balances of transections get entry in at least two accounts. That is why the balance of balance sheet is remains equal</w:t>
      </w:r>
      <w:r w:rsidR="00A715D9">
        <w:t xml:space="preserve"> </w:t>
      </w:r>
      <w:r w:rsidR="00A715D9" w:rsidRPr="00A715D9">
        <w:t>(Purnomo, 2018)</w:t>
      </w:r>
      <w:r w:rsidR="00FE3BC9">
        <w:t xml:space="preserve">. From the fundamental accounting equation all the Components is needed and traded carefully to keep the balance of the financial statement position. It shows transparency and affectivity of the equation. </w:t>
      </w:r>
    </w:p>
    <w:p w:rsidR="00FE3BC9" w:rsidRDefault="00FE3BC9" w14:paraId="03EC1BA2" w14:textId="77777777" w:rsidP="00FE3BC9" w:rsidRPr="00FE3BC9">
      <w:pPr>
        <w:jc w:val="both"/>
        <w:spacing w:line="360" w:lineRule="auto"/>
        <w:rPr>
          <w:b/>
        </w:rPr>
      </w:pPr>
      <w:r w:rsidRPr="00FE3BC9">
        <w:rPr>
          <w:b/>
        </w:rPr>
        <w:t xml:space="preserve">Assets </w:t>
      </w:r>
    </w:p>
    <w:p w:rsidR="00FE3BC9" w:rsidRDefault="00FE3BC9" w14:paraId="13ECC309" w14:textId="77777777" w:rsidP="00FE3BC9">
      <w:pPr>
        <w:jc w:val="both"/>
        <w:spacing w:line="360" w:lineRule="auto"/>
      </w:pPr>
      <w:r>
        <w:t>In the fundamental accounting equation the A stands for the Assets. This is one of the major categories of the balance sheet among three</w:t>
      </w:r>
      <w:r w:rsidR="00A715D9">
        <w:t xml:space="preserve"> </w:t>
      </w:r>
      <w:r w:rsidR="00A715D9" w:rsidRPr="00A715D9">
        <w:t>(Purnomo, 2018)</w:t>
      </w:r>
      <w:r>
        <w:t xml:space="preserve">. Assets are the thing which company owns or has control over it. </w:t>
      </w:r>
      <w:r w:rsidR="00A60A2E">
        <w:t xml:space="preserve">The asset can be current and non-current. Current asset are the short term and adds values for a year whereas non-current asset are the long term asset which brings long term financial benefits exceeding one year period. </w:t>
      </w:r>
    </w:p>
    <w:p w:rsidR="00A60A2E" w:rsidRDefault="00A60A2E" w14:paraId="7D02F80C" w14:textId="77777777" w:rsidP="00FE3BC9">
      <w:pPr>
        <w:jc w:val="both"/>
        <w:spacing w:line="360" w:lineRule="auto"/>
      </w:pPr>
      <w:r>
        <w:t xml:space="preserve">In the statement of financial position assets can be classified, there are different type of assets depending on the nature of it. </w:t>
      </w:r>
    </w:p>
    <w:p w:rsidR="00A60A2E" w:rsidRDefault="00A60A2E" w14:paraId="75F2E502" w14:textId="77777777" w:rsidP="00A60A2E">
      <w:pPr>
        <w:pStyle w:val="ListParagraph"/>
        <w:numPr>
          <w:ilvl w:val="0"/>
          <w:numId w:val="1"/>
        </w:numPr>
        <w:jc w:val="both"/>
        <w:spacing w:line="360" w:lineRule="auto"/>
      </w:pPr>
      <w:r>
        <w:t xml:space="preserve">There are tangible and intangible asset, asset such as property, equipment or Site has physicality they are tangible and the asset such as goodwill has no physical substances is considered as the intangible asset. </w:t>
      </w:r>
    </w:p>
    <w:p w:rsidR="00A60A2E" w:rsidRDefault="003F4335" w14:paraId="0248794A" w14:textId="77777777" w:rsidP="00A60A2E">
      <w:pPr>
        <w:pStyle w:val="ListParagraph"/>
        <w:numPr>
          <w:ilvl w:val="0"/>
          <w:numId w:val="1"/>
        </w:numPr>
        <w:jc w:val="both"/>
        <w:spacing w:line="360" w:lineRule="auto"/>
      </w:pPr>
      <w:r>
        <w:t xml:space="preserve">The sellable goods, raw materials, finished goods are considered as the inventory of the business. Inventories are also current asset of the organisations. </w:t>
      </w:r>
    </w:p>
    <w:p w:rsidR="003F4335" w:rsidRDefault="003F4335" w14:paraId="3161AD3A" w14:textId="77777777" w:rsidP="00A60A2E">
      <w:pPr>
        <w:pStyle w:val="ListParagraph"/>
        <w:numPr>
          <w:ilvl w:val="0"/>
          <w:numId w:val="1"/>
        </w:numPr>
        <w:jc w:val="both"/>
        <w:spacing w:line="360" w:lineRule="auto"/>
      </w:pPr>
      <w:r>
        <w:t xml:space="preserve">Cash and the probable short term investments those can be converted into cash in any minute is the asset of the company. </w:t>
      </w:r>
    </w:p>
    <w:p w:rsidR="003F4335" w:rsidRDefault="003F4335" w14:paraId="0B3F5D65" w14:textId="77777777" w:rsidP="00A60A2E">
      <w:pPr>
        <w:pStyle w:val="ListParagraph"/>
        <w:numPr>
          <w:ilvl w:val="0"/>
          <w:numId w:val="1"/>
        </w:numPr>
        <w:jc w:val="both"/>
        <w:spacing w:line="360" w:lineRule="auto"/>
      </w:pPr>
      <w:r>
        <w:t xml:space="preserve">Accounts receivable of the organisation which are the money customers owes to the company is an asset for the organisation. </w:t>
        <w:lastRenderedPageBreak/>
      </w:r>
    </w:p>
    <w:p w:rsidR="003F4335" w:rsidRDefault="003F4335" w14:paraId="18EEB593" w14:textId="77777777" w:rsidP="003F4335">
      <w:pPr>
        <w:jc w:val="both"/>
        <w:spacing w:line="360" w:lineRule="auto"/>
        <w:rPr>
          <w:b/>
        </w:rPr>
      </w:pPr>
      <w:r w:rsidRPr="003F4335">
        <w:rPr>
          <w:b/>
        </w:rPr>
        <w:t xml:space="preserve">Liabilities </w:t>
      </w:r>
    </w:p>
    <w:p w:rsidR="003F4335" w:rsidRDefault="003F4335" w14:paraId="18B87FA1" w14:textId="77777777" w:rsidP="003F4335">
      <w:pPr>
        <w:jc w:val="both"/>
        <w:spacing w:line="360" w:lineRule="auto"/>
      </w:pPr>
      <w:r>
        <w:t>Liabilities is the second component of the accounting fundamental equation</w:t>
      </w:r>
      <w:r w:rsidR="008C36E5">
        <w:t xml:space="preserve"> </w:t>
      </w:r>
      <w:r w:rsidR="008C36E5" w:rsidRPr="008C36E5">
        <w:t>(Curran, 2017)</w:t>
      </w:r>
      <w:r>
        <w:t>. It is an obligation of the organisation to pay in cash or in other settlements to the people or entities what it owes to them</w:t>
      </w:r>
      <w:r w:rsidR="008C36E5">
        <w:t xml:space="preserve"> </w:t>
      </w:r>
      <w:r w:rsidR="008C36E5" w:rsidRPr="008C36E5">
        <w:t>(Bhutta and Shah, 2013)</w:t>
      </w:r>
      <w:r>
        <w:t>. There is current and non-current liabilities depending on the duration the settlement is going to take place</w:t>
      </w:r>
      <w:r w:rsidR="00A715D9">
        <w:t xml:space="preserve"> </w:t>
      </w:r>
      <w:r w:rsidR="00A715D9" w:rsidRPr="00A715D9">
        <w:t>(Moon, 2018)</w:t>
      </w:r>
      <w:r>
        <w:t xml:space="preserve">. If the settlement is going to happen in short term it is current liabilities. The long term settlements of the liabilities are the non-current liabilities. </w:t>
      </w:r>
    </w:p>
    <w:p w:rsidR="003F4335" w:rsidRDefault="00F86FB2" w14:paraId="7904F1F1" w14:textId="77777777" w:rsidP="003F4335">
      <w:pPr>
        <w:pStyle w:val="ListParagraph"/>
        <w:numPr>
          <w:ilvl w:val="0"/>
          <w:numId w:val="2"/>
        </w:numPr>
        <w:jc w:val="both"/>
        <w:spacing w:line="360" w:lineRule="auto"/>
      </w:pPr>
      <w:r>
        <w:t>Trade of the goods on credit and other payables of the company increases the liability of the organisation.</w:t>
      </w:r>
    </w:p>
    <w:p w:rsidR="00F86FB2" w:rsidRDefault="00F86FB2" w14:paraId="4DC29C11" w14:textId="77777777" w:rsidP="003F4335">
      <w:pPr>
        <w:pStyle w:val="ListParagraph"/>
        <w:numPr>
          <w:ilvl w:val="0"/>
          <w:numId w:val="2"/>
        </w:numPr>
        <w:jc w:val="both"/>
        <w:spacing w:line="360" w:lineRule="auto"/>
      </w:pPr>
      <w:r>
        <w:t xml:space="preserve">The bank loans and bank overdrafts scheduled for less than a year is a liabilities of the organisation. </w:t>
      </w:r>
    </w:p>
    <w:p w:rsidR="00F86FB2" w:rsidRDefault="00F86FB2" w14:paraId="3DEA1935" w14:textId="77777777" w:rsidP="003F4335">
      <w:pPr>
        <w:pStyle w:val="ListParagraph"/>
        <w:numPr>
          <w:ilvl w:val="0"/>
          <w:numId w:val="2"/>
        </w:numPr>
        <w:jc w:val="both"/>
        <w:spacing w:line="360" w:lineRule="auto"/>
      </w:pPr>
      <w:r>
        <w:t xml:space="preserve">Long term loans or long term borrowing are long term liabilities but the present years instalment and the interest of the payment is considered as the current liabilities of the organisation. </w:t>
      </w:r>
    </w:p>
    <w:p w:rsidR="00F86FB2" w:rsidRDefault="00F86FB2" w14:paraId="58D5E8B5" w14:textId="77777777" w:rsidP="003F4335">
      <w:pPr>
        <w:pStyle w:val="ListParagraph"/>
        <w:numPr>
          <w:ilvl w:val="0"/>
          <w:numId w:val="2"/>
        </w:numPr>
        <w:jc w:val="both"/>
        <w:spacing w:line="360" w:lineRule="auto"/>
      </w:pPr>
      <w:r>
        <w:t xml:space="preserve">Current tax payable is </w:t>
      </w:r>
      <w:r w:rsidR="00C923C3">
        <w:t xml:space="preserve">being paid to government every year. The tax of the organisation is current liabilities. </w:t>
      </w:r>
    </w:p>
    <w:p w:rsidR="00C923C3" w:rsidRDefault="00C923C3" w14:paraId="214D5B85" w14:textId="77777777" w:rsidP="00C923C3">
      <w:pPr>
        <w:jc w:val="both"/>
        <w:spacing w:line="360" w:lineRule="auto"/>
        <w:rPr>
          <w:b/>
        </w:rPr>
      </w:pPr>
      <w:r w:rsidRPr="00C923C3">
        <w:rPr>
          <w:b/>
        </w:rPr>
        <w:t>Owner’s Equity or Equity</w:t>
      </w:r>
    </w:p>
    <w:p w:rsidR="00C923C3" w:rsidRDefault="006825C2" w14:paraId="2FBCC925" w14:textId="77777777" w:rsidP="00C923C3">
      <w:pPr>
        <w:jc w:val="both"/>
        <w:spacing w:line="360" w:lineRule="auto"/>
      </w:pPr>
      <w:r>
        <w:t>Equity is the amount of money that organisation owes to its owners or investors. Owner’s equity statement of the organisation showcases the position of the owners in the organisation</w:t>
      </w:r>
      <w:r w:rsidR="00A715D9">
        <w:t xml:space="preserve"> </w:t>
      </w:r>
      <w:r w:rsidR="00A715D9" w:rsidRPr="00A715D9">
        <w:t>(Moon, 2018)</w:t>
      </w:r>
      <w:r>
        <w:t xml:space="preserve">. The owner’s equity is calculated by deducting liabilities from the asset that shows the current equity with the profit amount for the owner of the organisation. </w:t>
      </w:r>
    </w:p>
    <w:p w:rsidR="006825C2" w:rsidRDefault="006825C2" w14:paraId="787D6362" w14:textId="77777777" w:rsidP="006825C2">
      <w:pPr>
        <w:pStyle w:val="ListParagraph"/>
        <w:numPr>
          <w:ilvl w:val="0"/>
          <w:numId w:val="3"/>
        </w:numPr>
        <w:jc w:val="both"/>
        <w:spacing w:line="360" w:lineRule="auto"/>
      </w:pPr>
      <w:r>
        <w:t xml:space="preserve">The capital of the share indicates the amount invested by the owner in the organisation. </w:t>
      </w:r>
    </w:p>
    <w:p w:rsidR="006825C2" w:rsidRDefault="00555092" w14:paraId="7D5AA9B9" w14:textId="77777777" w:rsidP="006825C2">
      <w:pPr>
        <w:pStyle w:val="ListParagraph"/>
        <w:numPr>
          <w:ilvl w:val="0"/>
          <w:numId w:val="3"/>
        </w:numPr>
        <w:jc w:val="both"/>
        <w:spacing w:line="360" w:lineRule="auto"/>
      </w:pPr>
      <w:r>
        <w:t xml:space="preserve">The organisation distributes profit among the investors or owners of the organisation in the form dividends. After the completion of the distribution process the organisation reserves an amount of money for the future of the organisation which is also called retained earnings. </w:t>
      </w:r>
    </w:p>
    <w:p w:rsidR="00555092" w:rsidRDefault="00555092" w14:paraId="1A2E199E" w14:textId="77777777" w:rsidP="006825C2">
      <w:pPr>
        <w:pStyle w:val="ListParagraph"/>
        <w:numPr>
          <w:ilvl w:val="0"/>
          <w:numId w:val="3"/>
        </w:numPr>
        <w:jc w:val="both"/>
        <w:spacing w:line="360" w:lineRule="auto"/>
      </w:pPr>
      <w:r>
        <w:t xml:space="preserve">The revaluation of any property, plant or equipment is considered as the owner’s equity in the organisation. </w:t>
      </w:r>
    </w:p>
    <w:p w:rsidR="00555092" w:rsidRDefault="00555092" w14:paraId="75997C2A" w14:textId="77777777" w:rsidP="00555092">
      <w:pPr>
        <w:jc w:val="both"/>
        <w:spacing w:line="360" w:lineRule="auto"/>
      </w:pPr>
      <w:r>
        <w:t>The balance sheet or the statement of financial position is designed in a matter that the total asset of the organisation will always be equal to total amount of liabilities and owner’s equity</w:t>
        <w:lastRenderedPageBreak/>
      </w:r>
      <w:r w:rsidR="008C36E5">
        <w:t xml:space="preserve"> </w:t>
      </w:r>
      <w:r w:rsidR="008C36E5" w:rsidRPr="008C36E5">
        <w:t>(Curran, 2017)</w:t>
      </w:r>
      <w:r>
        <w:t>. As we assessed the reason behind the balance of financial statement of position or balance sheet, we retrieve data and can conclude that the asset of the organisation is resourced form both external source such as bank loans and the internal source such as share capital and profits</w:t>
      </w:r>
      <w:r w:rsidR="00A715D9">
        <w:t xml:space="preserve"> </w:t>
      </w:r>
      <w:r w:rsidR="00A715D9" w:rsidRPr="00A715D9">
        <w:t>(Moon, 2018)</w:t>
      </w:r>
      <w:r>
        <w:t xml:space="preserve">. Because of that the total asset will be equal to total ownership or the investment of owners and total borrowing of the money from the other sources. </w:t>
      </w:r>
    </w:p>
    <w:p w:rsidR="00555092" w:rsidRDefault="00555092" w14:paraId="1C3D5930" w14:textId="77777777" w:rsidP="00555092">
      <w:pPr>
        <w:jc w:val="both"/>
        <w:spacing w:line="360" w:lineRule="auto"/>
      </w:pPr>
      <w:r>
        <w:t>In accounting equation we can see that Asset = Liabilities + Owner’s equity</w:t>
      </w:r>
      <w:r w:rsidR="00925AE5">
        <w:t xml:space="preserve"> </w:t>
      </w:r>
      <w:r w:rsidR="00925AE5" w:rsidRPr="00925AE5">
        <w:t>(Yorston, Smyth, Kenley and Brown, 2015)</w:t>
      </w:r>
      <w:r>
        <w:t xml:space="preserve">. </w:t>
      </w:r>
      <w:r w:rsidR="00793BB0">
        <w:t xml:space="preserve">That is why the balance sheet balances always balance. </w:t>
      </w:r>
    </w:p>
    <w:p w:rsidR="00CB706A" w:rsidRDefault="00793BB0" w14:paraId="789338B6" w14:textId="65F3F6F3" w:rsidP="00555092">
      <w:pPr>
        <w:jc w:val="both"/>
        <w:spacing w:line="360" w:lineRule="auto"/>
      </w:pPr>
      <w:r>
        <w:t>Statement of financial position of the organisation assists to understand the financial health of the organisation</w:t>
      </w:r>
      <w:r w:rsidR="00A715D9">
        <w:t xml:space="preserve"> </w:t>
      </w:r>
      <w:r w:rsidR="00A715D9" w:rsidRPr="00A715D9">
        <w:t>(McBride and Verma, 2021)</w:t>
      </w:r>
      <w:r>
        <w:t xml:space="preserve">. Balance sheet provides information regarding the organisation’s liquidity risk, credit risk, financial risk, and business risk. The statement of financial position of the organisation enables to take vital decisions and know risks associated with the further earnings of the organisation. </w:t>
      </w:r>
    </w:p>
    <w:p w:rsidR="00CB706A" w:rsidRDefault="00CB706A" w14:paraId="5B55B080" w14:textId="77777777">
      <w:r>
        <w:br w:type="page"/>
      </w:r>
    </w:p>
    <w:p w:rsidR="00793BB0" w:rsidRDefault="00793BB0" w14:paraId="353C50C9" w14:textId="77777777" w:rsidP="00555092">
      <w:pPr>
        <w:jc w:val="both"/>
        <w:spacing w:line="360" w:lineRule="auto"/>
      </w:pPr>
    </w:p>
    <w:p w:rsidR="00793BB0" w:rsidRDefault="00793BB0" w14:paraId="42F399C0" w14:textId="77777777" w:rsidP="002610FF">
      <w:pPr>
        <w:pStyle w:val="Heading1"/>
        <w:spacing w:line="360" w:lineRule="auto"/>
      </w:pPr>
      <w:bookmarkStart w:id="5" w:name="_Toc77717513"/>
      <w:r>
        <w:t>Answer to the Question no 2 (a)</w:t>
      </w:r>
      <w:bookmarkEnd w:id="5"/>
    </w:p>
    <w:p w:rsidR="002610FF" w:rsidRDefault="002610FF" w14:paraId="165E2981" w14:textId="77777777" w:rsidP="002610FF">
      <w:pPr>
        <w:pStyle w:val="Heading2"/>
        <w:spacing w:line="360" w:lineRule="auto"/>
      </w:pPr>
      <w:bookmarkStart w:id="6" w:name="_Toc77717514"/>
      <w:r>
        <w:t>Calculation of various ratios for the Chocco PLC for the year 2020 &amp;2019: formulas and workings</w:t>
      </w:r>
      <w:bookmarkEnd w:id="6"/>
      <w:r>
        <w:t xml:space="preserve"> </w:t>
      </w:r>
    </w:p>
    <w:p w:rsidR="002610FF" w:rsidRDefault="00C310E5" w14:paraId="356AE9AB" w14:textId="77777777" w:rsidP="00A715D9">
      <w:pPr>
        <w:pStyle w:val="ListParagraph"/>
        <w:numPr>
          <w:ilvl w:val="0"/>
          <w:numId w:val="4"/>
        </w:numPr>
        <w:jc w:val="both"/>
        <w:spacing w:line="360" w:lineRule="auto"/>
      </w:pPr>
      <w:r>
        <w:t>ROCE stands for Return Of Capital Employed. This financial ratio determines the profitability and efficiency of the applied capital in the organisation</w:t>
      </w:r>
      <w:r w:rsidR="008C36E5">
        <w:t xml:space="preserve"> </w:t>
      </w:r>
      <w:r w:rsidR="008C36E5" w:rsidRPr="008C36E5">
        <w:t>(Curran, 2017)</w:t>
      </w:r>
      <w:r>
        <w:t>. High ration of ROCE indicates the fruitful uses of the company resources</w:t>
      </w:r>
      <w:r w:rsidR="00A715D9">
        <w:t xml:space="preserve"> </w:t>
      </w:r>
      <w:r w:rsidR="00A715D9" w:rsidRPr="00A715D9">
        <w:t>(McBride and Verma, 2021)</w:t>
      </w:r>
      <w:r>
        <w:t xml:space="preserve">. ROCE formula and calculation of the Chocco PLC for the year of 2020 and 2019 is given below: </w:t>
      </w:r>
    </w:p>
    <w:tbl>
      <w:tblPr>
        <w:tblW w:w="9451" w:type="dxa"/>
        <w:tblStyle w:val="GridTable4-Accent4"/>
        <w:tblLook w:val="4A0"/>
      </w:tblPr>
      <w:tblGrid>
        <w:gridCol w:w="4730"/>
        <w:gridCol w:w="4721"/>
      </w:tblGrid>
      <w:tr w14:paraId="6370DC8A" w14:textId="77777777" w:rsidR="00C310E5" w:rsidRPr="00D32D53" w:rsidTr="00B25C5B">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gridSpan w:val="2"/>
            <w:tcW w:w="9451" w:type="dxa"/>
          </w:tcPr>
          <w:p w:rsidR="00C310E5" w:rsidRDefault="00C310E5" w14:paraId="61931A9D" w14:textId="77777777" w:rsidP="00B25C5B" w:rsidRPr="00D32D53">
            <w:pPr>
              <w:tabs>
                <w:tab w:val="center" w:pos="4564"/>
              </w:tabs>
              <w:rPr>
                <w:iCs/>
                <w:rFonts w:cs="Times New Roman" w:eastAsiaTheme="minorEastAsia"/>
                <w:szCs w:val="24"/>
              </w:rPr>
            </w:pPr>
            <m:oMathPara>
              <m:oMath>
                <m:r>
                  <m:rPr>
                    <m:sty m:val="b"/>
                  </m:rPr>
                  <w:rPr>
                    <w:rFonts w:ascii="Cambria Math" w:eastAsiaTheme="minorEastAsia" w:hAnsi="Cambria Math" w:cs="Times New Roman"/>
                    <w:szCs w:val="24"/>
                  </w:rPr>
                  <m:t>ROCE Formula=</m:t>
                </m:r>
                <m:f>
                  <m:fPr>
                    <m:ctrlPr>
                      <w:rPr>
                        <w:rFonts w:ascii="Cambria Math" w:hAnsi="Cambria Math" w:cs="Times New Roman"/>
                        <w:iCs/>
                        <w:szCs w:val="24"/>
                      </w:rPr>
                    </m:ctrlPr>
                  </m:fPr>
                  <m:num>
                    <m:r>
                      <m:rPr>
                        <m:sty m:val="b"/>
                      </m:rPr>
                      <w:rPr>
                        <w:rFonts w:ascii="Cambria Math" w:hAnsi="Cambria Math" w:cs="Times New Roman"/>
                        <w:szCs w:val="24"/>
                      </w:rPr>
                      <m:t>Operating earnings</m:t>
                    </m:r>
                  </m:num>
                  <m:den>
                    <m:r>
                      <m:rPr>
                        <m:sty m:val="b"/>
                      </m:rPr>
                      <w:rPr>
                        <w:rFonts w:ascii="Cambria Math" w:hAnsi="Cambria Math" w:cs="Times New Roman"/>
                        <w:szCs w:val="24"/>
                      </w:rPr>
                      <m:t>Capital enployed</m:t>
                    </m:r>
                  </m:den>
                </m:f>
                <m:r>
                  <m:rPr>
                    <m:sty m:val="bi"/>
                  </m:rPr>
                  <w:rPr>
                    <w:rFonts w:ascii="Cambria Math" w:hAnsi="Cambria Math" w:cs="Times New Roman"/>
                    <w:szCs w:val="24"/>
                  </w:rPr>
                  <m:t>×100%</m:t>
                </m:r>
              </m:oMath>
            </m:oMathPara>
          </w:p>
        </w:tc>
      </w:tr>
      <w:tr w14:paraId="6434C448" w14:textId="77777777" w:rsidR="00C310E5" w:rsidRPr="00D32D53" w:rsidTr="00B25C5B">
        <w:trPr>
          <w:cnfStyle w:val="000000100000" w:firstRow="0" w:lastRow="0" w:firstColumn="0" w:lastColumn="0" w:oddVBand="0" w:evenVBand="0" w:oddHBand="1" w:evenHBand="0" w:firstRowFirstColumn="0" w:firstRowLastColumn="0" w:lastRowFirstColumn="0" w:lastRowLastColumn="0"/>
          <w:trHeight w:val="969"/>
        </w:trPr>
        <w:tc>
          <w:tcPr>
            <w:cnfStyle w:val="001000000000" w:firstRow="0" w:lastRow="0" w:firstColumn="1" w:lastColumn="0" w:oddVBand="0" w:evenVBand="0" w:oddHBand="0" w:evenHBand="0" w:firstRowFirstColumn="0" w:firstRowLastColumn="0" w:lastRowFirstColumn="0" w:lastRowLastColumn="0"/>
            <w:tcW w:w="4730" w:type="dxa"/>
          </w:tcPr>
          <w:p w:rsidR="00C310E5" w:rsidRDefault="00C310E5" w14:paraId="7BC97C5C" w14:textId="77777777" w:rsidP="00B25C5B" w:rsidRPr="00D32D53">
            <w:pPr>
              <w:rPr>
                <w:rFonts w:cs="Times New Roman" w:eastAsiaTheme="minorEastAsia"/>
                <w:szCs w:val="24"/>
              </w:rPr>
            </w:pPr>
            <w:r w:rsidRPr="00B25C5B">
              <w:rPr>
                <w:bCs w:val="0"/>
                <w:rFonts w:cs="Times New Roman"/>
                <w:szCs w:val="24"/>
              </w:rPr>
              <w:t>ROCE for year 2020</w:t>
            </w:r>
            <w:r w:rsidRPr="00D32D53">
              <w:rPr>
                <w:rFonts w:cs="Times New Roman"/>
                <w:szCs w:val="24"/>
              </w:rPr>
              <w:t xml:space="preserve">= </w:t>
            </w:r>
            <m:oMath>
              <m:f>
                <m:fPr>
                  <m:ctrlPr>
                    <w:rPr>
                      <w:rFonts w:ascii="Cambria Math" w:hAnsi="Cambria Math" w:cs="Times New Roman"/>
                      <w:i/>
                      <w:szCs w:val="24"/>
                    </w:rPr>
                  </m:ctrlPr>
                </m:fPr>
                <m:num>
                  <m:r>
                    <m:rPr>
                      <m:sty m:val="bi"/>
                    </m:rPr>
                    <w:rPr>
                      <w:rFonts w:ascii="Cambria Math" w:hAnsi="Cambria Math" w:cs="Times New Roman"/>
                      <w:szCs w:val="24"/>
                    </w:rPr>
                    <m:t>620</m:t>
                  </m:r>
                </m:num>
                <m:den>
                  <m:r>
                    <m:rPr>
                      <m:sty m:val="b"/>
                    </m:rPr>
                    <w:rPr>
                      <w:rFonts w:ascii="Cambria Math" w:hAnsi="Cambria Math" w:cs="Times New Roman"/>
                      <w:szCs w:val="24"/>
                    </w:rPr>
                    <m:t>9,736</m:t>
                  </m:r>
                  <m:r>
                    <m:rPr>
                      <m:sty m:val="bi"/>
                    </m:rPr>
                    <w:rPr>
                      <w:rFonts w:ascii="Cambria Math" w:hAnsi="Cambria Math" w:cs="Times New Roman"/>
                      <w:szCs w:val="24"/>
                    </w:rPr>
                    <m:t>-</m:t>
                  </m:r>
                  <m:r>
                    <m:rPr>
                      <m:sty m:val="b"/>
                    </m:rPr>
                    <w:rPr>
                      <w:rFonts w:ascii="Cambria Math" w:hAnsi="Cambria Math" w:cs="Times New Roman"/>
                      <w:szCs w:val="24"/>
                    </w:rPr>
                    <m:t>(2,511)</m:t>
                  </m:r>
                </m:den>
              </m:f>
              <m:r>
                <m:rPr>
                  <m:sty m:val="bi"/>
                </m:rPr>
                <w:rPr>
                  <w:rFonts w:ascii="Cambria Math" w:hAnsi="Cambria Math" w:cs="Times New Roman"/>
                  <w:szCs w:val="24"/>
                </w:rPr>
                <m:t>×100%</m:t>
              </m:r>
            </m:oMath>
            <w:r w:rsidRPr="00D32D53">
              <w:rPr>
                <w:rFonts w:cs="Times New Roman" w:eastAsiaTheme="minorEastAsia"/>
                <w:szCs w:val="24"/>
              </w:rPr>
              <w:t xml:space="preserve"> = 8.581%</w:t>
            </w:r>
          </w:p>
        </w:tc>
        <w:tc>
          <w:tcPr>
            <w:tcW w:w="4720" w:type="dxa"/>
          </w:tcPr>
          <w:p w:rsidR="00C310E5" w:rsidRDefault="00C310E5" w14:paraId="7BB4DAA4" w14:textId="77777777" w:rsidP="00B25C5B" w:rsidRPr="00D32D53">
            <w:pPr>
              <w:cnfStyle w:val="000000100000" w:firstRow="0" w:lastRow="0" w:firstColumn="0" w:lastColumn="0" w:oddVBand="0" w:evenVBand="0" w:oddHBand="1" w:evenHBand="0" w:firstRowFirstColumn="0" w:firstRowLastColumn="0" w:lastRowFirstColumn="0" w:lastRowLastColumn="0"/>
              <w:rPr>
                <w:color w:val="0E101A"/>
                <w:rFonts w:cs="Times New Roman" w:eastAsia="Times New Roman"/>
                <w:szCs w:val="24"/>
              </w:rPr>
            </w:pPr>
            <w:r>
              <w:rPr>
                <w:bCs/>
                <w:b/>
                <w:rFonts w:cs="Times New Roman"/>
                <w:szCs w:val="24"/>
              </w:rPr>
              <w:t>ROCE for year 2019</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539</m:t>
                  </m:r>
                </m:num>
                <m:den>
                  <m:r>
                    <m:rPr>
                      <m:sty m:val="p"/>
                    </m:rPr>
                    <w:rPr>
                      <w:rFonts w:ascii="Cambria Math" w:hAnsi="Cambria Math" w:cs="Times New Roman"/>
                      <w:szCs w:val="24"/>
                    </w:rPr>
                    <m:t>10,087-3046</m:t>
                  </m:r>
                </m:den>
              </m:f>
              <m:r>
                <w:rPr>
                  <w:rFonts w:ascii="Cambria Math" w:hAnsi="Cambria Math" w:cs="Times New Roman"/>
                  <w:szCs w:val="24"/>
                </w:rPr>
                <m:t>×100%</m:t>
              </m:r>
            </m:oMath>
            <w:r w:rsidRPr="00D32D53">
              <w:rPr>
                <w:rFonts w:cs="Times New Roman" w:eastAsiaTheme="minorEastAsia"/>
                <w:szCs w:val="24"/>
              </w:rPr>
              <w:t>= 7.655%</w:t>
            </w:r>
          </w:p>
        </w:tc>
      </w:tr>
    </w:tbl>
    <w:p w:rsidR="00C310E5" w:rsidRDefault="00C310E5" w14:paraId="575ADDFD" w14:textId="77777777" w:rsidP="00C310E5">
      <w:pPr>
        <w:jc w:val="both"/>
        <w:spacing w:line="360" w:lineRule="auto"/>
      </w:pPr>
    </w:p>
    <w:p w:rsidR="00C310E5" w:rsidRDefault="00724581" w14:paraId="540318F6" w14:textId="77777777" w:rsidP="00925AE5">
      <w:pPr>
        <w:pStyle w:val="ListParagraph"/>
        <w:numPr>
          <w:ilvl w:val="0"/>
          <w:numId w:val="4"/>
        </w:numPr>
        <w:jc w:val="both"/>
        <w:spacing w:line="360" w:lineRule="auto"/>
      </w:pPr>
      <w:r>
        <w:t>ROE is an acronym of Return on Equity</w:t>
      </w:r>
      <w:r w:rsidR="00A715D9">
        <w:t xml:space="preserve"> </w:t>
      </w:r>
      <w:r w:rsidR="00A715D9" w:rsidRPr="00A715D9">
        <w:t>(McBride and Verma, 2021)</w:t>
      </w:r>
      <w:r>
        <w:t>. It is calculated dividing net income by the shareholder equity ROE is the return percentage from the net assets of the organisation</w:t>
      </w:r>
      <w:r w:rsidR="00925AE5">
        <w:t xml:space="preserve"> </w:t>
      </w:r>
      <w:r w:rsidR="00925AE5" w:rsidRPr="00925AE5">
        <w:t>(Yorston, Smyth, Kenley and Brown, 2015)</w:t>
      </w:r>
      <w:r>
        <w:t xml:space="preserve">. ROE of Chocco PLC is calculated below for the year of 2020 and 2019: </w:t>
      </w:r>
    </w:p>
    <w:tbl>
      <w:tblPr>
        <w:tblW w:w="9556" w:type="dxa"/>
        <w:tblStyle w:val="GridTable4"/>
        <w:tblLook w:val="4A0"/>
      </w:tblPr>
      <w:tblGrid>
        <w:gridCol w:w="4757"/>
        <w:gridCol w:w="4799"/>
      </w:tblGrid>
      <w:tr w14:paraId="06B8BBCE" w14:textId="77777777" w:rsidR="00724581" w:rsidRPr="00D32D53" w:rsidTr="00B25C5B">
        <w:trPr>
          <w:cnfStyle w:val="100000000000" w:firstRow="1" w:lastRow="0" w:firstColumn="0" w:lastColumn="0" w:oddVBand="0" w:evenVBand="0" w:oddHBand="0"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gridSpan w:val="2"/>
            <w:tcW w:w="9556" w:type="dxa"/>
          </w:tcPr>
          <w:p w:rsidR="00724581" w:rsidRDefault="00724581" w14:paraId="15E17E58" w14:textId="77777777" w:rsidP="00B25C5B" w:rsidRPr="00D32D53">
            <w:pPr>
              <w:rPr>
                <w:iCs/>
                <w:rFonts w:cs="Times New Roman" w:eastAsiaTheme="minorEastAsia"/>
                <w:szCs w:val="24"/>
              </w:rPr>
            </w:pPr>
            <m:oMathPara>
              <m:oMath>
                <m:r>
                  <m:rPr>
                    <m:sty m:val="b"/>
                  </m:rPr>
                  <w:rPr>
                    <w:rFonts w:ascii="Cambria Math" w:hAnsi="Cambria Math" w:cs="Times New Roman"/>
                    <w:szCs w:val="24"/>
                  </w:rPr>
                  <m:t>ROE Formula=</m:t>
                </m:r>
                <m:f>
                  <m:fPr>
                    <m:ctrlPr>
                      <w:rPr>
                        <w:rFonts w:ascii="Cambria Math" w:hAnsi="Cambria Math" w:cs="Times New Roman"/>
                        <w:iCs/>
                        <w:szCs w:val="24"/>
                      </w:rPr>
                    </m:ctrlPr>
                  </m:fPr>
                  <m:num>
                    <m:r>
                      <m:rPr>
                        <m:sty m:val="b"/>
                      </m:rPr>
                      <w:rPr>
                        <w:rFonts w:ascii="Cambria Math" w:hAnsi="Cambria Math" w:cs="Times New Roman"/>
                        <w:szCs w:val="24"/>
                      </w:rPr>
                      <m:t>Net Income (annual)</m:t>
                    </m:r>
                  </m:num>
                  <m:den>
                    <m:r>
                      <m:rPr>
                        <m:sty m:val="b"/>
                      </m:rPr>
                      <w:rPr>
                        <w:rFonts w:ascii="Cambria Math" w:hAnsi="Cambria Math" w:cs="Times New Roman"/>
                        <w:szCs w:val="24"/>
                      </w:rPr>
                      <m:t>Shareholde</m:t>
                    </m:r>
                    <m:sSup>
                      <m:sSupPr>
                        <m:ctrlPr>
                          <w:rPr>
                            <w:rFonts w:ascii="Cambria Math" w:hAnsi="Cambria Math" w:cs="Times New Roman"/>
                            <w:iCs/>
                            <w:szCs w:val="24"/>
                          </w:rPr>
                        </m:ctrlPr>
                      </m:sSupPr>
                      <m:e>
                        <m:r>
                          <m:rPr>
                            <m:sty m:val="b"/>
                          </m:rPr>
                          <w:rPr>
                            <w:rFonts w:ascii="Cambria Math" w:hAnsi="Cambria Math" w:cs="Times New Roman"/>
                            <w:szCs w:val="24"/>
                          </w:rPr>
                          <m:t>R</m:t>
                        </m:r>
                      </m:e>
                      <m:sup>
                        <m:r>
                          <m:rPr>
                            <m:sty m:val="b"/>
                          </m:rPr>
                          <w:rPr>
                            <w:rFonts w:ascii="Cambria Math" w:hAnsi="Cambria Math" w:cs="Times New Roman"/>
                            <w:szCs w:val="24"/>
                          </w:rPr>
                          <m:t>'</m:t>
                        </m:r>
                      </m:sup>
                    </m:sSup>
                    <m:r>
                      <m:rPr>
                        <m:sty m:val="b"/>
                      </m:rPr>
                      <w:rPr>
                        <w:rFonts w:ascii="Cambria Math" w:hAnsi="Cambria Math" w:cs="Times New Roman"/>
                        <w:szCs w:val="24"/>
                      </w:rPr>
                      <m:t>S Equity</m:t>
                    </m:r>
                  </m:den>
                </m:f>
                <m:r>
                  <m:rPr>
                    <m:sty m:val="bi"/>
                  </m:rPr>
                  <w:rPr>
                    <w:rFonts w:ascii="Cambria Math" w:hAnsi="Cambria Math" w:cs="Times New Roman"/>
                    <w:szCs w:val="24"/>
                  </w:rPr>
                  <m:t>×100%</m:t>
                </m:r>
              </m:oMath>
            </m:oMathPara>
          </w:p>
        </w:tc>
      </w:tr>
      <w:tr w14:paraId="65285CA7" w14:textId="77777777" w:rsidR="00724581" w:rsidRPr="00D32D53" w:rsidTr="00B25C5B">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4757" w:type="dxa"/>
          </w:tcPr>
          <w:p w:rsidR="00724581" w:rsidRDefault="00FB6A69" w14:paraId="78098C66" w14:textId="77777777" w:rsidP="00B25C5B" w:rsidRPr="00D32D53">
            <w:pPr>
              <w:rPr>
                <w:rFonts w:cs="Times New Roman" w:eastAsiaTheme="minorEastAsia"/>
                <w:szCs w:val="24"/>
              </w:rPr>
            </w:pPr>
            <w:r w:rsidRPr="00B25C5B">
              <w:rPr>
                <w:bCs w:val="0"/>
                <w:rFonts w:cs="Times New Roman" w:eastAsiaTheme="minorEastAsia"/>
                <w:szCs w:val="24"/>
              </w:rPr>
              <w:t>ROE for year 2020</w:t>
            </w:r>
            <w:r w:rsidR="00724581" w:rsidRPr="00D32D53">
              <w:rPr>
                <w:rFonts w:cs="Times New Roman" w:eastAsiaTheme="minorEastAsia"/>
                <w:szCs w:val="24"/>
              </w:rPr>
              <w:t xml:space="preserve">=  </w:t>
            </w:r>
            <m:oMath>
              <m:f>
                <m:fPr>
                  <m:ctrlPr>
                    <w:rPr>
                      <w:rFonts w:ascii="Cambria Math" w:hAnsi="Cambria Math" w:cs="Times New Roman"/>
                      <w:i/>
                      <w:szCs w:val="24"/>
                    </w:rPr>
                  </m:ctrlPr>
                </m:fPr>
                <m:num>
                  <m:r>
                    <m:rPr>
                      <m:sty m:val="b"/>
                    </m:rPr>
                    <w:rPr>
                      <w:rFonts w:ascii="Cambria Math" w:hAnsi="Cambria Math" w:cs="Times New Roman"/>
                      <w:szCs w:val="24"/>
                    </w:rPr>
                    <m:t>431</m:t>
                  </m:r>
                </m:num>
                <m:den>
                  <m:r>
                    <m:rPr>
                      <m:sty m:val="b"/>
                    </m:rPr>
                    <w:rPr>
                      <w:rFonts w:ascii="Cambria Math" w:hAnsi="Cambria Math" w:cs="Times New Roman"/>
                      <w:szCs w:val="24"/>
                    </w:rPr>
                    <m:t>3,088</m:t>
                  </m:r>
                </m:den>
              </m:f>
              <m:r>
                <m:rPr>
                  <m:sty m:val="bi"/>
                </m:rPr>
                <w:rPr>
                  <w:rFonts w:ascii="Cambria Math" w:hAnsi="Cambria Math" w:cs="Times New Roman"/>
                  <w:szCs w:val="24"/>
                </w:rPr>
                <m:t>×100%</m:t>
              </m:r>
            </m:oMath>
            <w:r w:rsidR="00724581" w:rsidRPr="00D32D53">
              <w:rPr>
                <w:rFonts w:cs="Times New Roman" w:eastAsiaTheme="minorEastAsia"/>
                <w:szCs w:val="24"/>
              </w:rPr>
              <w:t>= 13.957 %</w:t>
            </w:r>
          </w:p>
        </w:tc>
        <w:tc>
          <w:tcPr>
            <w:tcW w:w="4798" w:type="dxa"/>
          </w:tcPr>
          <w:p w:rsidR="00724581" w:rsidRDefault="00FB6A69" w14:paraId="215C1899" w14:textId="77777777" w:rsidP="00B25C5B" w:rsidRPr="00D32D53">
            <w:pPr>
              <w:cnfStyle w:val="000000100000" w:firstRow="0" w:lastRow="0" w:firstColumn="0" w:lastColumn="0" w:oddVBand="0" w:evenVBand="0" w:oddHBand="1" w:evenHBand="0" w:firstRowFirstColumn="0" w:firstRowLastColumn="0" w:lastRowFirstColumn="0" w:lastRowLastColumn="0"/>
              <w:rPr>
                <w:rFonts w:cs="Times New Roman" w:eastAsiaTheme="minorEastAsia"/>
                <w:szCs w:val="24"/>
              </w:rPr>
            </w:pPr>
            <w:r>
              <w:rPr>
                <w:bCs/>
                <w:b/>
                <w:rFonts w:cs="Times New Roman" w:eastAsiaTheme="minorEastAsia"/>
                <w:szCs w:val="24"/>
              </w:rPr>
              <w:t>ROE for year 2019</w:t>
            </w:r>
            <w:r w:rsidR="00724581" w:rsidRPr="00D32D53">
              <w:rPr>
                <w:rFonts w:cs="Times New Roman" w:eastAsiaTheme="minorEastAsia"/>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366</m:t>
                  </m:r>
                </m:num>
                <m:den>
                  <m:r>
                    <m:rPr>
                      <m:sty m:val="p"/>
                    </m:rPr>
                    <w:rPr>
                      <w:rFonts w:ascii="Cambria Math" w:hAnsi="Cambria Math" w:cs="Times New Roman"/>
                      <w:szCs w:val="24"/>
                    </w:rPr>
                    <m:t>2,912</m:t>
                  </m:r>
                </m:den>
              </m:f>
              <m:r>
                <w:rPr>
                  <w:rFonts w:ascii="Cambria Math" w:hAnsi="Cambria Math" w:cs="Times New Roman"/>
                  <w:szCs w:val="24"/>
                </w:rPr>
                <m:t>×100%</m:t>
              </m:r>
            </m:oMath>
            <w:r w:rsidR="00724581" w:rsidRPr="00D32D53">
              <w:rPr>
                <w:rFonts w:cs="Times New Roman" w:eastAsiaTheme="minorEastAsia"/>
                <w:szCs w:val="24"/>
              </w:rPr>
              <w:t>=12.568%</w:t>
            </w:r>
          </w:p>
        </w:tc>
      </w:tr>
    </w:tbl>
    <w:p w:rsidR="00724581" w:rsidRDefault="00724581" w14:paraId="58775FEA" w14:textId="77777777" w:rsidP="00724581">
      <w:pPr>
        <w:jc w:val="both"/>
        <w:spacing w:line="360" w:lineRule="auto"/>
      </w:pPr>
    </w:p>
    <w:p w:rsidR="00724581" w:rsidRDefault="00FB6A69" w14:paraId="76A76766" w14:textId="77777777" w:rsidP="00A715D9">
      <w:pPr>
        <w:pStyle w:val="ListParagraph"/>
        <w:numPr>
          <w:ilvl w:val="0"/>
          <w:numId w:val="4"/>
        </w:numPr>
        <w:jc w:val="both"/>
        <w:spacing w:line="360" w:lineRule="auto"/>
      </w:pPr>
      <w:r>
        <w:t>Earnings per share is also known as EPS in short calculated as company’s profit divided by the Common Stock’s outstanding shares</w:t>
      </w:r>
      <w:r w:rsidR="00A715D9">
        <w:t xml:space="preserve"> </w:t>
      </w:r>
      <w:r w:rsidR="00A715D9" w:rsidRPr="00A715D9">
        <w:t>(Mason, Davidson and Schindler, 2017)</w:t>
      </w:r>
      <w:r>
        <w:t xml:space="preserve">. The result or the EPS number after being calculated indicates the profitability of an organisation. The calculation of EPS for the Chocco PLC is given below: </w:t>
      </w:r>
    </w:p>
    <w:tbl>
      <w:tblPr>
        <w:tblW w:w="9511" w:type="dxa"/>
        <w:tblStyle w:val="GridTable4-Accent1"/>
        <w:tblLook w:val="4A0"/>
      </w:tblPr>
      <w:tblGrid>
        <w:gridCol w:w="4777"/>
        <w:gridCol w:w="4734"/>
      </w:tblGrid>
      <w:tr w14:paraId="41A26EA8" w14:textId="77777777" w:rsidR="00FB6A69" w:rsidRPr="00D32D53" w:rsidTr="00B25C5B">
        <w:trPr>
          <w:cnfStyle w:val="100000000000" w:firstRow="1" w:lastRow="0" w:firstColumn="0" w:lastColumn="0" w:oddVBand="0" w:evenVBand="0" w:oddHBand="0" w:evenHBand="0" w:firstRowFirstColumn="0" w:firstRowLastColumn="0" w:lastRowFirstColumn="0" w:lastRowLastColumn="0"/>
          <w:trHeight w:val="996"/>
        </w:trPr>
        <w:tc>
          <w:tcPr>
            <w:cnfStyle w:val="001000000000" w:firstRow="0" w:lastRow="0" w:firstColumn="1" w:lastColumn="0" w:oddVBand="0" w:evenVBand="0" w:oddHBand="0" w:evenHBand="0" w:firstRowFirstColumn="0" w:firstRowLastColumn="0" w:lastRowFirstColumn="0" w:lastRowLastColumn="0"/>
            <w:gridSpan w:val="2"/>
            <w:tcW w:w="9511" w:type="dxa"/>
          </w:tcPr>
          <w:p w:rsidR="00FB6A69" w:rsidRDefault="00FB6A69" w14:paraId="0F36BAA1" w14:textId="77777777" w:rsidP="00B25C5B" w:rsidRPr="00D32D53">
            <w:pPr>
              <w:jc w:val="center"/>
              <w:rPr>
                <w:rFonts w:cs="Times New Roman" w:eastAsiaTheme="minorEastAsia"/>
                <w:szCs w:val="24"/>
              </w:rPr>
            </w:pPr>
            <m:oMathPara>
              <m:oMath>
                <m:r>
                  <m:rPr>
                    <m:sty m:val="b"/>
                  </m:rPr>
                  <w:rPr>
                    <w:rFonts w:ascii="Cambria Math" w:hAnsi="Cambria Math" w:cs="Times New Roman"/>
                    <w:szCs w:val="24"/>
                  </w:rPr>
                  <m:t>EPS Formula=</m:t>
                </m:r>
                <m:f>
                  <m:fPr>
                    <m:ctrlPr>
                      <w:rPr>
                        <w:rFonts w:ascii="Cambria Math" w:hAnsi="Cambria Math" w:cs="Times New Roman"/>
                        <w:iCs/>
                        <w:szCs w:val="24"/>
                      </w:rPr>
                    </m:ctrlPr>
                  </m:fPr>
                  <m:num>
                    <m:r>
                      <m:rPr>
                        <m:sty m:val="b"/>
                      </m:rPr>
                      <w:rPr>
                        <w:rFonts w:ascii="Cambria Math" w:hAnsi="Cambria Math" w:cs="Times New Roman"/>
                        <w:szCs w:val="24"/>
                      </w:rPr>
                      <m:t>Net Income-Preferred Dividends</m:t>
                    </m:r>
                  </m:num>
                  <m:den>
                    <m:r>
                      <m:rPr>
                        <m:sty m:val="b"/>
                      </m:rPr>
                      <w:rPr>
                        <w:rFonts w:ascii="Cambria Math" w:hAnsi="Cambria Math" w:cs="Times New Roman"/>
                        <w:szCs w:val="24"/>
                      </w:rPr>
                      <m:t>Weighted Average Share Outstanding</m:t>
                    </m:r>
                  </m:den>
                </m:f>
              </m:oMath>
            </m:oMathPara>
          </w:p>
        </w:tc>
      </w:tr>
      <w:tr w14:paraId="1B2B88F3" w14:textId="77777777" w:rsidR="00FB6A69" w:rsidRPr="00D32D53" w:rsidTr="00B25C5B">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777" w:type="dxa"/>
          </w:tcPr>
          <w:p w:rsidR="00FB6A69" w:rsidRDefault="00FB6A69" w14:paraId="0F7BF767" w14:textId="77777777" w:rsidP="00B25C5B" w:rsidRPr="00D32D53">
            <w:pPr>
              <w:rPr>
                <w:rFonts w:cs="Times New Roman" w:eastAsiaTheme="minorEastAsia"/>
                <w:szCs w:val="24"/>
              </w:rPr>
            </w:pPr>
            <w:r w:rsidRPr="00B25C5B">
              <w:rPr>
                <w:bCs w:val="0"/>
                <w:rFonts w:cs="Times New Roman" w:eastAsiaTheme="minorEastAsia"/>
                <w:szCs w:val="24"/>
              </w:rPr>
              <w:t>EPS for 2020</w:t>
              <w:lastRenderedPageBreak/>
            </w:r>
            <w:r w:rsidRPr="00D32D53">
              <w:rPr>
                <w:rFonts w:cs="Times New Roman" w:eastAsiaTheme="minorEastAsia"/>
                <w:szCs w:val="24"/>
              </w:rPr>
              <w:t xml:space="preserve"> = </w:t>
            </w:r>
            <m:oMath>
              <m:f>
                <m:fPr>
                  <m:ctrlPr>
                    <w:rPr>
                      <w:rFonts w:ascii="Cambria Math" w:hAnsi="Cambria Math" w:cs="Times New Roman"/>
                      <w:i/>
                      <w:szCs w:val="24"/>
                    </w:rPr>
                  </m:ctrlPr>
                </m:fPr>
                <m:num>
                  <m:r>
                    <m:rPr>
                      <m:sty m:val="bi"/>
                    </m:rPr>
                    <w:rPr>
                      <w:rFonts w:ascii="Cambria Math" w:hAnsi="Cambria Math" w:cs="Times New Roman"/>
                      <w:szCs w:val="24"/>
                    </w:rPr>
                    <m:t xml:space="preserve">431-255 </m:t>
                  </m:r>
                </m:num>
                <m:den>
                  <m:r>
                    <m:rPr>
                      <m:sty m:val="bi"/>
                    </m:rPr>
                    <w:rPr>
                      <w:rFonts w:ascii="Cambria Math" w:hAnsi="Cambria Math" w:cs="Times New Roman"/>
                      <w:szCs w:val="24"/>
                    </w:rPr>
                    <m:t>50</m:t>
                  </m:r>
                </m:den>
              </m:f>
            </m:oMath>
            <w:r w:rsidRPr="00D32D53">
              <w:rPr>
                <w:rFonts w:cs="Times New Roman" w:eastAsiaTheme="minorEastAsia"/>
                <w:szCs w:val="24"/>
              </w:rPr>
              <w:t xml:space="preserve">= 3.52 p </w:t>
            </w:r>
          </w:p>
        </w:tc>
        <w:tc>
          <w:tcPr>
            <w:tcW w:w="4733" w:type="dxa"/>
          </w:tcPr>
          <w:p w:rsidR="00FB6A69" w:rsidRDefault="00FB6A69" w14:paraId="21CEF220" w14:textId="77777777" w:rsidP="00B25C5B" w:rsidRPr="00D32D53">
            <w:pPr>
              <w:cnfStyle w:val="000000100000" w:firstRow="0" w:lastRow="0" w:firstColumn="0" w:lastColumn="0" w:oddVBand="0" w:evenVBand="0" w:oddHBand="1" w:evenHBand="0" w:firstRowFirstColumn="0" w:firstRowLastColumn="0" w:lastRowFirstColumn="0" w:lastRowLastColumn="0"/>
              <w:rPr>
                <w:rFonts w:cs="Times New Roman"/>
                <w:szCs w:val="24"/>
              </w:rPr>
            </w:pPr>
            <w:r>
              <w:rPr>
                <w:bCs/>
                <w:b/>
                <w:rFonts w:cs="Times New Roman" w:eastAsiaTheme="minorEastAsia"/>
                <w:szCs w:val="24"/>
              </w:rPr>
              <w:t>EPS for 2019</w:t>
            </w:r>
            <w:r w:rsidRPr="00D32D53">
              <w:rPr>
                <w:rFonts w:cs="Times New Roman" w:eastAsiaTheme="minorEastAsia"/>
                <w:szCs w:val="24"/>
              </w:rPr>
              <w:t xml:space="preserve">= </w:t>
            </w:r>
            <m:oMath>
              <m:f>
                <m:fPr>
                  <m:ctrlPr>
                    <w:rPr>
                      <w:rFonts w:ascii="Cambria Math" w:hAnsi="Cambria Math" w:cs="Times New Roman"/>
                      <w:i/>
                      <w:szCs w:val="24"/>
                    </w:rPr>
                  </m:ctrlPr>
                </m:fPr>
                <m:num>
                  <m:r>
                    <w:rPr>
                      <w:rFonts w:ascii="Cambria Math" w:hAnsi="Cambria Math" w:cs="Times New Roman"/>
                      <w:szCs w:val="24"/>
                    </w:rPr>
                    <m:t>366-242</m:t>
                  </m:r>
                </m:num>
                <m:den>
                  <m:r>
                    <w:rPr>
                      <w:rFonts w:ascii="Cambria Math" w:hAnsi="Cambria Math" w:cs="Times New Roman"/>
                      <w:szCs w:val="24"/>
                    </w:rPr>
                    <m:t>50</m:t>
                  </m:r>
                </m:den>
              </m:f>
            </m:oMath>
            <w:r w:rsidRPr="00D32D53">
              <w:rPr>
                <w:rFonts w:cs="Times New Roman" w:eastAsiaTheme="minorEastAsia"/>
                <w:szCs w:val="24"/>
              </w:rPr>
              <w:t xml:space="preserve">= 2.48 p </w:t>
            </w:r>
          </w:p>
        </w:tc>
      </w:tr>
    </w:tbl>
    <w:p w:rsidR="00FB6A69" w:rsidRDefault="00FB6A69" w14:paraId="70318527" w14:textId="77777777" w:rsidP="00FB6A69">
      <w:pPr>
        <w:jc w:val="both"/>
        <w:spacing w:line="360" w:lineRule="auto"/>
      </w:pPr>
    </w:p>
    <w:p w:rsidR="00FB6A69" w:rsidRDefault="00FB6A69" w14:paraId="36CE0FD2" w14:textId="77777777" w:rsidP="008C36E5">
      <w:pPr>
        <w:pStyle w:val="ListParagraph"/>
        <w:numPr>
          <w:ilvl w:val="0"/>
          <w:numId w:val="4"/>
        </w:numPr>
        <w:jc w:val="both"/>
        <w:spacing w:line="360" w:lineRule="auto"/>
      </w:pPr>
      <w:r>
        <w:t>The Net profit margin is calculated to measures the percentage of income or profit from the total revenue generated by the organisation</w:t>
      </w:r>
      <w:r w:rsidR="008C36E5">
        <w:t xml:space="preserve"> </w:t>
      </w:r>
      <w:r w:rsidR="008C36E5" w:rsidRPr="008C36E5">
        <w:t>(Curran, 2017)</w:t>
      </w:r>
      <w:r>
        <w:t xml:space="preserve">. The ratio of net profit to revenues of the business organisation is the net profit margin. </w:t>
      </w:r>
    </w:p>
    <w:tbl>
      <w:tblPr>
        <w:tblW w:w="9736" w:type="dxa"/>
        <w:tblStyle w:val="GridTable4-Accent2"/>
        <w:tblLook w:val="4A0"/>
      </w:tblPr>
      <w:tblGrid>
        <w:gridCol w:w="4873"/>
        <w:gridCol w:w="4863"/>
      </w:tblGrid>
      <w:tr w14:paraId="6759DE7D" w14:textId="77777777" w:rsidR="00FB6A69" w:rsidRPr="00D32D53" w:rsidTr="00B25C5B">
        <w:trPr>
          <w:cnfStyle w:val="100000000000" w:firstRow="1" w:lastRow="0" w:firstColumn="0" w:lastColumn="0" w:oddVBand="0" w:evenVBand="0" w:oddHBand="0" w:evenHBand="0" w:firstRowFirstColumn="0" w:firstRowLastColumn="0" w:lastRowFirstColumn="0" w:lastRowLastColumn="0"/>
          <w:trHeight w:val="895"/>
        </w:trPr>
        <w:tc>
          <w:tcPr>
            <w:cnfStyle w:val="001000000000" w:firstRow="0" w:lastRow="0" w:firstColumn="1" w:lastColumn="0" w:oddVBand="0" w:evenVBand="0" w:oddHBand="0" w:evenHBand="0" w:firstRowFirstColumn="0" w:firstRowLastColumn="0" w:lastRowFirstColumn="0" w:lastRowLastColumn="0"/>
            <w:gridSpan w:val="2"/>
            <w:tcW w:w="9736" w:type="dxa"/>
          </w:tcPr>
          <w:p w:rsidR="00FB6A69" w:rsidRDefault="00B25C5B" w14:paraId="1A41BF70" w14:textId="77777777" w:rsidP="00B25C5B" w:rsidRPr="00D32D53">
            <w:pPr>
              <w:jc w:val="center"/>
              <w:rPr>
                <w:rFonts w:cs="Times New Roman" w:eastAsiaTheme="minorEastAsia"/>
                <w:szCs w:val="24"/>
              </w:rPr>
            </w:pPr>
            <m:oMathPara>
              <m:oMath>
                <m:r>
                  <m:rPr>
                    <m:sty m:val="b"/>
                  </m:rPr>
                  <w:rPr>
                    <w:rFonts w:ascii="Cambria Math" w:hAnsi="Cambria Math" w:cs="Times New Roman"/>
                    <w:szCs w:val="24"/>
                  </w:rPr>
                  <m:t>Net Profit Margin=</m:t>
                </m:r>
                <m:f>
                  <m:fPr>
                    <m:ctrlPr>
                      <w:rPr>
                        <w:rFonts w:ascii="Cambria Math" w:hAnsi="Cambria Math" w:cs="Times New Roman"/>
                        <w:iCs/>
                        <w:szCs w:val="24"/>
                      </w:rPr>
                    </m:ctrlPr>
                  </m:fPr>
                  <m:num>
                    <m:r>
                      <m:rPr>
                        <m:sty m:val="b"/>
                      </m:rPr>
                      <w:rPr>
                        <w:rFonts w:ascii="Cambria Math" w:hAnsi="Cambria Math" w:cs="Times New Roman"/>
                        <w:szCs w:val="24"/>
                      </w:rPr>
                      <m:t>Net sales-COGS</m:t>
                    </m:r>
                  </m:num>
                  <m:den>
                    <m:r>
                      <m:rPr>
                        <m:sty m:val="b"/>
                      </m:rPr>
                      <w:rPr>
                        <w:rFonts w:ascii="Cambria Math" w:hAnsi="Cambria Math" w:cs="Times New Roman"/>
                        <w:szCs w:val="24"/>
                      </w:rPr>
                      <m:t>Net Sales</m:t>
                    </m:r>
                  </m:den>
                </m:f>
                <m:r>
                  <m:rPr>
                    <m:sty m:val="bi"/>
                  </m:rPr>
                  <w:rPr>
                    <w:rFonts w:ascii="Cambria Math" w:hAnsi="Cambria Math" w:cs="Times New Roman"/>
                    <w:szCs w:val="24"/>
                  </w:rPr>
                  <m:t>×100%</m:t>
                </m:r>
              </m:oMath>
            </m:oMathPara>
          </w:p>
        </w:tc>
      </w:tr>
      <w:tr w14:paraId="5B369598" w14:textId="77777777" w:rsidR="00FB6A69" w:rsidRPr="00D32D53" w:rsidTr="00B25C5B">
        <w:trPr>
          <w:cnfStyle w:val="000000100000" w:firstRow="0" w:lastRow="0" w:firstColumn="0" w:lastColumn="0" w:oddVBand="0" w:evenVBand="0" w:oddHBand="1" w:evenHBand="0" w:firstRowFirstColumn="0" w:firstRowLastColumn="0" w:lastRowFirstColumn="0" w:lastRowLastColumn="0"/>
          <w:trHeight w:val="1169"/>
        </w:trPr>
        <w:tc>
          <w:tcPr>
            <w:cnfStyle w:val="001000000000" w:firstRow="0" w:lastRow="0" w:firstColumn="1" w:lastColumn="0" w:oddVBand="0" w:evenVBand="0" w:oddHBand="0" w:evenHBand="0" w:firstRowFirstColumn="0" w:firstRowLastColumn="0" w:lastRowFirstColumn="0" w:lastRowLastColumn="0"/>
            <w:tcW w:w="4873" w:type="dxa"/>
          </w:tcPr>
          <w:p w:rsidR="00FB6A69" w:rsidRDefault="00B25C5B" w14:paraId="7DB94117" w14:textId="77777777" w:rsidP="00B25C5B" w:rsidRPr="00D32D53">
            <w:pPr>
              <w:rPr>
                <w:rFonts w:cs="Times New Roman" w:eastAsiaTheme="minorEastAsia"/>
                <w:szCs w:val="24"/>
              </w:rPr>
            </w:pPr>
            <w:r>
              <w:rPr>
                <w:rFonts w:cs="Times New Roman" w:eastAsiaTheme="minorEastAsia"/>
                <w:szCs w:val="24"/>
              </w:rPr>
              <w:t>Net profit margin for year 2020</w:t>
            </w:r>
            <w:r w:rsidR="00FB6A69" w:rsidRPr="00D32D53">
              <w:rPr>
                <w:rFonts w:cs="Times New Roman" w:eastAsiaTheme="minorEastAsia"/>
                <w:szCs w:val="24"/>
              </w:rPr>
              <w:t xml:space="preserve">= </w:t>
            </w:r>
            <m:oMath>
              <m:f>
                <m:fPr>
                  <m:ctrlPr>
                    <w:rPr>
                      <w:rFonts w:ascii="Cambria Math" w:hAnsi="Cambria Math" w:cs="Times New Roman"/>
                      <w:i/>
                      <w:szCs w:val="24"/>
                    </w:rPr>
                  </m:ctrlPr>
                </m:fPr>
                <m:num>
                  <m:r>
                    <m:rPr>
                      <m:sty m:val="b"/>
                    </m:rPr>
                    <w:rPr>
                      <w:rFonts w:ascii="Cambria Math" w:hAnsi="Cambria Math" w:cs="Times New Roman"/>
                      <w:szCs w:val="24"/>
                    </w:rPr>
                    <m:t xml:space="preserve">3,503 </m:t>
                  </m:r>
                  <m:r>
                    <m:rPr>
                      <m:sty m:val="bi"/>
                    </m:rPr>
                    <w:rPr>
                      <w:rFonts w:ascii="Cambria Math" w:hAnsi="Cambria Math" w:cs="Times New Roman"/>
                      <w:szCs w:val="24"/>
                    </w:rPr>
                    <m:t xml:space="preserve"> </m:t>
                  </m:r>
                </m:num>
                <m:den>
                  <m:r>
                    <m:rPr>
                      <m:sty m:val="b"/>
                    </m:rPr>
                    <w:rPr>
                      <w:rFonts w:ascii="Cambria Math" w:hAnsi="Cambria Math" w:cs="Times New Roman"/>
                      <w:szCs w:val="24"/>
                    </w:rPr>
                    <m:t>6,738</m:t>
                  </m:r>
                </m:den>
              </m:f>
              <m:r>
                <m:rPr>
                  <m:sty m:val="bi"/>
                </m:rPr>
                <w:rPr>
                  <w:rFonts w:ascii="Cambria Math" w:hAnsi="Cambria Math" w:cs="Times New Roman"/>
                  <w:szCs w:val="24"/>
                </w:rPr>
                <m:t>×100%</m:t>
              </m:r>
            </m:oMath>
            <w:r w:rsidR="00FB6A69" w:rsidRPr="00D32D53">
              <w:rPr>
                <w:rFonts w:cs="Times New Roman" w:eastAsiaTheme="minorEastAsia"/>
                <w:szCs w:val="24"/>
              </w:rPr>
              <w:t>= 51.988 %</w:t>
            </w:r>
          </w:p>
        </w:tc>
        <w:tc>
          <w:tcPr>
            <w:tcW w:w="4862" w:type="dxa"/>
          </w:tcPr>
          <w:p w:rsidR="00FB6A69" w:rsidRDefault="00B25C5B" w14:paraId="47030DD6" w14:textId="77777777" w:rsidP="00B25C5B" w:rsidRPr="00D32D53">
            <w:pPr>
              <w:cnfStyle w:val="000000100000" w:firstRow="0" w:lastRow="0" w:firstColumn="0" w:lastColumn="0" w:oddVBand="0" w:evenVBand="0" w:oddHBand="1" w:evenHBand="0" w:firstRowFirstColumn="0" w:firstRowLastColumn="0" w:lastRowFirstColumn="0" w:lastRowLastColumn="0"/>
              <w:rPr>
                <w:rFonts w:cs="Times New Roman"/>
                <w:szCs w:val="24"/>
              </w:rPr>
            </w:pPr>
            <w:r>
              <w:rPr>
                <w:bCs/>
                <w:b/>
                <w:rFonts w:cs="Times New Roman" w:eastAsiaTheme="minorEastAsia"/>
                <w:szCs w:val="24"/>
              </w:rPr>
              <w:t>Net profit margin for year 2019</w:t>
            </w:r>
            <w:r w:rsidR="00FB6A69" w:rsidRPr="00D32D53">
              <w:rPr>
                <w:rFonts w:cs="Times New Roman" w:eastAsiaTheme="minorEastAsia"/>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3,345</m:t>
                  </m:r>
                  <m:r>
                    <w:rPr>
                      <w:rFonts w:ascii="Cambria Math" w:hAnsi="Cambria Math" w:cs="Times New Roman"/>
                      <w:szCs w:val="24"/>
                    </w:rPr>
                    <m:t xml:space="preserve"> </m:t>
                  </m:r>
                </m:num>
                <m:den>
                  <m:r>
                    <m:rPr>
                      <m:sty m:val="p"/>
                    </m:rPr>
                    <w:rPr>
                      <w:rFonts w:ascii="Cambria Math" w:hAnsi="Cambria Math" w:cs="Times New Roman"/>
                      <w:szCs w:val="24"/>
                    </w:rPr>
                    <m:t>6,441</m:t>
                  </m:r>
                </m:den>
              </m:f>
              <m:r>
                <w:rPr>
                  <w:rFonts w:ascii="Cambria Math" w:hAnsi="Cambria Math" w:cs="Times New Roman"/>
                  <w:szCs w:val="24"/>
                </w:rPr>
                <m:t>×100%</m:t>
              </m:r>
            </m:oMath>
            <w:r w:rsidR="00FB6A69" w:rsidRPr="00D32D53">
              <w:rPr>
                <w:rFonts w:cs="Times New Roman" w:eastAsiaTheme="minorEastAsia"/>
                <w:szCs w:val="24"/>
              </w:rPr>
              <w:t>= 51.932 %</w:t>
            </w:r>
          </w:p>
        </w:tc>
      </w:tr>
    </w:tbl>
    <w:p w:rsidR="00FB6A69" w:rsidRDefault="00FB6A69" w14:paraId="5815D3AA" w14:textId="77777777" w:rsidP="00FB6A69">
      <w:pPr>
        <w:jc w:val="both"/>
        <w:spacing w:line="360" w:lineRule="auto"/>
      </w:pPr>
    </w:p>
    <w:p w:rsidR="00B25C5B" w:rsidRDefault="00B25C5B" w14:paraId="58660CBA" w14:textId="77777777" w:rsidP="008C36E5">
      <w:pPr>
        <w:pStyle w:val="ListParagraph"/>
        <w:numPr>
          <w:ilvl w:val="0"/>
          <w:numId w:val="4"/>
        </w:numPr>
        <w:jc w:val="both"/>
        <w:spacing w:line="360" w:lineRule="auto"/>
      </w:pPr>
      <w:r>
        <w:t>The ratio of total sales or revenue to average assets is known as the asset turnover ratio. This metric provides information that indicates the efficiency of the uses of the asset of the organisation to generate revenue for the organisation</w:t>
      </w:r>
      <w:r w:rsidR="008C36E5">
        <w:t xml:space="preserve"> </w:t>
      </w:r>
      <w:r w:rsidR="008C36E5" w:rsidRPr="008C36E5">
        <w:t>(Hoffman, Pacsy and Flashner, 2019)</w:t>
      </w:r>
      <w:r>
        <w:t xml:space="preserve">. The Turnover Asset of the Chocco PLC is given below for the year of 2020 and 2019: </w:t>
      </w:r>
    </w:p>
    <w:tbl>
      <w:tblPr>
        <w:tblW w:w="9811" w:type="dxa"/>
        <w:tblStyle w:val="GridTable4-Accent3"/>
        <w:tblLook w:val="4A0"/>
      </w:tblPr>
      <w:tblGrid>
        <w:gridCol w:w="4916"/>
        <w:gridCol w:w="4895"/>
      </w:tblGrid>
      <w:tr w14:paraId="3BA05D8B" w14:textId="77777777" w:rsidR="00B25C5B" w:rsidRPr="00D32D53" w:rsidTr="00B25C5B">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gridSpan w:val="2"/>
            <w:tcW w:w="9811" w:type="dxa"/>
          </w:tcPr>
          <w:p w:rsidR="00B25C5B" w:rsidRDefault="00B25C5B" w14:paraId="5E0331F5" w14:textId="77777777" w:rsidP="00B25C5B" w:rsidRPr="00D32D53">
            <w:pPr>
              <w:jc w:val="center"/>
              <w:rPr>
                <w:rFonts w:cs="Times New Roman" w:eastAsiaTheme="minorEastAsia"/>
                <w:szCs w:val="24"/>
              </w:rPr>
            </w:pPr>
            <m:oMathPara>
              <m:oMath>
                <m:r>
                  <m:rPr>
                    <m:sty m:val="b"/>
                  </m:rPr>
                  <w:rPr>
                    <w:rFonts w:ascii="Cambria Math" w:hAnsi="Cambria Math" w:cs="Times New Roman"/>
                    <w:szCs w:val="24"/>
                  </w:rPr>
                  <m:t>Asset Turnover Ratio formula=</m:t>
                </m:r>
                <m:f>
                  <m:fPr>
                    <m:ctrlPr>
                      <w:rPr>
                        <w:rFonts w:ascii="Cambria Math" w:hAnsi="Cambria Math" w:cs="Times New Roman"/>
                        <w:iCs/>
                        <w:szCs w:val="24"/>
                      </w:rPr>
                    </m:ctrlPr>
                  </m:fPr>
                  <m:num>
                    <m:r>
                      <m:rPr>
                        <m:sty m:val="b"/>
                      </m:rPr>
                      <w:rPr>
                        <w:rFonts w:ascii="Cambria Math" w:hAnsi="Cambria Math" w:cs="Times New Roman"/>
                        <w:szCs w:val="24"/>
                      </w:rPr>
                      <m:t>Net sales</m:t>
                    </m:r>
                  </m:num>
                  <m:den>
                    <m:r>
                      <m:rPr>
                        <m:sty m:val="b"/>
                      </m:rPr>
                      <w:rPr>
                        <w:rFonts w:ascii="Cambria Math" w:hAnsi="Cambria Math" w:cs="Times New Roman"/>
                        <w:szCs w:val="24"/>
                      </w:rPr>
                      <m:t>Average Total Assets</m:t>
                    </m:r>
                  </m:den>
                </m:f>
              </m:oMath>
            </m:oMathPara>
          </w:p>
        </w:tc>
      </w:tr>
      <w:tr w14:paraId="35769002" w14:textId="77777777" w:rsidR="00B25C5B" w:rsidRPr="00D32D53" w:rsidTr="00B25C5B">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4916" w:type="dxa"/>
          </w:tcPr>
          <w:p w:rsidR="00B25C5B" w:rsidRDefault="00E20437" w14:paraId="123179A9" w14:textId="77777777" w:rsidP="00B25C5B" w:rsidRPr="00D32D53">
            <w:pPr>
              <w:rPr>
                <w:rFonts w:cs="Times New Roman" w:eastAsiaTheme="minorEastAsia"/>
                <w:szCs w:val="24"/>
              </w:rPr>
            </w:pPr>
            <w:r>
              <w:rPr>
                <w:rFonts w:cs="Times New Roman" w:eastAsiaTheme="minorEastAsia"/>
                <w:szCs w:val="24"/>
              </w:rPr>
              <w:t>Asset turnover for year 2020</w:t>
            </w:r>
            <w:r w:rsidR="00B25C5B" w:rsidRPr="00D32D53">
              <w:rPr>
                <w:rFonts w:cs="Times New Roman" w:eastAsiaTheme="minorEastAsia"/>
                <w:szCs w:val="24"/>
              </w:rPr>
              <w:t xml:space="preserve"> = </w:t>
            </w:r>
            <m:oMath>
              <m:f>
                <m:fPr>
                  <m:ctrlPr>
                    <w:rPr>
                      <w:rFonts w:ascii="Cambria Math" w:hAnsi="Cambria Math" w:cs="Times New Roman"/>
                      <w:i/>
                      <w:szCs w:val="24"/>
                    </w:rPr>
                  </m:ctrlPr>
                </m:fPr>
                <m:num>
                  <m:r>
                    <m:rPr>
                      <m:sty m:val="b"/>
                    </m:rPr>
                    <w:rPr>
                      <w:rFonts w:ascii="Cambria Math" w:hAnsi="Cambria Math" w:cs="Times New Roman"/>
                      <w:szCs w:val="24"/>
                    </w:rPr>
                    <m:t>6,738</m:t>
                  </m:r>
                  <m:r>
                    <m:rPr>
                      <m:sty m:val="bi"/>
                    </m:rPr>
                    <w:rPr>
                      <w:rFonts w:ascii="Cambria Math" w:hAnsi="Cambria Math" w:cs="Times New Roman"/>
                      <w:szCs w:val="24"/>
                    </w:rPr>
                    <m:t xml:space="preserve">  </m:t>
                  </m:r>
                </m:num>
                <m:den>
                  <m:r>
                    <m:rPr>
                      <m:sty m:val="b"/>
                    </m:rPr>
                    <w:rPr>
                      <w:rFonts w:ascii="Cambria Math" w:hAnsi="Cambria Math" w:cs="Times New Roman"/>
                      <w:szCs w:val="24"/>
                    </w:rPr>
                    <m:t xml:space="preserve">3,088 </m:t>
                  </m:r>
                  <m:r>
                    <m:rPr>
                      <m:sty m:val="bi"/>
                    </m:rPr>
                    <w:rPr>
                      <w:rFonts w:ascii="Cambria Math" w:hAnsi="Cambria Math" w:cs="Times New Roman"/>
                      <w:szCs w:val="24"/>
                    </w:rPr>
                    <m:t xml:space="preserve"> </m:t>
                  </m:r>
                </m:den>
              </m:f>
            </m:oMath>
            <w:r w:rsidR="00B25C5B" w:rsidRPr="00D32D53">
              <w:rPr>
                <w:rFonts w:cs="Times New Roman" w:eastAsiaTheme="minorEastAsia"/>
                <w:szCs w:val="24"/>
              </w:rPr>
              <w:t>= 2.18</w:t>
            </w:r>
          </w:p>
        </w:tc>
        <w:tc>
          <w:tcPr>
            <w:tcW w:w="4894" w:type="dxa"/>
          </w:tcPr>
          <w:p w:rsidR="00B25C5B" w:rsidRDefault="00E20437" w14:paraId="0F150BE9" w14:textId="77777777" w:rsidP="00B25C5B" w:rsidRPr="00D32D53">
            <w:pPr>
              <w:cnfStyle w:val="000000100000" w:firstRow="0" w:lastRow="0" w:firstColumn="0" w:lastColumn="0" w:oddVBand="0" w:evenVBand="0" w:oddHBand="1" w:evenHBand="0" w:firstRowFirstColumn="0" w:firstRowLastColumn="0" w:lastRowFirstColumn="0" w:lastRowLastColumn="0"/>
              <w:rPr>
                <w:rFonts w:cs="Times New Roman"/>
                <w:szCs w:val="24"/>
              </w:rPr>
            </w:pPr>
            <w:r>
              <w:rPr>
                <w:bCs/>
                <w:b/>
                <w:rFonts w:cs="Times New Roman" w:eastAsiaTheme="minorEastAsia"/>
                <w:szCs w:val="24"/>
              </w:rPr>
              <w:t>Asset turnover for year 2019</w:t>
            </w:r>
            <w:r w:rsidR="00B25C5B" w:rsidRPr="00D32D53">
              <w:rPr>
                <w:rFonts w:cs="Times New Roman" w:eastAsiaTheme="minorEastAsia"/>
                <w:szCs w:val="24"/>
              </w:rPr>
              <w:t xml:space="preserve"> = </w:t>
            </w:r>
            <m:oMath>
              <m:f>
                <m:fPr>
                  <m:ctrlPr>
                    <w:rPr>
                      <w:rFonts w:ascii="Cambria Math" w:hAnsi="Cambria Math" w:cs="Times New Roman"/>
                      <w:i/>
                      <w:szCs w:val="24"/>
                    </w:rPr>
                  </m:ctrlPr>
                </m:fPr>
                <m:num>
                  <m:r>
                    <m:rPr>
                      <m:sty m:val="p"/>
                    </m:rPr>
                    <w:rPr>
                      <w:rFonts w:ascii="Cambria Math" w:hAnsi="Cambria Math" w:cs="Times New Roman"/>
                      <w:szCs w:val="24"/>
                    </w:rPr>
                    <m:t>6,441</m:t>
                  </m:r>
                  <m:r>
                    <w:rPr>
                      <w:rFonts w:ascii="Cambria Math" w:hAnsi="Cambria Math" w:cs="Times New Roman"/>
                      <w:szCs w:val="24"/>
                    </w:rPr>
                    <m:t xml:space="preserve">  </m:t>
                  </m:r>
                </m:num>
                <m:den>
                  <m:r>
                    <m:rPr>
                      <m:sty m:val="p"/>
                    </m:rPr>
                    <w:rPr>
                      <w:rFonts w:ascii="Cambria Math" w:hAnsi="Cambria Math" w:cs="Times New Roman"/>
                      <w:szCs w:val="24"/>
                    </w:rPr>
                    <m:t>2,912</m:t>
                  </m:r>
                </m:den>
              </m:f>
            </m:oMath>
            <w:r w:rsidR="00B25C5B" w:rsidRPr="00D32D53">
              <w:rPr>
                <w:rFonts w:cs="Times New Roman" w:eastAsiaTheme="minorEastAsia"/>
                <w:szCs w:val="24"/>
              </w:rPr>
              <w:t>= 2.21</w:t>
            </w:r>
          </w:p>
        </w:tc>
      </w:tr>
    </w:tbl>
    <w:p w:rsidR="00B25C5B" w:rsidRDefault="00B25C5B" w14:paraId="207F7691" w14:textId="77777777" w:rsidP="00B25C5B">
      <w:pPr>
        <w:jc w:val="both"/>
        <w:spacing w:line="360" w:lineRule="auto"/>
      </w:pPr>
    </w:p>
    <w:p w:rsidR="00B25C5B" w:rsidRDefault="00B4054F" w14:paraId="54F46A59" w14:textId="77777777" w:rsidP="00A715D9">
      <w:pPr>
        <w:pStyle w:val="ListParagraph"/>
        <w:numPr>
          <w:ilvl w:val="0"/>
          <w:numId w:val="4"/>
        </w:numPr>
        <w:jc w:val="both"/>
        <w:spacing w:line="360" w:lineRule="auto"/>
      </w:pPr>
      <w:r>
        <w:t xml:space="preserve">Stock holding Days is also known as inventory outstanding. </w:t>
      </w:r>
      <w:r w:rsidR="00E20437">
        <w:t>Inventory days or outstanding days or stock holding days is calculated as average inventory divided by the cost of goods sold for the year</w:t>
      </w:r>
      <w:r w:rsidR="00A715D9">
        <w:t xml:space="preserve"> </w:t>
      </w:r>
      <w:r w:rsidR="00A715D9" w:rsidRPr="00A715D9">
        <w:t>(Mason, Davidson and Schindler, 2017)</w:t>
      </w:r>
      <w:r w:rsidR="00E20437">
        <w:t xml:space="preserve">. The stock holding days of Chocco PLC is given below for the year of 2020 and 2019: </w:t>
      </w:r>
    </w:p>
    <w:tbl>
      <w:tblPr>
        <w:tblW w:w="9856" w:type="dxa"/>
        <w:tblStyle w:val="GridTable4-Accent4"/>
        <w:tblLook w:val="4A0"/>
      </w:tblPr>
      <w:tblGrid>
        <w:gridCol w:w="4931"/>
        <w:gridCol w:w="4925"/>
      </w:tblGrid>
      <w:tr w14:paraId="12CED46F" w14:textId="77777777" w:rsidR="00E20437" w:rsidRPr="00D32D53" w:rsidTr="00E20437">
        <w:trPr>
          <w:cnfStyle w:val="100000000000" w:firstRow="1" w:lastRow="0" w:firstColumn="0" w:lastColumn="0" w:oddVBand="0" w:evenVBand="0" w:oddHBand="0" w:evenHBand="0" w:firstRowFirstColumn="0" w:firstRowLastColumn="0" w:lastRowFirstColumn="0" w:lastRowLastColumn="0"/>
          <w:trHeight w:val="775"/>
        </w:trPr>
        <w:tc>
          <w:tcPr>
            <w:cnfStyle w:val="001000000000" w:firstRow="0" w:lastRow="0" w:firstColumn="1" w:lastColumn="0" w:oddVBand="0" w:evenVBand="0" w:oddHBand="0" w:evenHBand="0" w:firstRowFirstColumn="0" w:firstRowLastColumn="0" w:lastRowFirstColumn="0" w:lastRowLastColumn="0"/>
            <w:gridSpan w:val="2"/>
            <w:tcW w:w="9856" w:type="dxa"/>
          </w:tcPr>
          <w:p w:rsidR="00E20437" w:rsidRDefault="00E20437" w14:paraId="3FA0B1B9" w14:textId="77777777" w:rsidP="005470A9" w:rsidRPr="00D32D53">
            <w:pPr>
              <w:jc w:val="center"/>
              <w:rPr>
                <w:rFonts w:cs="Times New Roman" w:eastAsiaTheme="minorEastAsia"/>
                <w:szCs w:val="24"/>
              </w:rPr>
            </w:pPr>
            <m:oMathPara>
              <m:oMath>
                <m:r>
                  <m:rPr>
                    <m:sty m:val="b"/>
                  </m:rPr>
                  <w:rPr>
                    <w:rFonts w:ascii="Cambria Math" w:hAnsi="Cambria Math" w:cs="Times New Roman"/>
                    <w:szCs w:val="24"/>
                  </w:rPr>
                  <m:t>Inventory Days=</m:t>
                </m:r>
                <m:f>
                  <m:fPr>
                    <m:ctrlPr>
                      <w:rPr>
                        <w:rFonts w:ascii="Cambria Math" w:hAnsi="Cambria Math" w:cs="Times New Roman"/>
                        <w:iCs/>
                        <w:szCs w:val="24"/>
                      </w:rPr>
                    </m:ctrlPr>
                  </m:fPr>
                  <m:num>
                    <m:r>
                      <m:rPr>
                        <m:sty m:val="b"/>
                      </m:rPr>
                      <w:rPr>
                        <w:rFonts w:ascii="Cambria Math" w:hAnsi="Cambria Math" w:cs="Times New Roman"/>
                        <w:szCs w:val="24"/>
                      </w:rPr>
                      <m:t>Average Inventory</m:t>
                    </m:r>
                  </m:num>
                  <m:den>
                    <m:r>
                      <m:rPr>
                        <m:sty m:val="b"/>
                      </m:rPr>
                      <w:rPr>
                        <w:rFonts w:ascii="Cambria Math" w:hAnsi="Cambria Math" w:cs="Times New Roman"/>
                        <w:szCs w:val="24"/>
                      </w:rPr>
                      <m:t>Average daily COGS</m:t>
                    </m:r>
                  </m:den>
                </m:f>
              </m:oMath>
            </m:oMathPara>
          </w:p>
        </w:tc>
      </w:tr>
      <w:tr w14:paraId="0DF06C69" w14:textId="77777777" w:rsidR="00E20437" w:rsidRPr="00D32D53" w:rsidTr="00E20437">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4931" w:type="dxa"/>
          </w:tcPr>
          <w:p w:rsidR="00E20437" w:rsidRDefault="00E20437" w14:paraId="23B87214" w14:textId="77777777" w:rsidP="005470A9" w:rsidRPr="00D32D53">
            <w:pPr>
              <w:rPr>
                <w:rFonts w:cs="Times New Roman" w:eastAsiaTheme="minorEastAsia"/>
                <w:szCs w:val="24"/>
              </w:rPr>
            </w:pPr>
            <w:r>
              <w:rPr>
                <w:rFonts w:cs="Times New Roman"/>
                <w:szCs w:val="24"/>
              </w:rPr>
              <w:t>Inventory days for year 2020</w:t>
            </w:r>
            <w:r w:rsidRPr="00D32D53">
              <w:rPr>
                <w:rFonts w:cs="Times New Roman"/>
                <w:szCs w:val="24"/>
              </w:rPr>
              <w:t xml:space="preserve">= </w:t>
            </w:r>
            <m:oMath>
              <m:f>
                <m:fPr>
                  <m:ctrlPr>
                    <w:rPr>
                      <w:rFonts w:ascii="Cambria Math" w:hAnsi="Cambria Math" w:cs="Times New Roman"/>
                      <w:i/>
                      <w:szCs w:val="24"/>
                    </w:rPr>
                  </m:ctrlPr>
                </m:fPr>
                <m:num>
                  <m:r>
                    <m:rPr>
                      <m:sty m:val="bi"/>
                    </m:rPr>
                    <w:rPr>
                      <w:rFonts w:ascii="Cambria Math" w:hAnsi="Cambria Math" w:cs="Times New Roman"/>
                      <w:szCs w:val="24"/>
                    </w:rPr>
                    <m:t>683.5</m:t>
                  </m:r>
                </m:num>
                <m:den>
                  <m:r>
                    <m:rPr>
                      <m:sty m:val="bi"/>
                    </m:rPr>
                    <w:rPr>
                      <w:rFonts w:ascii="Cambria Math" w:hAnsi="Cambria Math" w:cs="Times New Roman"/>
                      <w:szCs w:val="24"/>
                    </w:rPr>
                    <m:t>8.86</m:t>
                  </m:r>
                </m:den>
              </m:f>
            </m:oMath>
            <w:r w:rsidRPr="00D32D53">
              <w:rPr>
                <w:rFonts w:cs="Times New Roman" w:eastAsiaTheme="minorEastAsia"/>
                <w:szCs w:val="24"/>
              </w:rPr>
              <w:t xml:space="preserve">= 77 days </w:t>
            </w:r>
          </w:p>
        </w:tc>
        <w:tc>
          <w:tcPr>
            <w:tcW w:w="4924" w:type="dxa"/>
          </w:tcPr>
          <w:p w:rsidR="00E20437" w:rsidRDefault="00E20437" w14:paraId="75FD353D" w14:textId="77777777" w:rsidP="005470A9" w:rsidRPr="00D32D53">
            <w:pPr>
              <w:cnfStyle w:val="000000100000" w:firstRow="0" w:lastRow="0" w:firstColumn="0" w:lastColumn="0" w:oddVBand="0" w:evenVBand="0" w:oddHBand="1" w:evenHBand="0" w:firstRowFirstColumn="0" w:firstRowLastColumn="0" w:lastRowFirstColumn="0" w:lastRowLastColumn="0"/>
              <w:rPr>
                <w:rFonts w:cs="Times New Roman" w:eastAsiaTheme="minorEastAsia"/>
                <w:szCs w:val="24"/>
              </w:rPr>
            </w:pPr>
            <w:r>
              <w:rPr>
                <w:bCs/>
                <w:b/>
                <w:rFonts w:cs="Times New Roman"/>
                <w:szCs w:val="24"/>
              </w:rPr>
              <w:t>Inventory days for year 2019</w:t>
            </w:r>
            <w:r w:rsidRPr="00D32D53">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329.5</m:t>
                  </m:r>
                </m:num>
                <m:den>
                  <m:r>
                    <w:rPr>
                      <w:rFonts w:ascii="Cambria Math" w:hAnsi="Cambria Math" w:cs="Times New Roman"/>
                      <w:szCs w:val="24"/>
                    </w:rPr>
                    <m:t>8.48</m:t>
                  </m:r>
                </m:den>
              </m:f>
            </m:oMath>
            <w:r w:rsidRPr="00D32D53">
              <w:rPr>
                <w:rFonts w:cs="Times New Roman" w:eastAsiaTheme="minorEastAsia"/>
                <w:szCs w:val="24"/>
              </w:rPr>
              <w:t xml:space="preserve">= 39 days </w:t>
            </w:r>
          </w:p>
        </w:tc>
      </w:tr>
    </w:tbl>
    <w:p w:rsidR="00E20437" w:rsidRDefault="00E20437" w14:paraId="5B7BA660" w14:textId="77777777" w:rsidP="00E20437">
      <w:pPr>
        <w:jc w:val="both"/>
        <w:spacing w:line="360" w:lineRule="auto"/>
      </w:pPr>
    </w:p>
    <w:p w:rsidR="00E20437" w:rsidRDefault="00E20437" w14:paraId="31AA8D7D" w14:textId="77777777" w:rsidP="00925AE5">
      <w:pPr>
        <w:pStyle w:val="ListParagraph"/>
        <w:numPr>
          <w:ilvl w:val="0"/>
          <w:numId w:val="4"/>
        </w:numPr>
        <w:jc w:val="both"/>
        <w:spacing w:line="360" w:lineRule="auto"/>
      </w:pPr>
      <w:r>
        <w:t>The average time to collect debts of the organisation is known as the debtors’ collection period</w:t>
        <w:lastRenderedPageBreak/>
      </w:r>
      <w:r w:rsidR="00925AE5">
        <w:t xml:space="preserve"> </w:t>
      </w:r>
      <w:r w:rsidR="00925AE5" w:rsidRPr="00925AE5">
        <w:t>(Yorston, Smyth, Kenley and Brown, 2015)</w:t>
      </w:r>
      <w:r>
        <w:t>. The formula of Debtors collection period and the calculation for the Chocco PLC is given below for the year of 2020 and 2019:</w:t>
      </w:r>
    </w:p>
    <w:tbl>
      <w:tblPr>
        <w:tblW w:w="9646" w:type="dxa"/>
        <w:tblStyle w:val="GridTable4-Accent5"/>
        <w:tblLook w:val="4A0"/>
      </w:tblPr>
      <w:tblGrid>
        <w:gridCol w:w="4841"/>
        <w:gridCol w:w="4805"/>
      </w:tblGrid>
      <w:tr w14:paraId="3EDADF83" w14:textId="77777777" w:rsidR="00E20437" w:rsidRPr="00D32D53" w:rsidTr="00E20437">
        <w:trPr>
          <w:cnfStyle w:val="100000000000" w:firstRow="1" w:lastRow="0" w:firstColumn="0" w:lastColumn="0" w:oddVBand="0" w:evenVBand="0" w:oddHBand="0" w:evenHBand="0" w:firstRowFirstColumn="0" w:firstRowLastColumn="0" w:lastRowFirstColumn="0" w:lastRowLastColumn="0"/>
          <w:trHeight w:val="897"/>
        </w:trPr>
        <w:tc>
          <w:tcPr>
            <w:cnfStyle w:val="001000000000" w:firstRow="0" w:lastRow="0" w:firstColumn="1" w:lastColumn="0" w:oddVBand="0" w:evenVBand="0" w:oddHBand="0" w:evenHBand="0" w:firstRowFirstColumn="0" w:firstRowLastColumn="0" w:lastRowFirstColumn="0" w:lastRowLastColumn="0"/>
            <w:gridSpan w:val="2"/>
            <w:tcW w:w="9646" w:type="dxa"/>
          </w:tcPr>
          <w:p w:rsidR="00E20437" w:rsidRDefault="00E20437" w14:paraId="7702BB5D" w14:textId="77777777" w:rsidP="005470A9" w:rsidRPr="00D32D53">
            <w:pPr>
              <w:jc w:val="center"/>
              <w:rPr>
                <w:rFonts w:cs="Times New Roman" w:eastAsiaTheme="minorEastAsia"/>
                <w:szCs w:val="24"/>
              </w:rPr>
            </w:pPr>
            <m:oMathPara>
              <m:oMath>
                <m:r>
                  <m:rPr>
                    <m:sty m:val="b"/>
                  </m:rPr>
                  <w:rPr>
                    <w:rFonts w:ascii="Cambria Math" w:hAnsi="Cambria Math" w:cs="Times New Roman"/>
                    <w:szCs w:val="24"/>
                  </w:rPr>
                  <m:t>Debato</m:t>
                </m:r>
                <m:sSup>
                  <m:sSupPr>
                    <m:ctrlPr>
                      <w:rPr>
                        <w:rFonts w:ascii="Cambria Math" w:hAnsi="Cambria Math" w:cs="Times New Roman"/>
                        <w:iCs/>
                        <w:szCs w:val="24"/>
                      </w:rPr>
                    </m:ctrlPr>
                  </m:sSupPr>
                  <m:e>
                    <m:r>
                      <m:rPr>
                        <m:sty m:val="bi"/>
                      </m:rPr>
                      <w:rPr>
                        <w:rFonts w:ascii="Cambria Math" w:hAnsi="Cambria Math" w:cs="Times New Roman"/>
                        <w:szCs w:val="24"/>
                      </w:rPr>
                      <m:t>r</m:t>
                    </m:r>
                  </m:e>
                  <m:sup>
                    <m:r>
                      <m:rPr>
                        <m:sty m:val="b"/>
                      </m:rPr>
                      <w:rPr>
                        <w:rFonts w:ascii="Cambria Math" w:hAnsi="Cambria Math" w:cs="Times New Roman"/>
                        <w:szCs w:val="24"/>
                      </w:rPr>
                      <m:t>'</m:t>
                    </m:r>
                  </m:sup>
                </m:sSup>
                <m:r>
                  <m:rPr>
                    <m:sty m:val="b"/>
                  </m:rPr>
                  <w:rPr>
                    <w:rFonts w:ascii="Cambria Math" w:hAnsi="Cambria Math" w:cs="Times New Roman"/>
                    <w:szCs w:val="24"/>
                  </w:rPr>
                  <m:t>S Collection Period=</m:t>
                </m:r>
                <m:f>
                  <m:fPr>
                    <m:ctrlPr>
                      <w:rPr>
                        <w:rFonts w:ascii="Cambria Math" w:hAnsi="Cambria Math" w:cs="Times New Roman"/>
                        <w:iCs/>
                        <w:szCs w:val="24"/>
                      </w:rPr>
                    </m:ctrlPr>
                  </m:fPr>
                  <m:num>
                    <m:r>
                      <m:rPr>
                        <m:sty m:val="b"/>
                      </m:rPr>
                      <w:rPr>
                        <w:rFonts w:ascii="Cambria Math" w:hAnsi="Cambria Math" w:cs="Times New Roman"/>
                        <w:szCs w:val="24"/>
                      </w:rPr>
                      <m:t>Debtors (Amount of Money Owned)</m:t>
                    </m:r>
                  </m:num>
                  <m:den>
                    <m:r>
                      <m:rPr>
                        <m:sty m:val="b"/>
                      </m:rPr>
                      <w:rPr>
                        <w:rFonts w:ascii="Cambria Math" w:hAnsi="Cambria Math" w:cs="Times New Roman"/>
                        <w:szCs w:val="24"/>
                      </w:rPr>
                      <m:t>Sales Turnover</m:t>
                    </m:r>
                  </m:den>
                </m:f>
              </m:oMath>
            </m:oMathPara>
          </w:p>
        </w:tc>
      </w:tr>
      <w:tr w14:paraId="28D343E5" w14:textId="77777777" w:rsidR="00E20437" w:rsidRPr="00D32D53" w:rsidTr="00E20437">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4841" w:type="dxa"/>
          </w:tcPr>
          <w:p w:rsidR="00E20437" w:rsidRDefault="00E20437" w14:paraId="6DBD80D3" w14:textId="77777777" w:rsidP="005470A9" w:rsidRPr="00D32D53">
            <w:pPr>
              <w:rPr>
                <w:rFonts w:cs="Times New Roman" w:eastAsiaTheme="minorEastAsia"/>
                <w:szCs w:val="24"/>
              </w:rPr>
            </w:pPr>
            <w:r w:rsidRPr="00D32D53">
              <w:rPr>
                <w:rFonts w:cs="Times New Roman"/>
                <w:szCs w:val="24"/>
              </w:rPr>
              <w:t>The debtor's</w:t>
            </w:r>
            <w:r>
              <w:rPr>
                <w:rFonts w:cs="Times New Roman"/>
                <w:szCs w:val="24"/>
              </w:rPr>
              <w:t xml:space="preserve"> collection period for year 2020</w:t>
            </w:r>
            <w:r w:rsidRPr="00D32D53">
              <w:rPr>
                <w:rFonts w:cs="Times New Roman"/>
                <w:szCs w:val="24"/>
              </w:rPr>
              <w:t xml:space="preserve">=  </w:t>
            </w:r>
            <m:oMath>
              <m:f>
                <m:fPr>
                  <m:ctrlPr>
                    <w:rPr>
                      <w:rFonts w:ascii="Cambria Math" w:hAnsi="Cambria Math" w:cs="Times New Roman"/>
                      <w:i/>
                      <w:szCs w:val="24"/>
                    </w:rPr>
                  </m:ctrlPr>
                </m:fPr>
                <m:num>
                  <m:r>
                    <m:rPr>
                      <m:sty m:val="b"/>
                    </m:rPr>
                    <w:rPr>
                      <w:rFonts w:ascii="Cambria Math" w:hAnsi="Cambria Math" w:cs="Times New Roman"/>
                      <w:szCs w:val="24"/>
                    </w:rPr>
                    <m:t>1,249</m:t>
                  </m:r>
                </m:num>
                <m:den>
                  <m:r>
                    <m:rPr>
                      <m:sty m:val="bi"/>
                    </m:rPr>
                    <w:rPr>
                      <w:rFonts w:ascii="Cambria Math" w:hAnsi="Cambria Math" w:cs="Times New Roman"/>
                      <w:szCs w:val="24"/>
                    </w:rPr>
                    <m:t xml:space="preserve">4.73 </m:t>
                  </m:r>
                </m:den>
              </m:f>
            </m:oMath>
            <w:r w:rsidRPr="00D32D53">
              <w:rPr>
                <w:rFonts w:cs="Times New Roman" w:eastAsiaTheme="minorEastAsia"/>
                <w:szCs w:val="24"/>
              </w:rPr>
              <w:t xml:space="preserve">= 264 days </w:t>
            </w:r>
          </w:p>
        </w:tc>
        <w:tc>
          <w:tcPr>
            <w:tcW w:w="4804" w:type="dxa"/>
          </w:tcPr>
          <w:p w:rsidR="00E20437" w:rsidRDefault="00E20437" w14:paraId="1A040F7F" w14:textId="77777777" w:rsidP="005470A9" w:rsidRPr="00D32D53">
            <w:pPr>
              <w:cnfStyle w:val="000000100000" w:firstRow="0" w:lastRow="0" w:firstColumn="0" w:lastColumn="0" w:oddVBand="0" w:evenVBand="0" w:oddHBand="1" w:evenHBand="0" w:firstRowFirstColumn="0" w:firstRowLastColumn="0" w:lastRowFirstColumn="0" w:lastRowLastColumn="0"/>
              <w:rPr>
                <w:rFonts w:cs="Times New Roman" w:eastAsiaTheme="minorEastAsia"/>
                <w:szCs w:val="24"/>
              </w:rPr>
            </w:pPr>
            <w:r w:rsidRPr="00D32D53">
              <w:rPr>
                <w:bCs/>
                <w:b/>
                <w:rFonts w:cs="Times New Roman"/>
                <w:szCs w:val="24"/>
              </w:rPr>
              <w:t>The debtor's</w:t>
            </w:r>
            <w:r>
              <w:rPr>
                <w:bCs/>
                <w:b/>
                <w:rFonts w:cs="Times New Roman"/>
                <w:szCs w:val="24"/>
              </w:rPr>
              <w:t xml:space="preserve"> collection period for year 2019</w:t>
            </w:r>
            <w:r w:rsidRPr="00D32D53">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1,287</m:t>
                  </m:r>
                </m:num>
                <m:den>
                  <m:r>
                    <w:rPr>
                      <w:rFonts w:ascii="Cambria Math" w:hAnsi="Cambria Math" w:cs="Times New Roman"/>
                      <w:szCs w:val="24"/>
                    </w:rPr>
                    <m:t>9.39</m:t>
                  </m:r>
                </m:den>
              </m:f>
            </m:oMath>
            <w:r w:rsidRPr="00D32D53">
              <w:rPr>
                <w:rFonts w:cs="Times New Roman" w:eastAsiaTheme="minorEastAsia"/>
                <w:szCs w:val="24"/>
              </w:rPr>
              <w:t xml:space="preserve">= 137 days </w:t>
            </w:r>
          </w:p>
        </w:tc>
      </w:tr>
    </w:tbl>
    <w:p w:rsidR="00E20437" w:rsidRDefault="00E20437" w14:paraId="4BE069FA" w14:textId="77777777" w:rsidP="00E20437">
      <w:pPr>
        <w:jc w:val="both"/>
        <w:spacing w:line="360" w:lineRule="auto"/>
      </w:pPr>
    </w:p>
    <w:p w:rsidR="00E20437" w:rsidRDefault="00E20437" w14:paraId="7B4E8817" w14:textId="77777777" w:rsidP="00A715D9">
      <w:pPr>
        <w:pStyle w:val="ListParagraph"/>
        <w:numPr>
          <w:ilvl w:val="0"/>
          <w:numId w:val="4"/>
        </w:numPr>
        <w:jc w:val="both"/>
        <w:spacing w:line="360" w:lineRule="auto"/>
      </w:pPr>
      <w:r>
        <w:t>The business organisations has liabilities and current obligations to meet. To assess the credibility of the organisation to meet those current obli</w:t>
      </w:r>
      <w:r w:rsidR="00C74907">
        <w:t>gation is called Current ratio</w:t>
      </w:r>
      <w:r w:rsidR="008C36E5">
        <w:t xml:space="preserve"> </w:t>
      </w:r>
      <w:r w:rsidR="008C36E5" w:rsidRPr="008C36E5">
        <w:t>(Hoffman, Pacsy and Flashner, 2019)</w:t>
      </w:r>
      <w:r w:rsidR="00C74907">
        <w:t>. Current ratio is calculated dividing current asset by the current liabilities of the business organisation</w:t>
      </w:r>
      <w:r w:rsidR="00A715D9">
        <w:t xml:space="preserve"> </w:t>
      </w:r>
      <w:r w:rsidR="00A715D9" w:rsidRPr="00A715D9">
        <w:t>(Mason, Davidson and Schindler, 2017)</w:t>
      </w:r>
      <w:r w:rsidR="00C74907">
        <w:t xml:space="preserve">. </w:t>
      </w:r>
      <w:r>
        <w:t xml:space="preserve">Current ration of Chocco Plc is calculated below for the year of 2020 and 2019: </w:t>
      </w:r>
    </w:p>
    <w:tbl>
      <w:tblPr>
        <w:tblW w:w="9706" w:type="dxa"/>
        <w:tblStyle w:val="GridTable4-Accent6"/>
        <w:tblLook w:val="4A0"/>
      </w:tblPr>
      <w:tblGrid>
        <w:gridCol w:w="4857"/>
        <w:gridCol w:w="4849"/>
      </w:tblGrid>
      <w:tr w14:paraId="210D74AC" w14:textId="77777777" w:rsidR="00E20437" w:rsidRPr="00D32D53" w:rsidTr="00E20437">
        <w:trPr>
          <w:cnfStyle w:val="100000000000" w:firstRow="1" w:lastRow="0" w:firstColumn="0" w:lastColumn="0" w:oddVBand="0" w:evenVBand="0" w:oddHBand="0" w:evenHBand="0" w:firstRowFirstColumn="0" w:firstRowLastColumn="0" w:lastRowFirstColumn="0" w:lastRowLastColumn="0"/>
          <w:trHeight w:val="856"/>
        </w:trPr>
        <w:tc>
          <w:tcPr>
            <w:cnfStyle w:val="001000000000" w:firstRow="0" w:lastRow="0" w:firstColumn="1" w:lastColumn="0" w:oddVBand="0" w:evenVBand="0" w:oddHBand="0" w:evenHBand="0" w:firstRowFirstColumn="0" w:firstRowLastColumn="0" w:lastRowFirstColumn="0" w:lastRowLastColumn="0"/>
            <w:gridSpan w:val="2"/>
            <w:tcW w:w="9706" w:type="dxa"/>
          </w:tcPr>
          <w:p w:rsidR="00E20437" w:rsidRDefault="00E20437" w14:paraId="0EC7C641" w14:textId="77777777" w:rsidP="005470A9" w:rsidRPr="00D32D53">
            <w:pPr>
              <w:jc w:val="center"/>
              <w:rPr>
                <w:rFonts w:cs="Times New Roman" w:eastAsiaTheme="minorEastAsia"/>
                <w:szCs w:val="24"/>
              </w:rPr>
            </w:pPr>
            <m:oMathPara>
              <m:oMath>
                <m:r>
                  <m:rPr>
                    <m:sty m:val="b"/>
                  </m:rPr>
                  <w:rPr>
                    <w:rFonts w:ascii="Cambria Math" w:hAnsi="Cambria Math" w:cs="Times New Roman"/>
                    <w:szCs w:val="24"/>
                  </w:rPr>
                  <m:t>Current Ratio formula=</m:t>
                </m:r>
                <m:f>
                  <m:fPr>
                    <m:ctrlPr>
                      <w:rPr>
                        <w:rFonts w:ascii="Cambria Math" w:hAnsi="Cambria Math" w:cs="Times New Roman"/>
                        <w:iCs/>
                        <w:szCs w:val="24"/>
                      </w:rPr>
                    </m:ctrlPr>
                  </m:fPr>
                  <m:num>
                    <m:r>
                      <m:rPr>
                        <m:sty m:val="b"/>
                      </m:rPr>
                      <w:rPr>
                        <w:rFonts w:ascii="Cambria Math" w:hAnsi="Cambria Math" w:cs="Times New Roman"/>
                        <w:szCs w:val="24"/>
                      </w:rPr>
                      <m:t>Current Assets</m:t>
                    </m:r>
                  </m:num>
                  <m:den>
                    <m:r>
                      <m:rPr>
                        <m:sty m:val="b"/>
                      </m:rPr>
                      <w:rPr>
                        <w:rFonts w:ascii="Cambria Math" w:hAnsi="Cambria Math" w:cs="Times New Roman"/>
                        <w:szCs w:val="24"/>
                      </w:rPr>
                      <m:t>Current Liability</m:t>
                    </m:r>
                  </m:den>
                </m:f>
              </m:oMath>
            </m:oMathPara>
          </w:p>
        </w:tc>
      </w:tr>
      <w:tr w14:paraId="17894973" w14:textId="77777777" w:rsidR="00E20437" w:rsidRPr="00D32D53" w:rsidTr="00E20437">
        <w:trPr>
          <w:cnfStyle w:val="000000100000" w:firstRow="0" w:lastRow="0" w:firstColumn="0" w:lastColumn="0" w:oddVBand="0" w:evenVBand="0" w:oddHBand="1" w:evenHBand="0" w:firstRowFirstColumn="0" w:firstRowLastColumn="0" w:lastRowFirstColumn="0" w:lastRowLastColumn="0"/>
          <w:trHeight w:val="988"/>
        </w:trPr>
        <w:tc>
          <w:tcPr>
            <w:cnfStyle w:val="001000000000" w:firstRow="0" w:lastRow="0" w:firstColumn="1" w:lastColumn="0" w:oddVBand="0" w:evenVBand="0" w:oddHBand="0" w:evenHBand="0" w:firstRowFirstColumn="0" w:firstRowLastColumn="0" w:lastRowFirstColumn="0" w:lastRowLastColumn="0"/>
            <w:tcW w:w="4857" w:type="dxa"/>
          </w:tcPr>
          <w:p w:rsidR="00E20437" w:rsidRDefault="00E20437" w14:paraId="1C41A1C9" w14:textId="77777777" w:rsidP="005470A9" w:rsidRPr="00D32D53">
            <w:pPr>
              <w:rPr>
                <w:rFonts w:cs="Times New Roman" w:eastAsiaTheme="minorEastAsia"/>
                <w:szCs w:val="24"/>
              </w:rPr>
            </w:pPr>
            <w:r>
              <w:rPr>
                <w:rFonts w:cs="Times New Roman" w:eastAsiaTheme="minorEastAsia"/>
                <w:szCs w:val="24"/>
              </w:rPr>
              <w:t>The current ratio for year 2020</w:t>
            </w:r>
            <w:r w:rsidRPr="00D32D53">
              <w:rPr>
                <w:rFonts w:cs="Times New Roman" w:eastAsiaTheme="minorEastAsia"/>
                <w:szCs w:val="24"/>
              </w:rPr>
              <w:t xml:space="preserve">= </w:t>
            </w:r>
            <m:oMath>
              <m:f>
                <m:fPr>
                  <m:ctrlPr>
                    <w:rPr>
                      <w:rFonts w:ascii="Cambria Math" w:hAnsi="Cambria Math" w:cs="Times New Roman"/>
                      <w:i/>
                      <w:szCs w:val="24"/>
                    </w:rPr>
                  </m:ctrlPr>
                </m:fPr>
                <m:num>
                  <m:r>
                    <m:rPr>
                      <m:sty m:val="b"/>
                    </m:rPr>
                    <w:rPr>
                      <w:rFonts w:ascii="Cambria Math" w:hAnsi="Cambria Math" w:cs="Times New Roman"/>
                      <w:szCs w:val="24"/>
                    </w:rPr>
                    <m:t>2,303</m:t>
                  </m:r>
                  <m:r>
                    <m:rPr>
                      <m:sty m:val="bi"/>
                    </m:rPr>
                    <w:rPr>
                      <w:rFonts w:ascii="Cambria Math" w:hAnsi="Cambria Math" w:cs="Times New Roman"/>
                      <w:szCs w:val="24"/>
                    </w:rPr>
                    <m:t xml:space="preserve"> </m:t>
                  </m:r>
                </m:num>
                <m:den>
                  <m:r>
                    <m:rPr>
                      <m:sty m:val="bi"/>
                    </m:rPr>
                    <w:rPr>
                      <w:rFonts w:ascii="Cambria Math" w:hAnsi="Cambria Math" w:cs="Times New Roman"/>
                      <w:szCs w:val="24"/>
                    </w:rPr>
                    <m:t xml:space="preserve"> 2511</m:t>
                  </m:r>
                </m:den>
              </m:f>
            </m:oMath>
            <w:r w:rsidRPr="00D32D53">
              <w:rPr>
                <w:rFonts w:cs="Times New Roman" w:eastAsiaTheme="minorEastAsia"/>
                <w:szCs w:val="24"/>
              </w:rPr>
              <w:t>= 0.917</w:t>
            </w:r>
          </w:p>
        </w:tc>
        <w:tc>
          <w:tcPr>
            <w:tcW w:w="4848" w:type="dxa"/>
          </w:tcPr>
          <w:p w:rsidR="00E20437" w:rsidRDefault="00E20437" w14:paraId="1CE85172" w14:textId="77777777" w:rsidP="005470A9" w:rsidRPr="00D32D53">
            <w:pPr>
              <w:cnfStyle w:val="000000100000" w:firstRow="0" w:lastRow="0" w:firstColumn="0" w:lastColumn="0" w:oddVBand="0" w:evenVBand="0" w:oddHBand="1" w:evenHBand="0" w:firstRowFirstColumn="0" w:firstRowLastColumn="0" w:lastRowFirstColumn="0" w:lastRowLastColumn="0"/>
              <w:rPr>
                <w:rFonts w:cs="Times New Roman"/>
                <w:szCs w:val="24"/>
              </w:rPr>
            </w:pPr>
            <w:r>
              <w:rPr>
                <w:bCs/>
                <w:b/>
                <w:rFonts w:cs="Times New Roman" w:eastAsiaTheme="minorEastAsia"/>
                <w:szCs w:val="24"/>
              </w:rPr>
              <w:t>The current ratio for year 2019</w:t>
            </w:r>
            <w:r w:rsidRPr="00D32D53">
              <w:rPr>
                <w:rFonts w:cs="Times New Roman" w:eastAsiaTheme="minorEastAsia"/>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2,355</m:t>
                  </m:r>
                </m:num>
                <m:den>
                  <m:r>
                    <w:rPr>
                      <w:rFonts w:ascii="Cambria Math" w:hAnsi="Cambria Math" w:cs="Times New Roman"/>
                      <w:szCs w:val="24"/>
                    </w:rPr>
                    <m:t xml:space="preserve">3046 </m:t>
                  </m:r>
                </m:den>
              </m:f>
            </m:oMath>
            <w:r w:rsidRPr="00D32D53">
              <w:rPr>
                <w:rFonts w:cs="Times New Roman" w:eastAsiaTheme="minorEastAsia"/>
                <w:szCs w:val="24"/>
              </w:rPr>
              <w:t>= 0.773</w:t>
            </w:r>
          </w:p>
        </w:tc>
      </w:tr>
    </w:tbl>
    <w:p w:rsidR="00E20437" w:rsidRDefault="00E20437" w14:paraId="08D37BC0" w14:textId="77777777" w:rsidP="00E20437">
      <w:pPr>
        <w:jc w:val="both"/>
        <w:spacing w:line="360" w:lineRule="auto"/>
      </w:pPr>
    </w:p>
    <w:p w:rsidR="00E20437" w:rsidRDefault="00E32B73" w14:paraId="343F265B" w14:textId="77777777" w:rsidP="00925AE5">
      <w:pPr>
        <w:pStyle w:val="ListParagraph"/>
        <w:numPr>
          <w:ilvl w:val="0"/>
          <w:numId w:val="4"/>
        </w:numPr>
        <w:jc w:val="both"/>
        <w:spacing w:line="360" w:lineRule="auto"/>
      </w:pPr>
      <w:r>
        <w:t>Gearing ratio is the sort of financial ratio that measures the financial leverage of the organisation</w:t>
      </w:r>
      <w:r w:rsidR="00A715D9">
        <w:t xml:space="preserve"> </w:t>
      </w:r>
      <w:r w:rsidR="00A715D9" w:rsidRPr="00A715D9">
        <w:t>(Kieso, Weygandt and Warfield, 2013)</w:t>
      </w:r>
      <w:r>
        <w:t>. It is a comparison between owner’s equity and borrowed money for the organisation or debt</w:t>
      </w:r>
      <w:r w:rsidR="00925AE5">
        <w:t xml:space="preserve"> </w:t>
      </w:r>
      <w:r w:rsidR="00925AE5" w:rsidRPr="00925AE5">
        <w:t>(Yorston, Smyth, Kenley and Brown, 2015)</w:t>
      </w:r>
      <w:r>
        <w:t xml:space="preserve">. The Gearing ratio for the Chocco PLC for the year of 2020 and 2019 is given below: </w:t>
      </w:r>
    </w:p>
    <w:tbl>
      <w:tblPr>
        <w:tblW w:w="9796" w:type="dxa"/>
        <w:tblStyle w:val="GridTable4-Accent4"/>
        <w:tblLook w:val="4A0"/>
      </w:tblPr>
      <w:tblGrid>
        <w:gridCol w:w="4937"/>
        <w:gridCol w:w="4859"/>
      </w:tblGrid>
      <w:tr w14:paraId="5C839D25" w14:textId="77777777" w:rsidR="00E32B73" w:rsidRPr="00D32D53" w:rsidTr="00E32B73">
        <w:trPr>
          <w:cnfStyle w:val="100000000000" w:firstRow="1" w:lastRow="0" w:firstColumn="0" w:lastColumn="0" w:oddVBand="0" w:evenVBand="0" w:oddHBand="0"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gridSpan w:val="2"/>
            <w:tcW w:w="9796" w:type="dxa"/>
          </w:tcPr>
          <w:p w:rsidR="00E32B73" w:rsidRDefault="00E32B73" w14:paraId="75AF2DF9" w14:textId="77777777" w:rsidP="005470A9" w:rsidRPr="00D32D53">
            <w:pPr>
              <w:jc w:val="center"/>
              <w:rPr>
                <w:rFonts w:cs="Times New Roman" w:eastAsiaTheme="minorEastAsia"/>
                <w:szCs w:val="24"/>
              </w:rPr>
            </w:pPr>
            <m:oMathPara>
              <m:oMath>
                <m:r>
                  <m:rPr>
                    <m:sty m:val="b"/>
                  </m:rPr>
                  <w:rPr>
                    <w:rFonts w:ascii="Cambria Math" w:hAnsi="Cambria Math" w:cs="Times New Roman"/>
                    <w:szCs w:val="24"/>
                  </w:rPr>
                  <m:t>Gearing Ratio=</m:t>
                </m:r>
                <m:f>
                  <m:fPr>
                    <m:ctrlPr>
                      <w:rPr>
                        <w:rFonts w:ascii="Cambria Math" w:hAnsi="Cambria Math" w:cs="Times New Roman"/>
                        <w:iCs/>
                        <w:szCs w:val="24"/>
                      </w:rPr>
                    </m:ctrlPr>
                  </m:fPr>
                  <m:num>
                    <m:r>
                      <m:rPr>
                        <m:sty m:val="b"/>
                      </m:rPr>
                      <w:rPr>
                        <w:rFonts w:ascii="Cambria Math" w:hAnsi="Cambria Math" w:cs="Times New Roman"/>
                        <w:szCs w:val="24"/>
                      </w:rPr>
                      <m:t>Long term debt-Short term debt+Bank overdraft</m:t>
                    </m:r>
                  </m:num>
                  <m:den>
                    <m:r>
                      <m:rPr>
                        <m:sty m:val="b"/>
                      </m:rPr>
                      <w:rPr>
                        <w:rFonts w:ascii="Cambria Math" w:hAnsi="Cambria Math" w:cs="Times New Roman"/>
                        <w:szCs w:val="24"/>
                      </w:rPr>
                      <m:t>Shreholder equity</m:t>
                    </m:r>
                  </m:den>
                </m:f>
              </m:oMath>
            </m:oMathPara>
          </w:p>
        </w:tc>
      </w:tr>
      <w:tr w14:paraId="1CCE420B" w14:textId="77777777" w:rsidR="00E32B73" w:rsidRPr="00D32D53" w:rsidTr="00E32B73">
        <w:trPr>
          <w:cnfStyle w:val="000000100000" w:firstRow="0" w:lastRow="0" w:firstColumn="0" w:lastColumn="0" w:oddVBand="0" w:evenVBand="0" w:oddHBand="1" w:evenHBand="0" w:firstRowFirstColumn="0" w:firstRowLastColumn="0" w:lastRowFirstColumn="0" w:lastRowLastColumn="0"/>
          <w:trHeight w:val="1169"/>
        </w:trPr>
        <w:tc>
          <w:tcPr>
            <w:cnfStyle w:val="001000000000" w:firstRow="0" w:lastRow="0" w:firstColumn="1" w:lastColumn="0" w:oddVBand="0" w:evenVBand="0" w:oddHBand="0" w:evenHBand="0" w:firstRowFirstColumn="0" w:firstRowLastColumn="0" w:lastRowFirstColumn="0" w:lastRowLastColumn="0"/>
            <w:tcW w:w="4937" w:type="dxa"/>
          </w:tcPr>
          <w:p w:rsidR="00E32B73" w:rsidRDefault="00E32B73" w14:paraId="40307FAA" w14:textId="77777777" w:rsidP="005470A9" w:rsidRPr="00D32D53">
            <w:pPr>
              <w:rPr>
                <w:rFonts w:cs="Times New Roman" w:eastAsiaTheme="minorEastAsia"/>
                <w:szCs w:val="24"/>
              </w:rPr>
            </w:pPr>
            <w:r>
              <w:rPr>
                <w:rFonts w:cs="Times New Roman"/>
                <w:szCs w:val="24"/>
              </w:rPr>
              <w:t>Gearing ratio for year 2020</w:t>
            </w:r>
            <w:r w:rsidRPr="00126D54">
              <w:rPr>
                <w:rFonts w:cs="Times New Roman"/>
                <w:szCs w:val="24"/>
              </w:rPr>
              <w:t xml:space="preserve">= </w:t>
            </w:r>
            <m:oMath>
              <m:f>
                <m:fPr>
                  <m:ctrlPr>
                    <w:rPr>
                      <w:rFonts w:ascii="Cambria Math" w:hAnsi="Cambria Math" w:cs="Times New Roman"/>
                      <w:i/>
                      <w:szCs w:val="24"/>
                    </w:rPr>
                  </m:ctrlPr>
                </m:fPr>
                <m:num>
                  <m:r>
                    <m:rPr>
                      <m:sty m:val="bi"/>
                    </m:rPr>
                    <w:rPr>
                      <w:rFonts w:ascii="Cambria Math" w:hAnsi="Cambria Math" w:cs="Times New Roman"/>
                      <w:szCs w:val="24"/>
                    </w:rPr>
                    <m:t>6648</m:t>
                  </m:r>
                </m:num>
                <m:den>
                  <m:r>
                    <m:rPr>
                      <m:sty m:val="b"/>
                    </m:rPr>
                    <w:rPr>
                      <w:rFonts w:ascii="Cambria Math" w:hAnsi="Cambria Math" w:cs="Times New Roman"/>
                      <w:szCs w:val="24"/>
                    </w:rPr>
                    <m:t>6648+3,088</m:t>
                  </m:r>
                </m:den>
              </m:f>
              <m:r>
                <m:rPr>
                  <m:sty m:val="bi"/>
                </m:rPr>
                <w:rPr>
                  <w:rFonts w:ascii="Cambria Math" w:hAnsi="Cambria Math" w:cs="Times New Roman"/>
                  <w:szCs w:val="24"/>
                </w:rPr>
                <m:t>×100%</m:t>
              </m:r>
            </m:oMath>
            <w:r w:rsidRPr="00126D54">
              <w:rPr>
                <w:rFonts w:cs="Times New Roman" w:eastAsiaTheme="minorEastAsia"/>
                <w:szCs w:val="24"/>
              </w:rPr>
              <w:t>= 68.282%</w:t>
            </w:r>
          </w:p>
        </w:tc>
        <w:tc>
          <w:tcPr>
            <w:tcW w:w="4858" w:type="dxa"/>
          </w:tcPr>
          <w:p w:rsidR="00E32B73" w:rsidRDefault="00E32B73" w14:paraId="1F9E73D4" w14:textId="77777777" w:rsidP="005470A9" w:rsidRPr="00D32D53">
            <w:pPr>
              <w:cnfStyle w:val="000000100000" w:firstRow="0" w:lastRow="0" w:firstColumn="0" w:lastColumn="0" w:oddVBand="0" w:evenVBand="0" w:oddHBand="1" w:evenHBand="0" w:firstRowFirstColumn="0" w:firstRowLastColumn="0" w:lastRowFirstColumn="0" w:lastRowLastColumn="0"/>
              <w:rPr>
                <w:rFonts w:cs="Times New Roman" w:eastAsiaTheme="minorEastAsia"/>
                <w:szCs w:val="24"/>
              </w:rPr>
            </w:pPr>
            <w:r>
              <w:rPr>
                <w:bCs/>
                <w:b/>
                <w:rFonts w:cs="Times New Roman"/>
                <w:szCs w:val="24"/>
              </w:rPr>
              <w:t>Gearing ratio for year 2019</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7175</m:t>
                  </m:r>
                </m:num>
                <m:den>
                  <m:r>
                    <m:rPr>
                      <m:sty m:val="p"/>
                    </m:rPr>
                    <w:rPr>
                      <w:rFonts w:ascii="Cambria Math" w:hAnsi="Cambria Math" w:cs="Times New Roman"/>
                      <w:szCs w:val="24"/>
                    </w:rPr>
                    <m:t>7175+2,912</m:t>
                  </m:r>
                  <m:r>
                    <w:rPr>
                      <w:rFonts w:ascii="Cambria Math" w:hAnsi="Cambria Math" w:cs="Times New Roman"/>
                      <w:szCs w:val="24"/>
                    </w:rPr>
                    <m:t xml:space="preserve"> </m:t>
                  </m:r>
                </m:den>
              </m:f>
              <m:r>
                <w:rPr>
                  <w:rFonts w:ascii="Cambria Math" w:hAnsi="Cambria Math" w:cs="Times New Roman"/>
                  <w:szCs w:val="24"/>
                </w:rPr>
                <m:t>×100%</m:t>
              </m:r>
            </m:oMath>
            <w:r w:rsidRPr="00126D54">
              <w:rPr>
                <w:rFonts w:cs="Times New Roman" w:eastAsiaTheme="minorEastAsia"/>
                <w:szCs w:val="24"/>
              </w:rPr>
              <w:t xml:space="preserve"> = 71.131%</w:t>
            </w:r>
          </w:p>
        </w:tc>
      </w:tr>
    </w:tbl>
    <w:p w:rsidR="00E32B73" w:rsidRDefault="00E32B73" w14:paraId="2FC8520D" w14:textId="77777777" w:rsidP="00E32B73">
      <w:pPr>
        <w:jc w:val="both"/>
        <w:spacing w:line="360" w:lineRule="auto"/>
      </w:pPr>
    </w:p>
    <w:p w:rsidR="00E32B73" w:rsidRDefault="00E32B73" w14:paraId="33007D16" w14:textId="77777777" w:rsidP="008C36E5">
      <w:pPr>
        <w:pStyle w:val="ListParagraph"/>
        <w:numPr>
          <w:ilvl w:val="0"/>
          <w:numId w:val="4"/>
        </w:numPr>
        <w:jc w:val="both"/>
        <w:spacing w:line="360" w:lineRule="auto"/>
      </w:pPr>
      <w:r>
        <w:t>Interest coverage ratio is the ratio which measures the rate of in what extent an organisation can repay its outstanding debt interest</w:t>
        <w:lastRenderedPageBreak/>
      </w:r>
      <w:r w:rsidR="008C36E5">
        <w:t xml:space="preserve"> </w:t>
      </w:r>
      <w:r w:rsidR="008C36E5" w:rsidRPr="008C36E5">
        <w:t>(Hoffman, Pacsy and Flashner, 2019)</w:t>
      </w:r>
      <w:r>
        <w:t xml:space="preserve">. It is a debt and profitability ratio. The formula and the calculation of interest cover ratio of the Chocco PLC for the year 2020 and 2019 are as follows: </w:t>
      </w:r>
    </w:p>
    <w:tbl>
      <w:tblPr>
        <w:tblW w:w="9676" w:type="dxa"/>
        <w:tblStyle w:val="GridTable4-Accent2"/>
        <w:tblLook w:val="4A0"/>
      </w:tblPr>
      <w:tblGrid>
        <w:gridCol w:w="4854"/>
        <w:gridCol w:w="4822"/>
      </w:tblGrid>
      <w:tr w14:paraId="005E711D" w14:textId="77777777" w:rsidR="00E32B73" w:rsidRPr="00D32D53" w:rsidTr="00E32B73">
        <w:trPr>
          <w:cnfStyle w:val="100000000000" w:firstRow="1" w:lastRow="0" w:firstColumn="0" w:lastColumn="0" w:oddVBand="0" w:evenVBand="0" w:oddHBand="0" w:evenHBand="0" w:firstRowFirstColumn="0" w:firstRowLastColumn="0" w:lastRowFirstColumn="0" w:lastRowLastColumn="0"/>
          <w:trHeight w:val="1229"/>
        </w:trPr>
        <w:tc>
          <w:tcPr>
            <w:cnfStyle w:val="001000000000" w:firstRow="0" w:lastRow="0" w:firstColumn="1" w:lastColumn="0" w:oddVBand="0" w:evenVBand="0" w:oddHBand="0" w:evenHBand="0" w:firstRowFirstColumn="0" w:firstRowLastColumn="0" w:lastRowFirstColumn="0" w:lastRowLastColumn="0"/>
            <w:gridSpan w:val="2"/>
            <w:tcW w:w="9676" w:type="dxa"/>
          </w:tcPr>
          <w:p w:rsidR="00E32B73" w:rsidRDefault="00E32B73" w14:paraId="34CB8FF5" w14:textId="77777777" w:rsidP="005470A9" w:rsidRPr="00D32D53">
            <w:pPr>
              <w:jc w:val="center"/>
              <w:rPr>
                <w:rFonts w:cs="Times New Roman" w:eastAsiaTheme="minorEastAsia"/>
                <w:szCs w:val="24"/>
              </w:rPr>
            </w:pPr>
            <m:oMathPara>
              <m:oMath>
                <m:r>
                  <m:rPr>
                    <m:sty m:val="b"/>
                  </m:rPr>
                  <w:rPr>
                    <w:rFonts w:ascii="Cambria Math" w:hAnsi="Cambria Math" w:cs="Times New Roman"/>
                    <w:szCs w:val="24"/>
                  </w:rPr>
                  <m:t>Interest Cover Ratio=</m:t>
                </m:r>
                <m:f>
                  <m:fPr>
                    <m:ctrlPr>
                      <w:rPr>
                        <w:rFonts w:ascii="Cambria Math" w:hAnsi="Cambria Math" w:cs="Times New Roman"/>
                        <w:iCs/>
                        <w:szCs w:val="24"/>
                      </w:rPr>
                    </m:ctrlPr>
                  </m:fPr>
                  <m:num>
                    <m:r>
                      <m:rPr>
                        <m:sty m:val="b"/>
                      </m:rPr>
                      <w:rPr>
                        <w:rFonts w:ascii="Cambria Math" w:hAnsi="Cambria Math" w:cs="Times New Roman"/>
                        <w:szCs w:val="24"/>
                      </w:rPr>
                      <m:t>Earning Before Interest and Tax</m:t>
                    </m:r>
                  </m:num>
                  <m:den>
                    <m:r>
                      <m:rPr>
                        <m:sty m:val="b"/>
                      </m:rPr>
                      <w:rPr>
                        <w:rFonts w:ascii="Cambria Math" w:hAnsi="Cambria Math" w:cs="Times New Roman"/>
                        <w:szCs w:val="24"/>
                      </w:rPr>
                      <m:t>Interest Expense</m:t>
                    </m:r>
                  </m:den>
                </m:f>
              </m:oMath>
            </m:oMathPara>
          </w:p>
        </w:tc>
      </w:tr>
      <w:tr w14:paraId="41884A84" w14:textId="77777777" w:rsidR="00E32B73" w:rsidRPr="00D32D53" w:rsidTr="00E32B73">
        <w:trPr>
          <w:cnfStyle w:val="000000100000" w:firstRow="0" w:lastRow="0" w:firstColumn="0" w:lastColumn="0" w:oddVBand="0" w:evenVBand="0" w:oddHBand="1"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4854" w:type="dxa"/>
          </w:tcPr>
          <w:p w:rsidR="00E32B73" w:rsidRDefault="00E32B73" w14:paraId="42262779" w14:textId="77777777" w:rsidP="005470A9" w:rsidRPr="00D32D53">
            <w:pPr>
              <w:rPr>
                <w:rFonts w:cs="Times New Roman" w:eastAsiaTheme="minorEastAsia"/>
                <w:szCs w:val="24"/>
              </w:rPr>
            </w:pPr>
            <w:r>
              <w:rPr>
                <w:rFonts w:cs="Times New Roman" w:eastAsiaTheme="minorEastAsia"/>
                <w:szCs w:val="24"/>
              </w:rPr>
              <w:t>Interest cover for year 2020</w:t>
            </w:r>
            <w:r w:rsidRPr="00D32D53">
              <w:rPr>
                <w:rFonts w:cs="Times New Roman" w:eastAsiaTheme="minorEastAsia"/>
                <w:szCs w:val="24"/>
              </w:rPr>
              <w:t xml:space="preserve">= </w:t>
            </w:r>
            <m:oMath>
              <m:f>
                <m:fPr>
                  <m:ctrlPr>
                    <w:rPr>
                      <w:rFonts w:ascii="Cambria Math" w:hAnsi="Cambria Math" w:cs="Times New Roman"/>
                      <w:i/>
                      <w:szCs w:val="24"/>
                    </w:rPr>
                  </m:ctrlPr>
                </m:fPr>
                <m:num>
                  <m:r>
                    <m:rPr>
                      <m:sty m:val="b"/>
                    </m:rPr>
                    <w:rPr>
                      <w:rFonts w:ascii="Cambria Math" w:hAnsi="Cambria Math" w:cs="Times New Roman"/>
                      <w:szCs w:val="24"/>
                    </w:rPr>
                    <m:t>620</m:t>
                  </m:r>
                  <m:r>
                    <m:rPr>
                      <m:sty m:val="bi"/>
                    </m:rPr>
                    <w:rPr>
                      <w:rFonts w:ascii="Cambria Math" w:hAnsi="Cambria Math" w:cs="Times New Roman"/>
                      <w:szCs w:val="24"/>
                    </w:rPr>
                    <m:t xml:space="preserve"> </m:t>
                  </m:r>
                </m:num>
                <m:den>
                  <m:r>
                    <m:rPr>
                      <m:sty m:val="bi"/>
                    </m:rPr>
                    <w:rPr>
                      <w:rFonts w:ascii="Cambria Math" w:hAnsi="Cambria Math" w:cs="Times New Roman"/>
                      <w:szCs w:val="24"/>
                    </w:rPr>
                    <m:t xml:space="preserve"> 226</m:t>
                  </m:r>
                </m:den>
              </m:f>
            </m:oMath>
            <w:r w:rsidRPr="00D32D53">
              <w:rPr>
                <w:rFonts w:cs="Times New Roman" w:eastAsiaTheme="minorEastAsia"/>
                <w:szCs w:val="24"/>
              </w:rPr>
              <w:t>= 2.74</w:t>
            </w:r>
          </w:p>
        </w:tc>
        <w:tc>
          <w:tcPr>
            <w:tcW w:w="4821" w:type="dxa"/>
          </w:tcPr>
          <w:p w:rsidR="00E32B73" w:rsidRDefault="00E32B73" w14:paraId="4CC520CE" w14:textId="77777777" w:rsidP="005470A9" w:rsidRPr="00D32D53">
            <w:pPr>
              <w:cnfStyle w:val="000000100000" w:firstRow="0" w:lastRow="0" w:firstColumn="0" w:lastColumn="0" w:oddVBand="0" w:evenVBand="0" w:oddHBand="1" w:evenHBand="0" w:firstRowFirstColumn="0" w:firstRowLastColumn="0" w:lastRowFirstColumn="0" w:lastRowLastColumn="0"/>
              <w:rPr>
                <w:rFonts w:cs="Times New Roman" w:eastAsiaTheme="minorEastAsia"/>
                <w:szCs w:val="24"/>
              </w:rPr>
            </w:pPr>
            <w:r>
              <w:rPr>
                <w:bCs/>
                <w:b/>
                <w:rFonts w:cs="Times New Roman" w:eastAsiaTheme="minorEastAsia"/>
                <w:szCs w:val="24"/>
              </w:rPr>
              <w:t>Interest cover for year 2019</w:t>
            </w:r>
            <w:r w:rsidRPr="00D32D53">
              <w:rPr>
                <w:rFonts w:cs="Times New Roman" w:eastAsiaTheme="minorEastAsia"/>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539</m:t>
                  </m:r>
                  <m:r>
                    <w:rPr>
                      <w:rFonts w:ascii="Cambria Math" w:hAnsi="Cambria Math" w:cs="Times New Roman"/>
                      <w:szCs w:val="24"/>
                    </w:rPr>
                    <m:t xml:space="preserve"> </m:t>
                  </m:r>
                </m:num>
                <m:den>
                  <m:r>
                    <w:rPr>
                      <w:rFonts w:ascii="Cambria Math" w:hAnsi="Cambria Math" w:cs="Times New Roman"/>
                      <w:szCs w:val="24"/>
                    </w:rPr>
                    <m:t xml:space="preserve"> 181 </m:t>
                  </m:r>
                </m:den>
              </m:f>
            </m:oMath>
            <w:r w:rsidRPr="00D32D53">
              <w:rPr>
                <w:rFonts w:cs="Times New Roman" w:eastAsiaTheme="minorEastAsia"/>
                <w:szCs w:val="24"/>
              </w:rPr>
              <w:t xml:space="preserve"> = 2.97</w:t>
            </w:r>
          </w:p>
        </w:tc>
      </w:tr>
    </w:tbl>
    <w:p w:rsidR="00E32B73" w:rsidRDefault="00E32B73" w14:paraId="249F6EF7" w14:textId="77777777" w:rsidP="00E32B73">
      <w:pPr>
        <w:jc w:val="both"/>
        <w:spacing w:line="360" w:lineRule="auto"/>
      </w:pPr>
    </w:p>
    <w:p w:rsidR="00E32B73" w:rsidRDefault="00E32B73" w14:paraId="1370B860" w14:textId="77777777" w:rsidP="00E32B73">
      <w:pPr>
        <w:jc w:val="both"/>
        <w:spacing w:line="360" w:lineRule="auto"/>
      </w:pPr>
      <w:r>
        <w:t xml:space="preserve">Calculation of the ratio done above for the Chocco PLC provides various range of accounting ratios to assess various aspects of the organisation to assess the financial condition of the organisation. </w:t>
      </w:r>
    </w:p>
    <w:p w:rsidR="00E32B73" w:rsidRDefault="00E32B73" w14:paraId="665DE8A7" w14:textId="77777777" w:rsidP="00EA5F70">
      <w:pPr>
        <w:pStyle w:val="Heading1"/>
        <w:spacing w:line="360" w:lineRule="auto"/>
      </w:pPr>
      <w:bookmarkStart w:id="7" w:name="_Toc77717515"/>
      <w:r>
        <w:t>Answer to the Question No 2 (b)</w:t>
      </w:r>
      <w:bookmarkEnd w:id="7"/>
    </w:p>
    <w:p w:rsidR="00EA5F70" w:rsidRDefault="00EA5F70" w14:paraId="3BB34E32" w14:textId="77777777" w:rsidP="00EA5F70">
      <w:pPr>
        <w:pStyle w:val="Heading2"/>
        <w:spacing w:line="360" w:lineRule="auto"/>
      </w:pPr>
      <w:bookmarkStart w:id="8" w:name="_Toc77717516"/>
      <w:r>
        <w:t>Analysing the financial position of the Chocco PLC depending on the Ratio Results</w:t>
      </w:r>
      <w:bookmarkEnd w:id="8"/>
    </w:p>
    <w:p w:rsidR="00EA5F70" w:rsidRDefault="00EA5F70" w14:paraId="68CBB3D8" w14:textId="77777777" w:rsidP="00EA5F70">
      <w:pPr>
        <w:jc w:val="both"/>
        <w:spacing w:line="360" w:lineRule="auto"/>
      </w:pPr>
      <w:r>
        <w:t>The Cocco PLC is a renowned organisation and making progress. To assess the various aspects of the organisations debt, asset, liabilities and equity status calculation is made in previous section of the assessment</w:t>
      </w:r>
      <w:r w:rsidR="008C36E5">
        <w:t xml:space="preserve"> </w:t>
      </w:r>
      <w:r w:rsidR="008C36E5" w:rsidRPr="008C36E5">
        <w:t>(Hyk, 2020)</w:t>
      </w:r>
      <w:r>
        <w:t xml:space="preserve">. The analysis of the Chocco PLC’s financial position and performance relying on the various ratios are given below: </w:t>
      </w:r>
    </w:p>
    <w:p w:rsidR="00EA5F70" w:rsidRDefault="00EA5F70" w14:paraId="69BF63F2" w14:textId="77777777" w:rsidP="00A715D9">
      <w:pPr>
        <w:pStyle w:val="ListParagraph"/>
        <w:numPr>
          <w:ilvl w:val="0"/>
          <w:numId w:val="5"/>
        </w:numPr>
        <w:jc w:val="both"/>
        <w:spacing w:line="360" w:lineRule="auto"/>
      </w:pPr>
      <w:r>
        <w:t>Chocco PLC’s Return of Capital Employed (ROCE) for the year 2020 is 8.581% and for the year 2019 is 7.655%. The higher number of ROCE indicates the higher uses of capital for the organisation</w:t>
      </w:r>
      <w:r w:rsidR="00A715D9">
        <w:t xml:space="preserve"> </w:t>
      </w:r>
      <w:r w:rsidR="00A715D9" w:rsidRPr="00A715D9">
        <w:t>(Kieso, Weygandt and Warfield, 2013)</w:t>
      </w:r>
      <w:r>
        <w:t xml:space="preserve">. The ideal percentage of ROCE is cannot be determined as it differs from industry to industry. In the competitive market average of 10% ROCE is considered good. For the Chocco PLC the number of ROCE is increased compared to the ROCE of 2019. It indicates the profitability and efficiency of capital uses of the organisation. </w:t>
      </w:r>
    </w:p>
    <w:p w:rsidR="00EA5F70" w:rsidRDefault="004B0084" w14:paraId="6E6A2C21" w14:textId="77777777" w:rsidP="00925AE5">
      <w:pPr>
        <w:pStyle w:val="ListParagraph"/>
        <w:numPr>
          <w:ilvl w:val="0"/>
          <w:numId w:val="5"/>
        </w:numPr>
        <w:jc w:val="both"/>
        <w:spacing w:line="360" w:lineRule="auto"/>
      </w:pPr>
      <w:r>
        <w:t>ROE 13.957% in 2020 and 12.568 in 2019 for the Chocco PLC is the indication of increased Return on Equity. Average ROE of 15% to 20% is considered good</w:t>
      </w:r>
      <w:r w:rsidR="00925AE5">
        <w:t xml:space="preserve"> </w:t>
      </w:r>
      <w:r w:rsidR="00925AE5" w:rsidRPr="00925AE5">
        <w:t>(Yorston, Smyth, Kenley and Brown, 2015)</w:t>
      </w:r>
      <w:r>
        <w:t xml:space="preserve">. The ROE of the Chocco PLC is Closer to 15% </w:t>
      </w:r>
      <w:r>
        <w:t xml:space="preserve">indicates the betterment of the organisation in performance for the upcoming financial year. </w:t>
        <w:lastRenderedPageBreak/>
      </w:r>
    </w:p>
    <w:p w:rsidR="004B0084" w:rsidRDefault="004B0084" w14:paraId="7A2BD96F" w14:textId="77777777" w:rsidP="008C36E5">
      <w:pPr>
        <w:pStyle w:val="ListParagraph"/>
        <w:numPr>
          <w:ilvl w:val="0"/>
          <w:numId w:val="5"/>
        </w:numPr>
        <w:jc w:val="both"/>
        <w:spacing w:line="360" w:lineRule="auto"/>
      </w:pPr>
      <w:r>
        <w:t>Earnings per share also known as EPS for the company Chocco PLC is 3.52 p for the year 2020 and 2.48 p for the year of 2019</w:t>
      </w:r>
      <w:r w:rsidR="008C36E5">
        <w:t xml:space="preserve"> </w:t>
      </w:r>
      <w:r w:rsidR="008C36E5" w:rsidRPr="008C36E5">
        <w:t>(Hyk, 2020)</w:t>
      </w:r>
      <w:r>
        <w:t xml:space="preserve">. The EPS of any organisation can be 1 to 99. The 99 means the increase rate of profit growth at the highest pick. The EPS of the Chocco PLC is greater than 2019 but not that much good. </w:t>
      </w:r>
    </w:p>
    <w:p w:rsidR="004B0084" w:rsidRDefault="004B0084" w14:paraId="7F416371" w14:textId="77777777" w:rsidP="008C36E5">
      <w:pPr>
        <w:pStyle w:val="ListParagraph"/>
        <w:numPr>
          <w:ilvl w:val="0"/>
          <w:numId w:val="5"/>
        </w:numPr>
        <w:jc w:val="both"/>
        <w:spacing w:line="360" w:lineRule="auto"/>
      </w:pPr>
      <w:r>
        <w:t xml:space="preserve">Chocco PLC’s Net profit margin for the year 2020 is 51.988% and for the year 2019 is 51.932%. </w:t>
      </w:r>
      <w:r w:rsidR="00821FA3">
        <w:t>Net profit margin indicates the net income of the organisation by increasing sales</w:t>
      </w:r>
      <w:r w:rsidR="008C36E5">
        <w:t xml:space="preserve"> </w:t>
      </w:r>
      <w:r w:rsidR="008C36E5" w:rsidRPr="008C36E5">
        <w:t>(Hyk, 2020)</w:t>
      </w:r>
      <w:r w:rsidR="00821FA3">
        <w:t xml:space="preserve">. 10% profit margin is considered as an average where as 20% is considered as good. The Chocco PLC has approximately 52% of net profit margin for the consecutive years. It means the company is doing excellent in making revenues and controlling its cost in production of goods. </w:t>
      </w:r>
    </w:p>
    <w:p w:rsidR="00821FA3" w:rsidRDefault="00821FA3" w14:paraId="0A90EA74" w14:textId="77777777" w:rsidP="00925AE5">
      <w:pPr>
        <w:pStyle w:val="ListParagraph"/>
        <w:numPr>
          <w:ilvl w:val="0"/>
          <w:numId w:val="5"/>
        </w:numPr>
        <w:jc w:val="both"/>
        <w:spacing w:line="360" w:lineRule="auto"/>
      </w:pPr>
      <w:r>
        <w:t>Chocco PLC’s Asset turnover is 2.18 in 2020 and 2.21 in 2019. 2.5 Or more Asset turnover ratio is considered good</w:t>
      </w:r>
      <w:r w:rsidR="00925AE5">
        <w:t xml:space="preserve"> </w:t>
      </w:r>
      <w:r w:rsidR="00925AE5" w:rsidRPr="00925AE5">
        <w:t>(Yorston, Smyth, Kenley and Brown, 2015)</w:t>
      </w:r>
      <w:r>
        <w:t xml:space="preserve">. The asset turnover of Chocco PLC is close to good but decreased compared to the figure of 2019. </w:t>
      </w:r>
    </w:p>
    <w:p w:rsidR="00821FA3" w:rsidRDefault="00821FA3" w14:paraId="747F161D" w14:textId="77777777" w:rsidP="00925AE5">
      <w:pPr>
        <w:pStyle w:val="ListParagraph"/>
        <w:numPr>
          <w:ilvl w:val="0"/>
          <w:numId w:val="5"/>
        </w:numPr>
        <w:jc w:val="both"/>
        <w:spacing w:line="360" w:lineRule="auto"/>
      </w:pPr>
      <w:r>
        <w:t xml:space="preserve">Stock holding days or inventory days of Chocco PLC for the year of 2020 and 2019 is </w:t>
      </w:r>
      <w:r w:rsidR="00C5386D">
        <w:t>77 days and 39 days respectively</w:t>
      </w:r>
      <w:r w:rsidR="008C36E5">
        <w:t xml:space="preserve"> </w:t>
      </w:r>
      <w:r w:rsidR="008C36E5" w:rsidRPr="008C36E5">
        <w:t>(Kieso, Weygandt and Warfield, 2013)</w:t>
      </w:r>
      <w:r w:rsidR="00C5386D">
        <w:t>. For the most of the industries 5 to 10 inventory days considered good. It means a company stocks 1 or 2 times per month and this indicates the increased amount of sales for the company</w:t>
      </w:r>
      <w:r w:rsidR="00925AE5">
        <w:t xml:space="preserve"> </w:t>
      </w:r>
      <w:r w:rsidR="00925AE5" w:rsidRPr="00925AE5">
        <w:t>(Yorston, Smyth, Kenley and Brown, 2015)</w:t>
      </w:r>
      <w:r w:rsidR="00C5386D">
        <w:t xml:space="preserve">. The increased inventory days for the Chocco PLC is bad but the pandemic situation is the main reason behind this increased inventory days of the company. </w:t>
      </w:r>
    </w:p>
    <w:p w:rsidR="00C5386D" w:rsidRDefault="00C5386D" w14:paraId="4A805CA8" w14:textId="77777777" w:rsidP="00EA5F70">
      <w:pPr>
        <w:pStyle w:val="ListParagraph"/>
        <w:numPr>
          <w:ilvl w:val="0"/>
          <w:numId w:val="5"/>
        </w:numPr>
        <w:jc w:val="both"/>
        <w:spacing w:line="360" w:lineRule="auto"/>
      </w:pPr>
      <w:r>
        <w:t xml:space="preserve">The Debtor’s collection period for Chocco PLC is 264 and 137 for the year 2020 and 2019. The longer time indicates longer period to collect debt for the Chocco PLC. </w:t>
      </w:r>
    </w:p>
    <w:p w:rsidR="00C5386D" w:rsidRDefault="00C5386D" w14:paraId="396F7844" w14:textId="77777777" w:rsidP="00EA5F70">
      <w:pPr>
        <w:pStyle w:val="ListParagraph"/>
        <w:numPr>
          <w:ilvl w:val="0"/>
          <w:numId w:val="5"/>
        </w:numPr>
        <w:jc w:val="both"/>
        <w:spacing w:line="360" w:lineRule="auto"/>
      </w:pPr>
      <w:r>
        <w:t xml:space="preserve">The current ratio for the Chocco PLC is 0.917 and 0.773 for the year of 2020 and 2019 respectively. Current ratio indicates that Chocco PLC will face hard time meeting its current obligations. </w:t>
      </w:r>
    </w:p>
    <w:p w:rsidR="00C5386D" w:rsidRDefault="00C5386D" w14:paraId="04659D60" w14:textId="77777777" w:rsidP="00EA5F70">
      <w:pPr>
        <w:pStyle w:val="ListParagraph"/>
        <w:numPr>
          <w:ilvl w:val="0"/>
          <w:numId w:val="5"/>
        </w:numPr>
        <w:jc w:val="both"/>
        <w:spacing w:line="360" w:lineRule="auto"/>
      </w:pPr>
      <w:r>
        <w:t xml:space="preserve">Gearing ratio for the year 2020 and 2019 is 68.282% and 71.131%. Gearing Ratio of the Chocco PLC is decreased compared to the previous year. But still the gearing ratio of Chocco PLC is highly geared as the standard. </w:t>
      </w:r>
    </w:p>
    <w:p w:rsidR="005F5EB6" w:rsidRDefault="005F5EB6" w14:paraId="165C408F" w14:textId="3FCCED5B" w:rsidP="00CB706A">
      <w:pPr>
        <w:pStyle w:val="ListParagraph"/>
        <w:numPr>
          <w:ilvl w:val="0"/>
          <w:numId w:val="5"/>
        </w:numPr>
        <w:jc w:val="both"/>
        <w:spacing w:line="360" w:lineRule="auto"/>
      </w:pPr>
      <w:r>
        <w:t>Chocco PLC’s interest cover ratio for the year 2020 is 2.74 and 2.97 is for the year of 2019</w:t>
      </w:r>
      <w:r w:rsidR="008C36E5">
        <w:t xml:space="preserve"> </w:t>
      </w:r>
      <w:r w:rsidR="008C36E5" w:rsidRPr="008C36E5">
        <w:t>(Kieso, Weygandt and Warfield, 2013)</w:t>
      </w:r>
      <w:r>
        <w:t xml:space="preserve">. The interest cover ratio of the Chocco PLC is good although it decreased as the pandemic came in this world last year. </w:t>
      </w:r>
    </w:p>
    <w:p w:rsidR="00C5386D" w:rsidRDefault="005F5EB6" w14:paraId="6C256252" w14:textId="77777777" w:rsidP="005F5EB6">
      <w:pPr>
        <w:pStyle w:val="Heading1"/>
        <w:spacing w:line="360" w:lineRule="auto"/>
      </w:pPr>
      <w:bookmarkStart w:id="9" w:name="_Toc77717517"/>
      <w:r>
        <w:t>Conclusion</w:t>
        <w:lastRenderedPageBreak/>
      </w:r>
      <w:bookmarkEnd w:id="9"/>
    </w:p>
    <w:p w:rsidR="00311BBF" w:rsidRDefault="005F5EB6" w14:paraId="7139E2B7" w14:textId="77777777" w:rsidP="005F5EB6">
      <w:pPr>
        <w:jc w:val="both"/>
        <w:spacing w:line="360" w:lineRule="auto"/>
      </w:pPr>
      <w:r>
        <w:t>Fundamentals of accounting is the essence that gives ability to figure out the financial condition of the organisation. The assessment of assets, liabilities and owner’s equity gives the clear picture of the organisation and helps greatly in decision making. To run successful organisation uses of accounting and accounting tools is very necessary. In the world of accounting there are now many technology and software to calculate accounting essentials for the organisation which both saves time and energy for the organisation and gives accurate results to predict the financial future of an organisation.</w:t>
      </w:r>
    </w:p>
    <w:p w:rsidR="00311BBF" w:rsidRDefault="00311BBF" w14:paraId="54BB7B4B" w14:textId="77777777">
      <w:r>
        <w:br w:type="page"/>
      </w:r>
    </w:p>
    <w:p w:rsidR="00311BBF" w:rsidRDefault="00311BBF" w14:paraId="3775CCFB" w14:textId="77777777" w:rsidP="00D72211" w:rsidRPr="00D72211">
      <w:pPr>
        <w:pStyle w:val="Heading1"/>
        <w:spacing w:line="360" w:lineRule="auto"/>
      </w:pPr>
      <w:bookmarkStart w:id="10" w:name="_Toc77717518"/>
      <w:r w:rsidRPr="00D72211">
        <w:t>References</w:t>
        <w:lastRenderedPageBreak/>
      </w:r>
      <w:bookmarkEnd w:id="10"/>
    </w:p>
    <w:p w:rsidR="007958E9" w:rsidRDefault="007958E9" w14:paraId="0EEFEAF2"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Amalina, N., Amelia, F. and Alfatah, W., 2019. Analysis Effect of Profitability Ratio, Leverage Ratio, Audit Committee and Public Accounting Firm Size on Audit Delay. </w:t>
      </w:r>
      <w:r w:rsidRPr="00D72211">
        <w:rPr>
          <w:iCs/>
          <w:i/>
          <w:color w:val="000000"/>
        </w:rPr>
        <w:t>Indonesian Management and Accounting Research</w:t>
      </w:r>
      <w:r w:rsidRPr="00D72211">
        <w:rPr>
          <w:color w:val="000000"/>
        </w:rPr>
        <w:t>, 17(1), p.36.</w:t>
      </w:r>
    </w:p>
    <w:p w:rsidR="007958E9" w:rsidRDefault="007958E9" w14:paraId="2514F5B8"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Bhutta, N. and Shah, S., 2013. Tutorial Accounting Fundamentals: A New Look of British and American Accounting System. </w:t>
      </w:r>
      <w:r w:rsidRPr="00D72211">
        <w:rPr>
          <w:iCs/>
          <w:i/>
          <w:color w:val="000000"/>
        </w:rPr>
        <w:t>Open Journal of Accounting</w:t>
      </w:r>
      <w:r w:rsidRPr="00D72211">
        <w:rPr>
          <w:color w:val="000000"/>
        </w:rPr>
        <w:t>, 02(01), pp.16-18.</w:t>
      </w:r>
    </w:p>
    <w:p w:rsidR="007958E9" w:rsidRDefault="007958E9" w14:paraId="30236957"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Curran, M., 2017. </w:t>
      </w:r>
      <w:r w:rsidRPr="00D72211">
        <w:rPr>
          <w:iCs/>
          <w:i/>
          <w:color w:val="000000"/>
        </w:rPr>
        <w:t>Accounting fundamentals</w:t>
      </w:r>
      <w:r w:rsidRPr="00D72211">
        <w:rPr>
          <w:color w:val="000000"/>
        </w:rPr>
        <w:t>. 6th ed. Boston, Mass: McGraw-Hill/Irwin.</w:t>
      </w:r>
    </w:p>
    <w:p w:rsidR="007958E9" w:rsidRDefault="007958E9" w14:paraId="598CEBBF"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Hoffman, F., Pacsy, V. and Flashner, E., 2019. </w:t>
      </w:r>
      <w:r w:rsidRPr="00D72211">
        <w:rPr>
          <w:iCs/>
          <w:i/>
          <w:color w:val="000000"/>
        </w:rPr>
        <w:t>Accounting fundamentals</w:t>
      </w:r>
      <w:r w:rsidRPr="00D72211">
        <w:rPr>
          <w:color w:val="000000"/>
        </w:rPr>
        <w:t>. 7th ed. New York: Glencoe, Macmillan/McGraw-Hill.</w:t>
      </w:r>
    </w:p>
    <w:p w:rsidR="007958E9" w:rsidRDefault="007958E9" w14:paraId="0E3CE09F"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Hyk, V., 2020. Conceptual Fundamentals of Institutional Theory of Accounting. </w:t>
      </w:r>
      <w:r w:rsidRPr="00D72211">
        <w:rPr>
          <w:iCs/>
          <w:i/>
          <w:color w:val="000000"/>
        </w:rPr>
        <w:t>Accounting and Finance</w:t>
      </w:r>
      <w:r w:rsidRPr="00D72211">
        <w:rPr>
          <w:color w:val="000000"/>
        </w:rPr>
        <w:t>, 06(4(90), pp.17-21.</w:t>
      </w:r>
    </w:p>
    <w:p w:rsidR="007958E9" w:rsidRDefault="007958E9" w14:paraId="5081EC42"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Kieso, D., Weygandt, J. and Warfield, T., 2013. </w:t>
      </w:r>
      <w:r w:rsidRPr="00D72211">
        <w:rPr>
          <w:iCs/>
          <w:i/>
          <w:color w:val="000000"/>
        </w:rPr>
        <w:t>Fundamentals of intermediate accounting</w:t>
      </w:r>
      <w:r w:rsidRPr="00D72211">
        <w:rPr>
          <w:color w:val="000000"/>
        </w:rPr>
        <w:t>. 5th ed. Hoboken, N.J.: Wiley.</w:t>
      </w:r>
    </w:p>
    <w:p w:rsidR="007958E9" w:rsidRDefault="007958E9" w14:paraId="2351782B"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Mason, P., Davidson, S. and Schindler, J., 2017. </w:t>
      </w:r>
      <w:r w:rsidRPr="00D72211">
        <w:rPr>
          <w:iCs/>
          <w:i/>
          <w:color w:val="000000"/>
        </w:rPr>
        <w:t>Fundamentals of accounting</w:t>
      </w:r>
      <w:r w:rsidRPr="00D72211">
        <w:rPr>
          <w:color w:val="000000"/>
        </w:rPr>
        <w:t>. 11th ed. New York: Holt, Rinehart and Winston.</w:t>
      </w:r>
    </w:p>
    <w:p w:rsidR="007958E9" w:rsidRDefault="007958E9" w14:paraId="077BDB72"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McBride, K. and Verma, S., 2021. Exploring accounting history and accounting in history. </w:t>
      </w:r>
      <w:r w:rsidRPr="00D72211">
        <w:rPr>
          <w:iCs/>
          <w:i/>
          <w:color w:val="000000"/>
        </w:rPr>
        <w:t>The British Accounting Review</w:t>
      </w:r>
      <w:r w:rsidRPr="00D72211">
        <w:rPr>
          <w:color w:val="000000"/>
        </w:rPr>
        <w:t>, 53(2), p.100976.</w:t>
      </w:r>
    </w:p>
    <w:p w:rsidR="007958E9" w:rsidRDefault="007958E9" w14:paraId="359E6561"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Moon, H., 2018. Debt Ratio and Accounting Earnings Quality. </w:t>
      </w:r>
      <w:r w:rsidRPr="00D72211">
        <w:rPr>
          <w:iCs/>
          <w:i/>
          <w:color w:val="000000"/>
        </w:rPr>
        <w:t>Korean Association Of Computers And Accounting</w:t>
      </w:r>
      <w:r w:rsidRPr="00D72211">
        <w:rPr>
          <w:color w:val="000000"/>
        </w:rPr>
        <w:t>, 16(1), pp.87-110.</w:t>
      </w:r>
    </w:p>
    <w:p w:rsidR="007958E9" w:rsidRDefault="007958E9" w14:paraId="18A40039"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Purnomo, A., 2018. Influence of The Ratio of Profit Margin, Financial Leverage Ratio, Current Ratio, Quick Ratio Against The Conditions and Financial Distress. </w:t>
      </w:r>
      <w:r w:rsidRPr="00D72211">
        <w:rPr>
          <w:iCs/>
          <w:i/>
          <w:color w:val="000000"/>
        </w:rPr>
        <w:t>Indonesian Journal of Business, Accounting and Management</w:t>
      </w:r>
      <w:r w:rsidRPr="00D72211">
        <w:rPr>
          <w:color w:val="000000"/>
        </w:rPr>
        <w:t>, 1(1), pp.120-129.</w:t>
      </w:r>
    </w:p>
    <w:p w:rsidR="007958E9" w:rsidRDefault="007958E9" w14:paraId="66A95735"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Ross, K., 2017. </w:t>
      </w:r>
      <w:r w:rsidRPr="00D72211">
        <w:rPr>
          <w:iCs/>
          <w:i/>
          <w:color w:val="000000"/>
        </w:rPr>
        <w:t>Fundamentals of accounting</w:t>
      </w:r>
      <w:r w:rsidRPr="00D72211">
        <w:rPr>
          <w:color w:val="000000"/>
        </w:rPr>
        <w:t>. 9th ed. Cincinnati, Ohio: South-Western.</w:t>
      </w:r>
    </w:p>
    <w:p w:rsidR="007958E9" w:rsidRDefault="007958E9" w14:paraId="0983778E"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Salavei, K., 2010. Implications of financial statement restatements of different items. </w:t>
      </w:r>
      <w:r w:rsidRPr="00D72211">
        <w:rPr>
          <w:iCs/>
          <w:i/>
          <w:color w:val="000000"/>
        </w:rPr>
        <w:t>Applied Financial Economics</w:t>
      </w:r>
      <w:r w:rsidRPr="00D72211">
        <w:rPr>
          <w:color w:val="000000"/>
        </w:rPr>
        <w:t>, 20(11), pp.879-890.</w:t>
      </w:r>
    </w:p>
    <w:p w:rsidR="007958E9" w:rsidRDefault="007958E9" w14:paraId="138E3A43"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Toms, S. and Fleischman, R., 2015. Accounting fundamentals and accounting change: Boulton &amp; Watt and the Springfield Armory. </w:t>
      </w:r>
      <w:r w:rsidRPr="00D72211">
        <w:rPr>
          <w:iCs/>
          <w:i/>
          <w:color w:val="000000"/>
        </w:rPr>
        <w:t>Accounting, Organizations and Society</w:t>
      </w:r>
      <w:r w:rsidRPr="00D72211">
        <w:rPr>
          <w:color w:val="000000"/>
        </w:rPr>
        <w:t>, 41(21), pp.1-20.</w:t>
      </w:r>
    </w:p>
    <w:p w:rsidR="007958E9" w:rsidRDefault="007958E9" w14:paraId="525DCE3E" w14:textId="77777777" w:rsidP="007958E9" w:rsidRPr="00D72211">
      <w:pPr>
        <w:pStyle w:val="NormalWeb"/>
        <w:jc w:val="both"/>
        <w:ind w:left="446"/>
        <w:ind w:hanging="446"/>
        <w:spacing w:before="0" w:beforeAutospacing="0" w:after="180" w:afterAutospacing="0" w:line="360" w:lineRule="auto"/>
        <w:rPr>
          <w:color w:val="000000"/>
        </w:rPr>
      </w:pPr>
      <w:r w:rsidRPr="00D72211">
        <w:rPr>
          <w:color w:val="000000"/>
        </w:rPr>
        <w:t>Yorston, R., Smyth, E., Kenley, W. and Brown, S., 2015. </w:t>
        <w:lastRenderedPageBreak/>
      </w:r>
      <w:r w:rsidRPr="00D72211">
        <w:rPr>
          <w:iCs/>
          <w:i/>
          <w:color w:val="000000"/>
        </w:rPr>
        <w:t>Accounting fundamentals</w:t>
      </w:r>
      <w:r w:rsidRPr="00D72211">
        <w:rPr>
          <w:color w:val="000000"/>
        </w:rPr>
        <w:t>. 6th ed. North Ryde, N.S.W.: Law Book Co.</w:t>
      </w:r>
    </w:p>
    <w:sectPr w:rsidR="007958E9" w:rsidRPr="00D72211">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2E536252"/>
    <w:tmpl w:val="F35A7C8C"/>
    <w:lvl w:ilvl="0" w:tplc="0809000F">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
    <w:multiLevelType w:val="hybridMultilevel"/>
    <w:nsid w:val="38BD5A3F"/>
    <w:tmpl w:val="E626BC14"/>
    <w:lvl w:ilvl="0" w:tplc="BB263404">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784569D"/>
    <w:tmpl w:val="96DC08AC"/>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488A22DC"/>
    <w:tmpl w:val="270AF588"/>
    <w:lvl w:ilvl="0" w:tplc="BB263404">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7343133E"/>
    <w:tmpl w:val="D664626E"/>
    <w:lvl w:ilvl="0" w:tplc="BB263404">
      <w:numFmt w:val="bullet"/>
      <w:lvlText w:val=""/>
      <w:start w:val="1"/>
      <w:rPr>
        <w:rFonts w:ascii="Symbol" w:hAnsi="Symbol" w:hint="default"/>
      </w:rPr>
      <w:pPr>
        <w:ind w:left="780"/>
        <w:ind w:hanging="360"/>
      </w:pPr>
      <w:lvlJc w:val="left"/>
    </w:lvl>
    <w:lvl w:ilvl="1" w:tentative="1" w:tplc="08090003">
      <w:numFmt w:val="bullet"/>
      <w:lvlText w:val="o"/>
      <w:start w:val="1"/>
      <w:rPr>
        <w:rFonts w:ascii="Courier New" w:cs="Courier New" w:hAnsi="Courier New" w:hint="default"/>
      </w:rPr>
      <w:pPr>
        <w:ind w:left="1500"/>
        <w:ind w:hanging="360"/>
      </w:pPr>
      <w:lvlJc w:val="left"/>
    </w:lvl>
    <w:lvl w:ilvl="2" w:tentative="1" w:tplc="08090005">
      <w:numFmt w:val="bullet"/>
      <w:lvlText w:val=""/>
      <w:start w:val="1"/>
      <w:rPr>
        <w:rFonts w:ascii="Wingdings" w:hAnsi="Wingdings" w:hint="default"/>
      </w:rPr>
      <w:pPr>
        <w:ind w:left="2220"/>
        <w:ind w:hanging="360"/>
      </w:pPr>
      <w:lvlJc w:val="left"/>
    </w:lvl>
    <w:lvl w:ilvl="3" w:tentative="1" w:tplc="08090001">
      <w:numFmt w:val="bullet"/>
      <w:lvlText w:val=""/>
      <w:start w:val="1"/>
      <w:rPr>
        <w:rFonts w:ascii="Symbol" w:hAnsi="Symbol" w:hint="default"/>
      </w:rPr>
      <w:pPr>
        <w:ind w:left="2940"/>
        <w:ind w:hanging="360"/>
      </w:pPr>
      <w:lvlJc w:val="left"/>
    </w:lvl>
    <w:lvl w:ilvl="4" w:tentative="1" w:tplc="08090003">
      <w:numFmt w:val="bullet"/>
      <w:lvlText w:val="o"/>
      <w:start w:val="1"/>
      <w:rPr>
        <w:rFonts w:ascii="Courier New" w:cs="Courier New" w:hAnsi="Courier New" w:hint="default"/>
      </w:rPr>
      <w:pPr>
        <w:ind w:left="3660"/>
        <w:ind w:hanging="360"/>
      </w:pPr>
      <w:lvlJc w:val="left"/>
    </w:lvl>
    <w:lvl w:ilvl="5" w:tentative="1" w:tplc="08090005">
      <w:numFmt w:val="bullet"/>
      <w:lvlText w:val=""/>
      <w:start w:val="1"/>
      <w:rPr>
        <w:rFonts w:ascii="Wingdings" w:hAnsi="Wingdings" w:hint="default"/>
      </w:rPr>
      <w:pPr>
        <w:ind w:left="4380"/>
        <w:ind w:hanging="360"/>
      </w:pPr>
      <w:lvlJc w:val="left"/>
    </w:lvl>
    <w:lvl w:ilvl="6" w:tentative="1" w:tplc="08090001">
      <w:numFmt w:val="bullet"/>
      <w:lvlText w:val=""/>
      <w:start w:val="1"/>
      <w:rPr>
        <w:rFonts w:ascii="Symbol" w:hAnsi="Symbol" w:hint="default"/>
      </w:rPr>
      <w:pPr>
        <w:ind w:left="5100"/>
        <w:ind w:hanging="360"/>
      </w:pPr>
      <w:lvlJc w:val="left"/>
    </w:lvl>
    <w:lvl w:ilvl="7" w:tentative="1" w:tplc="08090003">
      <w:numFmt w:val="bullet"/>
      <w:lvlText w:val="o"/>
      <w:start w:val="1"/>
      <w:rPr>
        <w:rFonts w:ascii="Courier New" w:cs="Courier New" w:hAnsi="Courier New" w:hint="default"/>
      </w:rPr>
      <w:pPr>
        <w:ind w:left="5820"/>
        <w:ind w:hanging="360"/>
      </w:pPr>
      <w:lvlJc w:val="left"/>
    </w:lvl>
    <w:lvl w:ilvl="8" w:tentative="1" w:tplc="08090005">
      <w:numFmt w:val="bullet"/>
      <w:lvlText w:val=""/>
      <w:start w:val="1"/>
      <w:rPr>
        <w:rFonts w:ascii="Wingdings" w:hAnsi="Wingdings" w:hint="default"/>
      </w:rPr>
      <w:pPr>
        <w:ind w:left="654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3"/>
  </w:num>
  <w:num w:numId="2">
    <w:abstractNumId w:val="4"/>
  </w:num>
  <w:num w:numId="3">
    <w:abstractNumId w:val="1"/>
  </w:num>
  <w:num w:numId="4">
    <w:abstractNumId w:val="2"/>
  </w:num>
  <w:num w:numId="5">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75182"/>
  <w15:chartTrackingRefBased/>
  <w15:docId w15:val="{7D2C6AEF-625F-4E84-B136-BAD5390C8D3D}"/>
  <w:rsids>
    <w:rsidRoot val="0012612A"/>
    <w:rsid val="000A5326"/>
    <w:rsid val="000F2FB4"/>
    <w:rsid val="0012612A"/>
    <w:rsid val="001C502F"/>
    <w:rsid val="002610FF"/>
    <w:rsid val="00285086"/>
    <w:rsid val="00294028"/>
    <w:rsid val="002B21FB"/>
    <w:rsid val="00311BBF"/>
    <w:rsid val="00367A96"/>
    <w:rsid val="003A6DC7"/>
    <w:rsid val="003B11DA"/>
    <w:rsid val="003D6C43"/>
    <w:rsid val="003F4335"/>
    <w:rsid val="004351CB"/>
    <w:rsid val="004B0084"/>
    <w:rsid val="00555092"/>
    <w:rsid val="005F5EB6"/>
    <w:rsid val="006825C2"/>
    <w:rsid val="006D0468"/>
    <w:rsid val="00720AD7"/>
    <w:rsid val="00724581"/>
    <w:rsid val="00740C6F"/>
    <w:rsid val="00793BB0"/>
    <w:rsid val="007958E9"/>
    <w:rsid val="007B32BE"/>
    <w:rsid val="007E7160"/>
    <w:rsid val="0082062E"/>
    <w:rsid val="00821FA3"/>
    <w:rsid val="008C36E5"/>
    <w:rsid val="00907570"/>
    <w:rsid val="00925AE5"/>
    <w:rsid val="009636EC"/>
    <w:rsid val="009F2418"/>
    <w:rsid val="00A215E1"/>
    <w:rsid val="00A60A2E"/>
    <w:rsid val="00A715D9"/>
    <w:rsid val="00AC0A17"/>
    <w:rsid val="00B24D26"/>
    <w:rsid val="00B25C5B"/>
    <w:rsid val="00B4054F"/>
    <w:rsid val="00C310E5"/>
    <w:rsid val="00C5386D"/>
    <w:rsid val="00C74907"/>
    <w:rsid val="00C76C31"/>
    <w:rsid val="00C923C3"/>
    <w:rsid val="00CB706A"/>
    <w:rsid val="00D41053"/>
    <w:rsid val="00D72211"/>
    <w:rsid val="00DF717B"/>
    <w:rsid val="00E20437"/>
    <w:rsid val="00E32B73"/>
    <w:rsid val="00EA5F70"/>
    <w:rsid val="00F86FB2"/>
    <w:rsid val="00FB6A69"/>
    <w:rsid val="00FE3BC9"/>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C6F"/>
    <w:rPr>
      <w:rFonts w:ascii="Times New Roman" w:hAnsi="Times New Roman"/>
      <w:sz w:val="24"/>
    </w:rPr>
  </w:style>
  <w:style w:type="paragraph" w:styleId="Heading1">
    <w:name w:val="Heading 1"/>
    <w:qFormat/>
    <w:basedOn w:val="Normal"/>
    <w:next w:val="Normal"/>
    <w:link w:val="Heading1Char"/>
    <w:uiPriority w:val="9"/>
    <w:rsid w:val="00CB706A"/>
    <w:pPr>
      <w:keepNext/>
      <w:keepLines/>
      <w:outlineLvl w:val="0"/>
      <w:jc w:val="both"/>
      <w:spacing w:before="240" w:after="0"/>
    </w:pPr>
    <w:rPr>
      <w:b/>
      <w:color w:val="2E74B5"/>
      <w:rFonts w:eastAsiaTheme="majorEastAsia" w:cstheme="majorBidi"/>
      <w:sz w:val="32"/>
      <w:szCs w:val="32"/>
    </w:rPr>
  </w:style>
  <w:style w:type="paragraph" w:styleId="Heading2">
    <w:name w:val="Heading 2"/>
    <w:qFormat/>
    <w:basedOn w:val="Normal"/>
    <w:next w:val="Normal"/>
    <w:link w:val="Heading2Char"/>
    <w:uiPriority w:val="9"/>
    <w:unhideWhenUsed/>
    <w:rsid w:val="00CB706A"/>
    <w:pPr>
      <w:keepNext/>
      <w:keepLines/>
      <w:outlineLvl w:val="1"/>
      <w:jc w:val="both"/>
      <w:spacing w:before="40" w:after="0"/>
    </w:pPr>
    <w:rPr>
      <w:b/>
      <w:color w:val="2E74B5"/>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CB706A"/>
    <w:rPr>
      <w:b/>
      <w:color w:val="2E74B5"/>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CB706A"/>
    <w:rPr>
      <w:b/>
      <w:color w:val="2E74B5"/>
      <w:rFonts w:ascii="Times New Roman" w:hAnsi="Times New Roman" w:eastAsiaTheme="majorEastAsia" w:cstheme="majorBidi"/>
      <w:sz w:val="28"/>
      <w:szCs w:val="26"/>
    </w:rPr>
  </w:style>
  <w:style w:type="paragraph" w:styleId="TOCHeading">
    <w:name w:val="TOC Heading"/>
    <w:qFormat/>
    <w:basedOn w:val="Heading1"/>
    <w:next w:val="Normal"/>
    <w:uiPriority w:val="39"/>
    <w:unhideWhenUsed/>
    <w:rsid w:val="007E7160"/>
    <w:pPr>
      <w:outlineLvl w:val="9"/>
    </w:pPr>
    <w:rPr>
      <w:lang w:val="en-US"/>
      <w:rFonts w:ascii="Calibri Light" w:hAnsiTheme="majorHAnsi"/>
    </w:rPr>
  </w:style>
  <w:style w:type="table" w:styleId="GridTable5Dark-Accent6">
    <w:name w:val="Grid Table 5 Dark Accent 6"/>
    <w:basedOn w:val="TableNormal"/>
    <w:pPr>
      <w:spacing w:after="0" w:line="240" w:lineRule="auto"/>
    </w:pPr>
    <w:rPr>
      <w:lang w:val="en-US" w:bidi="bn-BD"/>
      <w:szCs w:val="28"/>
    </w:r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E2EFD9" w:color="auto" w:themeFill="accent6" w:themeFillTint="33" w:val="clear"/>
    </w:tcPr>
    <w:tblStylePr w:type="band1Vert">
      <w:tcPr>
        <w:shd w:fill="C5E0B3" w:color="auto" w:themeFill="accent6" w:themeFillTint="66" w:val="clear"/>
      </w:tcPr>
    </w:tblStylePr>
    <w:tblStylePr w:type="band1Horz">
      <w:tcPr>
        <w:shd w:fill="C5E0B3" w:color="auto" w:themeFill="accent6"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70AD47" w:color="auto" w:themeFill="accent6"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70AD47" w:color="auto" w:themeFill="accent6"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70AD47" w:color="auto" w:themeFill="accent6"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70AD47" w:color="auto" w:themeFill="accent6" w:val="clear"/>
      </w:tcPr>
    </w:tblStylePr>
    <w:uiPriority w:val="50"/>
    <w:rsid w:val="00DF717B"/>
  </w:style>
  <w:style w:type="table" w:styleId="GridTable5Dark-Accent3">
    <w:name w:val="Grid Table 5 Dark Accent 3"/>
    <w:basedOn w:val="TableNormal"/>
    <w:pPr>
      <w:spacing w:after="0" w:line="240" w:lineRule="auto"/>
    </w:p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EDEDED" w:color="auto" w:themeFill="accent3" w:themeFillTint="33" w:val="clear"/>
    </w:tcPr>
    <w:tblStylePr w:type="band1Vert">
      <w:tcPr>
        <w:shd w:fill="DBDBDB" w:color="auto" w:themeFill="accent3" w:themeFillTint="66" w:val="clear"/>
      </w:tcPr>
    </w:tblStylePr>
    <w:tblStylePr w:type="band1Horz">
      <w:tcPr>
        <w:shd w:fill="DBDBDB" w:color="auto" w:themeFill="accent3"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A5A5A5" w:color="auto" w:themeFill="accent3"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A5A5A5" w:color="auto" w:themeFill="accent3"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A5A5A5" w:color="auto" w:themeFill="accent3"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A5A5A5" w:color="auto" w:themeFill="accent3" w:val="clear"/>
      </w:tcPr>
    </w:tblStylePr>
    <w:uiPriority w:val="50"/>
    <w:rsid w:val="00DF717B"/>
  </w:style>
  <w:style w:type="table" w:styleId="GridTable5Dark-Accent4">
    <w:name w:val="Grid Table 5 Dark Accent 4"/>
    <w:basedOn w:val="TableNormal"/>
    <w:pPr>
      <w:spacing w:after="0" w:line="240" w:lineRule="auto"/>
    </w:p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FFF2CC" w:color="auto" w:themeFill="accent4" w:themeFillTint="33" w:val="clear"/>
    </w:tcPr>
    <w:tblStylePr w:type="band1Vert">
      <w:tcPr>
        <w:shd w:fill="FFE599" w:color="auto" w:themeFill="accent4" w:themeFillTint="66" w:val="clear"/>
      </w:tcPr>
    </w:tblStylePr>
    <w:tblStylePr w:type="band1Horz">
      <w:tcPr>
        <w:shd w:fill="FFE599" w:color="auto" w:themeFill="accent4"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FFC000" w:color="auto" w:themeFill="accent4"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FFC000" w:color="auto" w:themeFill="accent4"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FFC000" w:color="auto" w:themeFill="accent4"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FFC000" w:color="auto" w:themeFill="accent4" w:val="clear"/>
      </w:tcPr>
    </w:tblStylePr>
    <w:uiPriority w:val="50"/>
    <w:rsid w:val="00720AD7"/>
  </w:style>
  <w:style w:type="table" w:styleId="GridTable5Dark-Accent2">
    <w:name w:val="Grid Table 5 Dark Accent 2"/>
    <w:basedOn w:val="TableNormal"/>
    <w:pPr>
      <w:spacing w:after="0" w:line="240" w:lineRule="auto"/>
    </w:p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FBE4D5" w:color="auto" w:themeFill="accent2" w:themeFillTint="33" w:val="clear"/>
    </w:tcPr>
    <w:tblStylePr w:type="band1Vert">
      <w:tcPr>
        <w:shd w:fill="F7CAAC" w:color="auto" w:themeFill="accent2" w:themeFillTint="66" w:val="clear"/>
      </w:tcPr>
    </w:tblStylePr>
    <w:tblStylePr w:type="band1Horz">
      <w:tcPr>
        <w:shd w:fill="F7CAAC" w:color="auto" w:themeFill="accent2"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ED7D31" w:color="auto" w:themeFill="accent2"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ED7D31" w:color="auto" w:themeFill="accent2"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ED7D31" w:color="auto" w:themeFill="accent2"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ED7D31" w:color="auto" w:themeFill="accent2" w:val="clear"/>
      </w:tcPr>
    </w:tblStylePr>
    <w:uiPriority w:val="50"/>
    <w:rsid w:val="00720AD7"/>
  </w:style>
  <w:style w:type="table" w:styleId="GridTable5Dark-Accent1">
    <w:name w:val="Grid Table 5 Dark Accent 1"/>
    <w:basedOn w:val="TableNormal"/>
    <w:pPr>
      <w:spacing w:after="0" w:line="240" w:lineRule="auto"/>
    </w:pPr>
    <w:tblPr>
      <w:tblStyleRowBandSize w:val="1"/>
      <w:tblStyleColBandSize w:val="1"/>
      <w:tblBorders>
        <w:top w:val="single" w:sz="4" w:color="FFFFFF" w:space="0" w:themeColor="background1"/>
        <w:bottom w:val="single" w:sz="4" w:color="FFFFFF" w:space="0" w:themeColor="background1"/>
        <w:left w:val="single" w:sz="4" w:color="FFFFFF" w:space="0" w:themeColor="background1"/>
        <w:right w:val="single" w:sz="4" w:color="FFFFFF" w:space="0" w:themeColor="background1"/>
        <w:insideH w:val="single" w:sz="4" w:color="FFFFFF" w:space="0" w:themeColor="background1"/>
        <w:insideV w:val="single" w:sz="4" w:color="FFFFFF" w:space="0" w:themeColor="background1"/>
      </w:tblBorders>
    </w:tblPr>
    <w:tcPr>
      <w:shd w:fill="DEEAF6" w:color="auto" w:themeFill="accent1" w:themeFillTint="33" w:val="clear"/>
    </w:tcPr>
    <w:tblStylePr w:type="band1Vert">
      <w:tcPr>
        <w:shd w:fill="BDD6EE" w:color="auto" w:themeFill="accent1" w:themeFillTint="66" w:val="clear"/>
      </w:tcPr>
    </w:tblStylePr>
    <w:tblStylePr w:type="band1Horz">
      <w:tcPr>
        <w:shd w:fill="BDD6EE" w:color="auto" w:themeFill="accent1" w:themeFillTint="66" w:val="clear"/>
      </w:tcPr>
    </w:tblStylePr>
    <w:tblStylePr w:type="firstRow">
      <w:rPr>
        <w:bCs/>
        <w:b/>
        <w:color w:val="FFFFFF"/>
      </w:rPr>
      <w:tcPr>
        <w:tcBorders>
          <w:top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5B9BD5" w:color="auto" w:themeFill="accent1" w:val="clear"/>
      </w:tcPr>
    </w:tblStylePr>
    <w:tblStylePr w:type="lastRow">
      <w:rPr>
        <w:bCs/>
        <w:b/>
        <w:color w:val="FFFFFF"/>
      </w:rPr>
      <w:tcPr>
        <w:tcBorders>
          <w:bottom w:val="single" w:sz="4" w:color="FFFFFF" w:space="0" w:themeColor="background1"/>
          <w:left w:val="single" w:sz="4" w:color="FFFFFF" w:space="0" w:themeColor="background1"/>
          <w:right w:val="single" w:sz="4" w:color="FFFFFF" w:space="0" w:themeColor="background1"/>
          <w:insideH w:val="nil" w:sz="0" w:color="auto" w:space="0"/>
          <w:insideV w:val="nil" w:sz="0" w:color="auto" w:space="0"/>
        </w:tcBorders>
        <w:shd w:fill="5B9BD5" w:color="auto" w:themeFill="accent1" w:val="clear"/>
      </w:tcPr>
    </w:tblStylePr>
    <w:tblStylePr w:type="firstCol">
      <w:rPr>
        <w:bCs/>
        <w:b/>
        <w:color w:val="FFFFFF"/>
      </w:rPr>
      <w:tcPr>
        <w:tcBorders>
          <w:top w:val="single" w:sz="4" w:color="FFFFFF" w:space="0" w:themeColor="background1"/>
          <w:bottom w:val="single" w:sz="4" w:color="FFFFFF" w:space="0" w:themeColor="background1"/>
          <w:left w:val="single" w:sz="4" w:color="FFFFFF" w:space="0" w:themeColor="background1"/>
          <w:insideV w:val="nil" w:sz="0" w:color="auto" w:space="0"/>
        </w:tcBorders>
        <w:shd w:fill="5B9BD5" w:color="auto" w:themeFill="accent1" w:val="clear"/>
      </w:tcPr>
    </w:tblStylePr>
    <w:tblStylePr w:type="lastCol">
      <w:rPr>
        <w:bCs/>
        <w:b/>
        <w:color w:val="FFFFFF"/>
      </w:rPr>
      <w:tcPr>
        <w:tcBorders>
          <w:top w:val="single" w:sz="4" w:color="FFFFFF" w:space="0" w:themeColor="background1"/>
          <w:bottom w:val="single" w:sz="4" w:color="FFFFFF" w:space="0" w:themeColor="background1"/>
          <w:right w:val="single" w:sz="4" w:color="FFFFFF" w:space="0" w:themeColor="background1"/>
          <w:insideV w:val="nil" w:sz="0" w:color="auto" w:space="0"/>
        </w:tcBorders>
        <w:shd w:fill="5B9BD5" w:color="auto" w:themeFill="accent1" w:val="clear"/>
      </w:tcPr>
    </w:tblStylePr>
    <w:uiPriority w:val="50"/>
    <w:rsid w:val="00720AD7"/>
  </w:style>
  <w:style w:type="table" w:styleId="GridTable3-Accent3">
    <w:name w:val="Grid Table 3 Accent 3"/>
    <w:basedOn w:val="TableNormal"/>
    <w:pPr>
      <w:spacing w:after="0" w:line="240" w:lineRule="auto"/>
    </w:pPr>
    <w:tblPr>
      <w:tblStyleRowBandSize w:val="1"/>
      <w:tblStyleColBandSize w:val="1"/>
      <w:tblBorders>
        <w:top w:val="single" w:sz="4" w:color="C9C9C9" w:space="0" w:themeColor="accent3" w:themeTint="99"/>
        <w:bottom w:val="single" w:sz="4" w:color="C9C9C9" w:space="0" w:themeColor="accent3" w:themeTint="99"/>
        <w:left w:val="single" w:sz="4" w:color="C9C9C9" w:space="0" w:themeColor="accent3" w:themeTint="99"/>
        <w:right w:val="single" w:sz="4" w:color="C9C9C9" w:space="0" w:themeColor="accent3" w:themeTint="99"/>
        <w:insideH w:val="single" w:sz="4" w:color="C9C9C9" w:space="0" w:themeColor="accent3" w:themeTint="99"/>
        <w:insideV w:val="single" w:sz="4" w:color="C9C9C9" w:space="0" w:themeColor="accent3" w:themeTint="99"/>
      </w:tblBorders>
    </w:tblPr>
    <w:tblStylePr w:type="band1Vert">
      <w:tcPr>
        <w:shd w:fill="EDEDED" w:color="auto" w:themeFill="accent3" w:themeFillTint="33" w:val="clear"/>
      </w:tcPr>
    </w:tblStylePr>
    <w:tblStylePr w:type="band1Horz">
      <w:tcPr>
        <w:shd w:fill="EDEDED" w:color="auto" w:themeFill="accent3" w:themeFillTint="33" w:val="clear"/>
      </w:tcPr>
    </w:tblStylePr>
    <w:tblStylePr w:type="firstRow">
      <w:rPr>
        <w:bCs/>
        <w:b/>
      </w:rPr>
      <w:tcPr>
        <w:tcBorders>
          <w:top w:val="nil" w:sz="0" w:color="auto" w:space="0"/>
          <w:left w:val="nil" w:sz="0" w:color="auto" w:space="0"/>
          <w:right w:val="nil" w:sz="0" w:color="auto" w:space="0"/>
          <w:insideH w:val="nil" w:sz="0" w:color="auto" w:space="0"/>
          <w:insideV w:val="nil" w:sz="0" w:color="auto" w:space="0"/>
        </w:tcBorders>
        <w:shd w:fill="FFFFFF" w:color="auto" w:themeFill="background1" w:val="clear"/>
      </w:tcPr>
    </w:tblStylePr>
    <w:tblStylePr w:type="lastRow">
      <w:rPr>
        <w:bCs/>
        <w:b/>
      </w:rPr>
      <w:tcPr>
        <w:tcBorders>
          <w:bottom w:val="nil" w:sz="0" w:color="auto" w:space="0"/>
          <w:left w:val="nil" w:sz="0" w:color="auto" w:space="0"/>
          <w:right w:val="nil" w:sz="0" w:color="auto" w:space="0"/>
          <w:insideH w:val="nil" w:sz="0" w:color="auto" w:space="0"/>
          <w:insideV w:val="nil" w:sz="0" w:color="auto" w:space="0"/>
        </w:tcBorders>
        <w:shd w:fill="FFFFFF" w:color="auto" w:themeFill="background1" w:val="clear"/>
      </w:tcPr>
    </w:tblStylePr>
    <w:tblStylePr w:type="firstCol">
      <w:rPr>
        <w:iCs/>
        <w:i/>
      </w:rPr>
      <w:pPr>
        <w:jc w:val="right"/>
      </w:pPr>
      <w:tcPr>
        <w:tcBorders>
          <w:top w:val="nil" w:sz="0" w:color="auto" w:space="0"/>
          <w:bottom w:val="nil" w:sz="0" w:color="auto" w:space="0"/>
          <w:left w:val="nil" w:sz="0" w:color="auto" w:space="0"/>
          <w:insideH w:val="nil" w:sz="0" w:color="auto" w:space="0"/>
          <w:insideV w:val="nil" w:sz="0" w:color="auto" w:space="0"/>
        </w:tcBorders>
        <w:shd w:fill="FFFFFF" w:color="auto" w:themeFill="background1" w:val="clear"/>
      </w:tcPr>
    </w:tblStylePr>
    <w:tblStylePr w:type="lastCol">
      <w:rPr>
        <w:iCs/>
        <w:i/>
      </w:rPr>
      <w:tcPr>
        <w:tcBorders>
          <w:top w:val="nil" w:sz="0" w:color="auto" w:space="0"/>
          <w:bottom w:val="nil" w:sz="0" w:color="auto" w:space="0"/>
          <w:right w:val="nil" w:sz="0" w:color="auto" w:space="0"/>
          <w:insideH w:val="nil" w:sz="0" w:color="auto" w:space="0"/>
          <w:insideV w:val="nil" w:sz="0" w:color="auto" w:space="0"/>
        </w:tcBorders>
        <w:shd w:fill="FFFFFF" w:color="auto" w:themeFill="background1" w:val="clear"/>
      </w:tcPr>
    </w:tblStylePr>
    <w:tblStylePr w:type="nwCell">
      <w:tcPr>
        <w:tcBorders>
          <w:bottom w:val="single" w:sz="4" w:color="C9C9C9" w:space="0" w:themeColor="accent3" w:themeTint="99"/>
        </w:tcBorders>
      </w:tcPr>
    </w:tblStylePr>
    <w:tblStylePr w:type="neCell">
      <w:tcPr>
        <w:tcBorders>
          <w:bottom w:val="single" w:sz="4" w:color="C9C9C9" w:space="0" w:themeColor="accent3" w:themeTint="99"/>
        </w:tcBorders>
      </w:tcPr>
    </w:tblStylePr>
    <w:tblStylePr w:type="swCell">
      <w:tcPr>
        <w:tcBorders>
          <w:top w:val="single" w:sz="4" w:color="C9C9C9" w:space="0" w:themeColor="accent3" w:themeTint="99"/>
        </w:tcBorders>
      </w:tcPr>
    </w:tblStylePr>
    <w:tblStylePr w:type="seCell">
      <w:tcPr>
        <w:tcBorders>
          <w:top w:val="single" w:sz="4" w:color="C9C9C9" w:space="0" w:themeColor="accent3" w:themeTint="99"/>
        </w:tcBorders>
      </w:tcPr>
    </w:tblStylePr>
    <w:uiPriority w:val="48"/>
    <w:rsid w:val="00A215E1"/>
  </w:style>
  <w:style w:type="table" w:styleId="ListTable5Dark-Accent3">
    <w:name w:val="List Table 5 Dark Accent 3"/>
    <w:basedOn w:val="TableNormal"/>
    <w:pPr>
      <w:spacing w:after="0" w:line="240" w:lineRule="auto"/>
    </w:pPr>
    <w:rPr>
      <w:color w:val="FFFFFF"/>
    </w:rPr>
    <w:tblPr>
      <w:tblStyleRowBandSize w:val="1"/>
      <w:tblStyleColBandSize w:val="1"/>
      <w:tblBorders>
        <w:top w:val="single" w:sz="24" w:color="A5A5A5" w:space="0" w:themeColor="accent3"/>
        <w:bottom w:val="single" w:sz="24" w:color="A5A5A5" w:space="0" w:themeColor="accent3"/>
        <w:left w:val="single" w:sz="24" w:color="A5A5A5" w:space="0" w:themeColor="accent3"/>
        <w:right w:val="single" w:sz="24" w:color="A5A5A5" w:space="0" w:themeColor="accent3"/>
      </w:tblBorders>
    </w:tblPr>
    <w:tcPr>
      <w:shd w:fill="A5A5A5" w:color="auto" w:themeFill="accent3" w:val="clear"/>
    </w:tcPr>
    <w:tblStylePr w:type="band1Vert">
      <w:tcPr>
        <w:tcBorders>
          <w:left w:val="single" w:sz="4" w:color="FFFFFF" w:space="0" w:themeColor="background1"/>
          <w:right w:val="single" w:sz="4" w:color="FFFFFF" w:space="0" w:themeColor="background1"/>
        </w:tcBorders>
      </w:tcPr>
    </w:tblStylePr>
    <w:tblStylePr w:type="band2Vert">
      <w:tcPr>
        <w:tcBorders>
          <w:left w:val="single" w:sz="4" w:color="FFFFFF" w:space="0" w:themeColor="background1"/>
          <w:right w:val="single" w:sz="4" w:color="FFFFFF" w:space="0" w:themeColor="background1"/>
        </w:tcBorders>
      </w:tcPr>
    </w:tblStylePr>
    <w:tblStylePr w:type="band1Horz">
      <w:tcPr>
        <w:tcBorders>
          <w:top w:val="single" w:sz="4" w:color="FFFFFF" w:space="0" w:themeColor="background1"/>
          <w:bottom w:val="single" w:sz="4" w:color="FFFFFF" w:space="0" w:themeColor="background1"/>
        </w:tcBorders>
      </w:tcPr>
    </w:tblStylePr>
    <w:tblStylePr w:type="firstRow">
      <w:rPr>
        <w:bCs/>
        <w:b/>
      </w:rPr>
      <w:tcPr>
        <w:tcBorders>
          <w:bottom w:val="single" w:sz="18" w:color="FFFFFF" w:space="0" w:themeColor="background1"/>
        </w:tcBorders>
      </w:tcPr>
    </w:tblStylePr>
    <w:tblStylePr w:type="lastRow">
      <w:rPr>
        <w:bCs/>
        <w:b/>
      </w:rPr>
      <w:tcPr>
        <w:tcBorders>
          <w:top w:val="single" w:sz="4" w:color="FFFFFF" w:space="0" w:themeColor="background1"/>
        </w:tcBorders>
      </w:tcPr>
    </w:tblStylePr>
    <w:tblStylePr w:type="firstCol">
      <w:rPr>
        <w:bCs/>
        <w:b/>
      </w:rPr>
      <w:tcPr>
        <w:tcBorders>
          <w:right w:val="single" w:sz="4" w:color="FFFFFF" w:space="0" w:themeColor="background1"/>
        </w:tcBorders>
      </w:tcPr>
    </w:tblStylePr>
    <w:tblStylePr w:type="lastCol">
      <w:rPr>
        <w:bCs/>
        <w:b/>
      </w:rPr>
      <w:tcPr>
        <w:tcBorders>
          <w:left w:val="single" w:sz="4" w:color="FFFFFF" w:space="0" w:themeColor="background1"/>
        </w:tcBorders>
      </w:tcPr>
    </w:tblStylePr>
    <w:tblStylePr w:type="nwCell">
      <w:tcPr>
        <w:tcBorders>
          <w:right w:val="nil" w:sz="0" w:color="auto" w:space="0"/>
        </w:tcBorders>
      </w:tcPr>
    </w:tblStylePr>
    <w:tblStylePr w:type="neCell">
      <w:tcPr>
        <w:tcBorders>
          <w:left w:val="nil" w:sz="0" w:color="auto" w:space="0"/>
        </w:tcBorders>
      </w:tcPr>
    </w:tblStylePr>
    <w:tblStylePr w:type="swCell">
      <w:tcPr>
        <w:tcBorders>
          <w:top w:val="nil" w:sz="0" w:color="auto" w:space="0"/>
          <w:right w:val="nil" w:sz="0" w:color="auto" w:space="0"/>
        </w:tcBorders>
      </w:tcPr>
    </w:tblStylePr>
    <w:tblStylePr w:type="seCell">
      <w:tcPr>
        <w:tcBorders>
          <w:top w:val="nil" w:sz="0" w:color="auto" w:space="0"/>
          <w:left w:val="nil" w:sz="0" w:color="auto" w:space="0"/>
        </w:tcBorders>
      </w:tcPr>
    </w:tblStylePr>
    <w:uiPriority w:val="50"/>
    <w:rsid w:val="00A215E1"/>
  </w:style>
  <w:style w:type="paragraph" w:styleId="ListParagraph">
    <w:name w:val="List Paragraph"/>
    <w:qFormat/>
    <w:basedOn w:val="Normal"/>
    <w:uiPriority w:val="34"/>
    <w:rsid w:val="00A60A2E"/>
    <w:pPr>
      <w:ind w:left="720"/>
      <w:contextualSpacing/>
    </w:pPr>
  </w:style>
  <w:style w:type="table" w:styleId="TableGrid">
    <w:name w:val="Table Grid"/>
    <w:basedOn w:val="TableNormal"/>
    <w:pPr>
      <w:spacing w:after="0" w:line="240" w:lineRule="auto"/>
    </w:pPr>
    <w:rPr>
      <w:lang w:val="en-US" w:bidi="bn-BD"/>
      <w:szCs w:val="28"/>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C310E5"/>
  </w:style>
  <w:style w:type="table" w:styleId="GridTable2-Accent4">
    <w:name w:val="Grid Table 2 Accent 4"/>
    <w:basedOn w:val="TableNormal"/>
    <w:pPr>
      <w:spacing w:after="0" w:line="240" w:lineRule="auto"/>
    </w:pPr>
    <w:tblPr>
      <w:tblStyleRowBandSize w:val="1"/>
      <w:tblStyleColBandSize w:val="1"/>
      <w:tblBorders>
        <w:top w:val="single" w:sz="2" w:color="FFD966" w:space="0" w:themeColor="accent4" w:themeTint="99"/>
        <w:bottom w:val="single" w:sz="2" w:color="FFD966" w:space="0" w:themeColor="accent4" w:themeTint="99"/>
        <w:insideH w:val="single" w:sz="2" w:color="FFD966" w:space="0" w:themeColor="accent4" w:themeTint="99"/>
        <w:insideV w:val="single" w:sz="2" w:color="FFD966" w:space="0" w:themeColor="accent4" w:themeTint="99"/>
      </w:tblBorders>
    </w:tblPr>
    <w:tblStylePr w:type="band1Vert">
      <w:tcPr>
        <w:shd w:fill="FFF2CC" w:color="auto" w:themeFill="accent4" w:themeFillTint="33" w:val="clear"/>
      </w:tcPr>
    </w:tblStylePr>
    <w:tblStylePr w:type="band1Horz">
      <w:tcPr>
        <w:shd w:fill="FFF2CC" w:color="auto" w:themeFill="accent4" w:themeFillTint="33" w:val="clear"/>
      </w:tcPr>
    </w:tblStylePr>
    <w:tblStylePr w:type="firstRow">
      <w:rPr>
        <w:bCs/>
        <w:b/>
      </w:rPr>
      <w:tcPr>
        <w:tcBorders>
          <w:top w:val="nil" w:sz="0" w:color="auto" w:space="0"/>
          <w:bottom w:val="single" w:sz="12" w:color="FFD966" w:space="0" w:themeColor="accent4" w:themeTint="99"/>
          <w:insideH w:val="nil" w:sz="0" w:color="auto" w:space="0"/>
          <w:insideV w:val="nil" w:sz="0" w:color="auto" w:space="0"/>
        </w:tcBorders>
        <w:shd w:fill="FFFFFF" w:color="auto" w:themeFill="background1" w:val="clear"/>
      </w:tcPr>
    </w:tblStylePr>
    <w:tblStylePr w:type="lastRow">
      <w:rPr>
        <w:bCs/>
        <w:b/>
      </w:rPr>
      <w:tcPr>
        <w:tcBorders>
          <w:top w:val="double" w:sz="2" w:color="FFD966" w:space="0" w:themeColor="accent4" w:themeTint="99"/>
          <w:bottom w:val="nil" w:sz="0" w:color="auto" w:space="0"/>
          <w:insideH w:val="nil" w:sz="0" w:color="auto" w:space="0"/>
          <w:insideV w:val="nil" w:sz="0" w:color="auto" w:space="0"/>
        </w:tcBorders>
        <w:shd w:fill="FFFFFF" w:color="auto" w:themeFill="background1" w:val="clear"/>
      </w:tcPr>
    </w:tblStylePr>
    <w:tblStylePr w:type="firstCol">
      <w:rPr>
        <w:bCs/>
        <w:b/>
      </w:rPr>
    </w:tblStylePr>
    <w:tblStylePr w:type="lastCol">
      <w:rPr>
        <w:bCs/>
        <w:b/>
      </w:rPr>
    </w:tblStylePr>
    <w:uiPriority w:val="47"/>
    <w:rsid w:val="00B25C5B"/>
  </w:style>
  <w:style w:type="table" w:styleId="GridTable4-Accent4">
    <w:name w:val="Grid Table 4 Accent 4"/>
    <w:basedOn w:val="TableNormal"/>
    <w:pPr>
      <w:spacing w:after="0" w:line="240" w:lineRule="auto"/>
    </w:pPr>
    <w:tblPr>
      <w:tblStyleRowBandSize w:val="1"/>
      <w:tblStyleColBandSize w:val="1"/>
      <w:tblBorders>
        <w:top w:val="single" w:sz="4" w:color="FFD966" w:space="0" w:themeColor="accent4" w:themeTint="99"/>
        <w:bottom w:val="single" w:sz="4" w:color="FFD966" w:space="0" w:themeColor="accent4" w:themeTint="99"/>
        <w:left w:val="single" w:sz="4" w:color="FFD966" w:space="0" w:themeColor="accent4" w:themeTint="99"/>
        <w:right w:val="single" w:sz="4" w:color="FFD966" w:space="0" w:themeColor="accent4" w:themeTint="99"/>
        <w:insideH w:val="single" w:sz="4" w:color="FFD966" w:space="0" w:themeColor="accent4" w:themeTint="99"/>
        <w:insideV w:val="single" w:sz="4" w:color="FFD966" w:space="0" w:themeColor="accent4" w:themeTint="99"/>
      </w:tblBorders>
    </w:tblPr>
    <w:tblStylePr w:type="band1Vert">
      <w:tcPr>
        <w:shd w:fill="FFF2CC" w:color="auto" w:themeFill="accent4" w:themeFillTint="33" w:val="clear"/>
      </w:tcPr>
    </w:tblStylePr>
    <w:tblStylePr w:type="band1Horz">
      <w:tcPr>
        <w:shd w:fill="FFF2CC" w:color="auto" w:themeFill="accent4" w:themeFillTint="33" w:val="clear"/>
      </w:tcPr>
    </w:tblStylePr>
    <w:tblStylePr w:type="firstRow">
      <w:rPr>
        <w:bCs/>
        <w:b/>
        <w:color w:val="FFFFFF"/>
      </w:rPr>
      <w:tcPr>
        <w:tcBorders>
          <w:top w:val="single" w:sz="4" w:color="FFC000" w:space="0" w:themeColor="accent4"/>
          <w:bottom w:val="single" w:sz="4" w:color="FFC000" w:space="0" w:themeColor="accent4"/>
          <w:left w:val="single" w:sz="4" w:color="FFC000" w:space="0" w:themeColor="accent4"/>
          <w:right w:val="single" w:sz="4" w:color="FFC000" w:space="0" w:themeColor="accent4"/>
          <w:insideH w:val="nil" w:sz="0" w:color="auto" w:space="0"/>
          <w:insideV w:val="nil" w:sz="0" w:color="auto" w:space="0"/>
        </w:tcBorders>
        <w:shd w:fill="FFC000" w:color="auto" w:themeFill="accent4" w:val="clear"/>
      </w:tcPr>
    </w:tblStylePr>
    <w:tblStylePr w:type="lastRow">
      <w:rPr>
        <w:bCs/>
        <w:b/>
      </w:rPr>
      <w:tcPr>
        <w:tcBorders>
          <w:top w:val="double" w:sz="4" w:color="FFC000" w:space="0" w:themeColor="accent4"/>
        </w:tcBorders>
      </w:tcPr>
    </w:tblStylePr>
    <w:tblStylePr w:type="firstCol">
      <w:rPr>
        <w:bCs/>
        <w:b/>
      </w:rPr>
    </w:tblStylePr>
    <w:tblStylePr w:type="lastCol">
      <w:rPr>
        <w:bCs/>
        <w:b/>
      </w:rPr>
    </w:tblStylePr>
    <w:uiPriority w:val="49"/>
    <w:rsid w:val="00B25C5B"/>
  </w:style>
  <w:style w:type="table" w:styleId="GridTable4">
    <w:name w:val="Grid Table 4"/>
    <w:basedOn w:val="TableNormal"/>
    <w:pPr>
      <w:spacing w:after="0" w:line="240" w:lineRule="auto"/>
    </w:pPr>
    <w:tblPr>
      <w:tblStyleRowBandSize w:val="1"/>
      <w:tblStyleColBandSize w:val="1"/>
      <w:tblBorders>
        <w:top w:val="single" w:sz="4" w:color="666666" w:space="0" w:themeColor="text1" w:themeTint="99"/>
        <w:bottom w:val="single" w:sz="4" w:color="666666" w:space="0" w:themeColor="text1" w:themeTint="99"/>
        <w:left w:val="single" w:sz="4" w:color="666666" w:space="0" w:themeColor="text1" w:themeTint="99"/>
        <w:right w:val="single" w:sz="4" w:color="666666" w:space="0" w:themeColor="text1" w:themeTint="99"/>
        <w:insideH w:val="single" w:sz="4" w:color="666666" w:space="0" w:themeColor="text1" w:themeTint="99"/>
        <w:insideV w:val="single" w:sz="4" w:color="666666" w:space="0" w:themeColor="text1" w:themeTint="99"/>
      </w:tblBorders>
    </w:tblPr>
    <w:tblStylePr w:type="band1Vert">
      <w:tcPr>
        <w:shd w:fill="CCCCCC" w:color="auto" w:themeFill="text1" w:themeFillTint="33" w:val="clear"/>
      </w:tcPr>
    </w:tblStylePr>
    <w:tblStylePr w:type="band1Horz">
      <w:tcPr>
        <w:shd w:fill="CCCCCC" w:color="auto" w:themeFill="text1" w:themeFillTint="33" w:val="clear"/>
      </w:tcPr>
    </w:tblStylePr>
    <w:tblStylePr w:type="firstRow">
      <w:rPr>
        <w:bCs/>
        <w:b/>
        <w:color w:val="FFFFFF"/>
      </w:rPr>
      <w:tcPr>
        <w:tcBorders>
          <w:top w:val="single" w:sz="4" w:color="000000" w:space="0" w:themeColor="text1"/>
          <w:bottom w:val="single" w:sz="4" w:color="000000" w:space="0" w:themeColor="text1"/>
          <w:left w:val="single" w:sz="4" w:color="000000" w:space="0" w:themeColor="text1"/>
          <w:right w:val="single" w:sz="4" w:color="000000" w:space="0" w:themeColor="text1"/>
          <w:insideH w:val="nil" w:sz="0" w:color="auto" w:space="0"/>
          <w:insideV w:val="nil" w:sz="0" w:color="auto" w:space="0"/>
        </w:tcBorders>
        <w:shd w:fill="000000" w:color="auto" w:themeFill="text1" w:val="clear"/>
      </w:tcPr>
    </w:tblStylePr>
    <w:tblStylePr w:type="lastRow">
      <w:rPr>
        <w:bCs/>
        <w:b/>
      </w:rPr>
      <w:tcPr>
        <w:tcBorders>
          <w:top w:val="double" w:sz="4" w:color="000000" w:space="0" w:themeColor="text1"/>
        </w:tcBorders>
      </w:tcPr>
    </w:tblStylePr>
    <w:tblStylePr w:type="firstCol">
      <w:rPr>
        <w:bCs/>
        <w:b/>
      </w:rPr>
    </w:tblStylePr>
    <w:tblStylePr w:type="lastCol">
      <w:rPr>
        <w:bCs/>
        <w:b/>
      </w:rPr>
    </w:tblStylePr>
    <w:uiPriority w:val="49"/>
    <w:rsid w:val="00B25C5B"/>
  </w:style>
  <w:style w:type="table" w:styleId="GridTable4-Accent1">
    <w:name w:val="Grid Table 4 Accent 1"/>
    <w:basedOn w:val="TableNormal"/>
    <w:pPr>
      <w:spacing w:after="0" w:line="240" w:lineRule="auto"/>
    </w:pPr>
    <w:tblPr>
      <w:tblStyleRowBandSize w:val="1"/>
      <w:tblStyleColBandSize w:val="1"/>
      <w:tblBorders>
        <w:top w:val="single" w:sz="4" w:color="9CC2E5" w:space="0" w:themeColor="accent1" w:themeTint="99"/>
        <w:bottom w:val="single" w:sz="4" w:color="9CC2E5" w:space="0" w:themeColor="accent1" w:themeTint="99"/>
        <w:left w:val="single" w:sz="4" w:color="9CC2E5" w:space="0" w:themeColor="accent1" w:themeTint="99"/>
        <w:right w:val="single" w:sz="4" w:color="9CC2E5" w:space="0" w:themeColor="accent1" w:themeTint="99"/>
        <w:insideH w:val="single" w:sz="4" w:color="9CC2E5" w:space="0" w:themeColor="accent1" w:themeTint="99"/>
        <w:insideV w:val="single" w:sz="4" w:color="9CC2E5" w:space="0" w:themeColor="accent1" w:themeTint="99"/>
      </w:tblBorders>
    </w:tblPr>
    <w:tblStylePr w:type="band1Vert">
      <w:tcPr>
        <w:shd w:fill="DEEAF6" w:color="auto" w:themeFill="accent1" w:themeFillTint="33" w:val="clear"/>
      </w:tcPr>
    </w:tblStylePr>
    <w:tblStylePr w:type="band1Horz">
      <w:tcPr>
        <w:shd w:fill="DEEAF6" w:color="auto" w:themeFill="accent1" w:themeFillTint="33" w:val="clear"/>
      </w:tcPr>
    </w:tblStylePr>
    <w:tblStylePr w:type="firstRow">
      <w:rPr>
        <w:bCs/>
        <w:b/>
        <w:color w:val="FFFFFF"/>
      </w:rPr>
      <w:tcPr>
        <w:tcBorders>
          <w:top w:val="single" w:sz="4" w:color="5B9BD5" w:space="0" w:themeColor="accent1"/>
          <w:bottom w:val="single" w:sz="4" w:color="5B9BD5" w:space="0" w:themeColor="accent1"/>
          <w:left w:val="single" w:sz="4" w:color="5B9BD5" w:space="0" w:themeColor="accent1"/>
          <w:right w:val="single" w:sz="4" w:color="5B9BD5" w:space="0" w:themeColor="accent1"/>
          <w:insideH w:val="nil" w:sz="0" w:color="auto" w:space="0"/>
          <w:insideV w:val="nil" w:sz="0" w:color="auto" w:space="0"/>
        </w:tcBorders>
        <w:shd w:fill="5B9BD5" w:color="auto" w:themeFill="accent1" w:val="clear"/>
      </w:tcPr>
    </w:tblStylePr>
    <w:tblStylePr w:type="lastRow">
      <w:rPr>
        <w:bCs/>
        <w:b/>
      </w:rPr>
      <w:tcPr>
        <w:tcBorders>
          <w:top w:val="double" w:sz="4" w:color="5B9BD5" w:space="0" w:themeColor="accent1"/>
        </w:tcBorders>
      </w:tcPr>
    </w:tblStylePr>
    <w:tblStylePr w:type="firstCol">
      <w:rPr>
        <w:bCs/>
        <w:b/>
      </w:rPr>
    </w:tblStylePr>
    <w:tblStylePr w:type="lastCol">
      <w:rPr>
        <w:bCs/>
        <w:b/>
      </w:rPr>
    </w:tblStylePr>
    <w:uiPriority w:val="49"/>
    <w:rsid w:val="00B25C5B"/>
  </w:style>
  <w:style w:type="table" w:styleId="GridTable4-Accent2">
    <w:name w:val="Grid Table 4 Accent 2"/>
    <w:basedOn w:val="TableNormal"/>
    <w:pPr>
      <w:spacing w:after="0" w:line="240" w:lineRule="auto"/>
    </w:pPr>
    <w:tblPr>
      <w:tblStyleRowBandSize w:val="1"/>
      <w:tblStyleColBandSize w:val="1"/>
      <w:tblBorders>
        <w:top w:val="single" w:sz="4" w:color="F4B083" w:space="0" w:themeColor="accent2" w:themeTint="99"/>
        <w:bottom w:val="single" w:sz="4" w:color="F4B083" w:space="0" w:themeColor="accent2" w:themeTint="99"/>
        <w:left w:val="single" w:sz="4" w:color="F4B083" w:space="0" w:themeColor="accent2" w:themeTint="99"/>
        <w:right w:val="single" w:sz="4" w:color="F4B083" w:space="0" w:themeColor="accent2" w:themeTint="99"/>
        <w:insideH w:val="single" w:sz="4" w:color="F4B083" w:space="0" w:themeColor="accent2" w:themeTint="99"/>
        <w:insideV w:val="single" w:sz="4" w:color="F4B083" w:space="0" w:themeColor="accent2" w:themeTint="99"/>
      </w:tblBorders>
    </w:tblPr>
    <w:tblStylePr w:type="band1Vert">
      <w:tcPr>
        <w:shd w:fill="FBE4D5" w:color="auto" w:themeFill="accent2" w:themeFillTint="33" w:val="clear"/>
      </w:tcPr>
    </w:tblStylePr>
    <w:tblStylePr w:type="band1Horz">
      <w:tcPr>
        <w:shd w:fill="FBE4D5" w:color="auto" w:themeFill="accent2" w:themeFillTint="33" w:val="clear"/>
      </w:tcPr>
    </w:tblStylePr>
    <w:tblStylePr w:type="firstRow">
      <w:rPr>
        <w:bCs/>
        <w:b/>
        <w:color w:val="FFFFFF"/>
      </w:rPr>
      <w:tcPr>
        <w:tcBorders>
          <w:top w:val="single" w:sz="4" w:color="ED7D31" w:space="0" w:themeColor="accent2"/>
          <w:bottom w:val="single" w:sz="4" w:color="ED7D31" w:space="0" w:themeColor="accent2"/>
          <w:left w:val="single" w:sz="4" w:color="ED7D31" w:space="0" w:themeColor="accent2"/>
          <w:right w:val="single" w:sz="4" w:color="ED7D31" w:space="0" w:themeColor="accent2"/>
          <w:insideH w:val="nil" w:sz="0" w:color="auto" w:space="0"/>
          <w:insideV w:val="nil" w:sz="0" w:color="auto" w:space="0"/>
        </w:tcBorders>
        <w:shd w:fill="ED7D31" w:color="auto" w:themeFill="accent2" w:val="clear"/>
      </w:tcPr>
    </w:tblStylePr>
    <w:tblStylePr w:type="lastRow">
      <w:rPr>
        <w:bCs/>
        <w:b/>
      </w:rPr>
      <w:tcPr>
        <w:tcBorders>
          <w:top w:val="double" w:sz="4" w:color="ED7D31" w:space="0" w:themeColor="accent2"/>
        </w:tcBorders>
      </w:tcPr>
    </w:tblStylePr>
    <w:tblStylePr w:type="firstCol">
      <w:rPr>
        <w:bCs/>
        <w:b/>
      </w:rPr>
    </w:tblStylePr>
    <w:tblStylePr w:type="lastCol">
      <w:rPr>
        <w:bCs/>
        <w:b/>
      </w:rPr>
    </w:tblStylePr>
    <w:uiPriority w:val="49"/>
    <w:rsid w:val="00B25C5B"/>
  </w:style>
  <w:style w:type="table" w:styleId="GridTable4-Accent3">
    <w:name w:val="Grid Table 4 Accent 3"/>
    <w:basedOn w:val="TableNormal"/>
    <w:pPr>
      <w:spacing w:after="0" w:line="240" w:lineRule="auto"/>
    </w:pPr>
    <w:tblPr>
      <w:tblStyleRowBandSize w:val="1"/>
      <w:tblStyleColBandSize w:val="1"/>
      <w:tblBorders>
        <w:top w:val="single" w:sz="4" w:color="C9C9C9" w:space="0" w:themeColor="accent3" w:themeTint="99"/>
        <w:bottom w:val="single" w:sz="4" w:color="C9C9C9" w:space="0" w:themeColor="accent3" w:themeTint="99"/>
        <w:left w:val="single" w:sz="4" w:color="C9C9C9" w:space="0" w:themeColor="accent3" w:themeTint="99"/>
        <w:right w:val="single" w:sz="4" w:color="C9C9C9" w:space="0" w:themeColor="accent3" w:themeTint="99"/>
        <w:insideH w:val="single" w:sz="4" w:color="C9C9C9" w:space="0" w:themeColor="accent3" w:themeTint="99"/>
        <w:insideV w:val="single" w:sz="4" w:color="C9C9C9" w:space="0" w:themeColor="accent3" w:themeTint="99"/>
      </w:tblBorders>
    </w:tblPr>
    <w:tblStylePr w:type="band1Vert">
      <w:tcPr>
        <w:shd w:fill="EDEDED" w:color="auto" w:themeFill="accent3" w:themeFillTint="33" w:val="clear"/>
      </w:tcPr>
    </w:tblStylePr>
    <w:tblStylePr w:type="band1Horz">
      <w:tcPr>
        <w:shd w:fill="EDEDED" w:color="auto" w:themeFill="accent3" w:themeFillTint="33" w:val="clear"/>
      </w:tcPr>
    </w:tblStylePr>
    <w:tblStylePr w:type="firstRow">
      <w:rPr>
        <w:bCs/>
        <w:b/>
        <w:color w:val="FFFFFF"/>
      </w:rPr>
      <w:tcPr>
        <w:tcBorders>
          <w:top w:val="single" w:sz="4" w:color="A5A5A5" w:space="0" w:themeColor="accent3"/>
          <w:bottom w:val="single" w:sz="4" w:color="A5A5A5" w:space="0" w:themeColor="accent3"/>
          <w:left w:val="single" w:sz="4" w:color="A5A5A5" w:space="0" w:themeColor="accent3"/>
          <w:right w:val="single" w:sz="4" w:color="A5A5A5" w:space="0" w:themeColor="accent3"/>
          <w:insideH w:val="nil" w:sz="0" w:color="auto" w:space="0"/>
          <w:insideV w:val="nil" w:sz="0" w:color="auto" w:space="0"/>
        </w:tcBorders>
        <w:shd w:fill="A5A5A5" w:color="auto" w:themeFill="accent3" w:val="clear"/>
      </w:tcPr>
    </w:tblStylePr>
    <w:tblStylePr w:type="lastRow">
      <w:rPr>
        <w:bCs/>
        <w:b/>
      </w:rPr>
      <w:tcPr>
        <w:tcBorders>
          <w:top w:val="double" w:sz="4" w:color="A5A5A5" w:space="0" w:themeColor="accent3"/>
        </w:tcBorders>
      </w:tcPr>
    </w:tblStylePr>
    <w:tblStylePr w:type="firstCol">
      <w:rPr>
        <w:bCs/>
        <w:b/>
      </w:rPr>
    </w:tblStylePr>
    <w:tblStylePr w:type="lastCol">
      <w:rPr>
        <w:bCs/>
        <w:b/>
      </w:rPr>
    </w:tblStylePr>
    <w:uiPriority w:val="49"/>
    <w:rsid w:val="00B25C5B"/>
  </w:style>
  <w:style w:type="table" w:styleId="GridTable4-Accent5">
    <w:name w:val="Grid Table 4 Accent 5"/>
    <w:basedOn w:val="TableNormal"/>
    <w:pPr>
      <w:spacing w:after="0" w:line="240" w:lineRule="auto"/>
    </w:pPr>
    <w:tblPr>
      <w:tblStyleRowBandSize w:val="1"/>
      <w:tblStyleColBandSize w:val="1"/>
      <w:tblBorders>
        <w:top w:val="single" w:sz="4" w:color="8EAADB" w:space="0" w:themeColor="accent5" w:themeTint="99"/>
        <w:bottom w:val="single" w:sz="4" w:color="8EAADB" w:space="0" w:themeColor="accent5" w:themeTint="99"/>
        <w:left w:val="single" w:sz="4" w:color="8EAADB" w:space="0" w:themeColor="accent5" w:themeTint="99"/>
        <w:right w:val="single" w:sz="4" w:color="8EAADB" w:space="0" w:themeColor="accent5" w:themeTint="99"/>
        <w:insideH w:val="single" w:sz="4" w:color="8EAADB" w:space="0" w:themeColor="accent5" w:themeTint="99"/>
        <w:insideV w:val="single" w:sz="4" w:color="8EAADB" w:space="0" w:themeColor="accent5" w:themeTint="99"/>
      </w:tblBorders>
    </w:tblPr>
    <w:tblStylePr w:type="band1Vert">
      <w:tcPr>
        <w:shd w:fill="D9E2F3" w:color="auto" w:themeFill="accent5" w:themeFillTint="33" w:val="clear"/>
      </w:tcPr>
    </w:tblStylePr>
    <w:tblStylePr w:type="band1Horz">
      <w:tcPr>
        <w:shd w:fill="D9E2F3" w:color="auto" w:themeFill="accent5" w:themeFillTint="33" w:val="clear"/>
      </w:tcPr>
    </w:tblStylePr>
    <w:tblStylePr w:type="firstRow">
      <w:rPr>
        <w:bCs/>
        <w:b/>
        <w:color w:val="FFFFFF"/>
      </w:rPr>
      <w:tcPr>
        <w:tcBorders>
          <w:top w:val="single" w:sz="4" w:color="4472C4" w:space="0" w:themeColor="accent5"/>
          <w:bottom w:val="single" w:sz="4" w:color="4472C4" w:space="0" w:themeColor="accent5"/>
          <w:left w:val="single" w:sz="4" w:color="4472C4" w:space="0" w:themeColor="accent5"/>
          <w:right w:val="single" w:sz="4" w:color="4472C4" w:space="0" w:themeColor="accent5"/>
          <w:insideH w:val="nil" w:sz="0" w:color="auto" w:space="0"/>
          <w:insideV w:val="nil" w:sz="0" w:color="auto" w:space="0"/>
        </w:tcBorders>
        <w:shd w:fill="4472C4" w:color="auto" w:themeFill="accent5" w:val="clear"/>
      </w:tcPr>
    </w:tblStylePr>
    <w:tblStylePr w:type="lastRow">
      <w:rPr>
        <w:bCs/>
        <w:b/>
      </w:rPr>
      <w:tcPr>
        <w:tcBorders>
          <w:top w:val="double" w:sz="4" w:color="4472C4" w:space="0" w:themeColor="accent5"/>
        </w:tcBorders>
      </w:tcPr>
    </w:tblStylePr>
    <w:tblStylePr w:type="firstCol">
      <w:rPr>
        <w:bCs/>
        <w:b/>
      </w:rPr>
    </w:tblStylePr>
    <w:tblStylePr w:type="lastCol">
      <w:rPr>
        <w:bCs/>
        <w:b/>
      </w:rPr>
    </w:tblStylePr>
    <w:uiPriority w:val="49"/>
    <w:rsid w:val="00E20437"/>
  </w:style>
  <w:style w:type="table" w:styleId="GridTable4-Accent6">
    <w:name w:val="Grid Table 4 Accent 6"/>
    <w:basedOn w:val="TableNormal"/>
    <w:pPr>
      <w:spacing w:after="0" w:line="240" w:lineRule="auto"/>
    </w:pPr>
    <w:tblPr>
      <w:tblStyleRowBandSize w:val="1"/>
      <w:tblStyleColBandSize w:val="1"/>
      <w:tblBorders>
        <w:top w:val="single" w:sz="4" w:color="A8D08D" w:space="0" w:themeColor="accent6" w:themeTint="99"/>
        <w:bottom w:val="single" w:sz="4" w:color="A8D08D" w:space="0" w:themeColor="accent6" w:themeTint="99"/>
        <w:left w:val="single" w:sz="4" w:color="A8D08D" w:space="0" w:themeColor="accent6" w:themeTint="99"/>
        <w:right w:val="single" w:sz="4" w:color="A8D08D" w:space="0" w:themeColor="accent6" w:themeTint="99"/>
        <w:insideH w:val="single" w:sz="4" w:color="A8D08D" w:space="0" w:themeColor="accent6" w:themeTint="99"/>
        <w:insideV w:val="single" w:sz="4" w:color="A8D08D" w:space="0" w:themeColor="accent6" w:themeTint="99"/>
      </w:tblBorders>
    </w:tblPr>
    <w:tblStylePr w:type="band1Vert">
      <w:tcPr>
        <w:shd w:fill="E2EFD9" w:color="auto" w:themeFill="accent6" w:themeFillTint="33" w:val="clear"/>
      </w:tcPr>
    </w:tblStylePr>
    <w:tblStylePr w:type="band1Horz">
      <w:tcPr>
        <w:shd w:fill="E2EFD9" w:color="auto" w:themeFill="accent6" w:themeFillTint="33" w:val="clear"/>
      </w:tcPr>
    </w:tblStylePr>
    <w:tblStylePr w:type="firstRow">
      <w:rPr>
        <w:bCs/>
        <w:b/>
        <w:color w:val="FFFFFF"/>
      </w:rPr>
      <w:tcPr>
        <w:tcBorders>
          <w:top w:val="single" w:sz="4" w:color="70AD47" w:space="0" w:themeColor="accent6"/>
          <w:bottom w:val="single" w:sz="4" w:color="70AD47" w:space="0" w:themeColor="accent6"/>
          <w:left w:val="single" w:sz="4" w:color="70AD47" w:space="0" w:themeColor="accent6"/>
          <w:right w:val="single" w:sz="4" w:color="70AD47" w:space="0" w:themeColor="accent6"/>
          <w:insideH w:val="nil" w:sz="0" w:color="auto" w:space="0"/>
          <w:insideV w:val="nil" w:sz="0" w:color="auto" w:space="0"/>
        </w:tcBorders>
        <w:shd w:fill="70AD47" w:color="auto" w:themeFill="accent6" w:val="clear"/>
      </w:tcPr>
    </w:tblStylePr>
    <w:tblStylePr w:type="lastRow">
      <w:rPr>
        <w:bCs/>
        <w:b/>
      </w:rPr>
      <w:tcPr>
        <w:tcBorders>
          <w:top w:val="double" w:sz="4" w:color="70AD47" w:space="0" w:themeColor="accent6"/>
        </w:tcBorders>
      </w:tcPr>
    </w:tblStylePr>
    <w:tblStylePr w:type="firstCol">
      <w:rPr>
        <w:bCs/>
        <w:b/>
      </w:rPr>
    </w:tblStylePr>
    <w:tblStylePr w:type="lastCol">
      <w:rPr>
        <w:bCs/>
        <w:b/>
      </w:rPr>
    </w:tblStylePr>
    <w:uiPriority w:val="49"/>
    <w:rsid w:val="00E20437"/>
  </w:style>
  <w:style w:type="paragraph" w:styleId="NormalWeb">
    <w:name w:val="Normal (Web)"/>
    <w:basedOn w:val="Normal"/>
    <w:uiPriority w:val="99"/>
    <w:unhideWhenUsed/>
    <w:rsid w:val="00311BBF"/>
    <w:pPr>
      <w:spacing w:before="100" w:beforeAutospacing="1" w:after="100" w:afterAutospacing="1" w:line="240" w:lineRule="auto"/>
    </w:pPr>
    <w:rPr>
      <w:lang w:eastAsia="en-GB"/>
      <w:rFonts w:cs="Times New Roman" w:eastAsia="Times New Roman"/>
      <w:szCs w:val="24"/>
    </w:rPr>
  </w:style>
  <w:style w:type="paragraph" w:styleId="TOC1">
    <w:name w:val="toc 1"/>
    <w:basedOn w:val="Normal"/>
    <w:next w:val="Normal"/>
    <w:autoRedefine/>
    <w:uiPriority w:val="39"/>
    <w:unhideWhenUsed/>
    <w:rsid w:val="00D72211"/>
    <w:pPr>
      <w:spacing w:after="100"/>
    </w:pPr>
  </w:style>
  <w:style w:type="paragraph" w:styleId="TOC2">
    <w:name w:val="toc 2"/>
    <w:basedOn w:val="Normal"/>
    <w:next w:val="Normal"/>
    <w:autoRedefine/>
    <w:uiPriority w:val="39"/>
    <w:unhideWhenUsed/>
    <w:rsid w:val="00D72211"/>
    <w:pPr>
      <w:ind w:left="240"/>
      <w:spacing w:after="100"/>
    </w:pPr>
  </w:style>
  <w:style w:type="character" w:styleId="Hyperlink">
    <w:name w:val="Hyperlink"/>
    <w:basedOn w:val="DefaultParagraphFont"/>
    <w:uiPriority w:val="99"/>
    <w:unhideWhenUsed/>
    <w:rsid w:val="00D72211"/>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83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2842C-F666-4A3E-AC96-59A3372FF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3994</Words>
  <Characters>22768</Characters>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2021-07-20T17:06:00Z</dcterms:created>
  <dcterms:modified xsi:type="dcterms:W3CDTF">2021-07-26T06:39:00Z</dcterms:modified>
</cp:coreProperties>
</file>